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9FC15" w14:textId="0583068C" w:rsidR="00FC0265" w:rsidRPr="00FC0265" w:rsidRDefault="003814D6" w:rsidP="00FC0265">
      <w:r w:rsidRPr="00702FF7">
        <w:rPr>
          <w:rFonts w:ascii="Calibri" w:eastAsia="Calibri" w:hAnsi="Calibri" w:cs="Arial"/>
          <w:noProof/>
        </w:rPr>
        <w:drawing>
          <wp:anchor distT="0" distB="0" distL="114300" distR="114300" simplePos="0" relativeHeight="251657216" behindDoc="1" locked="0" layoutInCell="1" allowOverlap="1" wp14:anchorId="1CB9F30A" wp14:editId="46000D55">
            <wp:simplePos x="0" y="0"/>
            <wp:positionH relativeFrom="page">
              <wp:posOffset>0</wp:posOffset>
            </wp:positionH>
            <wp:positionV relativeFrom="paragraph">
              <wp:posOffset>-819785</wp:posOffset>
            </wp:positionV>
            <wp:extent cx="7762875" cy="13992225"/>
            <wp:effectExtent l="0" t="0" r="9525" b="952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a:stretch>
                      <a:fillRect/>
                    </a:stretch>
                  </pic:blipFill>
                  <pic:spPr>
                    <a:xfrm>
                      <a:off x="0" y="0"/>
                      <a:ext cx="7762875" cy="13992225"/>
                    </a:xfrm>
                    <a:prstGeom prst="rect">
                      <a:avLst/>
                    </a:prstGeom>
                  </pic:spPr>
                </pic:pic>
              </a:graphicData>
            </a:graphic>
            <wp14:sizeRelH relativeFrom="page">
              <wp14:pctWidth>0</wp14:pctWidth>
            </wp14:sizeRelH>
            <wp14:sizeRelV relativeFrom="page">
              <wp14:pctHeight>0</wp14:pctHeight>
            </wp14:sizeRelV>
          </wp:anchor>
        </w:drawing>
      </w:r>
      <w:r w:rsidR="004A440A" w:rsidRPr="00FC0265">
        <w:rPr>
          <w:noProof/>
        </w:rPr>
        <w:drawing>
          <wp:anchor distT="0" distB="0" distL="114300" distR="114300" simplePos="0" relativeHeight="251655168" behindDoc="1" locked="0" layoutInCell="1" allowOverlap="1" wp14:anchorId="29D30BC4" wp14:editId="0B0C4229">
            <wp:simplePos x="0" y="0"/>
            <wp:positionH relativeFrom="page">
              <wp:align>left</wp:align>
            </wp:positionH>
            <wp:positionV relativeFrom="page">
              <wp:posOffset>-10795</wp:posOffset>
            </wp:positionV>
            <wp:extent cx="7673234" cy="2450592"/>
            <wp:effectExtent l="0" t="0" r="4445" b="0"/>
            <wp:wrapNone/>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2"/>
                    <a:stretch>
                      <a:fillRect/>
                    </a:stretch>
                  </pic:blipFill>
                  <pic:spPr>
                    <a:xfrm>
                      <a:off x="0" y="0"/>
                      <a:ext cx="7673234" cy="2450592"/>
                    </a:xfrm>
                    <a:prstGeom prst="rect">
                      <a:avLst/>
                    </a:prstGeom>
                  </pic:spPr>
                </pic:pic>
              </a:graphicData>
            </a:graphic>
            <wp14:sizeRelH relativeFrom="page">
              <wp14:pctWidth>0</wp14:pctWidth>
            </wp14:sizeRelH>
            <wp14:sizeRelV relativeFrom="page">
              <wp14:pctHeight>0</wp14:pctHeight>
            </wp14:sizeRelV>
          </wp:anchor>
        </w:drawing>
      </w:r>
      <w:r w:rsidR="00FC0265" w:rsidRPr="00FC0265">
        <w:rPr>
          <w:noProof/>
        </w:rPr>
        <w:drawing>
          <wp:inline distT="0" distB="0" distL="0" distR="0" wp14:anchorId="7241AFF7" wp14:editId="0A9C7839">
            <wp:extent cx="2383155" cy="727075"/>
            <wp:effectExtent l="0" t="0" r="0" b="0"/>
            <wp:docPr id="30" name="Graphic 30"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3">
                      <a:extLst>
                        <a:ext uri="{96DAC541-7B7A-43D3-8B79-37D633B846F1}">
                          <asvg:svgBlip xmlns:asvg="http://schemas.microsoft.com/office/drawing/2016/SVG/main" r:embed="rId14"/>
                        </a:ext>
                      </a:extLst>
                    </a:blip>
                    <a:stretch>
                      <a:fillRect/>
                    </a:stretch>
                  </pic:blipFill>
                  <pic:spPr>
                    <a:xfrm>
                      <a:off x="0" y="0"/>
                      <a:ext cx="2383155" cy="727075"/>
                    </a:xfrm>
                    <a:prstGeom prst="rect">
                      <a:avLst/>
                    </a:prstGeom>
                  </pic:spPr>
                </pic:pic>
              </a:graphicData>
            </a:graphic>
          </wp:inline>
        </w:drawing>
      </w:r>
    </w:p>
    <w:p w14:paraId="27886628" w14:textId="45CB5F12" w:rsidR="00FC0265" w:rsidRDefault="00FC0265" w:rsidP="00FC0265">
      <w:pPr>
        <w:spacing w:before="3240" w:after="0" w:line="240" w:lineRule="auto"/>
        <w:ind w:left="1276"/>
        <w:rPr>
          <w:rFonts w:ascii="Calibri" w:eastAsiaTheme="majorEastAsia" w:hAnsi="Calibri" w:cstheme="majorBidi"/>
          <w:b/>
          <w:noProof/>
          <w:color w:val="FFFFFF" w:themeColor="background1"/>
          <w:spacing w:val="-10"/>
          <w:kern w:val="28"/>
          <w:sz w:val="60"/>
          <w:szCs w:val="56"/>
          <w:lang w:eastAsia="en-AU"/>
        </w:rPr>
      </w:pPr>
      <w:r w:rsidRPr="00CD7319">
        <w:rPr>
          <w:rFonts w:ascii="Calibri" w:eastAsiaTheme="majorEastAsia" w:hAnsi="Calibri" w:cstheme="majorBidi"/>
          <w:b/>
          <w:noProof/>
          <w:color w:val="FFFFFF" w:themeColor="background1"/>
          <w:spacing w:val="-10"/>
          <w:kern w:val="28"/>
          <w:sz w:val="60"/>
          <w:szCs w:val="56"/>
          <w:lang w:eastAsia="en-AU"/>
        </w:rPr>
        <w:t xml:space="preserve">Transition to Work </w:t>
      </w:r>
      <w:r w:rsidRPr="00CD7319">
        <w:rPr>
          <w:rFonts w:ascii="Calibri" w:eastAsiaTheme="majorEastAsia" w:hAnsi="Calibri" w:cstheme="majorBidi"/>
          <w:b/>
          <w:noProof/>
          <w:color w:val="FFFFFF" w:themeColor="background1"/>
          <w:spacing w:val="-10"/>
          <w:kern w:val="28"/>
          <w:sz w:val="60"/>
          <w:szCs w:val="56"/>
          <w:lang w:eastAsia="en-AU"/>
        </w:rPr>
        <w:br/>
        <w:t xml:space="preserve">Supplementary Evaluation </w:t>
      </w:r>
      <w:r w:rsidRPr="00CD7319">
        <w:rPr>
          <w:rFonts w:ascii="Calibri" w:eastAsiaTheme="majorEastAsia" w:hAnsi="Calibri" w:cstheme="majorBidi"/>
          <w:b/>
          <w:noProof/>
          <w:color w:val="FFFFFF" w:themeColor="background1"/>
          <w:spacing w:val="-10"/>
          <w:kern w:val="28"/>
          <w:sz w:val="60"/>
          <w:szCs w:val="56"/>
          <w:lang w:eastAsia="en-AU"/>
        </w:rPr>
        <w:br/>
        <w:t>Report</w:t>
      </w:r>
    </w:p>
    <w:p w14:paraId="079787E6" w14:textId="36EF0C13" w:rsidR="000E6DF8" w:rsidRPr="00CD7319" w:rsidRDefault="000E6DF8" w:rsidP="00393381">
      <w:pPr>
        <w:spacing w:before="480" w:after="0" w:line="240" w:lineRule="auto"/>
        <w:ind w:left="1276"/>
        <w:rPr>
          <w:rFonts w:ascii="Calibri" w:eastAsiaTheme="majorEastAsia" w:hAnsi="Calibri" w:cstheme="majorBidi"/>
          <w:b/>
          <w:noProof/>
          <w:color w:val="FFFFFF" w:themeColor="background1"/>
          <w:spacing w:val="-10"/>
          <w:kern w:val="28"/>
          <w:sz w:val="60"/>
          <w:szCs w:val="56"/>
          <w:lang w:eastAsia="en-AU"/>
        </w:rPr>
      </w:pPr>
      <w:r>
        <w:rPr>
          <w:rFonts w:ascii="Calibri" w:eastAsiaTheme="majorEastAsia" w:hAnsi="Calibri" w:cstheme="majorBidi"/>
          <w:b/>
          <w:noProof/>
          <w:color w:val="FFFFFF" w:themeColor="background1"/>
          <w:spacing w:val="-10"/>
          <w:kern w:val="28"/>
          <w:sz w:val="60"/>
          <w:szCs w:val="56"/>
          <w:lang w:eastAsia="en-AU"/>
        </w:rPr>
        <w:t>2016-2021</w:t>
      </w:r>
    </w:p>
    <w:p w14:paraId="36C3CCAC" w14:textId="23454C7C" w:rsidR="00FC0265" w:rsidRPr="00FC0265" w:rsidRDefault="0058405F" w:rsidP="00393381">
      <w:pPr>
        <w:numPr>
          <w:ilvl w:val="1"/>
          <w:numId w:val="0"/>
        </w:numPr>
        <w:spacing w:before="480" w:after="0"/>
        <w:ind w:left="1276"/>
        <w:rPr>
          <w:rFonts w:ascii="Calibri" w:eastAsiaTheme="minorEastAsia" w:hAnsi="Calibri"/>
          <w:noProof/>
          <w:color w:val="789B4A"/>
          <w:spacing w:val="15"/>
          <w:sz w:val="40"/>
          <w:lang w:eastAsia="en-AU"/>
        </w:rPr>
      </w:pPr>
      <w:r>
        <w:rPr>
          <w:rFonts w:ascii="Calibri" w:eastAsiaTheme="minorEastAsia" w:hAnsi="Calibri"/>
          <w:noProof/>
          <w:color w:val="789B4A"/>
          <w:spacing w:val="15"/>
          <w:sz w:val="40"/>
          <w:lang w:eastAsia="en-AU"/>
        </w:rPr>
        <w:t>December</w:t>
      </w:r>
      <w:r w:rsidR="007D0BB9">
        <w:rPr>
          <w:rFonts w:ascii="Calibri" w:eastAsiaTheme="minorEastAsia" w:hAnsi="Calibri"/>
          <w:noProof/>
          <w:color w:val="789B4A"/>
          <w:spacing w:val="15"/>
          <w:sz w:val="40"/>
          <w:lang w:eastAsia="en-AU"/>
        </w:rPr>
        <w:t xml:space="preserve"> 202</w:t>
      </w:r>
      <w:r w:rsidR="005B2F13">
        <w:rPr>
          <w:rFonts w:ascii="Calibri" w:eastAsiaTheme="minorEastAsia" w:hAnsi="Calibri"/>
          <w:noProof/>
          <w:color w:val="789B4A"/>
          <w:spacing w:val="15"/>
          <w:sz w:val="40"/>
          <w:lang w:eastAsia="en-AU"/>
        </w:rPr>
        <w:t>4</w:t>
      </w:r>
    </w:p>
    <w:p w14:paraId="108FA88C" w14:textId="77777777" w:rsidR="00FC0265" w:rsidRPr="00FC0265" w:rsidRDefault="00FC0265" w:rsidP="00FC0265">
      <w:pPr>
        <w:keepNext/>
        <w:keepLines/>
        <w:spacing w:before="240" w:after="0"/>
        <w:outlineLvl w:val="1"/>
        <w:rPr>
          <w:rFonts w:ascii="Calibri" w:eastAsiaTheme="majorEastAsia" w:hAnsi="Calibri" w:cstheme="majorBidi"/>
          <w:b/>
          <w:color w:val="404246"/>
          <w:sz w:val="30"/>
          <w:szCs w:val="26"/>
        </w:rPr>
      </w:pPr>
      <w:r w:rsidRPr="00FC0265">
        <w:rPr>
          <w:rFonts w:ascii="Calibri" w:eastAsiaTheme="majorEastAsia" w:hAnsi="Calibri" w:cstheme="majorBidi"/>
          <w:b/>
          <w:noProof/>
          <w:color w:val="404246"/>
          <w:sz w:val="30"/>
          <w:szCs w:val="26"/>
          <w:lang w:eastAsia="en-AU"/>
        </w:rPr>
        <w:br w:type="page"/>
      </w:r>
    </w:p>
    <w:p w14:paraId="787C523D" w14:textId="5A62F8AC" w:rsidR="0042032D" w:rsidRPr="001431BC" w:rsidRDefault="0042032D" w:rsidP="0042032D">
      <w:pPr>
        <w:spacing w:after="0"/>
        <w:rPr>
          <w:b/>
          <w:bCs/>
        </w:rPr>
      </w:pPr>
      <w:r w:rsidRPr="001431BC">
        <w:rPr>
          <w:b/>
          <w:bCs/>
        </w:rPr>
        <w:lastRenderedPageBreak/>
        <w:t>Evaluation team</w:t>
      </w:r>
    </w:p>
    <w:p w14:paraId="04DEB00A" w14:textId="6F7A85DF" w:rsidR="0042032D" w:rsidRPr="00381E3F" w:rsidRDefault="00F241E2" w:rsidP="00D41004">
      <w:r>
        <w:t xml:space="preserve">Alison Inglis, </w:t>
      </w:r>
      <w:r w:rsidR="003814D6">
        <w:t xml:space="preserve">Michael </w:t>
      </w:r>
      <w:r>
        <w:t>Gao, Eh Eh Tin,</w:t>
      </w:r>
      <w:r w:rsidR="004C1350">
        <w:t xml:space="preserve"> </w:t>
      </w:r>
      <w:r>
        <w:t xml:space="preserve">Alison Reinhard, </w:t>
      </w:r>
      <w:r w:rsidR="00F93ECF">
        <w:t>Caroline Daley, Robyn Henderson, Yingru Wu</w:t>
      </w:r>
    </w:p>
    <w:p w14:paraId="182E9CD8" w14:textId="77777777" w:rsidR="0042032D" w:rsidRPr="001431BC" w:rsidRDefault="0042032D" w:rsidP="0042032D">
      <w:pPr>
        <w:spacing w:after="0"/>
        <w:rPr>
          <w:b/>
          <w:bCs/>
        </w:rPr>
      </w:pPr>
      <w:r w:rsidRPr="001431BC">
        <w:rPr>
          <w:b/>
          <w:bCs/>
        </w:rPr>
        <w:t>Acknowledgements</w:t>
      </w:r>
    </w:p>
    <w:p w14:paraId="4F43C0A4" w14:textId="4CD8FF67" w:rsidR="0042032D" w:rsidRPr="00381E3F" w:rsidRDefault="0042032D" w:rsidP="00D41004">
      <w:r w:rsidRPr="00381E3F">
        <w:t xml:space="preserve">The </w:t>
      </w:r>
      <w:r w:rsidR="00E27B7C">
        <w:t>Youth and Pre</w:t>
      </w:r>
      <w:r w:rsidR="00D756A0">
        <w:t>-</w:t>
      </w:r>
      <w:r w:rsidR="00E27B7C">
        <w:t xml:space="preserve">employment </w:t>
      </w:r>
      <w:r w:rsidR="00D756A0">
        <w:t xml:space="preserve">Initiatives Evaluation </w:t>
      </w:r>
      <w:r w:rsidRPr="00381E3F">
        <w:t xml:space="preserve">research team would also like to acknowledge the contributions of the Social Research Centre (SRC), and the </w:t>
      </w:r>
      <w:r w:rsidR="00D756A0">
        <w:t>TtW Evaluation Working Group</w:t>
      </w:r>
      <w:r w:rsidRPr="00381E3F">
        <w:t xml:space="preserve">. </w:t>
      </w:r>
    </w:p>
    <w:p w14:paraId="242DA783" w14:textId="7DF5140D" w:rsidR="00FD5DA6" w:rsidRPr="00381E3F" w:rsidRDefault="00FD5DA6" w:rsidP="0042032D">
      <w:pPr>
        <w:spacing w:after="0"/>
      </w:pPr>
      <w:r>
        <w:t xml:space="preserve">The Working Group </w:t>
      </w:r>
      <w:r w:rsidR="00C35169">
        <w:t xml:space="preserve">supported the development of the evaluation strategy and </w:t>
      </w:r>
      <w:r>
        <w:t>provided</w:t>
      </w:r>
      <w:r w:rsidR="00C35169">
        <w:t xml:space="preserve"> insights and questions throughout the evaluation process.</w:t>
      </w:r>
    </w:p>
    <w:p w14:paraId="7C34F93B" w14:textId="7035FAE8" w:rsidR="006F2294" w:rsidRDefault="0042032D" w:rsidP="001E4B4D">
      <w:pPr>
        <w:spacing w:after="4200"/>
      </w:pPr>
      <w:r w:rsidRPr="00381E3F">
        <w:t xml:space="preserve">Findings from participant </w:t>
      </w:r>
      <w:r w:rsidR="00D756A0">
        <w:t xml:space="preserve">and provider </w:t>
      </w:r>
      <w:r w:rsidRPr="00381E3F">
        <w:t xml:space="preserve">research conducted by SRC </w:t>
      </w:r>
      <w:r w:rsidR="00D756A0">
        <w:t>has</w:t>
      </w:r>
      <w:r w:rsidRPr="00381E3F">
        <w:t xml:space="preserve"> been synthesised with departmental administrative data</w:t>
      </w:r>
      <w:r w:rsidR="003814D6">
        <w:t xml:space="preserve"> in this report</w:t>
      </w:r>
      <w:r w:rsidRPr="00381E3F">
        <w:t>.</w:t>
      </w:r>
    </w:p>
    <w:p w14:paraId="6C2514D3" w14:textId="2A926E32" w:rsidR="00CC3A50" w:rsidRPr="00CC3A50" w:rsidRDefault="00CC3A50" w:rsidP="00CC3A50">
      <w:pPr>
        <w:rPr>
          <w:b/>
          <w:bCs/>
        </w:rPr>
      </w:pPr>
    </w:p>
    <w:p w14:paraId="7D63F077" w14:textId="4B84C19D" w:rsidR="001E4B4D" w:rsidRDefault="008A439A" w:rsidP="0017572B">
      <w:r w:rsidRPr="0017572B">
        <w:t>ISBN</w:t>
      </w:r>
      <w:r w:rsidR="00CC3A50" w:rsidRPr="00CC3A50">
        <w:br/>
      </w:r>
      <w:r w:rsidR="00713E89" w:rsidRPr="00713E89">
        <w:t>978-1-76114-181-2</w:t>
      </w:r>
      <w:r w:rsidR="00713E89" w:rsidRPr="00713E89">
        <w:t xml:space="preserve"> </w:t>
      </w:r>
      <w:r w:rsidR="00CC3A50" w:rsidRPr="00CC3A50">
        <w:t>[PDF]</w:t>
      </w:r>
      <w:r w:rsidR="00CC3A50" w:rsidRPr="00CC3A50">
        <w:br/>
      </w:r>
      <w:r w:rsidR="00B559E5" w:rsidRPr="00B559E5">
        <w:t>978-1-76114-182-9</w:t>
      </w:r>
      <w:r w:rsidR="00B559E5" w:rsidRPr="00B559E5">
        <w:t xml:space="preserve"> </w:t>
      </w:r>
      <w:r w:rsidR="00CC3A50" w:rsidRPr="00CC3A50">
        <w:t>[DOCX]</w:t>
      </w:r>
    </w:p>
    <w:p w14:paraId="73D7BBA1" w14:textId="52A775ED" w:rsidR="007855CC" w:rsidRDefault="007855CC" w:rsidP="007855CC">
      <w:pPr>
        <w:pStyle w:val="numberedpara"/>
        <w:numPr>
          <w:ilvl w:val="0"/>
          <w:numId w:val="0"/>
        </w:numPr>
      </w:pPr>
      <w:r w:rsidRPr="003C539C">
        <w:rPr>
          <w:noProof/>
        </w:rPr>
        <w:drawing>
          <wp:inline distT="0" distB="0" distL="0" distR="0" wp14:anchorId="634A8E3B" wp14:editId="0031462A">
            <wp:extent cx="847725" cy="285750"/>
            <wp:effectExtent l="0" t="0" r="9525"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0D7770F" w14:textId="77777777" w:rsidR="00B622FC" w:rsidRPr="003C539C" w:rsidRDefault="00B622FC" w:rsidP="007855CC">
      <w:pPr>
        <w:pStyle w:val="numberedpara"/>
        <w:numPr>
          <w:ilvl w:val="0"/>
          <w:numId w:val="0"/>
        </w:numPr>
      </w:pPr>
    </w:p>
    <w:p w14:paraId="1763AB28" w14:textId="7BCB1539" w:rsidR="00F8391B" w:rsidRDefault="007855CC" w:rsidP="007855CC">
      <w:r w:rsidRPr="003C539C">
        <w:t xml:space="preserve">With the exception of the Commonwealth Coat of Arms, the </w:t>
      </w:r>
      <w:r w:rsidR="00F8391B">
        <w:t>d</w:t>
      </w:r>
      <w:r w:rsidRPr="008E5686">
        <w:t>epartment</w:t>
      </w:r>
      <w:r w:rsidR="00F8391B">
        <w:t>’</w:t>
      </w:r>
      <w:r w:rsidRPr="008E5686">
        <w:t xml:space="preserve">s </w:t>
      </w:r>
      <w:r w:rsidRPr="003C539C">
        <w:t xml:space="preserve">logo, any material protected by a trade mark and where otherwise noted all material presented in this document is provided under a </w:t>
      </w:r>
      <w:hyperlink r:id="rId17"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p>
    <w:p w14:paraId="3645F8B0" w14:textId="26048B60" w:rsidR="007855CC" w:rsidRPr="003C539C" w:rsidRDefault="007855CC" w:rsidP="007855CC">
      <w:r w:rsidRPr="003C539C">
        <w:t xml:space="preserve">The details of the relevant licence conditions are available on the Creative Commons website (accessible using the links provided) as is the full legal code for the </w:t>
      </w:r>
      <w:hyperlink r:id="rId18"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55DD9EDE" w14:textId="6E73B269" w:rsidR="00C93248" w:rsidRDefault="007855CC" w:rsidP="00D41004">
      <w:r w:rsidRPr="003C539C">
        <w:t xml:space="preserve">The document must be attributed as the </w:t>
      </w:r>
      <w:r w:rsidR="00F2468E">
        <w:t xml:space="preserve">Transition to Work </w:t>
      </w:r>
      <w:r w:rsidR="003F32F8">
        <w:t>Supplementary</w:t>
      </w:r>
      <w:r w:rsidR="00F2468E">
        <w:t xml:space="preserve"> Evaluation Report</w:t>
      </w:r>
      <w:r w:rsidRPr="003C539C">
        <w:t>.</w:t>
      </w:r>
    </w:p>
    <w:p w14:paraId="5AE318AE" w14:textId="3FF921E4" w:rsidR="00C93248" w:rsidRDefault="00C93248" w:rsidP="007855CC">
      <w:pPr>
        <w:sectPr w:rsidR="00C93248" w:rsidSect="001431BC">
          <w:pgSz w:w="11906" w:h="16838"/>
          <w:pgMar w:top="1276" w:right="1440" w:bottom="1440" w:left="1440" w:header="709" w:footer="709" w:gutter="0"/>
          <w:cols w:space="708"/>
          <w:titlePg/>
          <w:docGrid w:linePitch="360"/>
        </w:sectPr>
      </w:pPr>
    </w:p>
    <w:bookmarkStart w:id="0" w:name="_Hlk99691555" w:displacedByCustomXml="next"/>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682CA3CE" w14:textId="77777777" w:rsidR="007855CC" w:rsidRPr="003C539C" w:rsidRDefault="007855CC" w:rsidP="00D41004">
          <w:pPr>
            <w:pStyle w:val="TOCHeading"/>
            <w:numPr>
              <w:ilvl w:val="0"/>
              <w:numId w:val="0"/>
            </w:numPr>
          </w:pPr>
          <w:r w:rsidRPr="00D84395">
            <w:t>Contents</w:t>
          </w:r>
        </w:p>
        <w:bookmarkStart w:id="1" w:name="_Hlk110946044"/>
        <w:p w14:paraId="5D96CE65" w14:textId="0A6CB66B" w:rsidR="00FF5DFD" w:rsidRDefault="0095636C">
          <w:pPr>
            <w:pStyle w:val="TOC1"/>
            <w:rPr>
              <w:rFonts w:eastAsiaTheme="minorEastAsia"/>
              <w:b w:val="0"/>
              <w:noProof/>
              <w:kern w:val="2"/>
              <w:lang w:eastAsia="en-AU"/>
              <w14:ligatures w14:val="standardContextual"/>
            </w:rPr>
          </w:pPr>
          <w:r>
            <w:rPr>
              <w:rFonts w:ascii="Calibri" w:hAnsi="Calibri"/>
              <w:color w:val="343741"/>
              <w:sz w:val="32"/>
            </w:rPr>
            <w:fldChar w:fldCharType="begin"/>
          </w:r>
          <w:r>
            <w:rPr>
              <w:rFonts w:ascii="Calibri" w:eastAsiaTheme="majorEastAsia" w:hAnsi="Calibri" w:cstheme="majorBidi"/>
              <w:color w:val="343741"/>
              <w:sz w:val="32"/>
              <w:szCs w:val="32"/>
            </w:rPr>
            <w:instrText xml:space="preserve"> TOC \o "1-3" \h \z \u </w:instrText>
          </w:r>
          <w:r>
            <w:rPr>
              <w:rFonts w:ascii="Calibri" w:hAnsi="Calibri"/>
              <w:color w:val="343741"/>
              <w:sz w:val="32"/>
            </w:rPr>
            <w:fldChar w:fldCharType="separate"/>
          </w:r>
          <w:hyperlink w:anchor="_Toc146033441" w:history="1">
            <w:r w:rsidR="00FF5DFD" w:rsidRPr="009C1C70">
              <w:rPr>
                <w:rStyle w:val="Hyperlink"/>
                <w:noProof/>
              </w:rPr>
              <w:t>List of short forms</w:t>
            </w:r>
            <w:r w:rsidR="00FF5DFD">
              <w:rPr>
                <w:noProof/>
                <w:webHidden/>
              </w:rPr>
              <w:tab/>
            </w:r>
            <w:r w:rsidR="00FF5DFD">
              <w:rPr>
                <w:noProof/>
                <w:webHidden/>
              </w:rPr>
              <w:fldChar w:fldCharType="begin"/>
            </w:r>
            <w:r w:rsidR="00FF5DFD">
              <w:rPr>
                <w:noProof/>
                <w:webHidden/>
              </w:rPr>
              <w:instrText xml:space="preserve"> PAGEREF _Toc146033441 \h </w:instrText>
            </w:r>
            <w:r w:rsidR="00FF5DFD">
              <w:rPr>
                <w:noProof/>
                <w:webHidden/>
              </w:rPr>
            </w:r>
            <w:r w:rsidR="00FF5DFD">
              <w:rPr>
                <w:noProof/>
                <w:webHidden/>
              </w:rPr>
              <w:fldChar w:fldCharType="separate"/>
            </w:r>
            <w:r w:rsidR="00180E14">
              <w:rPr>
                <w:noProof/>
                <w:webHidden/>
              </w:rPr>
              <w:t>ix</w:t>
            </w:r>
            <w:r w:rsidR="00FF5DFD">
              <w:rPr>
                <w:noProof/>
                <w:webHidden/>
              </w:rPr>
              <w:fldChar w:fldCharType="end"/>
            </w:r>
          </w:hyperlink>
        </w:p>
        <w:p w14:paraId="7D78DD9E" w14:textId="662B60A2" w:rsidR="00FF5DFD" w:rsidRDefault="00FF5DFD">
          <w:pPr>
            <w:pStyle w:val="TOC1"/>
            <w:rPr>
              <w:rFonts w:eastAsiaTheme="minorEastAsia"/>
              <w:b w:val="0"/>
              <w:noProof/>
              <w:kern w:val="2"/>
              <w:lang w:eastAsia="en-AU"/>
              <w14:ligatures w14:val="standardContextual"/>
            </w:rPr>
          </w:pPr>
          <w:hyperlink w:anchor="_Toc146033442" w:history="1">
            <w:r w:rsidRPr="009C1C70">
              <w:rPr>
                <w:rStyle w:val="Hyperlink"/>
                <w:noProof/>
              </w:rPr>
              <w:t>Glossary</w:t>
            </w:r>
            <w:r>
              <w:rPr>
                <w:noProof/>
                <w:webHidden/>
              </w:rPr>
              <w:tab/>
            </w:r>
            <w:r>
              <w:rPr>
                <w:noProof/>
                <w:webHidden/>
              </w:rPr>
              <w:fldChar w:fldCharType="begin"/>
            </w:r>
            <w:r>
              <w:rPr>
                <w:noProof/>
                <w:webHidden/>
              </w:rPr>
              <w:instrText xml:space="preserve"> PAGEREF _Toc146033442 \h </w:instrText>
            </w:r>
            <w:r>
              <w:rPr>
                <w:noProof/>
                <w:webHidden/>
              </w:rPr>
            </w:r>
            <w:r>
              <w:rPr>
                <w:noProof/>
                <w:webHidden/>
              </w:rPr>
              <w:fldChar w:fldCharType="separate"/>
            </w:r>
            <w:r w:rsidR="00180E14">
              <w:rPr>
                <w:noProof/>
                <w:webHidden/>
              </w:rPr>
              <w:t>x</w:t>
            </w:r>
            <w:r>
              <w:rPr>
                <w:noProof/>
                <w:webHidden/>
              </w:rPr>
              <w:fldChar w:fldCharType="end"/>
            </w:r>
          </w:hyperlink>
        </w:p>
        <w:p w14:paraId="20DAE9F1" w14:textId="5B2C771F" w:rsidR="00FF5DFD" w:rsidRDefault="00FF5DFD">
          <w:pPr>
            <w:pStyle w:val="TOC1"/>
            <w:rPr>
              <w:rFonts w:eastAsiaTheme="minorEastAsia"/>
              <w:b w:val="0"/>
              <w:noProof/>
              <w:kern w:val="2"/>
              <w:lang w:eastAsia="en-AU"/>
              <w14:ligatures w14:val="standardContextual"/>
            </w:rPr>
          </w:pPr>
          <w:hyperlink w:anchor="_Toc146033443" w:history="1">
            <w:r w:rsidRPr="009C1C70">
              <w:rPr>
                <w:rStyle w:val="Hyperlink"/>
                <w:noProof/>
              </w:rPr>
              <w:t>Executive summary</w:t>
            </w:r>
            <w:r>
              <w:rPr>
                <w:noProof/>
                <w:webHidden/>
              </w:rPr>
              <w:tab/>
            </w:r>
            <w:r>
              <w:rPr>
                <w:noProof/>
                <w:webHidden/>
              </w:rPr>
              <w:fldChar w:fldCharType="begin"/>
            </w:r>
            <w:r>
              <w:rPr>
                <w:noProof/>
                <w:webHidden/>
              </w:rPr>
              <w:instrText xml:space="preserve"> PAGEREF _Toc146033443 \h </w:instrText>
            </w:r>
            <w:r>
              <w:rPr>
                <w:noProof/>
                <w:webHidden/>
              </w:rPr>
            </w:r>
            <w:r>
              <w:rPr>
                <w:noProof/>
                <w:webHidden/>
              </w:rPr>
              <w:fldChar w:fldCharType="separate"/>
            </w:r>
            <w:r w:rsidR="00180E14">
              <w:rPr>
                <w:noProof/>
                <w:webHidden/>
              </w:rPr>
              <w:t>xiv</w:t>
            </w:r>
            <w:r>
              <w:rPr>
                <w:noProof/>
                <w:webHidden/>
              </w:rPr>
              <w:fldChar w:fldCharType="end"/>
            </w:r>
          </w:hyperlink>
        </w:p>
        <w:p w14:paraId="094D79A0" w14:textId="40151A8F" w:rsidR="00FF5DFD" w:rsidRDefault="00FF5DFD">
          <w:pPr>
            <w:pStyle w:val="TOC2"/>
            <w:rPr>
              <w:rFonts w:eastAsiaTheme="minorEastAsia"/>
              <w:noProof/>
              <w:kern w:val="2"/>
              <w:lang w:eastAsia="en-AU"/>
              <w14:ligatures w14:val="standardContextual"/>
            </w:rPr>
          </w:pPr>
          <w:hyperlink w:anchor="_Toc146033444" w:history="1">
            <w:r w:rsidRPr="009C1C70">
              <w:rPr>
                <w:rStyle w:val="Hyperlink"/>
                <w:noProof/>
              </w:rPr>
              <w:t>Background to this supplementary evaluation</w:t>
            </w:r>
            <w:r>
              <w:rPr>
                <w:noProof/>
                <w:webHidden/>
              </w:rPr>
              <w:tab/>
            </w:r>
            <w:r>
              <w:rPr>
                <w:noProof/>
                <w:webHidden/>
              </w:rPr>
              <w:fldChar w:fldCharType="begin"/>
            </w:r>
            <w:r>
              <w:rPr>
                <w:noProof/>
                <w:webHidden/>
              </w:rPr>
              <w:instrText xml:space="preserve"> PAGEREF _Toc146033444 \h </w:instrText>
            </w:r>
            <w:r>
              <w:rPr>
                <w:noProof/>
                <w:webHidden/>
              </w:rPr>
            </w:r>
            <w:r>
              <w:rPr>
                <w:noProof/>
                <w:webHidden/>
              </w:rPr>
              <w:fldChar w:fldCharType="separate"/>
            </w:r>
            <w:r w:rsidR="00180E14">
              <w:rPr>
                <w:noProof/>
                <w:webHidden/>
              </w:rPr>
              <w:t>xiv</w:t>
            </w:r>
            <w:r>
              <w:rPr>
                <w:noProof/>
                <w:webHidden/>
              </w:rPr>
              <w:fldChar w:fldCharType="end"/>
            </w:r>
          </w:hyperlink>
        </w:p>
        <w:p w14:paraId="7C3FB601" w14:textId="59BDF71A" w:rsidR="00FF5DFD" w:rsidRDefault="00FF5DFD">
          <w:pPr>
            <w:pStyle w:val="TOC2"/>
            <w:rPr>
              <w:rFonts w:eastAsiaTheme="minorEastAsia"/>
              <w:noProof/>
              <w:kern w:val="2"/>
              <w:lang w:eastAsia="en-AU"/>
              <w14:ligatures w14:val="standardContextual"/>
            </w:rPr>
          </w:pPr>
          <w:hyperlink w:anchor="_Toc146033445" w:history="1">
            <w:r w:rsidRPr="009C1C70">
              <w:rPr>
                <w:rStyle w:val="Hyperlink"/>
                <w:noProof/>
              </w:rPr>
              <w:t>Evaluation objectives</w:t>
            </w:r>
            <w:r>
              <w:rPr>
                <w:noProof/>
                <w:webHidden/>
              </w:rPr>
              <w:tab/>
            </w:r>
            <w:r>
              <w:rPr>
                <w:noProof/>
                <w:webHidden/>
              </w:rPr>
              <w:fldChar w:fldCharType="begin"/>
            </w:r>
            <w:r>
              <w:rPr>
                <w:noProof/>
                <w:webHidden/>
              </w:rPr>
              <w:instrText xml:space="preserve"> PAGEREF _Toc146033445 \h </w:instrText>
            </w:r>
            <w:r>
              <w:rPr>
                <w:noProof/>
                <w:webHidden/>
              </w:rPr>
            </w:r>
            <w:r>
              <w:rPr>
                <w:noProof/>
                <w:webHidden/>
              </w:rPr>
              <w:fldChar w:fldCharType="separate"/>
            </w:r>
            <w:r w:rsidR="00180E14">
              <w:rPr>
                <w:noProof/>
                <w:webHidden/>
              </w:rPr>
              <w:t>xiv</w:t>
            </w:r>
            <w:r>
              <w:rPr>
                <w:noProof/>
                <w:webHidden/>
              </w:rPr>
              <w:fldChar w:fldCharType="end"/>
            </w:r>
          </w:hyperlink>
        </w:p>
        <w:p w14:paraId="33363E1F" w14:textId="6E676D64" w:rsidR="00FF5DFD" w:rsidRDefault="00FF5DFD">
          <w:pPr>
            <w:pStyle w:val="TOC2"/>
            <w:rPr>
              <w:rFonts w:eastAsiaTheme="minorEastAsia"/>
              <w:noProof/>
              <w:kern w:val="2"/>
              <w:lang w:eastAsia="en-AU"/>
              <w14:ligatures w14:val="standardContextual"/>
            </w:rPr>
          </w:pPr>
          <w:hyperlink w:anchor="_Toc146033446" w:history="1">
            <w:r w:rsidRPr="009C1C70">
              <w:rPr>
                <w:rStyle w:val="Hyperlink"/>
                <w:noProof/>
              </w:rPr>
              <w:t>Evaluation approach</w:t>
            </w:r>
            <w:r>
              <w:rPr>
                <w:noProof/>
                <w:webHidden/>
              </w:rPr>
              <w:tab/>
            </w:r>
            <w:r>
              <w:rPr>
                <w:noProof/>
                <w:webHidden/>
              </w:rPr>
              <w:fldChar w:fldCharType="begin"/>
            </w:r>
            <w:r>
              <w:rPr>
                <w:noProof/>
                <w:webHidden/>
              </w:rPr>
              <w:instrText xml:space="preserve"> PAGEREF _Toc146033446 \h </w:instrText>
            </w:r>
            <w:r>
              <w:rPr>
                <w:noProof/>
                <w:webHidden/>
              </w:rPr>
            </w:r>
            <w:r>
              <w:rPr>
                <w:noProof/>
                <w:webHidden/>
              </w:rPr>
              <w:fldChar w:fldCharType="separate"/>
            </w:r>
            <w:r w:rsidR="00180E14">
              <w:rPr>
                <w:noProof/>
                <w:webHidden/>
              </w:rPr>
              <w:t>xv</w:t>
            </w:r>
            <w:r>
              <w:rPr>
                <w:noProof/>
                <w:webHidden/>
              </w:rPr>
              <w:fldChar w:fldCharType="end"/>
            </w:r>
          </w:hyperlink>
        </w:p>
        <w:p w14:paraId="42FA0B8B" w14:textId="7802A3ED" w:rsidR="00FF5DFD" w:rsidRDefault="00FF5DFD">
          <w:pPr>
            <w:pStyle w:val="TOC2"/>
            <w:rPr>
              <w:rFonts w:eastAsiaTheme="minorEastAsia"/>
              <w:noProof/>
              <w:kern w:val="2"/>
              <w:lang w:eastAsia="en-AU"/>
              <w14:ligatures w14:val="standardContextual"/>
            </w:rPr>
          </w:pPr>
          <w:hyperlink w:anchor="_Toc146033447" w:history="1">
            <w:r w:rsidRPr="009C1C70">
              <w:rPr>
                <w:rStyle w:val="Hyperlink"/>
                <w:noProof/>
              </w:rPr>
              <w:t>Key findings</w:t>
            </w:r>
            <w:r>
              <w:rPr>
                <w:noProof/>
                <w:webHidden/>
              </w:rPr>
              <w:tab/>
            </w:r>
            <w:r>
              <w:rPr>
                <w:noProof/>
                <w:webHidden/>
              </w:rPr>
              <w:fldChar w:fldCharType="begin"/>
            </w:r>
            <w:r>
              <w:rPr>
                <w:noProof/>
                <w:webHidden/>
              </w:rPr>
              <w:instrText xml:space="preserve"> PAGEREF _Toc146033447 \h </w:instrText>
            </w:r>
            <w:r>
              <w:rPr>
                <w:noProof/>
                <w:webHidden/>
              </w:rPr>
            </w:r>
            <w:r>
              <w:rPr>
                <w:noProof/>
                <w:webHidden/>
              </w:rPr>
              <w:fldChar w:fldCharType="separate"/>
            </w:r>
            <w:r w:rsidR="00180E14">
              <w:rPr>
                <w:noProof/>
                <w:webHidden/>
              </w:rPr>
              <w:t>xv</w:t>
            </w:r>
            <w:r>
              <w:rPr>
                <w:noProof/>
                <w:webHidden/>
              </w:rPr>
              <w:fldChar w:fldCharType="end"/>
            </w:r>
          </w:hyperlink>
        </w:p>
        <w:p w14:paraId="0D99BD00" w14:textId="7A4E9868" w:rsidR="00FF5DFD" w:rsidRDefault="00FF5DFD">
          <w:pPr>
            <w:pStyle w:val="TOC3"/>
            <w:rPr>
              <w:rFonts w:eastAsiaTheme="minorEastAsia"/>
              <w:noProof/>
              <w:kern w:val="2"/>
              <w:lang w:eastAsia="en-AU"/>
              <w14:ligatures w14:val="standardContextual"/>
            </w:rPr>
          </w:pPr>
          <w:hyperlink w:anchor="_Toc146033448" w:history="1">
            <w:r w:rsidRPr="009C1C70">
              <w:rPr>
                <w:rStyle w:val="Hyperlink"/>
                <w:noProof/>
              </w:rPr>
              <w:t>How has participation in TtW impacted human capabilities of participants?</w:t>
            </w:r>
            <w:r>
              <w:rPr>
                <w:noProof/>
                <w:webHidden/>
              </w:rPr>
              <w:tab/>
            </w:r>
            <w:r>
              <w:rPr>
                <w:noProof/>
                <w:webHidden/>
              </w:rPr>
              <w:fldChar w:fldCharType="begin"/>
            </w:r>
            <w:r>
              <w:rPr>
                <w:noProof/>
                <w:webHidden/>
              </w:rPr>
              <w:instrText xml:space="preserve"> PAGEREF _Toc146033448 \h </w:instrText>
            </w:r>
            <w:r>
              <w:rPr>
                <w:noProof/>
                <w:webHidden/>
              </w:rPr>
            </w:r>
            <w:r>
              <w:rPr>
                <w:noProof/>
                <w:webHidden/>
              </w:rPr>
              <w:fldChar w:fldCharType="separate"/>
            </w:r>
            <w:r w:rsidR="00180E14">
              <w:rPr>
                <w:noProof/>
                <w:webHidden/>
              </w:rPr>
              <w:t>xv</w:t>
            </w:r>
            <w:r>
              <w:rPr>
                <w:noProof/>
                <w:webHidden/>
              </w:rPr>
              <w:fldChar w:fldCharType="end"/>
            </w:r>
          </w:hyperlink>
        </w:p>
        <w:p w14:paraId="5DF452E2" w14:textId="27B738D9" w:rsidR="00FF5DFD" w:rsidRDefault="00FF5DFD">
          <w:pPr>
            <w:pStyle w:val="TOC3"/>
            <w:rPr>
              <w:rFonts w:eastAsiaTheme="minorEastAsia"/>
              <w:noProof/>
              <w:kern w:val="2"/>
              <w:lang w:eastAsia="en-AU"/>
              <w14:ligatures w14:val="standardContextual"/>
            </w:rPr>
          </w:pPr>
          <w:hyperlink w:anchor="_Toc146033449" w:history="1">
            <w:r w:rsidRPr="009C1C70">
              <w:rPr>
                <w:rStyle w:val="Hyperlink"/>
                <w:noProof/>
              </w:rPr>
              <w:t>What impact has TtW had on participants’ contact with the criminal justice system?</w:t>
            </w:r>
            <w:r>
              <w:rPr>
                <w:noProof/>
                <w:webHidden/>
              </w:rPr>
              <w:tab/>
            </w:r>
            <w:r>
              <w:rPr>
                <w:noProof/>
                <w:webHidden/>
              </w:rPr>
              <w:fldChar w:fldCharType="begin"/>
            </w:r>
            <w:r>
              <w:rPr>
                <w:noProof/>
                <w:webHidden/>
              </w:rPr>
              <w:instrText xml:space="preserve"> PAGEREF _Toc146033449 \h </w:instrText>
            </w:r>
            <w:r>
              <w:rPr>
                <w:noProof/>
                <w:webHidden/>
              </w:rPr>
            </w:r>
            <w:r>
              <w:rPr>
                <w:noProof/>
                <w:webHidden/>
              </w:rPr>
              <w:fldChar w:fldCharType="separate"/>
            </w:r>
            <w:r w:rsidR="00180E14">
              <w:rPr>
                <w:noProof/>
                <w:webHidden/>
              </w:rPr>
              <w:t>xvii</w:t>
            </w:r>
            <w:r>
              <w:rPr>
                <w:noProof/>
                <w:webHidden/>
              </w:rPr>
              <w:fldChar w:fldCharType="end"/>
            </w:r>
          </w:hyperlink>
        </w:p>
        <w:p w14:paraId="011C968D" w14:textId="6C5694E0" w:rsidR="00FF5DFD" w:rsidRDefault="00FF5DFD">
          <w:pPr>
            <w:pStyle w:val="TOC3"/>
            <w:rPr>
              <w:rFonts w:eastAsiaTheme="minorEastAsia"/>
              <w:noProof/>
              <w:kern w:val="2"/>
              <w:lang w:eastAsia="en-AU"/>
              <w14:ligatures w14:val="standardContextual"/>
            </w:rPr>
          </w:pPr>
          <w:hyperlink w:anchor="_Toc146033450" w:history="1">
            <w:r w:rsidRPr="009C1C70">
              <w:rPr>
                <w:rStyle w:val="Hyperlink"/>
                <w:noProof/>
              </w:rPr>
              <w:t>To what extent is TtW achieving the intended longer-term (3 to 4 year) objective of increased employment and labour market engagement and reduced dependence on income support for young people?</w:t>
            </w:r>
            <w:r>
              <w:rPr>
                <w:noProof/>
                <w:webHidden/>
              </w:rPr>
              <w:tab/>
            </w:r>
            <w:r>
              <w:rPr>
                <w:noProof/>
                <w:webHidden/>
              </w:rPr>
              <w:fldChar w:fldCharType="begin"/>
            </w:r>
            <w:r>
              <w:rPr>
                <w:noProof/>
                <w:webHidden/>
              </w:rPr>
              <w:instrText xml:space="preserve"> PAGEREF _Toc146033450 \h </w:instrText>
            </w:r>
            <w:r>
              <w:rPr>
                <w:noProof/>
                <w:webHidden/>
              </w:rPr>
            </w:r>
            <w:r>
              <w:rPr>
                <w:noProof/>
                <w:webHidden/>
              </w:rPr>
              <w:fldChar w:fldCharType="separate"/>
            </w:r>
            <w:r w:rsidR="00180E14">
              <w:rPr>
                <w:noProof/>
                <w:webHidden/>
              </w:rPr>
              <w:t>xvii</w:t>
            </w:r>
            <w:r>
              <w:rPr>
                <w:noProof/>
                <w:webHidden/>
              </w:rPr>
              <w:fldChar w:fldCharType="end"/>
            </w:r>
          </w:hyperlink>
        </w:p>
        <w:p w14:paraId="40C848A9" w14:textId="4C533A9E" w:rsidR="00FF5DFD" w:rsidRDefault="00FF5DFD">
          <w:pPr>
            <w:pStyle w:val="TOC3"/>
            <w:rPr>
              <w:rFonts w:eastAsiaTheme="minorEastAsia"/>
              <w:noProof/>
              <w:kern w:val="2"/>
              <w:lang w:eastAsia="en-AU"/>
              <w14:ligatures w14:val="standardContextual"/>
            </w:rPr>
          </w:pPr>
          <w:hyperlink w:anchor="_Toc146033451" w:history="1">
            <w:r w:rsidRPr="009C1C70">
              <w:rPr>
                <w:rStyle w:val="Hyperlink"/>
                <w:noProof/>
              </w:rPr>
              <w:t>What impact did extending the maximum duration of service in TtW from 12 to 18 months have on participant outcomes?</w:t>
            </w:r>
            <w:r>
              <w:rPr>
                <w:noProof/>
                <w:webHidden/>
              </w:rPr>
              <w:tab/>
            </w:r>
            <w:r>
              <w:rPr>
                <w:noProof/>
                <w:webHidden/>
              </w:rPr>
              <w:fldChar w:fldCharType="begin"/>
            </w:r>
            <w:r>
              <w:rPr>
                <w:noProof/>
                <w:webHidden/>
              </w:rPr>
              <w:instrText xml:space="preserve"> PAGEREF _Toc146033451 \h </w:instrText>
            </w:r>
            <w:r>
              <w:rPr>
                <w:noProof/>
                <w:webHidden/>
              </w:rPr>
            </w:r>
            <w:r>
              <w:rPr>
                <w:noProof/>
                <w:webHidden/>
              </w:rPr>
              <w:fldChar w:fldCharType="separate"/>
            </w:r>
            <w:r w:rsidR="00180E14">
              <w:rPr>
                <w:noProof/>
                <w:webHidden/>
              </w:rPr>
              <w:t>xviii</w:t>
            </w:r>
            <w:r>
              <w:rPr>
                <w:noProof/>
                <w:webHidden/>
              </w:rPr>
              <w:fldChar w:fldCharType="end"/>
            </w:r>
          </w:hyperlink>
        </w:p>
        <w:p w14:paraId="5E984007" w14:textId="0972A09E" w:rsidR="00FF5DFD" w:rsidRDefault="00FF5DFD">
          <w:pPr>
            <w:pStyle w:val="TOC3"/>
            <w:rPr>
              <w:rFonts w:eastAsiaTheme="minorEastAsia"/>
              <w:noProof/>
              <w:kern w:val="2"/>
              <w:lang w:eastAsia="en-AU"/>
              <w14:ligatures w14:val="standardContextual"/>
            </w:rPr>
          </w:pPr>
          <w:hyperlink w:anchor="_Toc146033452" w:history="1">
            <w:r w:rsidRPr="009C1C70">
              <w:rPr>
                <w:rStyle w:val="Hyperlink"/>
                <w:noProof/>
              </w:rPr>
              <w:t>Does TtW offer value for money?</w:t>
            </w:r>
            <w:r>
              <w:rPr>
                <w:noProof/>
                <w:webHidden/>
              </w:rPr>
              <w:tab/>
            </w:r>
            <w:r>
              <w:rPr>
                <w:noProof/>
                <w:webHidden/>
              </w:rPr>
              <w:fldChar w:fldCharType="begin"/>
            </w:r>
            <w:r>
              <w:rPr>
                <w:noProof/>
                <w:webHidden/>
              </w:rPr>
              <w:instrText xml:space="preserve"> PAGEREF _Toc146033452 \h </w:instrText>
            </w:r>
            <w:r>
              <w:rPr>
                <w:noProof/>
                <w:webHidden/>
              </w:rPr>
            </w:r>
            <w:r>
              <w:rPr>
                <w:noProof/>
                <w:webHidden/>
              </w:rPr>
              <w:fldChar w:fldCharType="separate"/>
            </w:r>
            <w:r w:rsidR="00180E14">
              <w:rPr>
                <w:noProof/>
                <w:webHidden/>
              </w:rPr>
              <w:t>xix</w:t>
            </w:r>
            <w:r>
              <w:rPr>
                <w:noProof/>
                <w:webHidden/>
              </w:rPr>
              <w:fldChar w:fldCharType="end"/>
            </w:r>
          </w:hyperlink>
        </w:p>
        <w:p w14:paraId="11DD4089" w14:textId="4BA7A1CF" w:rsidR="00FF5DFD" w:rsidRDefault="00FF5DFD">
          <w:pPr>
            <w:pStyle w:val="TOC2"/>
            <w:rPr>
              <w:rFonts w:eastAsiaTheme="minorEastAsia"/>
              <w:noProof/>
              <w:kern w:val="2"/>
              <w:lang w:eastAsia="en-AU"/>
              <w14:ligatures w14:val="standardContextual"/>
            </w:rPr>
          </w:pPr>
          <w:hyperlink w:anchor="_Toc146033453" w:history="1">
            <w:r w:rsidRPr="009C1C70">
              <w:rPr>
                <w:rStyle w:val="Hyperlink"/>
                <w:noProof/>
              </w:rPr>
              <w:t>Conclusion</w:t>
            </w:r>
            <w:r>
              <w:rPr>
                <w:noProof/>
                <w:webHidden/>
              </w:rPr>
              <w:tab/>
            </w:r>
            <w:r>
              <w:rPr>
                <w:noProof/>
                <w:webHidden/>
              </w:rPr>
              <w:fldChar w:fldCharType="begin"/>
            </w:r>
            <w:r>
              <w:rPr>
                <w:noProof/>
                <w:webHidden/>
              </w:rPr>
              <w:instrText xml:space="preserve"> PAGEREF _Toc146033453 \h </w:instrText>
            </w:r>
            <w:r>
              <w:rPr>
                <w:noProof/>
                <w:webHidden/>
              </w:rPr>
            </w:r>
            <w:r>
              <w:rPr>
                <w:noProof/>
                <w:webHidden/>
              </w:rPr>
              <w:fldChar w:fldCharType="separate"/>
            </w:r>
            <w:r w:rsidR="00180E14">
              <w:rPr>
                <w:noProof/>
                <w:webHidden/>
              </w:rPr>
              <w:t>xix</w:t>
            </w:r>
            <w:r>
              <w:rPr>
                <w:noProof/>
                <w:webHidden/>
              </w:rPr>
              <w:fldChar w:fldCharType="end"/>
            </w:r>
          </w:hyperlink>
        </w:p>
        <w:p w14:paraId="70018223" w14:textId="46C34416" w:rsidR="00FF5DFD" w:rsidRDefault="00FF5DFD">
          <w:pPr>
            <w:pStyle w:val="TOC1"/>
            <w:rPr>
              <w:rFonts w:eastAsiaTheme="minorEastAsia"/>
              <w:b w:val="0"/>
              <w:noProof/>
              <w:kern w:val="2"/>
              <w:lang w:eastAsia="en-AU"/>
              <w14:ligatures w14:val="standardContextual"/>
            </w:rPr>
          </w:pPr>
          <w:hyperlink w:anchor="_Toc146033454" w:history="1">
            <w:r w:rsidRPr="009C1C70">
              <w:rPr>
                <w:rStyle w:val="Hyperlink"/>
                <w:noProof/>
              </w:rPr>
              <w:t>Departmental response to the Transition to Work Supplementary Evaluation Report (2022)</w:t>
            </w:r>
            <w:r>
              <w:rPr>
                <w:noProof/>
                <w:webHidden/>
              </w:rPr>
              <w:tab/>
            </w:r>
            <w:r>
              <w:rPr>
                <w:noProof/>
                <w:webHidden/>
              </w:rPr>
              <w:fldChar w:fldCharType="begin"/>
            </w:r>
            <w:r>
              <w:rPr>
                <w:noProof/>
                <w:webHidden/>
              </w:rPr>
              <w:instrText xml:space="preserve"> PAGEREF _Toc146033454 \h </w:instrText>
            </w:r>
            <w:r>
              <w:rPr>
                <w:noProof/>
                <w:webHidden/>
              </w:rPr>
            </w:r>
            <w:r>
              <w:rPr>
                <w:noProof/>
                <w:webHidden/>
              </w:rPr>
              <w:fldChar w:fldCharType="separate"/>
            </w:r>
            <w:r w:rsidR="00180E14">
              <w:rPr>
                <w:noProof/>
                <w:webHidden/>
              </w:rPr>
              <w:t>xxi</w:t>
            </w:r>
            <w:r>
              <w:rPr>
                <w:noProof/>
                <w:webHidden/>
              </w:rPr>
              <w:fldChar w:fldCharType="end"/>
            </w:r>
          </w:hyperlink>
        </w:p>
        <w:p w14:paraId="04EA65AA" w14:textId="4A4BCF35" w:rsidR="00FF5DFD" w:rsidRDefault="00FF5DFD">
          <w:pPr>
            <w:pStyle w:val="TOC2"/>
            <w:rPr>
              <w:rFonts w:eastAsiaTheme="minorEastAsia"/>
              <w:noProof/>
              <w:kern w:val="2"/>
              <w:lang w:eastAsia="en-AU"/>
              <w14:ligatures w14:val="standardContextual"/>
            </w:rPr>
          </w:pPr>
          <w:hyperlink w:anchor="_Toc146033455" w:history="1">
            <w:r w:rsidRPr="009C1C70">
              <w:rPr>
                <w:rStyle w:val="Hyperlink"/>
                <w:noProof/>
              </w:rPr>
              <w:t>Transition to Work context</w:t>
            </w:r>
            <w:r>
              <w:rPr>
                <w:noProof/>
                <w:webHidden/>
              </w:rPr>
              <w:tab/>
            </w:r>
            <w:r>
              <w:rPr>
                <w:noProof/>
                <w:webHidden/>
              </w:rPr>
              <w:fldChar w:fldCharType="begin"/>
            </w:r>
            <w:r>
              <w:rPr>
                <w:noProof/>
                <w:webHidden/>
              </w:rPr>
              <w:instrText xml:space="preserve"> PAGEREF _Toc146033455 \h </w:instrText>
            </w:r>
            <w:r>
              <w:rPr>
                <w:noProof/>
                <w:webHidden/>
              </w:rPr>
            </w:r>
            <w:r>
              <w:rPr>
                <w:noProof/>
                <w:webHidden/>
              </w:rPr>
              <w:fldChar w:fldCharType="separate"/>
            </w:r>
            <w:r w:rsidR="00180E14">
              <w:rPr>
                <w:noProof/>
                <w:webHidden/>
              </w:rPr>
              <w:t>xxi</w:t>
            </w:r>
            <w:r>
              <w:rPr>
                <w:noProof/>
                <w:webHidden/>
              </w:rPr>
              <w:fldChar w:fldCharType="end"/>
            </w:r>
          </w:hyperlink>
        </w:p>
        <w:p w14:paraId="2F4AE26E" w14:textId="43F0C939" w:rsidR="00FF5DFD" w:rsidRDefault="00FF5DFD">
          <w:pPr>
            <w:pStyle w:val="TOC2"/>
            <w:rPr>
              <w:rFonts w:eastAsiaTheme="minorEastAsia"/>
              <w:noProof/>
              <w:kern w:val="2"/>
              <w:lang w:eastAsia="en-AU"/>
              <w14:ligatures w14:val="standardContextual"/>
            </w:rPr>
          </w:pPr>
          <w:hyperlink w:anchor="_Toc146033456" w:history="1">
            <w:r w:rsidRPr="009C1C70">
              <w:rPr>
                <w:rStyle w:val="Hyperlink"/>
                <w:noProof/>
              </w:rPr>
              <w:t>Design principles and continuous improvement</w:t>
            </w:r>
            <w:r>
              <w:rPr>
                <w:noProof/>
                <w:webHidden/>
              </w:rPr>
              <w:tab/>
            </w:r>
            <w:r>
              <w:rPr>
                <w:noProof/>
                <w:webHidden/>
              </w:rPr>
              <w:fldChar w:fldCharType="begin"/>
            </w:r>
            <w:r>
              <w:rPr>
                <w:noProof/>
                <w:webHidden/>
              </w:rPr>
              <w:instrText xml:space="preserve"> PAGEREF _Toc146033456 \h </w:instrText>
            </w:r>
            <w:r>
              <w:rPr>
                <w:noProof/>
                <w:webHidden/>
              </w:rPr>
            </w:r>
            <w:r>
              <w:rPr>
                <w:noProof/>
                <w:webHidden/>
              </w:rPr>
              <w:fldChar w:fldCharType="separate"/>
            </w:r>
            <w:r w:rsidR="00180E14">
              <w:rPr>
                <w:noProof/>
                <w:webHidden/>
              </w:rPr>
              <w:t>xxi</w:t>
            </w:r>
            <w:r>
              <w:rPr>
                <w:noProof/>
                <w:webHidden/>
              </w:rPr>
              <w:fldChar w:fldCharType="end"/>
            </w:r>
          </w:hyperlink>
        </w:p>
        <w:p w14:paraId="66DD6E39" w14:textId="2FF8CB24" w:rsidR="00FF5DFD" w:rsidRDefault="00FF5DFD">
          <w:pPr>
            <w:pStyle w:val="TOC2"/>
            <w:rPr>
              <w:rFonts w:eastAsiaTheme="minorEastAsia"/>
              <w:noProof/>
              <w:kern w:val="2"/>
              <w:lang w:eastAsia="en-AU"/>
              <w14:ligatures w14:val="standardContextual"/>
            </w:rPr>
          </w:pPr>
          <w:hyperlink w:anchor="_Toc146033457" w:history="1">
            <w:r w:rsidRPr="009C1C70">
              <w:rPr>
                <w:rStyle w:val="Hyperlink"/>
                <w:noProof/>
              </w:rPr>
              <w:t>Supplementary evaluation findings</w:t>
            </w:r>
            <w:r>
              <w:rPr>
                <w:noProof/>
                <w:webHidden/>
              </w:rPr>
              <w:tab/>
            </w:r>
            <w:r>
              <w:rPr>
                <w:noProof/>
                <w:webHidden/>
              </w:rPr>
              <w:fldChar w:fldCharType="begin"/>
            </w:r>
            <w:r>
              <w:rPr>
                <w:noProof/>
                <w:webHidden/>
              </w:rPr>
              <w:instrText xml:space="preserve"> PAGEREF _Toc146033457 \h </w:instrText>
            </w:r>
            <w:r>
              <w:rPr>
                <w:noProof/>
                <w:webHidden/>
              </w:rPr>
            </w:r>
            <w:r>
              <w:rPr>
                <w:noProof/>
                <w:webHidden/>
              </w:rPr>
              <w:fldChar w:fldCharType="separate"/>
            </w:r>
            <w:r w:rsidR="00180E14">
              <w:rPr>
                <w:noProof/>
                <w:webHidden/>
              </w:rPr>
              <w:t>xxii</w:t>
            </w:r>
            <w:r>
              <w:rPr>
                <w:noProof/>
                <w:webHidden/>
              </w:rPr>
              <w:fldChar w:fldCharType="end"/>
            </w:r>
          </w:hyperlink>
        </w:p>
        <w:p w14:paraId="695D29E9" w14:textId="6EF6A32F" w:rsidR="00FF5DFD" w:rsidRDefault="00FF5DFD">
          <w:pPr>
            <w:pStyle w:val="TOC2"/>
            <w:rPr>
              <w:rFonts w:eastAsiaTheme="minorEastAsia"/>
              <w:noProof/>
              <w:kern w:val="2"/>
              <w:lang w:eastAsia="en-AU"/>
              <w14:ligatures w14:val="standardContextual"/>
            </w:rPr>
          </w:pPr>
          <w:hyperlink w:anchor="_Toc146033463" w:history="1">
            <w:r w:rsidRPr="009C1C70">
              <w:rPr>
                <w:rStyle w:val="Hyperlink"/>
                <w:noProof/>
              </w:rPr>
              <w:t>Conclusion</w:t>
            </w:r>
            <w:r>
              <w:rPr>
                <w:noProof/>
                <w:webHidden/>
              </w:rPr>
              <w:tab/>
            </w:r>
            <w:r>
              <w:rPr>
                <w:noProof/>
                <w:webHidden/>
              </w:rPr>
              <w:fldChar w:fldCharType="begin"/>
            </w:r>
            <w:r>
              <w:rPr>
                <w:noProof/>
                <w:webHidden/>
              </w:rPr>
              <w:instrText xml:space="preserve"> PAGEREF _Toc146033463 \h </w:instrText>
            </w:r>
            <w:r>
              <w:rPr>
                <w:noProof/>
                <w:webHidden/>
              </w:rPr>
            </w:r>
            <w:r>
              <w:rPr>
                <w:noProof/>
                <w:webHidden/>
              </w:rPr>
              <w:fldChar w:fldCharType="separate"/>
            </w:r>
            <w:r w:rsidR="00180E14">
              <w:rPr>
                <w:noProof/>
                <w:webHidden/>
              </w:rPr>
              <w:t>xxv</w:t>
            </w:r>
            <w:r>
              <w:rPr>
                <w:noProof/>
                <w:webHidden/>
              </w:rPr>
              <w:fldChar w:fldCharType="end"/>
            </w:r>
          </w:hyperlink>
        </w:p>
        <w:p w14:paraId="361DBD0A" w14:textId="3CEA7BF5" w:rsidR="00FF5DFD" w:rsidRDefault="00FF5DFD">
          <w:pPr>
            <w:pStyle w:val="TOC1"/>
            <w:rPr>
              <w:rFonts w:eastAsiaTheme="minorEastAsia"/>
              <w:b w:val="0"/>
              <w:noProof/>
              <w:kern w:val="2"/>
              <w:lang w:eastAsia="en-AU"/>
              <w14:ligatures w14:val="standardContextual"/>
            </w:rPr>
          </w:pPr>
          <w:hyperlink w:anchor="_Toc146033464" w:history="1">
            <w:r w:rsidRPr="009C1C70">
              <w:rPr>
                <w:rStyle w:val="Hyperlink"/>
                <w:noProof/>
              </w:rPr>
              <w:t>About this report</w:t>
            </w:r>
            <w:r>
              <w:rPr>
                <w:noProof/>
                <w:webHidden/>
              </w:rPr>
              <w:tab/>
            </w:r>
            <w:r>
              <w:rPr>
                <w:noProof/>
                <w:webHidden/>
              </w:rPr>
              <w:fldChar w:fldCharType="begin"/>
            </w:r>
            <w:r>
              <w:rPr>
                <w:noProof/>
                <w:webHidden/>
              </w:rPr>
              <w:instrText xml:space="preserve"> PAGEREF _Toc146033464 \h </w:instrText>
            </w:r>
            <w:r>
              <w:rPr>
                <w:noProof/>
                <w:webHidden/>
              </w:rPr>
            </w:r>
            <w:r>
              <w:rPr>
                <w:noProof/>
                <w:webHidden/>
              </w:rPr>
              <w:fldChar w:fldCharType="separate"/>
            </w:r>
            <w:r w:rsidR="00180E14">
              <w:rPr>
                <w:noProof/>
                <w:webHidden/>
              </w:rPr>
              <w:t>1</w:t>
            </w:r>
            <w:r>
              <w:rPr>
                <w:noProof/>
                <w:webHidden/>
              </w:rPr>
              <w:fldChar w:fldCharType="end"/>
            </w:r>
          </w:hyperlink>
        </w:p>
        <w:p w14:paraId="2DEA09F7" w14:textId="0A7E556A" w:rsidR="00FF5DFD" w:rsidRDefault="00FF5DFD">
          <w:pPr>
            <w:pStyle w:val="TOC1"/>
            <w:rPr>
              <w:rFonts w:eastAsiaTheme="minorEastAsia"/>
              <w:b w:val="0"/>
              <w:noProof/>
              <w:kern w:val="2"/>
              <w:lang w:eastAsia="en-AU"/>
              <w14:ligatures w14:val="standardContextual"/>
            </w:rPr>
          </w:pPr>
          <w:hyperlink w:anchor="_Toc146033465" w:history="1">
            <w:r w:rsidRPr="009C1C70">
              <w:rPr>
                <w:rStyle w:val="Hyperlink"/>
                <w:noProof/>
              </w:rPr>
              <w:t>Chapter 1 – Introduction</w:t>
            </w:r>
            <w:r>
              <w:rPr>
                <w:noProof/>
                <w:webHidden/>
              </w:rPr>
              <w:tab/>
            </w:r>
            <w:r>
              <w:rPr>
                <w:noProof/>
                <w:webHidden/>
              </w:rPr>
              <w:fldChar w:fldCharType="begin"/>
            </w:r>
            <w:r>
              <w:rPr>
                <w:noProof/>
                <w:webHidden/>
              </w:rPr>
              <w:instrText xml:space="preserve"> PAGEREF _Toc146033465 \h </w:instrText>
            </w:r>
            <w:r>
              <w:rPr>
                <w:noProof/>
                <w:webHidden/>
              </w:rPr>
            </w:r>
            <w:r>
              <w:rPr>
                <w:noProof/>
                <w:webHidden/>
              </w:rPr>
              <w:fldChar w:fldCharType="separate"/>
            </w:r>
            <w:r w:rsidR="00180E14">
              <w:rPr>
                <w:noProof/>
                <w:webHidden/>
              </w:rPr>
              <w:t>3</w:t>
            </w:r>
            <w:r>
              <w:rPr>
                <w:noProof/>
                <w:webHidden/>
              </w:rPr>
              <w:fldChar w:fldCharType="end"/>
            </w:r>
          </w:hyperlink>
        </w:p>
        <w:p w14:paraId="068D20B3" w14:textId="22423517" w:rsidR="00FF5DFD" w:rsidRDefault="00FF5DFD">
          <w:pPr>
            <w:pStyle w:val="TOC2"/>
            <w:rPr>
              <w:rFonts w:eastAsiaTheme="minorEastAsia"/>
              <w:noProof/>
              <w:kern w:val="2"/>
              <w:lang w:eastAsia="en-AU"/>
              <w14:ligatures w14:val="standardContextual"/>
            </w:rPr>
          </w:pPr>
          <w:hyperlink w:anchor="_Toc146033466" w:history="1">
            <w:r w:rsidRPr="009C1C70">
              <w:rPr>
                <w:rStyle w:val="Hyperlink"/>
                <w:noProof/>
              </w:rPr>
              <w:t>1.1</w:t>
            </w:r>
            <w:r>
              <w:rPr>
                <w:rFonts w:eastAsiaTheme="minorEastAsia"/>
                <w:noProof/>
                <w:kern w:val="2"/>
                <w:lang w:eastAsia="en-AU"/>
                <w14:ligatures w14:val="standardContextual"/>
              </w:rPr>
              <w:tab/>
            </w:r>
            <w:r w:rsidRPr="009C1C70">
              <w:rPr>
                <w:rStyle w:val="Hyperlink"/>
                <w:noProof/>
              </w:rPr>
              <w:t>The TtW service</w:t>
            </w:r>
            <w:r>
              <w:rPr>
                <w:noProof/>
                <w:webHidden/>
              </w:rPr>
              <w:tab/>
            </w:r>
            <w:r>
              <w:rPr>
                <w:noProof/>
                <w:webHidden/>
              </w:rPr>
              <w:fldChar w:fldCharType="begin"/>
            </w:r>
            <w:r>
              <w:rPr>
                <w:noProof/>
                <w:webHidden/>
              </w:rPr>
              <w:instrText xml:space="preserve"> PAGEREF _Toc146033466 \h </w:instrText>
            </w:r>
            <w:r>
              <w:rPr>
                <w:noProof/>
                <w:webHidden/>
              </w:rPr>
            </w:r>
            <w:r>
              <w:rPr>
                <w:noProof/>
                <w:webHidden/>
              </w:rPr>
              <w:fldChar w:fldCharType="separate"/>
            </w:r>
            <w:r w:rsidR="00180E14">
              <w:rPr>
                <w:noProof/>
                <w:webHidden/>
              </w:rPr>
              <w:t>3</w:t>
            </w:r>
            <w:r>
              <w:rPr>
                <w:noProof/>
                <w:webHidden/>
              </w:rPr>
              <w:fldChar w:fldCharType="end"/>
            </w:r>
          </w:hyperlink>
        </w:p>
        <w:p w14:paraId="6F2C2FF1" w14:textId="27686DC5" w:rsidR="00FF5DFD" w:rsidRDefault="00FF5DFD">
          <w:pPr>
            <w:pStyle w:val="TOC3"/>
            <w:rPr>
              <w:rFonts w:eastAsiaTheme="minorEastAsia"/>
              <w:noProof/>
              <w:kern w:val="2"/>
              <w:lang w:eastAsia="en-AU"/>
              <w14:ligatures w14:val="standardContextual"/>
            </w:rPr>
          </w:pPr>
          <w:hyperlink w:anchor="_Toc146033467" w:history="1">
            <w:r w:rsidRPr="009C1C70">
              <w:rPr>
                <w:rStyle w:val="Hyperlink"/>
                <w:noProof/>
              </w:rPr>
              <w:t>1.1.1</w:t>
            </w:r>
            <w:r>
              <w:rPr>
                <w:rFonts w:eastAsiaTheme="minorEastAsia"/>
                <w:noProof/>
                <w:kern w:val="2"/>
                <w:lang w:eastAsia="en-AU"/>
                <w14:ligatures w14:val="standardContextual"/>
              </w:rPr>
              <w:tab/>
            </w:r>
            <w:r w:rsidRPr="009C1C70">
              <w:rPr>
                <w:rStyle w:val="Hyperlink"/>
                <w:noProof/>
              </w:rPr>
              <w:t>Eligible groups</w:t>
            </w:r>
            <w:r>
              <w:rPr>
                <w:noProof/>
                <w:webHidden/>
              </w:rPr>
              <w:tab/>
            </w:r>
            <w:r>
              <w:rPr>
                <w:noProof/>
                <w:webHidden/>
              </w:rPr>
              <w:fldChar w:fldCharType="begin"/>
            </w:r>
            <w:r>
              <w:rPr>
                <w:noProof/>
                <w:webHidden/>
              </w:rPr>
              <w:instrText xml:space="preserve"> PAGEREF _Toc146033467 \h </w:instrText>
            </w:r>
            <w:r>
              <w:rPr>
                <w:noProof/>
                <w:webHidden/>
              </w:rPr>
            </w:r>
            <w:r>
              <w:rPr>
                <w:noProof/>
                <w:webHidden/>
              </w:rPr>
              <w:fldChar w:fldCharType="separate"/>
            </w:r>
            <w:r w:rsidR="00180E14">
              <w:rPr>
                <w:noProof/>
                <w:webHidden/>
              </w:rPr>
              <w:t>3</w:t>
            </w:r>
            <w:r>
              <w:rPr>
                <w:noProof/>
                <w:webHidden/>
              </w:rPr>
              <w:fldChar w:fldCharType="end"/>
            </w:r>
          </w:hyperlink>
        </w:p>
        <w:p w14:paraId="0D38243E" w14:textId="1BB91181" w:rsidR="00FF5DFD" w:rsidRDefault="00FF5DFD">
          <w:pPr>
            <w:pStyle w:val="TOC3"/>
            <w:rPr>
              <w:rFonts w:eastAsiaTheme="minorEastAsia"/>
              <w:noProof/>
              <w:kern w:val="2"/>
              <w:lang w:eastAsia="en-AU"/>
              <w14:ligatures w14:val="standardContextual"/>
            </w:rPr>
          </w:pPr>
          <w:hyperlink w:anchor="_Toc146033468" w:history="1">
            <w:r w:rsidRPr="009C1C70">
              <w:rPr>
                <w:rStyle w:val="Hyperlink"/>
                <w:noProof/>
              </w:rPr>
              <w:t>1.1.2</w:t>
            </w:r>
            <w:r>
              <w:rPr>
                <w:rFonts w:eastAsiaTheme="minorEastAsia"/>
                <w:noProof/>
                <w:kern w:val="2"/>
                <w:lang w:eastAsia="en-AU"/>
                <w14:ligatures w14:val="standardContextual"/>
              </w:rPr>
              <w:tab/>
            </w:r>
            <w:r w:rsidRPr="009C1C70">
              <w:rPr>
                <w:rStyle w:val="Hyperlink"/>
                <w:noProof/>
              </w:rPr>
              <w:t>Outline of services</w:t>
            </w:r>
            <w:r>
              <w:rPr>
                <w:noProof/>
                <w:webHidden/>
              </w:rPr>
              <w:tab/>
            </w:r>
            <w:r>
              <w:rPr>
                <w:noProof/>
                <w:webHidden/>
              </w:rPr>
              <w:fldChar w:fldCharType="begin"/>
            </w:r>
            <w:r>
              <w:rPr>
                <w:noProof/>
                <w:webHidden/>
              </w:rPr>
              <w:instrText xml:space="preserve"> PAGEREF _Toc146033468 \h </w:instrText>
            </w:r>
            <w:r>
              <w:rPr>
                <w:noProof/>
                <w:webHidden/>
              </w:rPr>
            </w:r>
            <w:r>
              <w:rPr>
                <w:noProof/>
                <w:webHidden/>
              </w:rPr>
              <w:fldChar w:fldCharType="separate"/>
            </w:r>
            <w:r w:rsidR="00180E14">
              <w:rPr>
                <w:noProof/>
                <w:webHidden/>
              </w:rPr>
              <w:t>5</w:t>
            </w:r>
            <w:r>
              <w:rPr>
                <w:noProof/>
                <w:webHidden/>
              </w:rPr>
              <w:fldChar w:fldCharType="end"/>
            </w:r>
          </w:hyperlink>
        </w:p>
        <w:p w14:paraId="3DD32362" w14:textId="4F03F708" w:rsidR="00FF5DFD" w:rsidRDefault="00FF5DFD">
          <w:pPr>
            <w:pStyle w:val="TOC3"/>
            <w:rPr>
              <w:rFonts w:eastAsiaTheme="minorEastAsia"/>
              <w:noProof/>
              <w:kern w:val="2"/>
              <w:lang w:eastAsia="en-AU"/>
              <w14:ligatures w14:val="standardContextual"/>
            </w:rPr>
          </w:pPr>
          <w:hyperlink w:anchor="_Toc146033469" w:history="1">
            <w:r w:rsidRPr="009C1C70">
              <w:rPr>
                <w:rStyle w:val="Hyperlink"/>
                <w:noProof/>
              </w:rPr>
              <w:t>1.1.3</w:t>
            </w:r>
            <w:r>
              <w:rPr>
                <w:rFonts w:eastAsiaTheme="minorEastAsia"/>
                <w:noProof/>
                <w:kern w:val="2"/>
                <w:lang w:eastAsia="en-AU"/>
                <w14:ligatures w14:val="standardContextual"/>
              </w:rPr>
              <w:tab/>
            </w:r>
            <w:r w:rsidRPr="009C1C70">
              <w:rPr>
                <w:rStyle w:val="Hyperlink"/>
                <w:noProof/>
              </w:rPr>
              <w:t>The TtW population is significantly more disadvantaged than young people overall in Australia</w:t>
            </w:r>
            <w:r>
              <w:rPr>
                <w:noProof/>
                <w:webHidden/>
              </w:rPr>
              <w:tab/>
            </w:r>
            <w:r>
              <w:rPr>
                <w:noProof/>
                <w:webHidden/>
              </w:rPr>
              <w:tab/>
            </w:r>
            <w:r>
              <w:rPr>
                <w:noProof/>
                <w:webHidden/>
              </w:rPr>
              <w:fldChar w:fldCharType="begin"/>
            </w:r>
            <w:r>
              <w:rPr>
                <w:noProof/>
                <w:webHidden/>
              </w:rPr>
              <w:instrText xml:space="preserve"> PAGEREF _Toc146033469 \h </w:instrText>
            </w:r>
            <w:r>
              <w:rPr>
                <w:noProof/>
                <w:webHidden/>
              </w:rPr>
            </w:r>
            <w:r>
              <w:rPr>
                <w:noProof/>
                <w:webHidden/>
              </w:rPr>
              <w:fldChar w:fldCharType="separate"/>
            </w:r>
            <w:r w:rsidR="00180E14">
              <w:rPr>
                <w:noProof/>
                <w:webHidden/>
              </w:rPr>
              <w:t>6</w:t>
            </w:r>
            <w:r>
              <w:rPr>
                <w:noProof/>
                <w:webHidden/>
              </w:rPr>
              <w:fldChar w:fldCharType="end"/>
            </w:r>
          </w:hyperlink>
        </w:p>
        <w:p w14:paraId="68013DAB" w14:textId="45CE78B2" w:rsidR="00FF5DFD" w:rsidRDefault="00FF5DFD">
          <w:pPr>
            <w:pStyle w:val="TOC2"/>
            <w:rPr>
              <w:rFonts w:eastAsiaTheme="minorEastAsia"/>
              <w:noProof/>
              <w:kern w:val="2"/>
              <w:lang w:eastAsia="en-AU"/>
              <w14:ligatures w14:val="standardContextual"/>
            </w:rPr>
          </w:pPr>
          <w:hyperlink w:anchor="_Toc146033470" w:history="1">
            <w:r w:rsidRPr="009C1C70">
              <w:rPr>
                <w:rStyle w:val="Hyperlink"/>
                <w:noProof/>
              </w:rPr>
              <w:t>1.2</w:t>
            </w:r>
            <w:r>
              <w:rPr>
                <w:rFonts w:eastAsiaTheme="minorEastAsia"/>
                <w:noProof/>
                <w:kern w:val="2"/>
                <w:lang w:eastAsia="en-AU"/>
                <w14:ligatures w14:val="standardContextual"/>
              </w:rPr>
              <w:tab/>
            </w:r>
            <w:r w:rsidRPr="009C1C70">
              <w:rPr>
                <w:rStyle w:val="Hyperlink"/>
                <w:noProof/>
              </w:rPr>
              <w:t>Macroeconomic environment</w:t>
            </w:r>
            <w:r>
              <w:rPr>
                <w:noProof/>
                <w:webHidden/>
              </w:rPr>
              <w:tab/>
            </w:r>
            <w:r>
              <w:rPr>
                <w:noProof/>
                <w:webHidden/>
              </w:rPr>
              <w:fldChar w:fldCharType="begin"/>
            </w:r>
            <w:r>
              <w:rPr>
                <w:noProof/>
                <w:webHidden/>
              </w:rPr>
              <w:instrText xml:space="preserve"> PAGEREF _Toc146033470 \h </w:instrText>
            </w:r>
            <w:r>
              <w:rPr>
                <w:noProof/>
                <w:webHidden/>
              </w:rPr>
            </w:r>
            <w:r>
              <w:rPr>
                <w:noProof/>
                <w:webHidden/>
              </w:rPr>
              <w:fldChar w:fldCharType="separate"/>
            </w:r>
            <w:r w:rsidR="00180E14">
              <w:rPr>
                <w:noProof/>
                <w:webHidden/>
              </w:rPr>
              <w:t>6</w:t>
            </w:r>
            <w:r>
              <w:rPr>
                <w:noProof/>
                <w:webHidden/>
              </w:rPr>
              <w:fldChar w:fldCharType="end"/>
            </w:r>
          </w:hyperlink>
        </w:p>
        <w:p w14:paraId="12A7A583" w14:textId="1D337F9B" w:rsidR="00FF5DFD" w:rsidRDefault="00FF5DFD">
          <w:pPr>
            <w:pStyle w:val="TOC2"/>
            <w:rPr>
              <w:rFonts w:eastAsiaTheme="minorEastAsia"/>
              <w:noProof/>
              <w:kern w:val="2"/>
              <w:lang w:eastAsia="en-AU"/>
              <w14:ligatures w14:val="standardContextual"/>
            </w:rPr>
          </w:pPr>
          <w:hyperlink w:anchor="_Toc146033471" w:history="1">
            <w:r w:rsidRPr="009C1C70">
              <w:rPr>
                <w:rStyle w:val="Hyperlink"/>
                <w:noProof/>
              </w:rPr>
              <w:t>1.3</w:t>
            </w:r>
            <w:r>
              <w:rPr>
                <w:rFonts w:eastAsiaTheme="minorEastAsia"/>
                <w:noProof/>
                <w:kern w:val="2"/>
                <w:lang w:eastAsia="en-AU"/>
                <w14:ligatures w14:val="standardContextual"/>
              </w:rPr>
              <w:tab/>
            </w:r>
            <w:r w:rsidRPr="009C1C70">
              <w:rPr>
                <w:rStyle w:val="Hyperlink"/>
                <w:noProof/>
              </w:rPr>
              <w:t>Policy and program context</w:t>
            </w:r>
            <w:r>
              <w:rPr>
                <w:noProof/>
                <w:webHidden/>
              </w:rPr>
              <w:tab/>
            </w:r>
            <w:r>
              <w:rPr>
                <w:noProof/>
                <w:webHidden/>
              </w:rPr>
              <w:fldChar w:fldCharType="begin"/>
            </w:r>
            <w:r>
              <w:rPr>
                <w:noProof/>
                <w:webHidden/>
              </w:rPr>
              <w:instrText xml:space="preserve"> PAGEREF _Toc146033471 \h </w:instrText>
            </w:r>
            <w:r>
              <w:rPr>
                <w:noProof/>
                <w:webHidden/>
              </w:rPr>
            </w:r>
            <w:r>
              <w:rPr>
                <w:noProof/>
                <w:webHidden/>
              </w:rPr>
              <w:fldChar w:fldCharType="separate"/>
            </w:r>
            <w:r w:rsidR="00180E14">
              <w:rPr>
                <w:noProof/>
                <w:webHidden/>
              </w:rPr>
              <w:t>8</w:t>
            </w:r>
            <w:r>
              <w:rPr>
                <w:noProof/>
                <w:webHidden/>
              </w:rPr>
              <w:fldChar w:fldCharType="end"/>
            </w:r>
          </w:hyperlink>
        </w:p>
        <w:p w14:paraId="448544A4" w14:textId="0101F067" w:rsidR="00FF5DFD" w:rsidRDefault="00FF5DFD">
          <w:pPr>
            <w:pStyle w:val="TOC2"/>
            <w:rPr>
              <w:rFonts w:eastAsiaTheme="minorEastAsia"/>
              <w:noProof/>
              <w:kern w:val="2"/>
              <w:lang w:eastAsia="en-AU"/>
              <w14:ligatures w14:val="standardContextual"/>
            </w:rPr>
          </w:pPr>
          <w:hyperlink w:anchor="_Toc146033472" w:history="1">
            <w:r w:rsidRPr="009C1C70">
              <w:rPr>
                <w:rStyle w:val="Hyperlink"/>
                <w:noProof/>
              </w:rPr>
              <w:t>1.4</w:t>
            </w:r>
            <w:r>
              <w:rPr>
                <w:rFonts w:eastAsiaTheme="minorEastAsia"/>
                <w:noProof/>
                <w:kern w:val="2"/>
                <w:lang w:eastAsia="en-AU"/>
                <w14:ligatures w14:val="standardContextual"/>
              </w:rPr>
              <w:tab/>
            </w:r>
            <w:r w:rsidRPr="009C1C70">
              <w:rPr>
                <w:rStyle w:val="Hyperlink"/>
                <w:noProof/>
              </w:rPr>
              <w:t>Youth transitioning from education to work: Australian and international research</w:t>
            </w:r>
            <w:r>
              <w:rPr>
                <w:noProof/>
                <w:webHidden/>
              </w:rPr>
              <w:tab/>
            </w:r>
            <w:r>
              <w:rPr>
                <w:noProof/>
                <w:webHidden/>
              </w:rPr>
              <w:fldChar w:fldCharType="begin"/>
            </w:r>
            <w:r>
              <w:rPr>
                <w:noProof/>
                <w:webHidden/>
              </w:rPr>
              <w:instrText xml:space="preserve"> PAGEREF _Toc146033472 \h </w:instrText>
            </w:r>
            <w:r>
              <w:rPr>
                <w:noProof/>
                <w:webHidden/>
              </w:rPr>
            </w:r>
            <w:r>
              <w:rPr>
                <w:noProof/>
                <w:webHidden/>
              </w:rPr>
              <w:fldChar w:fldCharType="separate"/>
            </w:r>
            <w:r w:rsidR="00180E14">
              <w:rPr>
                <w:noProof/>
                <w:webHidden/>
              </w:rPr>
              <w:t>9</w:t>
            </w:r>
            <w:r>
              <w:rPr>
                <w:noProof/>
                <w:webHidden/>
              </w:rPr>
              <w:fldChar w:fldCharType="end"/>
            </w:r>
          </w:hyperlink>
        </w:p>
        <w:p w14:paraId="47A72E4E" w14:textId="67041113" w:rsidR="00FF5DFD" w:rsidRDefault="00FF5DFD">
          <w:pPr>
            <w:pStyle w:val="TOC3"/>
            <w:rPr>
              <w:rFonts w:eastAsiaTheme="minorEastAsia"/>
              <w:noProof/>
              <w:kern w:val="2"/>
              <w:lang w:eastAsia="en-AU"/>
              <w14:ligatures w14:val="standardContextual"/>
            </w:rPr>
          </w:pPr>
          <w:hyperlink w:anchor="_Toc146033473" w:history="1">
            <w:r w:rsidRPr="009C1C70">
              <w:rPr>
                <w:rStyle w:val="Hyperlink"/>
                <w:noProof/>
              </w:rPr>
              <w:t>1.4.1</w:t>
            </w:r>
            <w:r>
              <w:rPr>
                <w:rFonts w:eastAsiaTheme="minorEastAsia"/>
                <w:noProof/>
                <w:kern w:val="2"/>
                <w:lang w:eastAsia="en-AU"/>
                <w14:ligatures w14:val="standardContextual"/>
              </w:rPr>
              <w:tab/>
            </w:r>
            <w:r w:rsidRPr="009C1C70">
              <w:rPr>
                <w:rStyle w:val="Hyperlink"/>
                <w:noProof/>
              </w:rPr>
              <w:t>Building the human capabilities of young people as a necessary step to employment and wellbeing</w:t>
            </w:r>
            <w:r>
              <w:rPr>
                <w:noProof/>
                <w:webHidden/>
              </w:rPr>
              <w:tab/>
            </w:r>
            <w:r>
              <w:rPr>
                <w:noProof/>
                <w:webHidden/>
              </w:rPr>
              <w:fldChar w:fldCharType="begin"/>
            </w:r>
            <w:r>
              <w:rPr>
                <w:noProof/>
                <w:webHidden/>
              </w:rPr>
              <w:instrText xml:space="preserve"> PAGEREF _Toc146033473 \h </w:instrText>
            </w:r>
            <w:r>
              <w:rPr>
                <w:noProof/>
                <w:webHidden/>
              </w:rPr>
            </w:r>
            <w:r>
              <w:rPr>
                <w:noProof/>
                <w:webHidden/>
              </w:rPr>
              <w:fldChar w:fldCharType="separate"/>
            </w:r>
            <w:r w:rsidR="00180E14">
              <w:rPr>
                <w:noProof/>
                <w:webHidden/>
              </w:rPr>
              <w:t>10</w:t>
            </w:r>
            <w:r>
              <w:rPr>
                <w:noProof/>
                <w:webHidden/>
              </w:rPr>
              <w:fldChar w:fldCharType="end"/>
            </w:r>
          </w:hyperlink>
        </w:p>
        <w:p w14:paraId="73A8414C" w14:textId="5820D583" w:rsidR="00FF5DFD" w:rsidRDefault="00FF5DFD">
          <w:pPr>
            <w:pStyle w:val="TOC2"/>
            <w:rPr>
              <w:rFonts w:eastAsiaTheme="minorEastAsia"/>
              <w:noProof/>
              <w:kern w:val="2"/>
              <w:lang w:eastAsia="en-AU"/>
              <w14:ligatures w14:val="standardContextual"/>
            </w:rPr>
          </w:pPr>
          <w:hyperlink w:anchor="_Toc146033474" w:history="1">
            <w:r w:rsidRPr="009C1C70">
              <w:rPr>
                <w:rStyle w:val="Hyperlink"/>
                <w:noProof/>
              </w:rPr>
              <w:t>1.5</w:t>
            </w:r>
            <w:r>
              <w:rPr>
                <w:rFonts w:eastAsiaTheme="minorEastAsia"/>
                <w:noProof/>
                <w:kern w:val="2"/>
                <w:lang w:eastAsia="en-AU"/>
                <w14:ligatures w14:val="standardContextual"/>
              </w:rPr>
              <w:tab/>
            </w:r>
            <w:r w:rsidRPr="009C1C70">
              <w:rPr>
                <w:rStyle w:val="Hyperlink"/>
                <w:noProof/>
              </w:rPr>
              <w:t>Previous evaluation of the TtW program</w:t>
            </w:r>
            <w:r>
              <w:rPr>
                <w:noProof/>
                <w:webHidden/>
              </w:rPr>
              <w:tab/>
            </w:r>
            <w:r>
              <w:rPr>
                <w:noProof/>
                <w:webHidden/>
              </w:rPr>
              <w:fldChar w:fldCharType="begin"/>
            </w:r>
            <w:r>
              <w:rPr>
                <w:noProof/>
                <w:webHidden/>
              </w:rPr>
              <w:instrText xml:space="preserve"> PAGEREF _Toc146033474 \h </w:instrText>
            </w:r>
            <w:r>
              <w:rPr>
                <w:noProof/>
                <w:webHidden/>
              </w:rPr>
            </w:r>
            <w:r>
              <w:rPr>
                <w:noProof/>
                <w:webHidden/>
              </w:rPr>
              <w:fldChar w:fldCharType="separate"/>
            </w:r>
            <w:r w:rsidR="00180E14">
              <w:rPr>
                <w:noProof/>
                <w:webHidden/>
              </w:rPr>
              <w:t>13</w:t>
            </w:r>
            <w:r>
              <w:rPr>
                <w:noProof/>
                <w:webHidden/>
              </w:rPr>
              <w:fldChar w:fldCharType="end"/>
            </w:r>
          </w:hyperlink>
        </w:p>
        <w:p w14:paraId="18DDEE15" w14:textId="21A1A03B" w:rsidR="00FF5DFD" w:rsidRDefault="00FF5DFD">
          <w:pPr>
            <w:pStyle w:val="TOC3"/>
            <w:rPr>
              <w:rFonts w:eastAsiaTheme="minorEastAsia"/>
              <w:noProof/>
              <w:kern w:val="2"/>
              <w:lang w:eastAsia="en-AU"/>
              <w14:ligatures w14:val="standardContextual"/>
            </w:rPr>
          </w:pPr>
          <w:hyperlink w:anchor="_Toc146033475" w:history="1">
            <w:r w:rsidRPr="009C1C70">
              <w:rPr>
                <w:rStyle w:val="Hyperlink"/>
                <w:noProof/>
              </w:rPr>
              <w:t>1.5.1</w:t>
            </w:r>
            <w:r>
              <w:rPr>
                <w:rFonts w:eastAsiaTheme="minorEastAsia"/>
                <w:noProof/>
                <w:kern w:val="2"/>
                <w:lang w:eastAsia="en-AU"/>
                <w14:ligatures w14:val="standardContextual"/>
              </w:rPr>
              <w:tab/>
            </w:r>
            <w:r w:rsidRPr="009C1C70">
              <w:rPr>
                <w:rStyle w:val="Hyperlink"/>
                <w:noProof/>
              </w:rPr>
              <w:t>Findings from the TtW final evaluation</w:t>
            </w:r>
            <w:r>
              <w:rPr>
                <w:noProof/>
                <w:webHidden/>
              </w:rPr>
              <w:tab/>
            </w:r>
            <w:r>
              <w:rPr>
                <w:noProof/>
                <w:webHidden/>
              </w:rPr>
              <w:fldChar w:fldCharType="begin"/>
            </w:r>
            <w:r>
              <w:rPr>
                <w:noProof/>
                <w:webHidden/>
              </w:rPr>
              <w:instrText xml:space="preserve"> PAGEREF _Toc146033475 \h </w:instrText>
            </w:r>
            <w:r>
              <w:rPr>
                <w:noProof/>
                <w:webHidden/>
              </w:rPr>
            </w:r>
            <w:r>
              <w:rPr>
                <w:noProof/>
                <w:webHidden/>
              </w:rPr>
              <w:fldChar w:fldCharType="separate"/>
            </w:r>
            <w:r w:rsidR="00180E14">
              <w:rPr>
                <w:noProof/>
                <w:webHidden/>
              </w:rPr>
              <w:t>13</w:t>
            </w:r>
            <w:r>
              <w:rPr>
                <w:noProof/>
                <w:webHidden/>
              </w:rPr>
              <w:fldChar w:fldCharType="end"/>
            </w:r>
          </w:hyperlink>
        </w:p>
        <w:p w14:paraId="15035DA5" w14:textId="42375F47" w:rsidR="00FF5DFD" w:rsidRDefault="00FF5DFD">
          <w:pPr>
            <w:pStyle w:val="TOC2"/>
            <w:rPr>
              <w:rFonts w:eastAsiaTheme="minorEastAsia"/>
              <w:noProof/>
              <w:kern w:val="2"/>
              <w:lang w:eastAsia="en-AU"/>
              <w14:ligatures w14:val="standardContextual"/>
            </w:rPr>
          </w:pPr>
          <w:hyperlink w:anchor="_Toc146033476" w:history="1">
            <w:r w:rsidRPr="009C1C70">
              <w:rPr>
                <w:rStyle w:val="Hyperlink"/>
                <w:noProof/>
              </w:rPr>
              <w:t>1.6</w:t>
            </w:r>
            <w:r>
              <w:rPr>
                <w:rFonts w:eastAsiaTheme="minorEastAsia"/>
                <w:noProof/>
                <w:kern w:val="2"/>
                <w:lang w:eastAsia="en-AU"/>
                <w14:ligatures w14:val="standardContextual"/>
              </w:rPr>
              <w:tab/>
            </w:r>
            <w:r w:rsidRPr="009C1C70">
              <w:rPr>
                <w:rStyle w:val="Hyperlink"/>
                <w:noProof/>
              </w:rPr>
              <w:t>TtW’s role in supporting the development of participants’ human capabilities – the theory of change</w:t>
            </w:r>
            <w:r>
              <w:rPr>
                <w:noProof/>
                <w:webHidden/>
              </w:rPr>
              <w:tab/>
            </w:r>
            <w:r>
              <w:rPr>
                <w:noProof/>
                <w:webHidden/>
              </w:rPr>
              <w:fldChar w:fldCharType="begin"/>
            </w:r>
            <w:r>
              <w:rPr>
                <w:noProof/>
                <w:webHidden/>
              </w:rPr>
              <w:instrText xml:space="preserve"> PAGEREF _Toc146033476 \h </w:instrText>
            </w:r>
            <w:r>
              <w:rPr>
                <w:noProof/>
                <w:webHidden/>
              </w:rPr>
            </w:r>
            <w:r>
              <w:rPr>
                <w:noProof/>
                <w:webHidden/>
              </w:rPr>
              <w:fldChar w:fldCharType="separate"/>
            </w:r>
            <w:r w:rsidR="00180E14">
              <w:rPr>
                <w:noProof/>
                <w:webHidden/>
              </w:rPr>
              <w:t>13</w:t>
            </w:r>
            <w:r>
              <w:rPr>
                <w:noProof/>
                <w:webHidden/>
              </w:rPr>
              <w:fldChar w:fldCharType="end"/>
            </w:r>
          </w:hyperlink>
        </w:p>
        <w:p w14:paraId="3D2C3764" w14:textId="3008CAD1" w:rsidR="00FF5DFD" w:rsidRDefault="00FF5DFD">
          <w:pPr>
            <w:pStyle w:val="TOC1"/>
            <w:rPr>
              <w:rFonts w:eastAsiaTheme="minorEastAsia"/>
              <w:b w:val="0"/>
              <w:noProof/>
              <w:kern w:val="2"/>
              <w:lang w:eastAsia="en-AU"/>
              <w14:ligatures w14:val="standardContextual"/>
            </w:rPr>
          </w:pPr>
          <w:hyperlink w:anchor="_Toc146033477" w:history="1">
            <w:r w:rsidRPr="009C1C70">
              <w:rPr>
                <w:rStyle w:val="Hyperlink"/>
                <w:noProof/>
              </w:rPr>
              <w:t>Chapter 2 – Supplementary evaluation of TtW</w:t>
            </w:r>
            <w:r>
              <w:rPr>
                <w:noProof/>
                <w:webHidden/>
              </w:rPr>
              <w:tab/>
            </w:r>
            <w:r>
              <w:rPr>
                <w:noProof/>
                <w:webHidden/>
              </w:rPr>
              <w:fldChar w:fldCharType="begin"/>
            </w:r>
            <w:r>
              <w:rPr>
                <w:noProof/>
                <w:webHidden/>
              </w:rPr>
              <w:instrText xml:space="preserve"> PAGEREF _Toc146033477 \h </w:instrText>
            </w:r>
            <w:r>
              <w:rPr>
                <w:noProof/>
                <w:webHidden/>
              </w:rPr>
            </w:r>
            <w:r>
              <w:rPr>
                <w:noProof/>
                <w:webHidden/>
              </w:rPr>
              <w:fldChar w:fldCharType="separate"/>
            </w:r>
            <w:r w:rsidR="00180E14">
              <w:rPr>
                <w:noProof/>
                <w:webHidden/>
              </w:rPr>
              <w:t>15</w:t>
            </w:r>
            <w:r>
              <w:rPr>
                <w:noProof/>
                <w:webHidden/>
              </w:rPr>
              <w:fldChar w:fldCharType="end"/>
            </w:r>
          </w:hyperlink>
        </w:p>
        <w:p w14:paraId="6455D6DC" w14:textId="70560441" w:rsidR="00FF5DFD" w:rsidRDefault="00FF5DFD">
          <w:pPr>
            <w:pStyle w:val="TOC2"/>
            <w:rPr>
              <w:rFonts w:eastAsiaTheme="minorEastAsia"/>
              <w:noProof/>
              <w:kern w:val="2"/>
              <w:lang w:eastAsia="en-AU"/>
              <w14:ligatures w14:val="standardContextual"/>
            </w:rPr>
          </w:pPr>
          <w:hyperlink w:anchor="_Toc146033478" w:history="1">
            <w:r w:rsidRPr="009C1C70">
              <w:rPr>
                <w:rStyle w:val="Hyperlink"/>
                <w:noProof/>
              </w:rPr>
              <w:t>2.1</w:t>
            </w:r>
            <w:r>
              <w:rPr>
                <w:rFonts w:eastAsiaTheme="minorEastAsia"/>
                <w:noProof/>
                <w:kern w:val="2"/>
                <w:lang w:eastAsia="en-AU"/>
                <w14:ligatures w14:val="standardContextual"/>
              </w:rPr>
              <w:tab/>
            </w:r>
            <w:r w:rsidRPr="009C1C70">
              <w:rPr>
                <w:rStyle w:val="Hyperlink"/>
                <w:noProof/>
              </w:rPr>
              <w:t>Evaluation scope</w:t>
            </w:r>
            <w:r>
              <w:rPr>
                <w:noProof/>
                <w:webHidden/>
              </w:rPr>
              <w:tab/>
            </w:r>
            <w:r>
              <w:rPr>
                <w:noProof/>
                <w:webHidden/>
              </w:rPr>
              <w:fldChar w:fldCharType="begin"/>
            </w:r>
            <w:r>
              <w:rPr>
                <w:noProof/>
                <w:webHidden/>
              </w:rPr>
              <w:instrText xml:space="preserve"> PAGEREF _Toc146033478 \h </w:instrText>
            </w:r>
            <w:r>
              <w:rPr>
                <w:noProof/>
                <w:webHidden/>
              </w:rPr>
            </w:r>
            <w:r>
              <w:rPr>
                <w:noProof/>
                <w:webHidden/>
              </w:rPr>
              <w:fldChar w:fldCharType="separate"/>
            </w:r>
            <w:r w:rsidR="00180E14">
              <w:rPr>
                <w:noProof/>
                <w:webHidden/>
              </w:rPr>
              <w:t>15</w:t>
            </w:r>
            <w:r>
              <w:rPr>
                <w:noProof/>
                <w:webHidden/>
              </w:rPr>
              <w:fldChar w:fldCharType="end"/>
            </w:r>
          </w:hyperlink>
        </w:p>
        <w:p w14:paraId="4C20A677" w14:textId="026A3725" w:rsidR="00FF5DFD" w:rsidRDefault="00FF5DFD">
          <w:pPr>
            <w:pStyle w:val="TOC2"/>
            <w:rPr>
              <w:rFonts w:eastAsiaTheme="minorEastAsia"/>
              <w:noProof/>
              <w:kern w:val="2"/>
              <w:lang w:eastAsia="en-AU"/>
              <w14:ligatures w14:val="standardContextual"/>
            </w:rPr>
          </w:pPr>
          <w:hyperlink w:anchor="_Toc146033479" w:history="1">
            <w:r w:rsidRPr="009C1C70">
              <w:rPr>
                <w:rStyle w:val="Hyperlink"/>
                <w:noProof/>
              </w:rPr>
              <w:t>2.2</w:t>
            </w:r>
            <w:r>
              <w:rPr>
                <w:rFonts w:eastAsiaTheme="minorEastAsia"/>
                <w:noProof/>
                <w:kern w:val="2"/>
                <w:lang w:eastAsia="en-AU"/>
                <w14:ligatures w14:val="standardContextual"/>
              </w:rPr>
              <w:tab/>
            </w:r>
            <w:r w:rsidRPr="009C1C70">
              <w:rPr>
                <w:rStyle w:val="Hyperlink"/>
                <w:noProof/>
              </w:rPr>
              <w:t>Key evaluation questions</w:t>
            </w:r>
            <w:r>
              <w:rPr>
                <w:noProof/>
                <w:webHidden/>
              </w:rPr>
              <w:tab/>
            </w:r>
            <w:r>
              <w:rPr>
                <w:noProof/>
                <w:webHidden/>
              </w:rPr>
              <w:fldChar w:fldCharType="begin"/>
            </w:r>
            <w:r>
              <w:rPr>
                <w:noProof/>
                <w:webHidden/>
              </w:rPr>
              <w:instrText xml:space="preserve"> PAGEREF _Toc146033479 \h </w:instrText>
            </w:r>
            <w:r>
              <w:rPr>
                <w:noProof/>
                <w:webHidden/>
              </w:rPr>
            </w:r>
            <w:r>
              <w:rPr>
                <w:noProof/>
                <w:webHidden/>
              </w:rPr>
              <w:fldChar w:fldCharType="separate"/>
            </w:r>
            <w:r w:rsidR="00180E14">
              <w:rPr>
                <w:noProof/>
                <w:webHidden/>
              </w:rPr>
              <w:t>15</w:t>
            </w:r>
            <w:r>
              <w:rPr>
                <w:noProof/>
                <w:webHidden/>
              </w:rPr>
              <w:fldChar w:fldCharType="end"/>
            </w:r>
          </w:hyperlink>
        </w:p>
        <w:p w14:paraId="1B9EF654" w14:textId="7C613C6F" w:rsidR="00FF5DFD" w:rsidRDefault="00FF5DFD">
          <w:pPr>
            <w:pStyle w:val="TOC2"/>
            <w:rPr>
              <w:rFonts w:eastAsiaTheme="minorEastAsia"/>
              <w:noProof/>
              <w:kern w:val="2"/>
              <w:lang w:eastAsia="en-AU"/>
              <w14:ligatures w14:val="standardContextual"/>
            </w:rPr>
          </w:pPr>
          <w:hyperlink w:anchor="_Toc146033480" w:history="1">
            <w:r w:rsidRPr="009C1C70">
              <w:rPr>
                <w:rStyle w:val="Hyperlink"/>
                <w:noProof/>
              </w:rPr>
              <w:t>2.3</w:t>
            </w:r>
            <w:r>
              <w:rPr>
                <w:rFonts w:eastAsiaTheme="minorEastAsia"/>
                <w:noProof/>
                <w:kern w:val="2"/>
                <w:lang w:eastAsia="en-AU"/>
                <w14:ligatures w14:val="standardContextual"/>
              </w:rPr>
              <w:tab/>
            </w:r>
            <w:r w:rsidRPr="009C1C70">
              <w:rPr>
                <w:rStyle w:val="Hyperlink"/>
                <w:noProof/>
              </w:rPr>
              <w:t>Data sources</w:t>
            </w:r>
            <w:r>
              <w:rPr>
                <w:noProof/>
                <w:webHidden/>
              </w:rPr>
              <w:tab/>
            </w:r>
            <w:r>
              <w:rPr>
                <w:noProof/>
                <w:webHidden/>
              </w:rPr>
              <w:fldChar w:fldCharType="begin"/>
            </w:r>
            <w:r>
              <w:rPr>
                <w:noProof/>
                <w:webHidden/>
              </w:rPr>
              <w:instrText xml:space="preserve"> PAGEREF _Toc146033480 \h </w:instrText>
            </w:r>
            <w:r>
              <w:rPr>
                <w:noProof/>
                <w:webHidden/>
              </w:rPr>
            </w:r>
            <w:r>
              <w:rPr>
                <w:noProof/>
                <w:webHidden/>
              </w:rPr>
              <w:fldChar w:fldCharType="separate"/>
            </w:r>
            <w:r w:rsidR="00180E14">
              <w:rPr>
                <w:noProof/>
                <w:webHidden/>
              </w:rPr>
              <w:t>16</w:t>
            </w:r>
            <w:r>
              <w:rPr>
                <w:noProof/>
                <w:webHidden/>
              </w:rPr>
              <w:fldChar w:fldCharType="end"/>
            </w:r>
          </w:hyperlink>
        </w:p>
        <w:p w14:paraId="3C5CB8DA" w14:textId="0F9DCDEA" w:rsidR="00FF5DFD" w:rsidRDefault="00FF5DFD">
          <w:pPr>
            <w:pStyle w:val="TOC2"/>
            <w:rPr>
              <w:rFonts w:eastAsiaTheme="minorEastAsia"/>
              <w:noProof/>
              <w:kern w:val="2"/>
              <w:lang w:eastAsia="en-AU"/>
              <w14:ligatures w14:val="standardContextual"/>
            </w:rPr>
          </w:pPr>
          <w:hyperlink w:anchor="_Toc146033481" w:history="1">
            <w:r w:rsidRPr="009C1C70">
              <w:rPr>
                <w:rStyle w:val="Hyperlink"/>
                <w:noProof/>
              </w:rPr>
              <w:t>2.4</w:t>
            </w:r>
            <w:r>
              <w:rPr>
                <w:rFonts w:eastAsiaTheme="minorEastAsia"/>
                <w:noProof/>
                <w:kern w:val="2"/>
                <w:lang w:eastAsia="en-AU"/>
                <w14:ligatures w14:val="standardContextual"/>
              </w:rPr>
              <w:tab/>
            </w:r>
            <w:r w:rsidRPr="009C1C70">
              <w:rPr>
                <w:rStyle w:val="Hyperlink"/>
                <w:noProof/>
              </w:rPr>
              <w:t>Evaluation approach and methodology</w:t>
            </w:r>
            <w:r>
              <w:rPr>
                <w:noProof/>
                <w:webHidden/>
              </w:rPr>
              <w:tab/>
            </w:r>
            <w:r>
              <w:rPr>
                <w:noProof/>
                <w:webHidden/>
              </w:rPr>
              <w:fldChar w:fldCharType="begin"/>
            </w:r>
            <w:r>
              <w:rPr>
                <w:noProof/>
                <w:webHidden/>
              </w:rPr>
              <w:instrText xml:space="preserve"> PAGEREF _Toc146033481 \h </w:instrText>
            </w:r>
            <w:r>
              <w:rPr>
                <w:noProof/>
                <w:webHidden/>
              </w:rPr>
            </w:r>
            <w:r>
              <w:rPr>
                <w:noProof/>
                <w:webHidden/>
              </w:rPr>
              <w:fldChar w:fldCharType="separate"/>
            </w:r>
            <w:r w:rsidR="00180E14">
              <w:rPr>
                <w:noProof/>
                <w:webHidden/>
              </w:rPr>
              <w:t>17</w:t>
            </w:r>
            <w:r>
              <w:rPr>
                <w:noProof/>
                <w:webHidden/>
              </w:rPr>
              <w:fldChar w:fldCharType="end"/>
            </w:r>
          </w:hyperlink>
        </w:p>
        <w:p w14:paraId="4C2C4FD9" w14:textId="4B2954B0" w:rsidR="00FF5DFD" w:rsidRDefault="00FF5DFD">
          <w:pPr>
            <w:pStyle w:val="TOC3"/>
            <w:rPr>
              <w:rFonts w:eastAsiaTheme="minorEastAsia"/>
              <w:noProof/>
              <w:kern w:val="2"/>
              <w:lang w:eastAsia="en-AU"/>
              <w14:ligatures w14:val="standardContextual"/>
            </w:rPr>
          </w:pPr>
          <w:hyperlink w:anchor="_Toc146033482" w:history="1">
            <w:r w:rsidRPr="009C1C70">
              <w:rPr>
                <w:rStyle w:val="Hyperlink"/>
                <w:noProof/>
              </w:rPr>
              <w:t>2.4.1</w:t>
            </w:r>
            <w:r>
              <w:rPr>
                <w:rFonts w:eastAsiaTheme="minorEastAsia"/>
                <w:noProof/>
                <w:kern w:val="2"/>
                <w:lang w:eastAsia="en-AU"/>
                <w14:ligatures w14:val="standardContextual"/>
              </w:rPr>
              <w:tab/>
            </w:r>
            <w:r w:rsidRPr="009C1C70">
              <w:rPr>
                <w:rStyle w:val="Hyperlink"/>
                <w:noProof/>
              </w:rPr>
              <w:t>Evaluation approach</w:t>
            </w:r>
            <w:r>
              <w:rPr>
                <w:noProof/>
                <w:webHidden/>
              </w:rPr>
              <w:tab/>
            </w:r>
            <w:r>
              <w:rPr>
                <w:noProof/>
                <w:webHidden/>
              </w:rPr>
              <w:fldChar w:fldCharType="begin"/>
            </w:r>
            <w:r>
              <w:rPr>
                <w:noProof/>
                <w:webHidden/>
              </w:rPr>
              <w:instrText xml:space="preserve"> PAGEREF _Toc146033482 \h </w:instrText>
            </w:r>
            <w:r>
              <w:rPr>
                <w:noProof/>
                <w:webHidden/>
              </w:rPr>
            </w:r>
            <w:r>
              <w:rPr>
                <w:noProof/>
                <w:webHidden/>
              </w:rPr>
              <w:fldChar w:fldCharType="separate"/>
            </w:r>
            <w:r w:rsidR="00180E14">
              <w:rPr>
                <w:noProof/>
                <w:webHidden/>
              </w:rPr>
              <w:t>17</w:t>
            </w:r>
            <w:r>
              <w:rPr>
                <w:noProof/>
                <w:webHidden/>
              </w:rPr>
              <w:fldChar w:fldCharType="end"/>
            </w:r>
          </w:hyperlink>
        </w:p>
        <w:p w14:paraId="5B000AB4" w14:textId="006DC968" w:rsidR="00FF5DFD" w:rsidRDefault="00FF5DFD">
          <w:pPr>
            <w:pStyle w:val="TOC3"/>
            <w:rPr>
              <w:rFonts w:eastAsiaTheme="minorEastAsia"/>
              <w:noProof/>
              <w:kern w:val="2"/>
              <w:lang w:eastAsia="en-AU"/>
              <w14:ligatures w14:val="standardContextual"/>
            </w:rPr>
          </w:pPr>
          <w:hyperlink w:anchor="_Toc146033483" w:history="1">
            <w:r w:rsidRPr="009C1C70">
              <w:rPr>
                <w:rStyle w:val="Hyperlink"/>
                <w:noProof/>
              </w:rPr>
              <w:t>2.4.2</w:t>
            </w:r>
            <w:r>
              <w:rPr>
                <w:rFonts w:eastAsiaTheme="minorEastAsia"/>
                <w:noProof/>
                <w:kern w:val="2"/>
                <w:lang w:eastAsia="en-AU"/>
                <w14:ligatures w14:val="standardContextual"/>
              </w:rPr>
              <w:tab/>
            </w:r>
            <w:r w:rsidRPr="009C1C70">
              <w:rPr>
                <w:rStyle w:val="Hyperlink"/>
                <w:noProof/>
              </w:rPr>
              <w:t>Methodology for EQ1: impact on human capabilities</w:t>
            </w:r>
            <w:r>
              <w:rPr>
                <w:noProof/>
                <w:webHidden/>
              </w:rPr>
              <w:tab/>
            </w:r>
            <w:r>
              <w:rPr>
                <w:noProof/>
                <w:webHidden/>
              </w:rPr>
              <w:fldChar w:fldCharType="begin"/>
            </w:r>
            <w:r>
              <w:rPr>
                <w:noProof/>
                <w:webHidden/>
              </w:rPr>
              <w:instrText xml:space="preserve"> PAGEREF _Toc146033483 \h </w:instrText>
            </w:r>
            <w:r>
              <w:rPr>
                <w:noProof/>
                <w:webHidden/>
              </w:rPr>
            </w:r>
            <w:r>
              <w:rPr>
                <w:noProof/>
                <w:webHidden/>
              </w:rPr>
              <w:fldChar w:fldCharType="separate"/>
            </w:r>
            <w:r w:rsidR="00180E14">
              <w:rPr>
                <w:noProof/>
                <w:webHidden/>
              </w:rPr>
              <w:t>18</w:t>
            </w:r>
            <w:r>
              <w:rPr>
                <w:noProof/>
                <w:webHidden/>
              </w:rPr>
              <w:fldChar w:fldCharType="end"/>
            </w:r>
          </w:hyperlink>
        </w:p>
        <w:p w14:paraId="2BA7712F" w14:textId="7E9D903F" w:rsidR="00FF5DFD" w:rsidRDefault="00FF5DFD">
          <w:pPr>
            <w:pStyle w:val="TOC3"/>
            <w:rPr>
              <w:rFonts w:eastAsiaTheme="minorEastAsia"/>
              <w:noProof/>
              <w:kern w:val="2"/>
              <w:lang w:eastAsia="en-AU"/>
              <w14:ligatures w14:val="standardContextual"/>
            </w:rPr>
          </w:pPr>
          <w:hyperlink w:anchor="_Toc146033484" w:history="1">
            <w:r w:rsidRPr="009C1C70">
              <w:rPr>
                <w:rStyle w:val="Hyperlink"/>
                <w:noProof/>
              </w:rPr>
              <w:t>2.4.3</w:t>
            </w:r>
            <w:r>
              <w:rPr>
                <w:rFonts w:eastAsiaTheme="minorEastAsia"/>
                <w:noProof/>
                <w:kern w:val="2"/>
                <w:lang w:eastAsia="en-AU"/>
                <w14:ligatures w14:val="standardContextual"/>
              </w:rPr>
              <w:tab/>
            </w:r>
            <w:r w:rsidRPr="009C1C70">
              <w:rPr>
                <w:rStyle w:val="Hyperlink"/>
                <w:noProof/>
              </w:rPr>
              <w:t>Methodology for EQ2: Long-term impact analysis</w:t>
            </w:r>
            <w:r>
              <w:rPr>
                <w:noProof/>
                <w:webHidden/>
              </w:rPr>
              <w:tab/>
            </w:r>
            <w:r>
              <w:rPr>
                <w:noProof/>
                <w:webHidden/>
              </w:rPr>
              <w:fldChar w:fldCharType="begin"/>
            </w:r>
            <w:r>
              <w:rPr>
                <w:noProof/>
                <w:webHidden/>
              </w:rPr>
              <w:instrText xml:space="preserve"> PAGEREF _Toc146033484 \h </w:instrText>
            </w:r>
            <w:r>
              <w:rPr>
                <w:noProof/>
                <w:webHidden/>
              </w:rPr>
            </w:r>
            <w:r>
              <w:rPr>
                <w:noProof/>
                <w:webHidden/>
              </w:rPr>
              <w:fldChar w:fldCharType="separate"/>
            </w:r>
            <w:r w:rsidR="00180E14">
              <w:rPr>
                <w:noProof/>
                <w:webHidden/>
              </w:rPr>
              <w:t>21</w:t>
            </w:r>
            <w:r>
              <w:rPr>
                <w:noProof/>
                <w:webHidden/>
              </w:rPr>
              <w:fldChar w:fldCharType="end"/>
            </w:r>
          </w:hyperlink>
        </w:p>
        <w:p w14:paraId="51ADF117" w14:textId="7238E5B1" w:rsidR="00FF5DFD" w:rsidRDefault="00FF5DFD">
          <w:pPr>
            <w:pStyle w:val="TOC3"/>
            <w:rPr>
              <w:rFonts w:eastAsiaTheme="minorEastAsia"/>
              <w:noProof/>
              <w:kern w:val="2"/>
              <w:lang w:eastAsia="en-AU"/>
              <w14:ligatures w14:val="standardContextual"/>
            </w:rPr>
          </w:pPr>
          <w:hyperlink w:anchor="_Toc146033485" w:history="1">
            <w:r w:rsidRPr="009C1C70">
              <w:rPr>
                <w:rStyle w:val="Hyperlink"/>
                <w:noProof/>
              </w:rPr>
              <w:t>2.4.4</w:t>
            </w:r>
            <w:r>
              <w:rPr>
                <w:rFonts w:eastAsiaTheme="minorEastAsia"/>
                <w:noProof/>
                <w:kern w:val="2"/>
                <w:lang w:eastAsia="en-AU"/>
                <w14:ligatures w14:val="standardContextual"/>
              </w:rPr>
              <w:tab/>
            </w:r>
            <w:r w:rsidRPr="009C1C70">
              <w:rPr>
                <w:rStyle w:val="Hyperlink"/>
                <w:noProof/>
              </w:rPr>
              <w:t>Methodology for EQ3: Impact of increasing the maximum duration of service from 12 to 18 months</w:t>
            </w:r>
            <w:r>
              <w:rPr>
                <w:noProof/>
                <w:webHidden/>
              </w:rPr>
              <w:tab/>
            </w:r>
            <w:r>
              <w:rPr>
                <w:noProof/>
                <w:webHidden/>
              </w:rPr>
              <w:fldChar w:fldCharType="begin"/>
            </w:r>
            <w:r>
              <w:rPr>
                <w:noProof/>
                <w:webHidden/>
              </w:rPr>
              <w:instrText xml:space="preserve"> PAGEREF _Toc146033485 \h </w:instrText>
            </w:r>
            <w:r>
              <w:rPr>
                <w:noProof/>
                <w:webHidden/>
              </w:rPr>
            </w:r>
            <w:r>
              <w:rPr>
                <w:noProof/>
                <w:webHidden/>
              </w:rPr>
              <w:fldChar w:fldCharType="separate"/>
            </w:r>
            <w:r w:rsidR="00180E14">
              <w:rPr>
                <w:noProof/>
                <w:webHidden/>
              </w:rPr>
              <w:t>25</w:t>
            </w:r>
            <w:r>
              <w:rPr>
                <w:noProof/>
                <w:webHidden/>
              </w:rPr>
              <w:fldChar w:fldCharType="end"/>
            </w:r>
          </w:hyperlink>
        </w:p>
        <w:p w14:paraId="1906D11B" w14:textId="5C991599" w:rsidR="00FF5DFD" w:rsidRDefault="00FF5DFD">
          <w:pPr>
            <w:pStyle w:val="TOC3"/>
            <w:rPr>
              <w:rFonts w:eastAsiaTheme="minorEastAsia"/>
              <w:noProof/>
              <w:kern w:val="2"/>
              <w:lang w:eastAsia="en-AU"/>
              <w14:ligatures w14:val="standardContextual"/>
            </w:rPr>
          </w:pPr>
          <w:hyperlink w:anchor="_Toc146033486" w:history="1">
            <w:r w:rsidRPr="009C1C70">
              <w:rPr>
                <w:rStyle w:val="Hyperlink"/>
                <w:noProof/>
              </w:rPr>
              <w:t>2.4.5</w:t>
            </w:r>
            <w:r>
              <w:rPr>
                <w:rFonts w:eastAsiaTheme="minorEastAsia"/>
                <w:noProof/>
                <w:kern w:val="2"/>
                <w:lang w:eastAsia="en-AU"/>
                <w14:ligatures w14:val="standardContextual"/>
              </w:rPr>
              <w:tab/>
            </w:r>
            <w:r w:rsidRPr="009C1C70">
              <w:rPr>
                <w:rStyle w:val="Hyperlink"/>
                <w:noProof/>
              </w:rPr>
              <w:t>Methodology for examining the value for money of TtW</w:t>
            </w:r>
            <w:r>
              <w:rPr>
                <w:noProof/>
                <w:webHidden/>
              </w:rPr>
              <w:tab/>
            </w:r>
            <w:r>
              <w:rPr>
                <w:noProof/>
                <w:webHidden/>
              </w:rPr>
              <w:fldChar w:fldCharType="begin"/>
            </w:r>
            <w:r>
              <w:rPr>
                <w:noProof/>
                <w:webHidden/>
              </w:rPr>
              <w:instrText xml:space="preserve"> PAGEREF _Toc146033486 \h </w:instrText>
            </w:r>
            <w:r>
              <w:rPr>
                <w:noProof/>
                <w:webHidden/>
              </w:rPr>
            </w:r>
            <w:r>
              <w:rPr>
                <w:noProof/>
                <w:webHidden/>
              </w:rPr>
              <w:fldChar w:fldCharType="separate"/>
            </w:r>
            <w:r w:rsidR="00180E14">
              <w:rPr>
                <w:noProof/>
                <w:webHidden/>
              </w:rPr>
              <w:t>27</w:t>
            </w:r>
            <w:r>
              <w:rPr>
                <w:noProof/>
                <w:webHidden/>
              </w:rPr>
              <w:fldChar w:fldCharType="end"/>
            </w:r>
          </w:hyperlink>
        </w:p>
        <w:p w14:paraId="3590B2CE" w14:textId="2C611180" w:rsidR="00FF5DFD" w:rsidRDefault="00FF5DFD">
          <w:pPr>
            <w:pStyle w:val="TOC1"/>
            <w:rPr>
              <w:rFonts w:eastAsiaTheme="minorEastAsia"/>
              <w:b w:val="0"/>
              <w:noProof/>
              <w:kern w:val="2"/>
              <w:lang w:eastAsia="en-AU"/>
              <w14:ligatures w14:val="standardContextual"/>
            </w:rPr>
          </w:pPr>
          <w:hyperlink w:anchor="_Toc146033487" w:history="1">
            <w:r w:rsidRPr="009C1C70">
              <w:rPr>
                <w:rStyle w:val="Hyperlink"/>
                <w:noProof/>
              </w:rPr>
              <w:t>Chapter 3 – What impact does TtW have on participants’ human capabilities?</w:t>
            </w:r>
            <w:r>
              <w:rPr>
                <w:noProof/>
                <w:webHidden/>
              </w:rPr>
              <w:tab/>
            </w:r>
            <w:r>
              <w:rPr>
                <w:noProof/>
                <w:webHidden/>
              </w:rPr>
              <w:fldChar w:fldCharType="begin"/>
            </w:r>
            <w:r>
              <w:rPr>
                <w:noProof/>
                <w:webHidden/>
              </w:rPr>
              <w:instrText xml:space="preserve"> PAGEREF _Toc146033487 \h </w:instrText>
            </w:r>
            <w:r>
              <w:rPr>
                <w:noProof/>
                <w:webHidden/>
              </w:rPr>
            </w:r>
            <w:r>
              <w:rPr>
                <w:noProof/>
                <w:webHidden/>
              </w:rPr>
              <w:fldChar w:fldCharType="separate"/>
            </w:r>
            <w:r w:rsidR="00180E14">
              <w:rPr>
                <w:noProof/>
                <w:webHidden/>
              </w:rPr>
              <w:t>29</w:t>
            </w:r>
            <w:r>
              <w:rPr>
                <w:noProof/>
                <w:webHidden/>
              </w:rPr>
              <w:fldChar w:fldCharType="end"/>
            </w:r>
          </w:hyperlink>
        </w:p>
        <w:p w14:paraId="0B2852F2" w14:textId="65153A47" w:rsidR="00FF5DFD" w:rsidRDefault="00FF5DFD">
          <w:pPr>
            <w:pStyle w:val="TOC2"/>
            <w:rPr>
              <w:rFonts w:eastAsiaTheme="minorEastAsia"/>
              <w:noProof/>
              <w:kern w:val="2"/>
              <w:lang w:eastAsia="en-AU"/>
              <w14:ligatures w14:val="standardContextual"/>
            </w:rPr>
          </w:pPr>
          <w:hyperlink w:anchor="_Toc146033488" w:history="1">
            <w:r w:rsidRPr="009C1C70">
              <w:rPr>
                <w:rStyle w:val="Hyperlink"/>
                <w:noProof/>
              </w:rPr>
              <w:t>3.1</w:t>
            </w:r>
            <w:r>
              <w:rPr>
                <w:rFonts w:eastAsiaTheme="minorEastAsia"/>
                <w:noProof/>
                <w:kern w:val="2"/>
                <w:lang w:eastAsia="en-AU"/>
                <w14:ligatures w14:val="standardContextual"/>
              </w:rPr>
              <w:tab/>
            </w:r>
            <w:r w:rsidRPr="009C1C70">
              <w:rPr>
                <w:rStyle w:val="Hyperlink"/>
                <w:noProof/>
              </w:rPr>
              <w:t>Introduction</w:t>
            </w:r>
            <w:r>
              <w:rPr>
                <w:noProof/>
                <w:webHidden/>
              </w:rPr>
              <w:tab/>
            </w:r>
            <w:r>
              <w:rPr>
                <w:noProof/>
                <w:webHidden/>
              </w:rPr>
              <w:fldChar w:fldCharType="begin"/>
            </w:r>
            <w:r>
              <w:rPr>
                <w:noProof/>
                <w:webHidden/>
              </w:rPr>
              <w:instrText xml:space="preserve"> PAGEREF _Toc146033488 \h </w:instrText>
            </w:r>
            <w:r>
              <w:rPr>
                <w:noProof/>
                <w:webHidden/>
              </w:rPr>
            </w:r>
            <w:r>
              <w:rPr>
                <w:noProof/>
                <w:webHidden/>
              </w:rPr>
              <w:fldChar w:fldCharType="separate"/>
            </w:r>
            <w:r w:rsidR="00180E14">
              <w:rPr>
                <w:noProof/>
                <w:webHidden/>
              </w:rPr>
              <w:t>29</w:t>
            </w:r>
            <w:r>
              <w:rPr>
                <w:noProof/>
                <w:webHidden/>
              </w:rPr>
              <w:fldChar w:fldCharType="end"/>
            </w:r>
          </w:hyperlink>
        </w:p>
        <w:p w14:paraId="2502B3AE" w14:textId="43F38F42" w:rsidR="00FF5DFD" w:rsidRDefault="00FF5DFD">
          <w:pPr>
            <w:pStyle w:val="TOC2"/>
            <w:rPr>
              <w:rFonts w:eastAsiaTheme="minorEastAsia"/>
              <w:noProof/>
              <w:kern w:val="2"/>
              <w:lang w:eastAsia="en-AU"/>
              <w14:ligatures w14:val="standardContextual"/>
            </w:rPr>
          </w:pPr>
          <w:hyperlink w:anchor="_Toc146033489" w:history="1">
            <w:r w:rsidRPr="009C1C70">
              <w:rPr>
                <w:rStyle w:val="Hyperlink"/>
                <w:noProof/>
              </w:rPr>
              <w:t>3.2</w:t>
            </w:r>
            <w:r>
              <w:rPr>
                <w:rFonts w:eastAsiaTheme="minorEastAsia"/>
                <w:noProof/>
                <w:kern w:val="2"/>
                <w:lang w:eastAsia="en-AU"/>
                <w14:ligatures w14:val="standardContextual"/>
              </w:rPr>
              <w:tab/>
            </w:r>
            <w:r w:rsidRPr="009C1C70">
              <w:rPr>
                <w:rStyle w:val="Hyperlink"/>
                <w:noProof/>
              </w:rPr>
              <w:t>Human capabilities: the impact of TtW on participants’ psychological capabilities</w:t>
            </w:r>
            <w:r>
              <w:rPr>
                <w:noProof/>
                <w:webHidden/>
              </w:rPr>
              <w:tab/>
            </w:r>
            <w:r>
              <w:rPr>
                <w:noProof/>
                <w:webHidden/>
              </w:rPr>
              <w:fldChar w:fldCharType="begin"/>
            </w:r>
            <w:r>
              <w:rPr>
                <w:noProof/>
                <w:webHidden/>
              </w:rPr>
              <w:instrText xml:space="preserve"> PAGEREF _Toc146033489 \h </w:instrText>
            </w:r>
            <w:r>
              <w:rPr>
                <w:noProof/>
                <w:webHidden/>
              </w:rPr>
            </w:r>
            <w:r>
              <w:rPr>
                <w:noProof/>
                <w:webHidden/>
              </w:rPr>
              <w:fldChar w:fldCharType="separate"/>
            </w:r>
            <w:r w:rsidR="00180E14">
              <w:rPr>
                <w:noProof/>
                <w:webHidden/>
              </w:rPr>
              <w:t>29</w:t>
            </w:r>
            <w:r>
              <w:rPr>
                <w:noProof/>
                <w:webHidden/>
              </w:rPr>
              <w:fldChar w:fldCharType="end"/>
            </w:r>
          </w:hyperlink>
        </w:p>
        <w:p w14:paraId="73B3E2AA" w14:textId="2DE39841" w:rsidR="00FF5DFD" w:rsidRDefault="00FF5DFD">
          <w:pPr>
            <w:pStyle w:val="TOC3"/>
            <w:rPr>
              <w:rFonts w:eastAsiaTheme="minorEastAsia"/>
              <w:noProof/>
              <w:kern w:val="2"/>
              <w:lang w:eastAsia="en-AU"/>
              <w14:ligatures w14:val="standardContextual"/>
            </w:rPr>
          </w:pPr>
          <w:hyperlink w:anchor="_Toc146033490" w:history="1">
            <w:r w:rsidRPr="009C1C70">
              <w:rPr>
                <w:rStyle w:val="Hyperlink"/>
                <w:noProof/>
              </w:rPr>
              <w:t>3.2.1</w:t>
            </w:r>
            <w:r>
              <w:rPr>
                <w:rFonts w:eastAsiaTheme="minorEastAsia"/>
                <w:noProof/>
                <w:kern w:val="2"/>
                <w:lang w:eastAsia="en-AU"/>
                <w14:ligatures w14:val="standardContextual"/>
              </w:rPr>
              <w:tab/>
            </w:r>
            <w:r w:rsidRPr="009C1C70">
              <w:rPr>
                <w:rStyle w:val="Hyperlink"/>
                <w:noProof/>
              </w:rPr>
              <w:t>Confidence</w:t>
            </w:r>
            <w:r>
              <w:rPr>
                <w:noProof/>
                <w:webHidden/>
              </w:rPr>
              <w:tab/>
            </w:r>
            <w:r>
              <w:rPr>
                <w:noProof/>
                <w:webHidden/>
              </w:rPr>
              <w:fldChar w:fldCharType="begin"/>
            </w:r>
            <w:r>
              <w:rPr>
                <w:noProof/>
                <w:webHidden/>
              </w:rPr>
              <w:instrText xml:space="preserve"> PAGEREF _Toc146033490 \h </w:instrText>
            </w:r>
            <w:r>
              <w:rPr>
                <w:noProof/>
                <w:webHidden/>
              </w:rPr>
            </w:r>
            <w:r>
              <w:rPr>
                <w:noProof/>
                <w:webHidden/>
              </w:rPr>
              <w:fldChar w:fldCharType="separate"/>
            </w:r>
            <w:r w:rsidR="00180E14">
              <w:rPr>
                <w:noProof/>
                <w:webHidden/>
              </w:rPr>
              <w:t>29</w:t>
            </w:r>
            <w:r>
              <w:rPr>
                <w:noProof/>
                <w:webHidden/>
              </w:rPr>
              <w:fldChar w:fldCharType="end"/>
            </w:r>
          </w:hyperlink>
        </w:p>
        <w:p w14:paraId="570B8666" w14:textId="42D87020" w:rsidR="00FF5DFD" w:rsidRDefault="00FF5DFD">
          <w:pPr>
            <w:pStyle w:val="TOC3"/>
            <w:rPr>
              <w:rFonts w:eastAsiaTheme="minorEastAsia"/>
              <w:noProof/>
              <w:kern w:val="2"/>
              <w:lang w:eastAsia="en-AU"/>
              <w14:ligatures w14:val="standardContextual"/>
            </w:rPr>
          </w:pPr>
          <w:hyperlink w:anchor="_Toc146033491" w:history="1">
            <w:r w:rsidRPr="009C1C70">
              <w:rPr>
                <w:rStyle w:val="Hyperlink"/>
                <w:noProof/>
              </w:rPr>
              <w:t>3.2.2</w:t>
            </w:r>
            <w:r>
              <w:rPr>
                <w:rFonts w:eastAsiaTheme="minorEastAsia"/>
                <w:noProof/>
                <w:kern w:val="2"/>
                <w:lang w:eastAsia="en-AU"/>
                <w14:ligatures w14:val="standardContextual"/>
              </w:rPr>
              <w:tab/>
            </w:r>
            <w:r w:rsidRPr="009C1C70">
              <w:rPr>
                <w:rStyle w:val="Hyperlink"/>
                <w:noProof/>
              </w:rPr>
              <w:t>Motivation</w:t>
            </w:r>
            <w:r>
              <w:rPr>
                <w:noProof/>
                <w:webHidden/>
              </w:rPr>
              <w:tab/>
            </w:r>
            <w:r>
              <w:rPr>
                <w:noProof/>
                <w:webHidden/>
              </w:rPr>
              <w:fldChar w:fldCharType="begin"/>
            </w:r>
            <w:r>
              <w:rPr>
                <w:noProof/>
                <w:webHidden/>
              </w:rPr>
              <w:instrText xml:space="preserve"> PAGEREF _Toc146033491 \h </w:instrText>
            </w:r>
            <w:r>
              <w:rPr>
                <w:noProof/>
                <w:webHidden/>
              </w:rPr>
            </w:r>
            <w:r>
              <w:rPr>
                <w:noProof/>
                <w:webHidden/>
              </w:rPr>
              <w:fldChar w:fldCharType="separate"/>
            </w:r>
            <w:r w:rsidR="00180E14">
              <w:rPr>
                <w:noProof/>
                <w:webHidden/>
              </w:rPr>
              <w:t>32</w:t>
            </w:r>
            <w:r>
              <w:rPr>
                <w:noProof/>
                <w:webHidden/>
              </w:rPr>
              <w:fldChar w:fldCharType="end"/>
            </w:r>
          </w:hyperlink>
        </w:p>
        <w:p w14:paraId="702FCD98" w14:textId="640D5A44" w:rsidR="00FF5DFD" w:rsidRDefault="00FF5DFD">
          <w:pPr>
            <w:pStyle w:val="TOC3"/>
            <w:rPr>
              <w:rFonts w:eastAsiaTheme="minorEastAsia"/>
              <w:noProof/>
              <w:kern w:val="2"/>
              <w:lang w:eastAsia="en-AU"/>
              <w14:ligatures w14:val="standardContextual"/>
            </w:rPr>
          </w:pPr>
          <w:hyperlink w:anchor="_Toc146033492" w:history="1">
            <w:r w:rsidRPr="009C1C70">
              <w:rPr>
                <w:rStyle w:val="Hyperlink"/>
                <w:noProof/>
              </w:rPr>
              <w:t>3.2.3</w:t>
            </w:r>
            <w:r>
              <w:rPr>
                <w:rFonts w:eastAsiaTheme="minorEastAsia"/>
                <w:noProof/>
                <w:kern w:val="2"/>
                <w:lang w:eastAsia="en-AU"/>
                <w14:ligatures w14:val="standardContextual"/>
              </w:rPr>
              <w:tab/>
            </w:r>
            <w:r w:rsidRPr="009C1C70">
              <w:rPr>
                <w:rStyle w:val="Hyperlink"/>
                <w:noProof/>
              </w:rPr>
              <w:t>Empowerment</w:t>
            </w:r>
            <w:r>
              <w:rPr>
                <w:noProof/>
                <w:webHidden/>
              </w:rPr>
              <w:tab/>
            </w:r>
            <w:r>
              <w:rPr>
                <w:noProof/>
                <w:webHidden/>
              </w:rPr>
              <w:fldChar w:fldCharType="begin"/>
            </w:r>
            <w:r>
              <w:rPr>
                <w:noProof/>
                <w:webHidden/>
              </w:rPr>
              <w:instrText xml:space="preserve"> PAGEREF _Toc146033492 \h </w:instrText>
            </w:r>
            <w:r>
              <w:rPr>
                <w:noProof/>
                <w:webHidden/>
              </w:rPr>
            </w:r>
            <w:r>
              <w:rPr>
                <w:noProof/>
                <w:webHidden/>
              </w:rPr>
              <w:fldChar w:fldCharType="separate"/>
            </w:r>
            <w:r w:rsidR="00180E14">
              <w:rPr>
                <w:noProof/>
                <w:webHidden/>
              </w:rPr>
              <w:t>34</w:t>
            </w:r>
            <w:r>
              <w:rPr>
                <w:noProof/>
                <w:webHidden/>
              </w:rPr>
              <w:fldChar w:fldCharType="end"/>
            </w:r>
          </w:hyperlink>
        </w:p>
        <w:p w14:paraId="74EF388D" w14:textId="6F4E6221" w:rsidR="00FF5DFD" w:rsidRDefault="00FF5DFD">
          <w:pPr>
            <w:pStyle w:val="TOC3"/>
            <w:rPr>
              <w:rFonts w:eastAsiaTheme="minorEastAsia"/>
              <w:noProof/>
              <w:kern w:val="2"/>
              <w:lang w:eastAsia="en-AU"/>
              <w14:ligatures w14:val="standardContextual"/>
            </w:rPr>
          </w:pPr>
          <w:hyperlink w:anchor="_Toc146033493" w:history="1">
            <w:r w:rsidRPr="009C1C70">
              <w:rPr>
                <w:rStyle w:val="Hyperlink"/>
                <w:noProof/>
              </w:rPr>
              <w:t>3.2.4</w:t>
            </w:r>
            <w:r>
              <w:rPr>
                <w:rFonts w:eastAsiaTheme="minorEastAsia"/>
                <w:noProof/>
                <w:kern w:val="2"/>
                <w:lang w:eastAsia="en-AU"/>
                <w14:ligatures w14:val="standardContextual"/>
              </w:rPr>
              <w:tab/>
            </w:r>
            <w:r w:rsidRPr="009C1C70">
              <w:rPr>
                <w:rStyle w:val="Hyperlink"/>
                <w:noProof/>
              </w:rPr>
              <w:t>Resilience</w:t>
            </w:r>
            <w:r>
              <w:rPr>
                <w:noProof/>
                <w:webHidden/>
              </w:rPr>
              <w:tab/>
            </w:r>
            <w:r>
              <w:rPr>
                <w:noProof/>
                <w:webHidden/>
              </w:rPr>
              <w:fldChar w:fldCharType="begin"/>
            </w:r>
            <w:r>
              <w:rPr>
                <w:noProof/>
                <w:webHidden/>
              </w:rPr>
              <w:instrText xml:space="preserve"> PAGEREF _Toc146033493 \h </w:instrText>
            </w:r>
            <w:r>
              <w:rPr>
                <w:noProof/>
                <w:webHidden/>
              </w:rPr>
            </w:r>
            <w:r>
              <w:rPr>
                <w:noProof/>
                <w:webHidden/>
              </w:rPr>
              <w:fldChar w:fldCharType="separate"/>
            </w:r>
            <w:r w:rsidR="00180E14">
              <w:rPr>
                <w:noProof/>
                <w:webHidden/>
              </w:rPr>
              <w:t>37</w:t>
            </w:r>
            <w:r>
              <w:rPr>
                <w:noProof/>
                <w:webHidden/>
              </w:rPr>
              <w:fldChar w:fldCharType="end"/>
            </w:r>
          </w:hyperlink>
        </w:p>
        <w:p w14:paraId="18596EA3" w14:textId="79871B45" w:rsidR="00FF5DFD" w:rsidRDefault="00FF5DFD">
          <w:pPr>
            <w:pStyle w:val="TOC3"/>
            <w:rPr>
              <w:rFonts w:eastAsiaTheme="minorEastAsia"/>
              <w:noProof/>
              <w:kern w:val="2"/>
              <w:lang w:eastAsia="en-AU"/>
              <w14:ligatures w14:val="standardContextual"/>
            </w:rPr>
          </w:pPr>
          <w:hyperlink w:anchor="_Toc146033494" w:history="1">
            <w:r w:rsidRPr="009C1C70">
              <w:rPr>
                <w:rStyle w:val="Hyperlink"/>
                <w:noProof/>
              </w:rPr>
              <w:t>3.2.5</w:t>
            </w:r>
            <w:r>
              <w:rPr>
                <w:rFonts w:eastAsiaTheme="minorEastAsia"/>
                <w:noProof/>
                <w:kern w:val="2"/>
                <w:lang w:eastAsia="en-AU"/>
                <w14:ligatures w14:val="standardContextual"/>
              </w:rPr>
              <w:tab/>
            </w:r>
            <w:r w:rsidRPr="009C1C70">
              <w:rPr>
                <w:rStyle w:val="Hyperlink"/>
                <w:noProof/>
              </w:rPr>
              <w:t>Mental health</w:t>
            </w:r>
            <w:r>
              <w:rPr>
                <w:noProof/>
                <w:webHidden/>
              </w:rPr>
              <w:tab/>
            </w:r>
            <w:r>
              <w:rPr>
                <w:noProof/>
                <w:webHidden/>
              </w:rPr>
              <w:fldChar w:fldCharType="begin"/>
            </w:r>
            <w:r>
              <w:rPr>
                <w:noProof/>
                <w:webHidden/>
              </w:rPr>
              <w:instrText xml:space="preserve"> PAGEREF _Toc146033494 \h </w:instrText>
            </w:r>
            <w:r>
              <w:rPr>
                <w:noProof/>
                <w:webHidden/>
              </w:rPr>
            </w:r>
            <w:r>
              <w:rPr>
                <w:noProof/>
                <w:webHidden/>
              </w:rPr>
              <w:fldChar w:fldCharType="separate"/>
            </w:r>
            <w:r w:rsidR="00180E14">
              <w:rPr>
                <w:noProof/>
                <w:webHidden/>
              </w:rPr>
              <w:t>40</w:t>
            </w:r>
            <w:r>
              <w:rPr>
                <w:noProof/>
                <w:webHidden/>
              </w:rPr>
              <w:fldChar w:fldCharType="end"/>
            </w:r>
          </w:hyperlink>
        </w:p>
        <w:p w14:paraId="39F62EF8" w14:textId="39BE0889" w:rsidR="00FF5DFD" w:rsidRDefault="00FF5DFD">
          <w:pPr>
            <w:pStyle w:val="TOC3"/>
            <w:rPr>
              <w:rFonts w:eastAsiaTheme="minorEastAsia"/>
              <w:noProof/>
              <w:kern w:val="2"/>
              <w:lang w:eastAsia="en-AU"/>
              <w14:ligatures w14:val="standardContextual"/>
            </w:rPr>
          </w:pPr>
          <w:hyperlink w:anchor="_Toc146033495" w:history="1">
            <w:r w:rsidRPr="009C1C70">
              <w:rPr>
                <w:rStyle w:val="Hyperlink"/>
                <w:noProof/>
              </w:rPr>
              <w:t>3.2.6</w:t>
            </w:r>
            <w:r>
              <w:rPr>
                <w:rFonts w:eastAsiaTheme="minorEastAsia"/>
                <w:noProof/>
                <w:kern w:val="2"/>
                <w:lang w:eastAsia="en-AU"/>
                <w14:ligatures w14:val="standardContextual"/>
              </w:rPr>
              <w:tab/>
            </w:r>
            <w:r w:rsidRPr="009C1C70">
              <w:rPr>
                <w:rStyle w:val="Hyperlink"/>
                <w:noProof/>
              </w:rPr>
              <w:t>Physical health</w:t>
            </w:r>
            <w:r>
              <w:rPr>
                <w:noProof/>
                <w:webHidden/>
              </w:rPr>
              <w:tab/>
            </w:r>
            <w:r>
              <w:rPr>
                <w:noProof/>
                <w:webHidden/>
              </w:rPr>
              <w:fldChar w:fldCharType="begin"/>
            </w:r>
            <w:r>
              <w:rPr>
                <w:noProof/>
                <w:webHidden/>
              </w:rPr>
              <w:instrText xml:space="preserve"> PAGEREF _Toc146033495 \h </w:instrText>
            </w:r>
            <w:r>
              <w:rPr>
                <w:noProof/>
                <w:webHidden/>
              </w:rPr>
            </w:r>
            <w:r>
              <w:rPr>
                <w:noProof/>
                <w:webHidden/>
              </w:rPr>
              <w:fldChar w:fldCharType="separate"/>
            </w:r>
            <w:r w:rsidR="00180E14">
              <w:rPr>
                <w:noProof/>
                <w:webHidden/>
              </w:rPr>
              <w:t>45</w:t>
            </w:r>
            <w:r>
              <w:rPr>
                <w:noProof/>
                <w:webHidden/>
              </w:rPr>
              <w:fldChar w:fldCharType="end"/>
            </w:r>
          </w:hyperlink>
        </w:p>
        <w:p w14:paraId="3474AC12" w14:textId="017C7D3E" w:rsidR="00FF5DFD" w:rsidRDefault="00FF5DFD">
          <w:pPr>
            <w:pStyle w:val="TOC2"/>
            <w:rPr>
              <w:rFonts w:eastAsiaTheme="minorEastAsia"/>
              <w:noProof/>
              <w:kern w:val="2"/>
              <w:lang w:eastAsia="en-AU"/>
              <w14:ligatures w14:val="standardContextual"/>
            </w:rPr>
          </w:pPr>
          <w:hyperlink w:anchor="_Toc146033496" w:history="1">
            <w:r w:rsidRPr="009C1C70">
              <w:rPr>
                <w:rStyle w:val="Hyperlink"/>
                <w:noProof/>
              </w:rPr>
              <w:t>3.3</w:t>
            </w:r>
            <w:r>
              <w:rPr>
                <w:rFonts w:eastAsiaTheme="minorEastAsia"/>
                <w:noProof/>
                <w:kern w:val="2"/>
                <w:lang w:eastAsia="en-AU"/>
                <w14:ligatures w14:val="standardContextual"/>
              </w:rPr>
              <w:tab/>
            </w:r>
            <w:r w:rsidRPr="009C1C70">
              <w:rPr>
                <w:rStyle w:val="Hyperlink"/>
                <w:noProof/>
              </w:rPr>
              <w:t>The impact of TtW on participants’ capability influencers</w:t>
            </w:r>
            <w:r>
              <w:rPr>
                <w:noProof/>
                <w:webHidden/>
              </w:rPr>
              <w:tab/>
            </w:r>
            <w:r>
              <w:rPr>
                <w:noProof/>
                <w:webHidden/>
              </w:rPr>
              <w:fldChar w:fldCharType="begin"/>
            </w:r>
            <w:r>
              <w:rPr>
                <w:noProof/>
                <w:webHidden/>
              </w:rPr>
              <w:instrText xml:space="preserve"> PAGEREF _Toc146033496 \h </w:instrText>
            </w:r>
            <w:r>
              <w:rPr>
                <w:noProof/>
                <w:webHidden/>
              </w:rPr>
            </w:r>
            <w:r>
              <w:rPr>
                <w:noProof/>
                <w:webHidden/>
              </w:rPr>
              <w:fldChar w:fldCharType="separate"/>
            </w:r>
            <w:r w:rsidR="00180E14">
              <w:rPr>
                <w:noProof/>
                <w:webHidden/>
              </w:rPr>
              <w:t>45</w:t>
            </w:r>
            <w:r>
              <w:rPr>
                <w:noProof/>
                <w:webHidden/>
              </w:rPr>
              <w:fldChar w:fldCharType="end"/>
            </w:r>
          </w:hyperlink>
        </w:p>
        <w:p w14:paraId="7AFA0F6B" w14:textId="08AEC03E" w:rsidR="00FF5DFD" w:rsidRDefault="00FF5DFD">
          <w:pPr>
            <w:pStyle w:val="TOC3"/>
            <w:rPr>
              <w:rFonts w:eastAsiaTheme="minorEastAsia"/>
              <w:noProof/>
              <w:kern w:val="2"/>
              <w:lang w:eastAsia="en-AU"/>
              <w14:ligatures w14:val="standardContextual"/>
            </w:rPr>
          </w:pPr>
          <w:hyperlink w:anchor="_Toc146033497" w:history="1">
            <w:r w:rsidRPr="009C1C70">
              <w:rPr>
                <w:rStyle w:val="Hyperlink"/>
                <w:noProof/>
              </w:rPr>
              <w:t>3.3.1</w:t>
            </w:r>
            <w:r>
              <w:rPr>
                <w:rFonts w:eastAsiaTheme="minorEastAsia"/>
                <w:noProof/>
                <w:kern w:val="2"/>
                <w:lang w:eastAsia="en-AU"/>
                <w14:ligatures w14:val="standardContextual"/>
              </w:rPr>
              <w:tab/>
            </w:r>
            <w:r w:rsidRPr="009C1C70">
              <w:rPr>
                <w:rStyle w:val="Hyperlink"/>
                <w:noProof/>
              </w:rPr>
              <w:t>Social connectedness</w:t>
            </w:r>
            <w:r>
              <w:rPr>
                <w:noProof/>
                <w:webHidden/>
              </w:rPr>
              <w:tab/>
            </w:r>
            <w:r>
              <w:rPr>
                <w:noProof/>
                <w:webHidden/>
              </w:rPr>
              <w:fldChar w:fldCharType="begin"/>
            </w:r>
            <w:r>
              <w:rPr>
                <w:noProof/>
                <w:webHidden/>
              </w:rPr>
              <w:instrText xml:space="preserve"> PAGEREF _Toc146033497 \h </w:instrText>
            </w:r>
            <w:r>
              <w:rPr>
                <w:noProof/>
                <w:webHidden/>
              </w:rPr>
            </w:r>
            <w:r>
              <w:rPr>
                <w:noProof/>
                <w:webHidden/>
              </w:rPr>
              <w:fldChar w:fldCharType="separate"/>
            </w:r>
            <w:r w:rsidR="00180E14">
              <w:rPr>
                <w:noProof/>
                <w:webHidden/>
              </w:rPr>
              <w:t>46</w:t>
            </w:r>
            <w:r>
              <w:rPr>
                <w:noProof/>
                <w:webHidden/>
              </w:rPr>
              <w:fldChar w:fldCharType="end"/>
            </w:r>
          </w:hyperlink>
        </w:p>
        <w:p w14:paraId="662E76C0" w14:textId="49B752FD" w:rsidR="00FF5DFD" w:rsidRDefault="00FF5DFD">
          <w:pPr>
            <w:pStyle w:val="TOC3"/>
            <w:rPr>
              <w:rFonts w:eastAsiaTheme="minorEastAsia"/>
              <w:noProof/>
              <w:kern w:val="2"/>
              <w:lang w:eastAsia="en-AU"/>
              <w14:ligatures w14:val="standardContextual"/>
            </w:rPr>
          </w:pPr>
          <w:hyperlink w:anchor="_Toc146033498" w:history="1">
            <w:r w:rsidRPr="009C1C70">
              <w:rPr>
                <w:rStyle w:val="Hyperlink"/>
                <w:noProof/>
              </w:rPr>
              <w:t>3.3.2</w:t>
            </w:r>
            <w:r>
              <w:rPr>
                <w:rFonts w:eastAsiaTheme="minorEastAsia"/>
                <w:noProof/>
                <w:kern w:val="2"/>
                <w:lang w:eastAsia="en-AU"/>
                <w14:ligatures w14:val="standardContextual"/>
              </w:rPr>
              <w:tab/>
            </w:r>
            <w:r w:rsidRPr="009C1C70">
              <w:rPr>
                <w:rStyle w:val="Hyperlink"/>
                <w:noProof/>
              </w:rPr>
              <w:t>Availability of and access to support services</w:t>
            </w:r>
            <w:r>
              <w:rPr>
                <w:noProof/>
                <w:webHidden/>
              </w:rPr>
              <w:tab/>
            </w:r>
            <w:r>
              <w:rPr>
                <w:noProof/>
                <w:webHidden/>
              </w:rPr>
              <w:fldChar w:fldCharType="begin"/>
            </w:r>
            <w:r>
              <w:rPr>
                <w:noProof/>
                <w:webHidden/>
              </w:rPr>
              <w:instrText xml:space="preserve"> PAGEREF _Toc146033498 \h </w:instrText>
            </w:r>
            <w:r>
              <w:rPr>
                <w:noProof/>
                <w:webHidden/>
              </w:rPr>
            </w:r>
            <w:r>
              <w:rPr>
                <w:noProof/>
                <w:webHidden/>
              </w:rPr>
              <w:fldChar w:fldCharType="separate"/>
            </w:r>
            <w:r w:rsidR="00180E14">
              <w:rPr>
                <w:noProof/>
                <w:webHidden/>
              </w:rPr>
              <w:t>48</w:t>
            </w:r>
            <w:r>
              <w:rPr>
                <w:noProof/>
                <w:webHidden/>
              </w:rPr>
              <w:fldChar w:fldCharType="end"/>
            </w:r>
          </w:hyperlink>
        </w:p>
        <w:p w14:paraId="1F8E9FC2" w14:textId="6B6087D1" w:rsidR="00FF5DFD" w:rsidRDefault="00FF5DFD">
          <w:pPr>
            <w:pStyle w:val="TOC2"/>
            <w:rPr>
              <w:rFonts w:eastAsiaTheme="minorEastAsia"/>
              <w:noProof/>
              <w:kern w:val="2"/>
              <w:lang w:eastAsia="en-AU"/>
              <w14:ligatures w14:val="standardContextual"/>
            </w:rPr>
          </w:pPr>
          <w:hyperlink w:anchor="_Toc146033499" w:history="1">
            <w:r w:rsidRPr="009C1C70">
              <w:rPr>
                <w:rStyle w:val="Hyperlink"/>
                <w:noProof/>
              </w:rPr>
              <w:t>3.4</w:t>
            </w:r>
            <w:r>
              <w:rPr>
                <w:rFonts w:eastAsiaTheme="minorEastAsia"/>
                <w:noProof/>
                <w:kern w:val="2"/>
                <w:lang w:eastAsia="en-AU"/>
                <w14:ligatures w14:val="standardContextual"/>
              </w:rPr>
              <w:tab/>
            </w:r>
            <w:r w:rsidRPr="009C1C70">
              <w:rPr>
                <w:rStyle w:val="Hyperlink"/>
                <w:noProof/>
              </w:rPr>
              <w:t>Impact of TtW on participants’ overall subjective wellbeing and life satisfaction</w:t>
            </w:r>
            <w:r>
              <w:rPr>
                <w:noProof/>
                <w:webHidden/>
              </w:rPr>
              <w:tab/>
            </w:r>
            <w:r>
              <w:rPr>
                <w:noProof/>
                <w:webHidden/>
              </w:rPr>
              <w:fldChar w:fldCharType="begin"/>
            </w:r>
            <w:r>
              <w:rPr>
                <w:noProof/>
                <w:webHidden/>
              </w:rPr>
              <w:instrText xml:space="preserve"> PAGEREF _Toc146033499 \h </w:instrText>
            </w:r>
            <w:r>
              <w:rPr>
                <w:noProof/>
                <w:webHidden/>
              </w:rPr>
            </w:r>
            <w:r>
              <w:rPr>
                <w:noProof/>
                <w:webHidden/>
              </w:rPr>
              <w:fldChar w:fldCharType="separate"/>
            </w:r>
            <w:r w:rsidR="00180E14">
              <w:rPr>
                <w:noProof/>
                <w:webHidden/>
              </w:rPr>
              <w:t>50</w:t>
            </w:r>
            <w:r>
              <w:rPr>
                <w:noProof/>
                <w:webHidden/>
              </w:rPr>
              <w:fldChar w:fldCharType="end"/>
            </w:r>
          </w:hyperlink>
        </w:p>
        <w:p w14:paraId="3D93A08E" w14:textId="5A39C7D2" w:rsidR="00FF5DFD" w:rsidRDefault="00FF5DFD">
          <w:pPr>
            <w:pStyle w:val="TOC3"/>
            <w:rPr>
              <w:rFonts w:eastAsiaTheme="minorEastAsia"/>
              <w:noProof/>
              <w:kern w:val="2"/>
              <w:lang w:eastAsia="en-AU"/>
              <w14:ligatures w14:val="standardContextual"/>
            </w:rPr>
          </w:pPr>
          <w:hyperlink w:anchor="_Toc146033500" w:history="1">
            <w:r w:rsidRPr="009C1C70">
              <w:rPr>
                <w:rStyle w:val="Hyperlink"/>
                <w:noProof/>
              </w:rPr>
              <w:t>3.4.1</w:t>
            </w:r>
            <w:r>
              <w:rPr>
                <w:rFonts w:eastAsiaTheme="minorEastAsia"/>
                <w:noProof/>
                <w:kern w:val="2"/>
                <w:lang w:eastAsia="en-AU"/>
                <w14:ligatures w14:val="standardContextual"/>
              </w:rPr>
              <w:tab/>
            </w:r>
            <w:r w:rsidRPr="009C1C70">
              <w:rPr>
                <w:rStyle w:val="Hyperlink"/>
                <w:noProof/>
              </w:rPr>
              <w:t>Context</w:t>
            </w:r>
            <w:r>
              <w:rPr>
                <w:noProof/>
                <w:webHidden/>
              </w:rPr>
              <w:tab/>
            </w:r>
            <w:r>
              <w:rPr>
                <w:noProof/>
                <w:webHidden/>
              </w:rPr>
              <w:fldChar w:fldCharType="begin"/>
            </w:r>
            <w:r>
              <w:rPr>
                <w:noProof/>
                <w:webHidden/>
              </w:rPr>
              <w:instrText xml:space="preserve"> PAGEREF _Toc146033500 \h </w:instrText>
            </w:r>
            <w:r>
              <w:rPr>
                <w:noProof/>
                <w:webHidden/>
              </w:rPr>
            </w:r>
            <w:r>
              <w:rPr>
                <w:noProof/>
                <w:webHidden/>
              </w:rPr>
              <w:fldChar w:fldCharType="separate"/>
            </w:r>
            <w:r w:rsidR="00180E14">
              <w:rPr>
                <w:noProof/>
                <w:webHidden/>
              </w:rPr>
              <w:t>50</w:t>
            </w:r>
            <w:r>
              <w:rPr>
                <w:noProof/>
                <w:webHidden/>
              </w:rPr>
              <w:fldChar w:fldCharType="end"/>
            </w:r>
          </w:hyperlink>
        </w:p>
        <w:p w14:paraId="63834193" w14:textId="072406B7" w:rsidR="00FF5DFD" w:rsidRDefault="00FF5DFD">
          <w:pPr>
            <w:pStyle w:val="TOC3"/>
            <w:rPr>
              <w:rFonts w:eastAsiaTheme="minorEastAsia"/>
              <w:noProof/>
              <w:kern w:val="2"/>
              <w:lang w:eastAsia="en-AU"/>
              <w14:ligatures w14:val="standardContextual"/>
            </w:rPr>
          </w:pPr>
          <w:hyperlink w:anchor="_Toc146033501" w:history="1">
            <w:r w:rsidRPr="009C1C70">
              <w:rPr>
                <w:rStyle w:val="Hyperlink"/>
                <w:noProof/>
              </w:rPr>
              <w:t>3.4.2</w:t>
            </w:r>
            <w:r>
              <w:rPr>
                <w:rFonts w:eastAsiaTheme="minorEastAsia"/>
                <w:noProof/>
                <w:kern w:val="2"/>
                <w:lang w:eastAsia="en-AU"/>
                <w14:ligatures w14:val="standardContextual"/>
              </w:rPr>
              <w:tab/>
            </w:r>
            <w:r w:rsidRPr="009C1C70">
              <w:rPr>
                <w:rStyle w:val="Hyperlink"/>
                <w:noProof/>
              </w:rPr>
              <w:t>Life satisfaction</w:t>
            </w:r>
            <w:r>
              <w:rPr>
                <w:noProof/>
                <w:webHidden/>
              </w:rPr>
              <w:tab/>
            </w:r>
            <w:r>
              <w:rPr>
                <w:noProof/>
                <w:webHidden/>
              </w:rPr>
              <w:fldChar w:fldCharType="begin"/>
            </w:r>
            <w:r>
              <w:rPr>
                <w:noProof/>
                <w:webHidden/>
              </w:rPr>
              <w:instrText xml:space="preserve"> PAGEREF _Toc146033501 \h </w:instrText>
            </w:r>
            <w:r>
              <w:rPr>
                <w:noProof/>
                <w:webHidden/>
              </w:rPr>
            </w:r>
            <w:r>
              <w:rPr>
                <w:noProof/>
                <w:webHidden/>
              </w:rPr>
              <w:fldChar w:fldCharType="separate"/>
            </w:r>
            <w:r w:rsidR="00180E14">
              <w:rPr>
                <w:noProof/>
                <w:webHidden/>
              </w:rPr>
              <w:t>50</w:t>
            </w:r>
            <w:r>
              <w:rPr>
                <w:noProof/>
                <w:webHidden/>
              </w:rPr>
              <w:fldChar w:fldCharType="end"/>
            </w:r>
          </w:hyperlink>
        </w:p>
        <w:p w14:paraId="3D778403" w14:textId="1B5A7E93" w:rsidR="00FF5DFD" w:rsidRDefault="00FF5DFD">
          <w:pPr>
            <w:pStyle w:val="TOC3"/>
            <w:rPr>
              <w:rFonts w:eastAsiaTheme="minorEastAsia"/>
              <w:noProof/>
              <w:kern w:val="2"/>
              <w:lang w:eastAsia="en-AU"/>
              <w14:ligatures w14:val="standardContextual"/>
            </w:rPr>
          </w:pPr>
          <w:hyperlink w:anchor="_Toc146033502" w:history="1">
            <w:r w:rsidRPr="009C1C70">
              <w:rPr>
                <w:rStyle w:val="Hyperlink"/>
                <w:noProof/>
              </w:rPr>
              <w:t>3.4.3</w:t>
            </w:r>
            <w:r>
              <w:rPr>
                <w:rFonts w:eastAsiaTheme="minorEastAsia"/>
                <w:noProof/>
                <w:kern w:val="2"/>
                <w:lang w:eastAsia="en-AU"/>
                <w14:ligatures w14:val="standardContextual"/>
              </w:rPr>
              <w:tab/>
            </w:r>
            <w:r w:rsidRPr="009C1C70">
              <w:rPr>
                <w:rStyle w:val="Hyperlink"/>
                <w:noProof/>
              </w:rPr>
              <w:t>Personal wellbeing</w:t>
            </w:r>
            <w:r>
              <w:rPr>
                <w:noProof/>
                <w:webHidden/>
              </w:rPr>
              <w:tab/>
            </w:r>
            <w:r>
              <w:rPr>
                <w:noProof/>
                <w:webHidden/>
              </w:rPr>
              <w:fldChar w:fldCharType="begin"/>
            </w:r>
            <w:r>
              <w:rPr>
                <w:noProof/>
                <w:webHidden/>
              </w:rPr>
              <w:instrText xml:space="preserve"> PAGEREF _Toc146033502 \h </w:instrText>
            </w:r>
            <w:r>
              <w:rPr>
                <w:noProof/>
                <w:webHidden/>
              </w:rPr>
            </w:r>
            <w:r>
              <w:rPr>
                <w:noProof/>
                <w:webHidden/>
              </w:rPr>
              <w:fldChar w:fldCharType="separate"/>
            </w:r>
            <w:r w:rsidR="00180E14">
              <w:rPr>
                <w:noProof/>
                <w:webHidden/>
              </w:rPr>
              <w:t>52</w:t>
            </w:r>
            <w:r>
              <w:rPr>
                <w:noProof/>
                <w:webHidden/>
              </w:rPr>
              <w:fldChar w:fldCharType="end"/>
            </w:r>
          </w:hyperlink>
        </w:p>
        <w:p w14:paraId="2D10383D" w14:textId="6BD6AE40" w:rsidR="00FF5DFD" w:rsidRDefault="00FF5DFD">
          <w:pPr>
            <w:pStyle w:val="TOC3"/>
            <w:rPr>
              <w:rFonts w:eastAsiaTheme="minorEastAsia"/>
              <w:noProof/>
              <w:kern w:val="2"/>
              <w:lang w:eastAsia="en-AU"/>
              <w14:ligatures w14:val="standardContextual"/>
            </w:rPr>
          </w:pPr>
          <w:hyperlink w:anchor="_Toc146033503" w:history="1">
            <w:r w:rsidRPr="009C1C70">
              <w:rPr>
                <w:rStyle w:val="Hyperlink"/>
                <w:noProof/>
              </w:rPr>
              <w:t>3.4.4</w:t>
            </w:r>
            <w:r>
              <w:rPr>
                <w:rFonts w:eastAsiaTheme="minorEastAsia"/>
                <w:noProof/>
                <w:kern w:val="2"/>
                <w:lang w:eastAsia="en-AU"/>
                <w14:ligatures w14:val="standardContextual"/>
              </w:rPr>
              <w:tab/>
            </w:r>
            <w:r w:rsidRPr="009C1C70">
              <w:rPr>
                <w:rStyle w:val="Hyperlink"/>
                <w:noProof/>
              </w:rPr>
              <w:t>Psychosocial wellbeing</w:t>
            </w:r>
            <w:r>
              <w:rPr>
                <w:noProof/>
                <w:webHidden/>
              </w:rPr>
              <w:tab/>
            </w:r>
            <w:r>
              <w:rPr>
                <w:noProof/>
                <w:webHidden/>
              </w:rPr>
              <w:fldChar w:fldCharType="begin"/>
            </w:r>
            <w:r>
              <w:rPr>
                <w:noProof/>
                <w:webHidden/>
              </w:rPr>
              <w:instrText xml:space="preserve"> PAGEREF _Toc146033503 \h </w:instrText>
            </w:r>
            <w:r>
              <w:rPr>
                <w:noProof/>
                <w:webHidden/>
              </w:rPr>
            </w:r>
            <w:r>
              <w:rPr>
                <w:noProof/>
                <w:webHidden/>
              </w:rPr>
              <w:fldChar w:fldCharType="separate"/>
            </w:r>
            <w:r w:rsidR="00180E14">
              <w:rPr>
                <w:noProof/>
                <w:webHidden/>
              </w:rPr>
              <w:t>54</w:t>
            </w:r>
            <w:r>
              <w:rPr>
                <w:noProof/>
                <w:webHidden/>
              </w:rPr>
              <w:fldChar w:fldCharType="end"/>
            </w:r>
          </w:hyperlink>
        </w:p>
        <w:p w14:paraId="624A4B22" w14:textId="457A52A7" w:rsidR="00FF5DFD" w:rsidRDefault="00FF5DFD">
          <w:pPr>
            <w:pStyle w:val="TOC2"/>
            <w:rPr>
              <w:rFonts w:eastAsiaTheme="minorEastAsia"/>
              <w:noProof/>
              <w:kern w:val="2"/>
              <w:lang w:eastAsia="en-AU"/>
              <w14:ligatures w14:val="standardContextual"/>
            </w:rPr>
          </w:pPr>
          <w:hyperlink w:anchor="_Toc146033504" w:history="1">
            <w:r w:rsidRPr="009C1C70">
              <w:rPr>
                <w:rStyle w:val="Hyperlink"/>
                <w:noProof/>
              </w:rPr>
              <w:t>3.5</w:t>
            </w:r>
            <w:r>
              <w:rPr>
                <w:rFonts w:eastAsiaTheme="minorEastAsia"/>
                <w:noProof/>
                <w:kern w:val="2"/>
                <w:lang w:eastAsia="en-AU"/>
                <w14:ligatures w14:val="standardContextual"/>
              </w:rPr>
              <w:tab/>
            </w:r>
            <w:r w:rsidRPr="009C1C70">
              <w:rPr>
                <w:rStyle w:val="Hyperlink"/>
                <w:noProof/>
              </w:rPr>
              <w:t>What elements of the TtW program are associated with increased human capability in participants?</w:t>
            </w:r>
            <w:r>
              <w:rPr>
                <w:noProof/>
                <w:webHidden/>
              </w:rPr>
              <w:tab/>
            </w:r>
            <w:r>
              <w:rPr>
                <w:noProof/>
                <w:webHidden/>
              </w:rPr>
              <w:fldChar w:fldCharType="begin"/>
            </w:r>
            <w:r>
              <w:rPr>
                <w:noProof/>
                <w:webHidden/>
              </w:rPr>
              <w:instrText xml:space="preserve"> PAGEREF _Toc146033504 \h </w:instrText>
            </w:r>
            <w:r>
              <w:rPr>
                <w:noProof/>
                <w:webHidden/>
              </w:rPr>
            </w:r>
            <w:r>
              <w:rPr>
                <w:noProof/>
                <w:webHidden/>
              </w:rPr>
              <w:fldChar w:fldCharType="separate"/>
            </w:r>
            <w:r w:rsidR="00180E14">
              <w:rPr>
                <w:noProof/>
                <w:webHidden/>
              </w:rPr>
              <w:t>54</w:t>
            </w:r>
            <w:r>
              <w:rPr>
                <w:noProof/>
                <w:webHidden/>
              </w:rPr>
              <w:fldChar w:fldCharType="end"/>
            </w:r>
          </w:hyperlink>
        </w:p>
        <w:p w14:paraId="5731426C" w14:textId="1E0DCD8D" w:rsidR="00FF5DFD" w:rsidRDefault="00FF5DFD">
          <w:pPr>
            <w:pStyle w:val="TOC3"/>
            <w:rPr>
              <w:rFonts w:eastAsiaTheme="minorEastAsia"/>
              <w:noProof/>
              <w:kern w:val="2"/>
              <w:lang w:eastAsia="en-AU"/>
              <w14:ligatures w14:val="standardContextual"/>
            </w:rPr>
          </w:pPr>
          <w:hyperlink w:anchor="_Toc146033505" w:history="1">
            <w:r w:rsidRPr="009C1C70">
              <w:rPr>
                <w:rStyle w:val="Hyperlink"/>
                <w:noProof/>
              </w:rPr>
              <w:t>3.5.1</w:t>
            </w:r>
            <w:r>
              <w:rPr>
                <w:rFonts w:eastAsiaTheme="minorEastAsia"/>
                <w:noProof/>
                <w:kern w:val="2"/>
                <w:lang w:eastAsia="en-AU"/>
                <w14:ligatures w14:val="standardContextual"/>
              </w:rPr>
              <w:tab/>
            </w:r>
            <w:r w:rsidRPr="009C1C70">
              <w:rPr>
                <w:rStyle w:val="Hyperlink"/>
                <w:noProof/>
              </w:rPr>
              <w:t>Correlations between program elements and human capability indicators</w:t>
            </w:r>
            <w:r>
              <w:rPr>
                <w:noProof/>
                <w:webHidden/>
              </w:rPr>
              <w:tab/>
            </w:r>
            <w:r>
              <w:rPr>
                <w:noProof/>
                <w:webHidden/>
              </w:rPr>
              <w:fldChar w:fldCharType="begin"/>
            </w:r>
            <w:r>
              <w:rPr>
                <w:noProof/>
                <w:webHidden/>
              </w:rPr>
              <w:instrText xml:space="preserve"> PAGEREF _Toc146033505 \h </w:instrText>
            </w:r>
            <w:r>
              <w:rPr>
                <w:noProof/>
                <w:webHidden/>
              </w:rPr>
            </w:r>
            <w:r>
              <w:rPr>
                <w:noProof/>
                <w:webHidden/>
              </w:rPr>
              <w:fldChar w:fldCharType="separate"/>
            </w:r>
            <w:r w:rsidR="00180E14">
              <w:rPr>
                <w:noProof/>
                <w:webHidden/>
              </w:rPr>
              <w:t>54</w:t>
            </w:r>
            <w:r>
              <w:rPr>
                <w:noProof/>
                <w:webHidden/>
              </w:rPr>
              <w:fldChar w:fldCharType="end"/>
            </w:r>
          </w:hyperlink>
        </w:p>
        <w:p w14:paraId="17CE18BB" w14:textId="3AAAEB96" w:rsidR="00FF5DFD" w:rsidRDefault="00FF5DFD">
          <w:pPr>
            <w:pStyle w:val="TOC3"/>
            <w:rPr>
              <w:rFonts w:eastAsiaTheme="minorEastAsia"/>
              <w:noProof/>
              <w:kern w:val="2"/>
              <w:lang w:eastAsia="en-AU"/>
              <w14:ligatures w14:val="standardContextual"/>
            </w:rPr>
          </w:pPr>
          <w:hyperlink w:anchor="_Toc146033506" w:history="1">
            <w:r w:rsidRPr="009C1C70">
              <w:rPr>
                <w:rStyle w:val="Hyperlink"/>
                <w:noProof/>
              </w:rPr>
              <w:t>3.5.2</w:t>
            </w:r>
            <w:r>
              <w:rPr>
                <w:rFonts w:eastAsiaTheme="minorEastAsia"/>
                <w:noProof/>
                <w:kern w:val="2"/>
                <w:lang w:eastAsia="en-AU"/>
                <w14:ligatures w14:val="standardContextual"/>
              </w:rPr>
              <w:tab/>
            </w:r>
            <w:r w:rsidRPr="009C1C70">
              <w:rPr>
                <w:rStyle w:val="Hyperlink"/>
                <w:noProof/>
              </w:rPr>
              <w:t>Correlations between work/study and human capability indicators</w:t>
            </w:r>
            <w:r>
              <w:rPr>
                <w:noProof/>
                <w:webHidden/>
              </w:rPr>
              <w:tab/>
            </w:r>
            <w:r>
              <w:rPr>
                <w:noProof/>
                <w:webHidden/>
              </w:rPr>
              <w:fldChar w:fldCharType="begin"/>
            </w:r>
            <w:r>
              <w:rPr>
                <w:noProof/>
                <w:webHidden/>
              </w:rPr>
              <w:instrText xml:space="preserve"> PAGEREF _Toc146033506 \h </w:instrText>
            </w:r>
            <w:r>
              <w:rPr>
                <w:noProof/>
                <w:webHidden/>
              </w:rPr>
            </w:r>
            <w:r>
              <w:rPr>
                <w:noProof/>
                <w:webHidden/>
              </w:rPr>
              <w:fldChar w:fldCharType="separate"/>
            </w:r>
            <w:r w:rsidR="00180E14">
              <w:rPr>
                <w:noProof/>
                <w:webHidden/>
              </w:rPr>
              <w:t>56</w:t>
            </w:r>
            <w:r>
              <w:rPr>
                <w:noProof/>
                <w:webHidden/>
              </w:rPr>
              <w:fldChar w:fldCharType="end"/>
            </w:r>
          </w:hyperlink>
        </w:p>
        <w:p w14:paraId="58977C33" w14:textId="48C6D4B5" w:rsidR="00FF5DFD" w:rsidRDefault="00FF5DFD">
          <w:pPr>
            <w:pStyle w:val="TOC3"/>
            <w:rPr>
              <w:rFonts w:eastAsiaTheme="minorEastAsia"/>
              <w:noProof/>
              <w:kern w:val="2"/>
              <w:lang w:eastAsia="en-AU"/>
              <w14:ligatures w14:val="standardContextual"/>
            </w:rPr>
          </w:pPr>
          <w:hyperlink w:anchor="_Toc146033507" w:history="1">
            <w:r w:rsidRPr="009C1C70">
              <w:rPr>
                <w:rStyle w:val="Hyperlink"/>
                <w:noProof/>
              </w:rPr>
              <w:t>3.5.3</w:t>
            </w:r>
            <w:r>
              <w:rPr>
                <w:rFonts w:eastAsiaTheme="minorEastAsia"/>
                <w:noProof/>
                <w:kern w:val="2"/>
                <w:lang w:eastAsia="en-AU"/>
                <w14:ligatures w14:val="standardContextual"/>
              </w:rPr>
              <w:tab/>
            </w:r>
            <w:r w:rsidRPr="009C1C70">
              <w:rPr>
                <w:rStyle w:val="Hyperlink"/>
                <w:noProof/>
              </w:rPr>
              <w:t>The impact of provider characteristics</w:t>
            </w:r>
            <w:r>
              <w:rPr>
                <w:noProof/>
                <w:webHidden/>
              </w:rPr>
              <w:tab/>
            </w:r>
            <w:r>
              <w:rPr>
                <w:noProof/>
                <w:webHidden/>
              </w:rPr>
              <w:fldChar w:fldCharType="begin"/>
            </w:r>
            <w:r>
              <w:rPr>
                <w:noProof/>
                <w:webHidden/>
              </w:rPr>
              <w:instrText xml:space="preserve"> PAGEREF _Toc146033507 \h </w:instrText>
            </w:r>
            <w:r>
              <w:rPr>
                <w:noProof/>
                <w:webHidden/>
              </w:rPr>
            </w:r>
            <w:r>
              <w:rPr>
                <w:noProof/>
                <w:webHidden/>
              </w:rPr>
              <w:fldChar w:fldCharType="separate"/>
            </w:r>
            <w:r w:rsidR="00180E14">
              <w:rPr>
                <w:noProof/>
                <w:webHidden/>
              </w:rPr>
              <w:t>57</w:t>
            </w:r>
            <w:r>
              <w:rPr>
                <w:noProof/>
                <w:webHidden/>
              </w:rPr>
              <w:fldChar w:fldCharType="end"/>
            </w:r>
          </w:hyperlink>
        </w:p>
        <w:p w14:paraId="46848832" w14:textId="053C1F7E" w:rsidR="00FF5DFD" w:rsidRDefault="00FF5DFD">
          <w:pPr>
            <w:pStyle w:val="TOC2"/>
            <w:rPr>
              <w:rFonts w:eastAsiaTheme="minorEastAsia"/>
              <w:noProof/>
              <w:kern w:val="2"/>
              <w:lang w:eastAsia="en-AU"/>
              <w14:ligatures w14:val="standardContextual"/>
            </w:rPr>
          </w:pPr>
          <w:hyperlink w:anchor="_Toc146033508" w:history="1">
            <w:r w:rsidRPr="009C1C70">
              <w:rPr>
                <w:rStyle w:val="Hyperlink"/>
                <w:noProof/>
              </w:rPr>
              <w:t>3.6</w:t>
            </w:r>
            <w:r>
              <w:rPr>
                <w:rFonts w:eastAsiaTheme="minorEastAsia"/>
                <w:noProof/>
                <w:kern w:val="2"/>
                <w:lang w:eastAsia="en-AU"/>
                <w14:ligatures w14:val="standardContextual"/>
              </w:rPr>
              <w:tab/>
            </w:r>
            <w:r w:rsidRPr="009C1C70">
              <w:rPr>
                <w:rStyle w:val="Hyperlink"/>
                <w:noProof/>
              </w:rPr>
              <w:t>Conclusion</w:t>
            </w:r>
            <w:r>
              <w:rPr>
                <w:noProof/>
                <w:webHidden/>
              </w:rPr>
              <w:tab/>
            </w:r>
            <w:r>
              <w:rPr>
                <w:noProof/>
                <w:webHidden/>
              </w:rPr>
              <w:fldChar w:fldCharType="begin"/>
            </w:r>
            <w:r>
              <w:rPr>
                <w:noProof/>
                <w:webHidden/>
              </w:rPr>
              <w:instrText xml:space="preserve"> PAGEREF _Toc146033508 \h </w:instrText>
            </w:r>
            <w:r>
              <w:rPr>
                <w:noProof/>
                <w:webHidden/>
              </w:rPr>
            </w:r>
            <w:r>
              <w:rPr>
                <w:noProof/>
                <w:webHidden/>
              </w:rPr>
              <w:fldChar w:fldCharType="separate"/>
            </w:r>
            <w:r w:rsidR="00180E14">
              <w:rPr>
                <w:noProof/>
                <w:webHidden/>
              </w:rPr>
              <w:t>60</w:t>
            </w:r>
            <w:r>
              <w:rPr>
                <w:noProof/>
                <w:webHidden/>
              </w:rPr>
              <w:fldChar w:fldCharType="end"/>
            </w:r>
          </w:hyperlink>
        </w:p>
        <w:p w14:paraId="6569AD92" w14:textId="48264581" w:rsidR="00FF5DFD" w:rsidRDefault="00FF5DFD">
          <w:pPr>
            <w:pStyle w:val="TOC1"/>
            <w:rPr>
              <w:rFonts w:eastAsiaTheme="minorEastAsia"/>
              <w:b w:val="0"/>
              <w:noProof/>
              <w:kern w:val="2"/>
              <w:lang w:eastAsia="en-AU"/>
              <w14:ligatures w14:val="standardContextual"/>
            </w:rPr>
          </w:pPr>
          <w:hyperlink w:anchor="_Toc146033509" w:history="1">
            <w:r w:rsidRPr="009C1C70">
              <w:rPr>
                <w:rStyle w:val="Hyperlink"/>
                <w:noProof/>
              </w:rPr>
              <w:t>Chapter 4 – What impact does TtW have on participants’ incarceration rates?</w:t>
            </w:r>
            <w:r>
              <w:rPr>
                <w:noProof/>
                <w:webHidden/>
              </w:rPr>
              <w:tab/>
            </w:r>
            <w:r>
              <w:rPr>
                <w:noProof/>
                <w:webHidden/>
              </w:rPr>
              <w:fldChar w:fldCharType="begin"/>
            </w:r>
            <w:r>
              <w:rPr>
                <w:noProof/>
                <w:webHidden/>
              </w:rPr>
              <w:instrText xml:space="preserve"> PAGEREF _Toc146033509 \h </w:instrText>
            </w:r>
            <w:r>
              <w:rPr>
                <w:noProof/>
                <w:webHidden/>
              </w:rPr>
            </w:r>
            <w:r>
              <w:rPr>
                <w:noProof/>
                <w:webHidden/>
              </w:rPr>
              <w:fldChar w:fldCharType="separate"/>
            </w:r>
            <w:r w:rsidR="00180E14">
              <w:rPr>
                <w:noProof/>
                <w:webHidden/>
              </w:rPr>
              <w:t>62</w:t>
            </w:r>
            <w:r>
              <w:rPr>
                <w:noProof/>
                <w:webHidden/>
              </w:rPr>
              <w:fldChar w:fldCharType="end"/>
            </w:r>
          </w:hyperlink>
        </w:p>
        <w:p w14:paraId="223497DA" w14:textId="1FEB9F95" w:rsidR="00FF5DFD" w:rsidRDefault="00FF5DFD">
          <w:pPr>
            <w:pStyle w:val="TOC2"/>
            <w:rPr>
              <w:rFonts w:eastAsiaTheme="minorEastAsia"/>
              <w:noProof/>
              <w:kern w:val="2"/>
              <w:lang w:eastAsia="en-AU"/>
              <w14:ligatures w14:val="standardContextual"/>
            </w:rPr>
          </w:pPr>
          <w:hyperlink w:anchor="_Toc146033510" w:history="1">
            <w:r w:rsidRPr="009C1C70">
              <w:rPr>
                <w:rStyle w:val="Hyperlink"/>
                <w:noProof/>
              </w:rPr>
              <w:t>4.1</w:t>
            </w:r>
            <w:r>
              <w:rPr>
                <w:rFonts w:eastAsiaTheme="minorEastAsia"/>
                <w:noProof/>
                <w:kern w:val="2"/>
                <w:lang w:eastAsia="en-AU"/>
                <w14:ligatures w14:val="standardContextual"/>
              </w:rPr>
              <w:tab/>
            </w:r>
            <w:r w:rsidRPr="009C1C70">
              <w:rPr>
                <w:rStyle w:val="Hyperlink"/>
                <w:noProof/>
              </w:rPr>
              <w:t>Introduction</w:t>
            </w:r>
            <w:r>
              <w:rPr>
                <w:noProof/>
                <w:webHidden/>
              </w:rPr>
              <w:tab/>
            </w:r>
            <w:r>
              <w:rPr>
                <w:noProof/>
                <w:webHidden/>
              </w:rPr>
              <w:fldChar w:fldCharType="begin"/>
            </w:r>
            <w:r>
              <w:rPr>
                <w:noProof/>
                <w:webHidden/>
              </w:rPr>
              <w:instrText xml:space="preserve"> PAGEREF _Toc146033510 \h </w:instrText>
            </w:r>
            <w:r>
              <w:rPr>
                <w:noProof/>
                <w:webHidden/>
              </w:rPr>
            </w:r>
            <w:r>
              <w:rPr>
                <w:noProof/>
                <w:webHidden/>
              </w:rPr>
              <w:fldChar w:fldCharType="separate"/>
            </w:r>
            <w:r w:rsidR="00180E14">
              <w:rPr>
                <w:noProof/>
                <w:webHidden/>
              </w:rPr>
              <w:t>62</w:t>
            </w:r>
            <w:r>
              <w:rPr>
                <w:noProof/>
                <w:webHidden/>
              </w:rPr>
              <w:fldChar w:fldCharType="end"/>
            </w:r>
          </w:hyperlink>
        </w:p>
        <w:p w14:paraId="56B2498E" w14:textId="4F10F091" w:rsidR="00FF5DFD" w:rsidRDefault="00FF5DFD">
          <w:pPr>
            <w:pStyle w:val="TOC2"/>
            <w:rPr>
              <w:rFonts w:eastAsiaTheme="minorEastAsia"/>
              <w:noProof/>
              <w:kern w:val="2"/>
              <w:lang w:eastAsia="en-AU"/>
              <w14:ligatures w14:val="standardContextual"/>
            </w:rPr>
          </w:pPr>
          <w:hyperlink w:anchor="_Toc146033511" w:history="1">
            <w:r w:rsidRPr="009C1C70">
              <w:rPr>
                <w:rStyle w:val="Hyperlink"/>
                <w:noProof/>
              </w:rPr>
              <w:t>4.2</w:t>
            </w:r>
            <w:r>
              <w:rPr>
                <w:rFonts w:eastAsiaTheme="minorEastAsia"/>
                <w:noProof/>
                <w:kern w:val="2"/>
                <w:lang w:eastAsia="en-AU"/>
                <w14:ligatures w14:val="standardContextual"/>
              </w:rPr>
              <w:tab/>
            </w:r>
            <w:r w:rsidRPr="009C1C70">
              <w:rPr>
                <w:rStyle w:val="Hyperlink"/>
                <w:noProof/>
              </w:rPr>
              <w:t>Prison sentences</w:t>
            </w:r>
            <w:r>
              <w:rPr>
                <w:noProof/>
                <w:webHidden/>
              </w:rPr>
              <w:tab/>
            </w:r>
            <w:r>
              <w:rPr>
                <w:noProof/>
                <w:webHidden/>
              </w:rPr>
              <w:fldChar w:fldCharType="begin"/>
            </w:r>
            <w:r>
              <w:rPr>
                <w:noProof/>
                <w:webHidden/>
              </w:rPr>
              <w:instrText xml:space="preserve"> PAGEREF _Toc146033511 \h </w:instrText>
            </w:r>
            <w:r>
              <w:rPr>
                <w:noProof/>
                <w:webHidden/>
              </w:rPr>
            </w:r>
            <w:r>
              <w:rPr>
                <w:noProof/>
                <w:webHidden/>
              </w:rPr>
              <w:fldChar w:fldCharType="separate"/>
            </w:r>
            <w:r w:rsidR="00180E14">
              <w:rPr>
                <w:noProof/>
                <w:webHidden/>
              </w:rPr>
              <w:t>62</w:t>
            </w:r>
            <w:r>
              <w:rPr>
                <w:noProof/>
                <w:webHidden/>
              </w:rPr>
              <w:fldChar w:fldCharType="end"/>
            </w:r>
          </w:hyperlink>
        </w:p>
        <w:p w14:paraId="10BCB1BE" w14:textId="3EEE0493" w:rsidR="00FF5DFD" w:rsidRDefault="00FF5DFD">
          <w:pPr>
            <w:pStyle w:val="TOC2"/>
            <w:rPr>
              <w:rFonts w:eastAsiaTheme="minorEastAsia"/>
              <w:noProof/>
              <w:kern w:val="2"/>
              <w:lang w:eastAsia="en-AU"/>
              <w14:ligatures w14:val="standardContextual"/>
            </w:rPr>
          </w:pPr>
          <w:hyperlink w:anchor="_Toc146033512" w:history="1">
            <w:r w:rsidRPr="009C1C70">
              <w:rPr>
                <w:rStyle w:val="Hyperlink"/>
                <w:noProof/>
              </w:rPr>
              <w:t>4.3</w:t>
            </w:r>
            <w:r>
              <w:rPr>
                <w:rFonts w:eastAsiaTheme="minorEastAsia"/>
                <w:noProof/>
                <w:kern w:val="2"/>
                <w:lang w:eastAsia="en-AU"/>
                <w14:ligatures w14:val="standardContextual"/>
              </w:rPr>
              <w:tab/>
            </w:r>
            <w:r w:rsidRPr="009C1C70">
              <w:rPr>
                <w:rStyle w:val="Hyperlink"/>
                <w:noProof/>
              </w:rPr>
              <w:t>Reoffending</w:t>
            </w:r>
            <w:r>
              <w:rPr>
                <w:noProof/>
                <w:webHidden/>
              </w:rPr>
              <w:tab/>
            </w:r>
            <w:r>
              <w:rPr>
                <w:noProof/>
                <w:webHidden/>
              </w:rPr>
              <w:fldChar w:fldCharType="begin"/>
            </w:r>
            <w:r>
              <w:rPr>
                <w:noProof/>
                <w:webHidden/>
              </w:rPr>
              <w:instrText xml:space="preserve"> PAGEREF _Toc146033512 \h </w:instrText>
            </w:r>
            <w:r>
              <w:rPr>
                <w:noProof/>
                <w:webHidden/>
              </w:rPr>
            </w:r>
            <w:r>
              <w:rPr>
                <w:noProof/>
                <w:webHidden/>
              </w:rPr>
              <w:fldChar w:fldCharType="separate"/>
            </w:r>
            <w:r w:rsidR="00180E14">
              <w:rPr>
                <w:noProof/>
                <w:webHidden/>
              </w:rPr>
              <w:t>63</w:t>
            </w:r>
            <w:r>
              <w:rPr>
                <w:noProof/>
                <w:webHidden/>
              </w:rPr>
              <w:fldChar w:fldCharType="end"/>
            </w:r>
          </w:hyperlink>
        </w:p>
        <w:p w14:paraId="31FB81BE" w14:textId="3EEF205F" w:rsidR="00FF5DFD" w:rsidRDefault="00FF5DFD">
          <w:pPr>
            <w:pStyle w:val="TOC2"/>
            <w:rPr>
              <w:rFonts w:eastAsiaTheme="minorEastAsia"/>
              <w:noProof/>
              <w:kern w:val="2"/>
              <w:lang w:eastAsia="en-AU"/>
              <w14:ligatures w14:val="standardContextual"/>
            </w:rPr>
          </w:pPr>
          <w:hyperlink w:anchor="_Toc146033513" w:history="1">
            <w:r w:rsidRPr="009C1C70">
              <w:rPr>
                <w:rStyle w:val="Hyperlink"/>
                <w:noProof/>
              </w:rPr>
              <w:t>4.4</w:t>
            </w:r>
            <w:r>
              <w:rPr>
                <w:rFonts w:eastAsiaTheme="minorEastAsia"/>
                <w:noProof/>
                <w:kern w:val="2"/>
                <w:lang w:eastAsia="en-AU"/>
                <w14:ligatures w14:val="standardContextual"/>
              </w:rPr>
              <w:tab/>
            </w:r>
            <w:r w:rsidRPr="009C1C70">
              <w:rPr>
                <w:rStyle w:val="Hyperlink"/>
                <w:noProof/>
              </w:rPr>
              <w:t>Participants who are ex-offenders on referral</w:t>
            </w:r>
            <w:r>
              <w:rPr>
                <w:noProof/>
                <w:webHidden/>
              </w:rPr>
              <w:tab/>
            </w:r>
            <w:r>
              <w:rPr>
                <w:noProof/>
                <w:webHidden/>
              </w:rPr>
              <w:fldChar w:fldCharType="begin"/>
            </w:r>
            <w:r>
              <w:rPr>
                <w:noProof/>
                <w:webHidden/>
              </w:rPr>
              <w:instrText xml:space="preserve"> PAGEREF _Toc146033513 \h </w:instrText>
            </w:r>
            <w:r>
              <w:rPr>
                <w:noProof/>
                <w:webHidden/>
              </w:rPr>
            </w:r>
            <w:r>
              <w:rPr>
                <w:noProof/>
                <w:webHidden/>
              </w:rPr>
              <w:fldChar w:fldCharType="separate"/>
            </w:r>
            <w:r w:rsidR="00180E14">
              <w:rPr>
                <w:noProof/>
                <w:webHidden/>
              </w:rPr>
              <w:t>64</w:t>
            </w:r>
            <w:r>
              <w:rPr>
                <w:noProof/>
                <w:webHidden/>
              </w:rPr>
              <w:fldChar w:fldCharType="end"/>
            </w:r>
          </w:hyperlink>
        </w:p>
        <w:p w14:paraId="18AD26F3" w14:textId="4EC61EA8" w:rsidR="00FF5DFD" w:rsidRDefault="00FF5DFD">
          <w:pPr>
            <w:pStyle w:val="TOC2"/>
            <w:rPr>
              <w:rFonts w:eastAsiaTheme="minorEastAsia"/>
              <w:noProof/>
              <w:kern w:val="2"/>
              <w:lang w:eastAsia="en-AU"/>
              <w14:ligatures w14:val="standardContextual"/>
            </w:rPr>
          </w:pPr>
          <w:hyperlink w:anchor="_Toc146033514" w:history="1">
            <w:r w:rsidRPr="009C1C70">
              <w:rPr>
                <w:rStyle w:val="Hyperlink"/>
                <w:noProof/>
              </w:rPr>
              <w:t>4.5</w:t>
            </w:r>
            <w:r>
              <w:rPr>
                <w:rFonts w:eastAsiaTheme="minorEastAsia"/>
                <w:noProof/>
                <w:kern w:val="2"/>
                <w:lang w:eastAsia="en-AU"/>
                <w14:ligatures w14:val="standardContextual"/>
              </w:rPr>
              <w:tab/>
            </w:r>
            <w:r w:rsidRPr="009C1C70">
              <w:rPr>
                <w:rStyle w:val="Hyperlink"/>
                <w:noProof/>
              </w:rPr>
              <w:t>Aboriginal and Torres Strait Islander participants</w:t>
            </w:r>
            <w:r>
              <w:rPr>
                <w:noProof/>
                <w:webHidden/>
              </w:rPr>
              <w:tab/>
            </w:r>
            <w:r>
              <w:rPr>
                <w:noProof/>
                <w:webHidden/>
              </w:rPr>
              <w:fldChar w:fldCharType="begin"/>
            </w:r>
            <w:r>
              <w:rPr>
                <w:noProof/>
                <w:webHidden/>
              </w:rPr>
              <w:instrText xml:space="preserve"> PAGEREF _Toc146033514 \h </w:instrText>
            </w:r>
            <w:r>
              <w:rPr>
                <w:noProof/>
                <w:webHidden/>
              </w:rPr>
            </w:r>
            <w:r>
              <w:rPr>
                <w:noProof/>
                <w:webHidden/>
              </w:rPr>
              <w:fldChar w:fldCharType="separate"/>
            </w:r>
            <w:r w:rsidR="00180E14">
              <w:rPr>
                <w:noProof/>
                <w:webHidden/>
              </w:rPr>
              <w:t>65</w:t>
            </w:r>
            <w:r>
              <w:rPr>
                <w:noProof/>
                <w:webHidden/>
              </w:rPr>
              <w:fldChar w:fldCharType="end"/>
            </w:r>
          </w:hyperlink>
        </w:p>
        <w:p w14:paraId="45BBF259" w14:textId="200B50DA" w:rsidR="00FF5DFD" w:rsidRDefault="00FF5DFD">
          <w:pPr>
            <w:pStyle w:val="TOC2"/>
            <w:rPr>
              <w:rFonts w:eastAsiaTheme="minorEastAsia"/>
              <w:noProof/>
              <w:kern w:val="2"/>
              <w:lang w:eastAsia="en-AU"/>
              <w14:ligatures w14:val="standardContextual"/>
            </w:rPr>
          </w:pPr>
          <w:hyperlink w:anchor="_Toc146033515" w:history="1">
            <w:r w:rsidRPr="009C1C70">
              <w:rPr>
                <w:rStyle w:val="Hyperlink"/>
                <w:noProof/>
                <w:lang w:eastAsia="en-AU"/>
              </w:rPr>
              <w:t>4.6</w:t>
            </w:r>
            <w:r>
              <w:rPr>
                <w:rFonts w:eastAsiaTheme="minorEastAsia"/>
                <w:noProof/>
                <w:kern w:val="2"/>
                <w:lang w:eastAsia="en-AU"/>
                <w14:ligatures w14:val="standardContextual"/>
              </w:rPr>
              <w:tab/>
            </w:r>
            <w:r w:rsidRPr="009C1C70">
              <w:rPr>
                <w:rStyle w:val="Hyperlink"/>
                <w:noProof/>
                <w:lang w:eastAsia="en-AU"/>
              </w:rPr>
              <w:t>Conclusion</w:t>
            </w:r>
            <w:r>
              <w:rPr>
                <w:noProof/>
                <w:webHidden/>
              </w:rPr>
              <w:tab/>
            </w:r>
            <w:r>
              <w:rPr>
                <w:noProof/>
                <w:webHidden/>
              </w:rPr>
              <w:fldChar w:fldCharType="begin"/>
            </w:r>
            <w:r>
              <w:rPr>
                <w:noProof/>
                <w:webHidden/>
              </w:rPr>
              <w:instrText xml:space="preserve"> PAGEREF _Toc146033515 \h </w:instrText>
            </w:r>
            <w:r>
              <w:rPr>
                <w:noProof/>
                <w:webHidden/>
              </w:rPr>
            </w:r>
            <w:r>
              <w:rPr>
                <w:noProof/>
                <w:webHidden/>
              </w:rPr>
              <w:fldChar w:fldCharType="separate"/>
            </w:r>
            <w:r w:rsidR="00180E14">
              <w:rPr>
                <w:noProof/>
                <w:webHidden/>
              </w:rPr>
              <w:t>66</w:t>
            </w:r>
            <w:r>
              <w:rPr>
                <w:noProof/>
                <w:webHidden/>
              </w:rPr>
              <w:fldChar w:fldCharType="end"/>
            </w:r>
          </w:hyperlink>
        </w:p>
        <w:p w14:paraId="564D1167" w14:textId="6EB79268" w:rsidR="00FF5DFD" w:rsidRDefault="00FF5DFD">
          <w:pPr>
            <w:pStyle w:val="TOC1"/>
            <w:rPr>
              <w:rFonts w:eastAsiaTheme="minorEastAsia"/>
              <w:b w:val="0"/>
              <w:noProof/>
              <w:kern w:val="2"/>
              <w:lang w:eastAsia="en-AU"/>
              <w14:ligatures w14:val="standardContextual"/>
            </w:rPr>
          </w:pPr>
          <w:hyperlink w:anchor="_Toc146033516" w:history="1">
            <w:r w:rsidRPr="009C1C70">
              <w:rPr>
                <w:rStyle w:val="Hyperlink"/>
                <w:noProof/>
              </w:rPr>
              <w:t>Chapter 5 – To what extent is TtW achieving the intended longer-term (3 to 4 year) objective of increased employment and labour market engagement and reduced dependence on income support for young people?</w:t>
            </w:r>
            <w:r>
              <w:rPr>
                <w:noProof/>
                <w:webHidden/>
              </w:rPr>
              <w:tab/>
            </w:r>
            <w:r>
              <w:rPr>
                <w:noProof/>
                <w:webHidden/>
              </w:rPr>
              <w:fldChar w:fldCharType="begin"/>
            </w:r>
            <w:r>
              <w:rPr>
                <w:noProof/>
                <w:webHidden/>
              </w:rPr>
              <w:instrText xml:space="preserve"> PAGEREF _Toc146033516 \h </w:instrText>
            </w:r>
            <w:r>
              <w:rPr>
                <w:noProof/>
                <w:webHidden/>
              </w:rPr>
            </w:r>
            <w:r>
              <w:rPr>
                <w:noProof/>
                <w:webHidden/>
              </w:rPr>
              <w:fldChar w:fldCharType="separate"/>
            </w:r>
            <w:r w:rsidR="00180E14">
              <w:rPr>
                <w:noProof/>
                <w:webHidden/>
              </w:rPr>
              <w:t>67</w:t>
            </w:r>
            <w:r>
              <w:rPr>
                <w:noProof/>
                <w:webHidden/>
              </w:rPr>
              <w:fldChar w:fldCharType="end"/>
            </w:r>
          </w:hyperlink>
        </w:p>
        <w:p w14:paraId="65A18AC9" w14:textId="11EF82B7" w:rsidR="00FF5DFD" w:rsidRDefault="00FF5DFD">
          <w:pPr>
            <w:pStyle w:val="TOC2"/>
            <w:rPr>
              <w:rFonts w:eastAsiaTheme="minorEastAsia"/>
              <w:noProof/>
              <w:kern w:val="2"/>
              <w:lang w:eastAsia="en-AU"/>
              <w14:ligatures w14:val="standardContextual"/>
            </w:rPr>
          </w:pPr>
          <w:hyperlink w:anchor="_Toc146033517" w:history="1">
            <w:r w:rsidRPr="009C1C70">
              <w:rPr>
                <w:rStyle w:val="Hyperlink"/>
                <w:noProof/>
              </w:rPr>
              <w:t>5.1</w:t>
            </w:r>
            <w:r>
              <w:rPr>
                <w:rFonts w:eastAsiaTheme="minorEastAsia"/>
                <w:noProof/>
                <w:kern w:val="2"/>
                <w:lang w:eastAsia="en-AU"/>
                <w14:ligatures w14:val="standardContextual"/>
              </w:rPr>
              <w:tab/>
            </w:r>
            <w:r w:rsidRPr="009C1C70">
              <w:rPr>
                <w:rStyle w:val="Hyperlink"/>
                <w:noProof/>
              </w:rPr>
              <w:t>Introduction</w:t>
            </w:r>
            <w:r>
              <w:rPr>
                <w:noProof/>
                <w:webHidden/>
              </w:rPr>
              <w:tab/>
            </w:r>
            <w:r>
              <w:rPr>
                <w:noProof/>
                <w:webHidden/>
              </w:rPr>
              <w:fldChar w:fldCharType="begin"/>
            </w:r>
            <w:r>
              <w:rPr>
                <w:noProof/>
                <w:webHidden/>
              </w:rPr>
              <w:instrText xml:space="preserve"> PAGEREF _Toc146033517 \h </w:instrText>
            </w:r>
            <w:r>
              <w:rPr>
                <w:noProof/>
                <w:webHidden/>
              </w:rPr>
            </w:r>
            <w:r>
              <w:rPr>
                <w:noProof/>
                <w:webHidden/>
              </w:rPr>
              <w:fldChar w:fldCharType="separate"/>
            </w:r>
            <w:r w:rsidR="00180E14">
              <w:rPr>
                <w:noProof/>
                <w:webHidden/>
              </w:rPr>
              <w:t>67</w:t>
            </w:r>
            <w:r>
              <w:rPr>
                <w:noProof/>
                <w:webHidden/>
              </w:rPr>
              <w:fldChar w:fldCharType="end"/>
            </w:r>
          </w:hyperlink>
        </w:p>
        <w:p w14:paraId="01563038" w14:textId="55B8E2E7" w:rsidR="00FF5DFD" w:rsidRDefault="00FF5DFD">
          <w:pPr>
            <w:pStyle w:val="TOC2"/>
            <w:rPr>
              <w:rFonts w:eastAsiaTheme="minorEastAsia"/>
              <w:noProof/>
              <w:kern w:val="2"/>
              <w:lang w:eastAsia="en-AU"/>
              <w14:ligatures w14:val="standardContextual"/>
            </w:rPr>
          </w:pPr>
          <w:hyperlink w:anchor="_Toc146033518" w:history="1">
            <w:r w:rsidRPr="009C1C70">
              <w:rPr>
                <w:rStyle w:val="Hyperlink"/>
                <w:noProof/>
              </w:rPr>
              <w:t>5.2</w:t>
            </w:r>
            <w:r>
              <w:rPr>
                <w:rFonts w:eastAsiaTheme="minorEastAsia"/>
                <w:noProof/>
                <w:kern w:val="2"/>
                <w:lang w:eastAsia="en-AU"/>
                <w14:ligatures w14:val="standardContextual"/>
              </w:rPr>
              <w:tab/>
            </w:r>
            <w:r w:rsidRPr="009C1C70">
              <w:rPr>
                <w:rStyle w:val="Hyperlink"/>
                <w:noProof/>
              </w:rPr>
              <w:t>The impact of TtW over the longer term</w:t>
            </w:r>
            <w:r>
              <w:rPr>
                <w:noProof/>
                <w:webHidden/>
              </w:rPr>
              <w:tab/>
            </w:r>
            <w:r>
              <w:rPr>
                <w:noProof/>
                <w:webHidden/>
              </w:rPr>
              <w:fldChar w:fldCharType="begin"/>
            </w:r>
            <w:r>
              <w:rPr>
                <w:noProof/>
                <w:webHidden/>
              </w:rPr>
              <w:instrText xml:space="preserve"> PAGEREF _Toc146033518 \h </w:instrText>
            </w:r>
            <w:r>
              <w:rPr>
                <w:noProof/>
                <w:webHidden/>
              </w:rPr>
            </w:r>
            <w:r>
              <w:rPr>
                <w:noProof/>
                <w:webHidden/>
              </w:rPr>
              <w:fldChar w:fldCharType="separate"/>
            </w:r>
            <w:r w:rsidR="00180E14">
              <w:rPr>
                <w:noProof/>
                <w:webHidden/>
              </w:rPr>
              <w:t>67</w:t>
            </w:r>
            <w:r>
              <w:rPr>
                <w:noProof/>
                <w:webHidden/>
              </w:rPr>
              <w:fldChar w:fldCharType="end"/>
            </w:r>
          </w:hyperlink>
        </w:p>
        <w:p w14:paraId="628476BC" w14:textId="76683F5B" w:rsidR="00FF5DFD" w:rsidRDefault="00FF5DFD">
          <w:pPr>
            <w:pStyle w:val="TOC3"/>
            <w:rPr>
              <w:rFonts w:eastAsiaTheme="minorEastAsia"/>
              <w:noProof/>
              <w:kern w:val="2"/>
              <w:lang w:eastAsia="en-AU"/>
              <w14:ligatures w14:val="standardContextual"/>
            </w:rPr>
          </w:pPr>
          <w:hyperlink w:anchor="_Toc146033519" w:history="1">
            <w:r w:rsidRPr="009C1C70">
              <w:rPr>
                <w:rStyle w:val="Hyperlink"/>
                <w:noProof/>
              </w:rPr>
              <w:t>5.2.1</w:t>
            </w:r>
            <w:r>
              <w:rPr>
                <w:rFonts w:eastAsiaTheme="minorEastAsia"/>
                <w:noProof/>
                <w:kern w:val="2"/>
                <w:lang w:eastAsia="en-AU"/>
                <w14:ligatures w14:val="standardContextual"/>
              </w:rPr>
              <w:tab/>
            </w:r>
            <w:r w:rsidRPr="009C1C70">
              <w:rPr>
                <w:rStyle w:val="Hyperlink"/>
                <w:noProof/>
              </w:rPr>
              <w:t>Employment</w:t>
            </w:r>
            <w:r>
              <w:rPr>
                <w:noProof/>
                <w:webHidden/>
              </w:rPr>
              <w:tab/>
            </w:r>
            <w:r>
              <w:rPr>
                <w:noProof/>
                <w:webHidden/>
              </w:rPr>
              <w:fldChar w:fldCharType="begin"/>
            </w:r>
            <w:r>
              <w:rPr>
                <w:noProof/>
                <w:webHidden/>
              </w:rPr>
              <w:instrText xml:space="preserve"> PAGEREF _Toc146033519 \h </w:instrText>
            </w:r>
            <w:r>
              <w:rPr>
                <w:noProof/>
                <w:webHidden/>
              </w:rPr>
            </w:r>
            <w:r>
              <w:rPr>
                <w:noProof/>
                <w:webHidden/>
              </w:rPr>
              <w:fldChar w:fldCharType="separate"/>
            </w:r>
            <w:r w:rsidR="00180E14">
              <w:rPr>
                <w:noProof/>
                <w:webHidden/>
              </w:rPr>
              <w:t>67</w:t>
            </w:r>
            <w:r>
              <w:rPr>
                <w:noProof/>
                <w:webHidden/>
              </w:rPr>
              <w:fldChar w:fldCharType="end"/>
            </w:r>
          </w:hyperlink>
        </w:p>
        <w:p w14:paraId="0ECBF274" w14:textId="5533429A" w:rsidR="00FF5DFD" w:rsidRDefault="00FF5DFD">
          <w:pPr>
            <w:pStyle w:val="TOC3"/>
            <w:rPr>
              <w:rFonts w:eastAsiaTheme="minorEastAsia"/>
              <w:noProof/>
              <w:kern w:val="2"/>
              <w:lang w:eastAsia="en-AU"/>
              <w14:ligatures w14:val="standardContextual"/>
            </w:rPr>
          </w:pPr>
          <w:hyperlink w:anchor="_Toc146033520" w:history="1">
            <w:r w:rsidRPr="009C1C70">
              <w:rPr>
                <w:rStyle w:val="Hyperlink"/>
                <w:noProof/>
              </w:rPr>
              <w:t>5.2.2</w:t>
            </w:r>
            <w:r>
              <w:rPr>
                <w:rFonts w:eastAsiaTheme="minorEastAsia"/>
                <w:noProof/>
                <w:kern w:val="2"/>
                <w:lang w:eastAsia="en-AU"/>
                <w14:ligatures w14:val="standardContextual"/>
              </w:rPr>
              <w:tab/>
            </w:r>
            <w:r w:rsidRPr="009C1C70">
              <w:rPr>
                <w:rStyle w:val="Hyperlink"/>
                <w:noProof/>
              </w:rPr>
              <w:t>Labour market attachment</w:t>
            </w:r>
            <w:r>
              <w:rPr>
                <w:noProof/>
                <w:webHidden/>
              </w:rPr>
              <w:tab/>
            </w:r>
            <w:r>
              <w:rPr>
                <w:noProof/>
                <w:webHidden/>
              </w:rPr>
              <w:fldChar w:fldCharType="begin"/>
            </w:r>
            <w:r>
              <w:rPr>
                <w:noProof/>
                <w:webHidden/>
              </w:rPr>
              <w:instrText xml:space="preserve"> PAGEREF _Toc146033520 \h </w:instrText>
            </w:r>
            <w:r>
              <w:rPr>
                <w:noProof/>
                <w:webHidden/>
              </w:rPr>
            </w:r>
            <w:r>
              <w:rPr>
                <w:noProof/>
                <w:webHidden/>
              </w:rPr>
              <w:fldChar w:fldCharType="separate"/>
            </w:r>
            <w:r w:rsidR="00180E14">
              <w:rPr>
                <w:noProof/>
                <w:webHidden/>
              </w:rPr>
              <w:t>70</w:t>
            </w:r>
            <w:r>
              <w:rPr>
                <w:noProof/>
                <w:webHidden/>
              </w:rPr>
              <w:fldChar w:fldCharType="end"/>
            </w:r>
          </w:hyperlink>
        </w:p>
        <w:p w14:paraId="4120F726" w14:textId="4B21D05E" w:rsidR="00FF5DFD" w:rsidRDefault="00FF5DFD">
          <w:pPr>
            <w:pStyle w:val="TOC3"/>
            <w:rPr>
              <w:rFonts w:eastAsiaTheme="minorEastAsia"/>
              <w:noProof/>
              <w:kern w:val="2"/>
              <w:lang w:eastAsia="en-AU"/>
              <w14:ligatures w14:val="standardContextual"/>
            </w:rPr>
          </w:pPr>
          <w:hyperlink w:anchor="_Toc146033521" w:history="1">
            <w:r w:rsidRPr="009C1C70">
              <w:rPr>
                <w:rStyle w:val="Hyperlink"/>
                <w:noProof/>
              </w:rPr>
              <w:t>5.2.3</w:t>
            </w:r>
            <w:r>
              <w:rPr>
                <w:rFonts w:eastAsiaTheme="minorEastAsia"/>
                <w:noProof/>
                <w:kern w:val="2"/>
                <w:lang w:eastAsia="en-AU"/>
                <w14:ligatures w14:val="standardContextual"/>
              </w:rPr>
              <w:tab/>
            </w:r>
            <w:r w:rsidRPr="009C1C70">
              <w:rPr>
                <w:rStyle w:val="Hyperlink"/>
                <w:noProof/>
              </w:rPr>
              <w:t>Number of income support episodes</w:t>
            </w:r>
            <w:r>
              <w:rPr>
                <w:noProof/>
                <w:webHidden/>
              </w:rPr>
              <w:tab/>
            </w:r>
            <w:r>
              <w:rPr>
                <w:noProof/>
                <w:webHidden/>
              </w:rPr>
              <w:fldChar w:fldCharType="begin"/>
            </w:r>
            <w:r>
              <w:rPr>
                <w:noProof/>
                <w:webHidden/>
              </w:rPr>
              <w:instrText xml:space="preserve"> PAGEREF _Toc146033521 \h </w:instrText>
            </w:r>
            <w:r>
              <w:rPr>
                <w:noProof/>
                <w:webHidden/>
              </w:rPr>
            </w:r>
            <w:r>
              <w:rPr>
                <w:noProof/>
                <w:webHidden/>
              </w:rPr>
              <w:fldChar w:fldCharType="separate"/>
            </w:r>
            <w:r w:rsidR="00180E14">
              <w:rPr>
                <w:noProof/>
                <w:webHidden/>
              </w:rPr>
              <w:t>72</w:t>
            </w:r>
            <w:r>
              <w:rPr>
                <w:noProof/>
                <w:webHidden/>
              </w:rPr>
              <w:fldChar w:fldCharType="end"/>
            </w:r>
          </w:hyperlink>
        </w:p>
        <w:p w14:paraId="28B650B0" w14:textId="1794BE75" w:rsidR="00FF5DFD" w:rsidRDefault="00FF5DFD">
          <w:pPr>
            <w:pStyle w:val="TOC3"/>
            <w:rPr>
              <w:rFonts w:eastAsiaTheme="minorEastAsia"/>
              <w:noProof/>
              <w:kern w:val="2"/>
              <w:lang w:eastAsia="en-AU"/>
              <w14:ligatures w14:val="standardContextual"/>
            </w:rPr>
          </w:pPr>
          <w:hyperlink w:anchor="_Toc146033522" w:history="1">
            <w:r w:rsidRPr="009C1C70">
              <w:rPr>
                <w:rStyle w:val="Hyperlink"/>
                <w:noProof/>
              </w:rPr>
              <w:t>5.2.4</w:t>
            </w:r>
            <w:r>
              <w:rPr>
                <w:rFonts w:eastAsiaTheme="minorEastAsia"/>
                <w:noProof/>
                <w:kern w:val="2"/>
                <w:lang w:eastAsia="en-AU"/>
                <w14:ligatures w14:val="standardContextual"/>
              </w:rPr>
              <w:tab/>
            </w:r>
            <w:r w:rsidRPr="009C1C70">
              <w:rPr>
                <w:rStyle w:val="Hyperlink"/>
                <w:noProof/>
              </w:rPr>
              <w:t>Full-time accredited study or apprenticeships</w:t>
            </w:r>
            <w:r>
              <w:rPr>
                <w:noProof/>
                <w:webHidden/>
              </w:rPr>
              <w:tab/>
            </w:r>
            <w:r>
              <w:rPr>
                <w:noProof/>
                <w:webHidden/>
              </w:rPr>
              <w:fldChar w:fldCharType="begin"/>
            </w:r>
            <w:r>
              <w:rPr>
                <w:noProof/>
                <w:webHidden/>
              </w:rPr>
              <w:instrText xml:space="preserve"> PAGEREF _Toc146033522 \h </w:instrText>
            </w:r>
            <w:r>
              <w:rPr>
                <w:noProof/>
                <w:webHidden/>
              </w:rPr>
            </w:r>
            <w:r>
              <w:rPr>
                <w:noProof/>
                <w:webHidden/>
              </w:rPr>
              <w:fldChar w:fldCharType="separate"/>
            </w:r>
            <w:r w:rsidR="00180E14">
              <w:rPr>
                <w:noProof/>
                <w:webHidden/>
              </w:rPr>
              <w:t>72</w:t>
            </w:r>
            <w:r>
              <w:rPr>
                <w:noProof/>
                <w:webHidden/>
              </w:rPr>
              <w:fldChar w:fldCharType="end"/>
            </w:r>
          </w:hyperlink>
        </w:p>
        <w:p w14:paraId="75422848" w14:textId="0752939E" w:rsidR="00FF5DFD" w:rsidRDefault="00FF5DFD">
          <w:pPr>
            <w:pStyle w:val="TOC2"/>
            <w:rPr>
              <w:rFonts w:eastAsiaTheme="minorEastAsia"/>
              <w:noProof/>
              <w:kern w:val="2"/>
              <w:lang w:eastAsia="en-AU"/>
              <w14:ligatures w14:val="standardContextual"/>
            </w:rPr>
          </w:pPr>
          <w:hyperlink w:anchor="_Toc146033523" w:history="1">
            <w:r w:rsidRPr="009C1C70">
              <w:rPr>
                <w:rStyle w:val="Hyperlink"/>
                <w:noProof/>
              </w:rPr>
              <w:t>5.3</w:t>
            </w:r>
            <w:r>
              <w:rPr>
                <w:rFonts w:eastAsiaTheme="minorEastAsia"/>
                <w:noProof/>
                <w:kern w:val="2"/>
                <w:lang w:eastAsia="en-AU"/>
                <w14:ligatures w14:val="standardContextual"/>
              </w:rPr>
              <w:tab/>
            </w:r>
            <w:r w:rsidRPr="009C1C70">
              <w:rPr>
                <w:rStyle w:val="Hyperlink"/>
                <w:noProof/>
              </w:rPr>
              <w:t>Impact of COVID-19 pandemic</w:t>
            </w:r>
            <w:r>
              <w:rPr>
                <w:noProof/>
                <w:webHidden/>
              </w:rPr>
              <w:tab/>
            </w:r>
            <w:r>
              <w:rPr>
                <w:noProof/>
                <w:webHidden/>
              </w:rPr>
              <w:fldChar w:fldCharType="begin"/>
            </w:r>
            <w:r>
              <w:rPr>
                <w:noProof/>
                <w:webHidden/>
              </w:rPr>
              <w:instrText xml:space="preserve"> PAGEREF _Toc146033523 \h </w:instrText>
            </w:r>
            <w:r>
              <w:rPr>
                <w:noProof/>
                <w:webHidden/>
              </w:rPr>
            </w:r>
            <w:r>
              <w:rPr>
                <w:noProof/>
                <w:webHidden/>
              </w:rPr>
              <w:fldChar w:fldCharType="separate"/>
            </w:r>
            <w:r w:rsidR="00180E14">
              <w:rPr>
                <w:noProof/>
                <w:webHidden/>
              </w:rPr>
              <w:t>74</w:t>
            </w:r>
            <w:r>
              <w:rPr>
                <w:noProof/>
                <w:webHidden/>
              </w:rPr>
              <w:fldChar w:fldCharType="end"/>
            </w:r>
          </w:hyperlink>
        </w:p>
        <w:p w14:paraId="061042C7" w14:textId="437FD156" w:rsidR="00FF5DFD" w:rsidRDefault="00FF5DFD">
          <w:pPr>
            <w:pStyle w:val="TOC2"/>
            <w:rPr>
              <w:rFonts w:eastAsiaTheme="minorEastAsia"/>
              <w:noProof/>
              <w:kern w:val="2"/>
              <w:lang w:eastAsia="en-AU"/>
              <w14:ligatures w14:val="standardContextual"/>
            </w:rPr>
          </w:pPr>
          <w:hyperlink w:anchor="_Toc146033524" w:history="1">
            <w:r w:rsidRPr="009C1C70">
              <w:rPr>
                <w:rStyle w:val="Hyperlink"/>
                <w:noProof/>
              </w:rPr>
              <w:t>5.4</w:t>
            </w:r>
            <w:r>
              <w:rPr>
                <w:rFonts w:eastAsiaTheme="minorEastAsia"/>
                <w:noProof/>
                <w:kern w:val="2"/>
                <w:lang w:eastAsia="en-AU"/>
                <w14:ligatures w14:val="standardContextual"/>
              </w:rPr>
              <w:tab/>
            </w:r>
            <w:r w:rsidRPr="009C1C70">
              <w:rPr>
                <w:rStyle w:val="Hyperlink"/>
                <w:noProof/>
              </w:rPr>
              <w:t>Long-term impact for participants of different equity cohorts</w:t>
            </w:r>
            <w:r>
              <w:rPr>
                <w:noProof/>
                <w:webHidden/>
              </w:rPr>
              <w:tab/>
            </w:r>
            <w:r>
              <w:rPr>
                <w:noProof/>
                <w:webHidden/>
              </w:rPr>
              <w:fldChar w:fldCharType="begin"/>
            </w:r>
            <w:r>
              <w:rPr>
                <w:noProof/>
                <w:webHidden/>
              </w:rPr>
              <w:instrText xml:space="preserve"> PAGEREF _Toc146033524 \h </w:instrText>
            </w:r>
            <w:r>
              <w:rPr>
                <w:noProof/>
                <w:webHidden/>
              </w:rPr>
            </w:r>
            <w:r>
              <w:rPr>
                <w:noProof/>
                <w:webHidden/>
              </w:rPr>
              <w:fldChar w:fldCharType="separate"/>
            </w:r>
            <w:r w:rsidR="00180E14">
              <w:rPr>
                <w:noProof/>
                <w:webHidden/>
              </w:rPr>
              <w:t>74</w:t>
            </w:r>
            <w:r>
              <w:rPr>
                <w:noProof/>
                <w:webHidden/>
              </w:rPr>
              <w:fldChar w:fldCharType="end"/>
            </w:r>
          </w:hyperlink>
        </w:p>
        <w:p w14:paraId="38DE8012" w14:textId="11EEAFFE" w:rsidR="00FF5DFD" w:rsidRDefault="00FF5DFD">
          <w:pPr>
            <w:pStyle w:val="TOC2"/>
            <w:rPr>
              <w:rFonts w:eastAsiaTheme="minorEastAsia"/>
              <w:noProof/>
              <w:kern w:val="2"/>
              <w:lang w:eastAsia="en-AU"/>
              <w14:ligatures w14:val="standardContextual"/>
            </w:rPr>
          </w:pPr>
          <w:hyperlink w:anchor="_Toc146033525" w:history="1">
            <w:r w:rsidRPr="009C1C70">
              <w:rPr>
                <w:rStyle w:val="Hyperlink"/>
                <w:noProof/>
              </w:rPr>
              <w:t>5.5</w:t>
            </w:r>
            <w:r>
              <w:rPr>
                <w:rFonts w:eastAsiaTheme="minorEastAsia"/>
                <w:noProof/>
                <w:kern w:val="2"/>
                <w:lang w:eastAsia="en-AU"/>
                <w14:ligatures w14:val="standardContextual"/>
              </w:rPr>
              <w:tab/>
            </w:r>
            <w:r w:rsidRPr="009C1C70">
              <w:rPr>
                <w:rStyle w:val="Hyperlink"/>
                <w:noProof/>
              </w:rPr>
              <w:t>Other longer-term trends</w:t>
            </w:r>
            <w:r>
              <w:rPr>
                <w:noProof/>
                <w:webHidden/>
              </w:rPr>
              <w:tab/>
            </w:r>
            <w:r>
              <w:rPr>
                <w:noProof/>
                <w:webHidden/>
              </w:rPr>
              <w:fldChar w:fldCharType="begin"/>
            </w:r>
            <w:r>
              <w:rPr>
                <w:noProof/>
                <w:webHidden/>
              </w:rPr>
              <w:instrText xml:space="preserve"> PAGEREF _Toc146033525 \h </w:instrText>
            </w:r>
            <w:r>
              <w:rPr>
                <w:noProof/>
                <w:webHidden/>
              </w:rPr>
            </w:r>
            <w:r>
              <w:rPr>
                <w:noProof/>
                <w:webHidden/>
              </w:rPr>
              <w:fldChar w:fldCharType="separate"/>
            </w:r>
            <w:r w:rsidR="00180E14">
              <w:rPr>
                <w:noProof/>
                <w:webHidden/>
              </w:rPr>
              <w:t>76</w:t>
            </w:r>
            <w:r>
              <w:rPr>
                <w:noProof/>
                <w:webHidden/>
              </w:rPr>
              <w:fldChar w:fldCharType="end"/>
            </w:r>
          </w:hyperlink>
        </w:p>
        <w:p w14:paraId="4AE3F9B8" w14:textId="639C849C" w:rsidR="00FF5DFD" w:rsidRDefault="00FF5DFD">
          <w:pPr>
            <w:pStyle w:val="TOC3"/>
            <w:rPr>
              <w:rFonts w:eastAsiaTheme="minorEastAsia"/>
              <w:noProof/>
              <w:kern w:val="2"/>
              <w:lang w:eastAsia="en-AU"/>
              <w14:ligatures w14:val="standardContextual"/>
            </w:rPr>
          </w:pPr>
          <w:hyperlink w:anchor="_Toc146033526" w:history="1">
            <w:r w:rsidRPr="009C1C70">
              <w:rPr>
                <w:rStyle w:val="Hyperlink"/>
                <w:noProof/>
              </w:rPr>
              <w:t>5.5.1</w:t>
            </w:r>
            <w:r>
              <w:rPr>
                <w:rFonts w:eastAsiaTheme="minorEastAsia"/>
                <w:noProof/>
                <w:kern w:val="2"/>
                <w:lang w:eastAsia="en-AU"/>
                <w14:ligatures w14:val="standardContextual"/>
              </w:rPr>
              <w:tab/>
            </w:r>
            <w:r w:rsidRPr="009C1C70">
              <w:rPr>
                <w:rStyle w:val="Hyperlink"/>
                <w:noProof/>
              </w:rPr>
              <w:t>Movement between income support payment types</w:t>
            </w:r>
            <w:r>
              <w:rPr>
                <w:noProof/>
                <w:webHidden/>
              </w:rPr>
              <w:tab/>
            </w:r>
            <w:r>
              <w:rPr>
                <w:noProof/>
                <w:webHidden/>
              </w:rPr>
              <w:fldChar w:fldCharType="begin"/>
            </w:r>
            <w:r>
              <w:rPr>
                <w:noProof/>
                <w:webHidden/>
              </w:rPr>
              <w:instrText xml:space="preserve"> PAGEREF _Toc146033526 \h </w:instrText>
            </w:r>
            <w:r>
              <w:rPr>
                <w:noProof/>
                <w:webHidden/>
              </w:rPr>
            </w:r>
            <w:r>
              <w:rPr>
                <w:noProof/>
                <w:webHidden/>
              </w:rPr>
              <w:fldChar w:fldCharType="separate"/>
            </w:r>
            <w:r w:rsidR="00180E14">
              <w:rPr>
                <w:noProof/>
                <w:webHidden/>
              </w:rPr>
              <w:t>76</w:t>
            </w:r>
            <w:r>
              <w:rPr>
                <w:noProof/>
                <w:webHidden/>
              </w:rPr>
              <w:fldChar w:fldCharType="end"/>
            </w:r>
          </w:hyperlink>
        </w:p>
        <w:p w14:paraId="26EFF71D" w14:textId="175FA7B6" w:rsidR="00FF5DFD" w:rsidRDefault="00FF5DFD">
          <w:pPr>
            <w:pStyle w:val="TOC3"/>
            <w:rPr>
              <w:rFonts w:eastAsiaTheme="minorEastAsia"/>
              <w:noProof/>
              <w:kern w:val="2"/>
              <w:lang w:eastAsia="en-AU"/>
              <w14:ligatures w14:val="standardContextual"/>
            </w:rPr>
          </w:pPr>
          <w:hyperlink w:anchor="_Toc146033527" w:history="1">
            <w:r w:rsidRPr="009C1C70">
              <w:rPr>
                <w:rStyle w:val="Hyperlink"/>
                <w:noProof/>
              </w:rPr>
              <w:t>5.5.2</w:t>
            </w:r>
            <w:r>
              <w:rPr>
                <w:rFonts w:eastAsiaTheme="minorEastAsia"/>
                <w:noProof/>
                <w:kern w:val="2"/>
                <w:lang w:eastAsia="en-AU"/>
                <w14:ligatures w14:val="standardContextual"/>
              </w:rPr>
              <w:tab/>
            </w:r>
            <w:r w:rsidRPr="009C1C70">
              <w:rPr>
                <w:rStyle w:val="Hyperlink"/>
                <w:noProof/>
              </w:rPr>
              <w:t>Relationship between income support and employment services</w:t>
            </w:r>
            <w:r>
              <w:rPr>
                <w:noProof/>
                <w:webHidden/>
              </w:rPr>
              <w:tab/>
            </w:r>
            <w:r>
              <w:rPr>
                <w:noProof/>
                <w:webHidden/>
              </w:rPr>
              <w:fldChar w:fldCharType="begin"/>
            </w:r>
            <w:r>
              <w:rPr>
                <w:noProof/>
                <w:webHidden/>
              </w:rPr>
              <w:instrText xml:space="preserve"> PAGEREF _Toc146033527 \h </w:instrText>
            </w:r>
            <w:r>
              <w:rPr>
                <w:noProof/>
                <w:webHidden/>
              </w:rPr>
            </w:r>
            <w:r>
              <w:rPr>
                <w:noProof/>
                <w:webHidden/>
              </w:rPr>
              <w:fldChar w:fldCharType="separate"/>
            </w:r>
            <w:r w:rsidR="00180E14">
              <w:rPr>
                <w:noProof/>
                <w:webHidden/>
              </w:rPr>
              <w:t>77</w:t>
            </w:r>
            <w:r>
              <w:rPr>
                <w:noProof/>
                <w:webHidden/>
              </w:rPr>
              <w:fldChar w:fldCharType="end"/>
            </w:r>
          </w:hyperlink>
        </w:p>
        <w:p w14:paraId="5EE7E342" w14:textId="7D093E97" w:rsidR="00FF5DFD" w:rsidRDefault="00FF5DFD">
          <w:pPr>
            <w:pStyle w:val="TOC2"/>
            <w:rPr>
              <w:rFonts w:eastAsiaTheme="minorEastAsia"/>
              <w:noProof/>
              <w:kern w:val="2"/>
              <w:lang w:eastAsia="en-AU"/>
              <w14:ligatures w14:val="standardContextual"/>
            </w:rPr>
          </w:pPr>
          <w:hyperlink w:anchor="_Toc146033528" w:history="1">
            <w:r w:rsidRPr="009C1C70">
              <w:rPr>
                <w:rStyle w:val="Hyperlink"/>
                <w:noProof/>
              </w:rPr>
              <w:t>5.6</w:t>
            </w:r>
            <w:r>
              <w:rPr>
                <w:rFonts w:eastAsiaTheme="minorEastAsia"/>
                <w:noProof/>
                <w:kern w:val="2"/>
                <w:lang w:eastAsia="en-AU"/>
                <w14:ligatures w14:val="standardContextual"/>
              </w:rPr>
              <w:tab/>
            </w:r>
            <w:r w:rsidRPr="009C1C70">
              <w:rPr>
                <w:rStyle w:val="Hyperlink"/>
                <w:noProof/>
              </w:rPr>
              <w:t>Conclusion</w:t>
            </w:r>
            <w:r>
              <w:rPr>
                <w:noProof/>
                <w:webHidden/>
              </w:rPr>
              <w:tab/>
            </w:r>
            <w:r>
              <w:rPr>
                <w:noProof/>
                <w:webHidden/>
              </w:rPr>
              <w:fldChar w:fldCharType="begin"/>
            </w:r>
            <w:r>
              <w:rPr>
                <w:noProof/>
                <w:webHidden/>
              </w:rPr>
              <w:instrText xml:space="preserve"> PAGEREF _Toc146033528 \h </w:instrText>
            </w:r>
            <w:r>
              <w:rPr>
                <w:noProof/>
                <w:webHidden/>
              </w:rPr>
            </w:r>
            <w:r>
              <w:rPr>
                <w:noProof/>
                <w:webHidden/>
              </w:rPr>
              <w:fldChar w:fldCharType="separate"/>
            </w:r>
            <w:r w:rsidR="00180E14">
              <w:rPr>
                <w:noProof/>
                <w:webHidden/>
              </w:rPr>
              <w:t>78</w:t>
            </w:r>
            <w:r>
              <w:rPr>
                <w:noProof/>
                <w:webHidden/>
              </w:rPr>
              <w:fldChar w:fldCharType="end"/>
            </w:r>
          </w:hyperlink>
        </w:p>
        <w:p w14:paraId="01063F03" w14:textId="7F3C5B3B" w:rsidR="00FF5DFD" w:rsidRDefault="00FF5DFD">
          <w:pPr>
            <w:pStyle w:val="TOC1"/>
            <w:rPr>
              <w:rFonts w:eastAsiaTheme="minorEastAsia"/>
              <w:b w:val="0"/>
              <w:noProof/>
              <w:kern w:val="2"/>
              <w:lang w:eastAsia="en-AU"/>
              <w14:ligatures w14:val="standardContextual"/>
            </w:rPr>
          </w:pPr>
          <w:hyperlink w:anchor="_Toc146033529" w:history="1">
            <w:r w:rsidRPr="009C1C70">
              <w:rPr>
                <w:rStyle w:val="Hyperlink"/>
                <w:noProof/>
              </w:rPr>
              <w:t>Chapter 6 – What was the impact of extending the maximum duration of service from 12 to 18 months?</w:t>
            </w:r>
            <w:r>
              <w:rPr>
                <w:noProof/>
                <w:webHidden/>
              </w:rPr>
              <w:tab/>
            </w:r>
            <w:r>
              <w:rPr>
                <w:noProof/>
                <w:webHidden/>
              </w:rPr>
              <w:fldChar w:fldCharType="begin"/>
            </w:r>
            <w:r>
              <w:rPr>
                <w:noProof/>
                <w:webHidden/>
              </w:rPr>
              <w:instrText xml:space="preserve"> PAGEREF _Toc146033529 \h </w:instrText>
            </w:r>
            <w:r>
              <w:rPr>
                <w:noProof/>
                <w:webHidden/>
              </w:rPr>
            </w:r>
            <w:r>
              <w:rPr>
                <w:noProof/>
                <w:webHidden/>
              </w:rPr>
              <w:fldChar w:fldCharType="separate"/>
            </w:r>
            <w:r w:rsidR="00180E14">
              <w:rPr>
                <w:noProof/>
                <w:webHidden/>
              </w:rPr>
              <w:t>79</w:t>
            </w:r>
            <w:r>
              <w:rPr>
                <w:noProof/>
                <w:webHidden/>
              </w:rPr>
              <w:fldChar w:fldCharType="end"/>
            </w:r>
          </w:hyperlink>
        </w:p>
        <w:p w14:paraId="67ABF602" w14:textId="0A48F046" w:rsidR="00FF5DFD" w:rsidRDefault="00FF5DFD">
          <w:pPr>
            <w:pStyle w:val="TOC2"/>
            <w:rPr>
              <w:rFonts w:eastAsiaTheme="minorEastAsia"/>
              <w:noProof/>
              <w:kern w:val="2"/>
              <w:lang w:eastAsia="en-AU"/>
              <w14:ligatures w14:val="standardContextual"/>
            </w:rPr>
          </w:pPr>
          <w:hyperlink w:anchor="_Toc146033530" w:history="1">
            <w:r w:rsidRPr="009C1C70">
              <w:rPr>
                <w:rStyle w:val="Hyperlink"/>
                <w:noProof/>
              </w:rPr>
              <w:t>6.1</w:t>
            </w:r>
            <w:r>
              <w:rPr>
                <w:rFonts w:eastAsiaTheme="minorEastAsia"/>
                <w:noProof/>
                <w:kern w:val="2"/>
                <w:lang w:eastAsia="en-AU"/>
                <w14:ligatures w14:val="standardContextual"/>
              </w:rPr>
              <w:tab/>
            </w:r>
            <w:r w:rsidRPr="009C1C70">
              <w:rPr>
                <w:rStyle w:val="Hyperlink"/>
                <w:noProof/>
              </w:rPr>
              <w:t>Introduction</w:t>
            </w:r>
            <w:r>
              <w:rPr>
                <w:noProof/>
                <w:webHidden/>
              </w:rPr>
              <w:tab/>
            </w:r>
            <w:r>
              <w:rPr>
                <w:noProof/>
                <w:webHidden/>
              </w:rPr>
              <w:fldChar w:fldCharType="begin"/>
            </w:r>
            <w:r>
              <w:rPr>
                <w:noProof/>
                <w:webHidden/>
              </w:rPr>
              <w:instrText xml:space="preserve"> PAGEREF _Toc146033530 \h </w:instrText>
            </w:r>
            <w:r>
              <w:rPr>
                <w:noProof/>
                <w:webHidden/>
              </w:rPr>
            </w:r>
            <w:r>
              <w:rPr>
                <w:noProof/>
                <w:webHidden/>
              </w:rPr>
              <w:fldChar w:fldCharType="separate"/>
            </w:r>
            <w:r w:rsidR="00180E14">
              <w:rPr>
                <w:noProof/>
                <w:webHidden/>
              </w:rPr>
              <w:t>79</w:t>
            </w:r>
            <w:r>
              <w:rPr>
                <w:noProof/>
                <w:webHidden/>
              </w:rPr>
              <w:fldChar w:fldCharType="end"/>
            </w:r>
          </w:hyperlink>
        </w:p>
        <w:p w14:paraId="4B09931A" w14:textId="6067137F" w:rsidR="00FF5DFD" w:rsidRDefault="00FF5DFD">
          <w:pPr>
            <w:pStyle w:val="TOC2"/>
            <w:rPr>
              <w:rFonts w:eastAsiaTheme="minorEastAsia"/>
              <w:noProof/>
              <w:kern w:val="2"/>
              <w:lang w:eastAsia="en-AU"/>
              <w14:ligatures w14:val="standardContextual"/>
            </w:rPr>
          </w:pPr>
          <w:hyperlink w:anchor="_Toc146033531" w:history="1">
            <w:r w:rsidRPr="009C1C70">
              <w:rPr>
                <w:rStyle w:val="Hyperlink"/>
                <w:noProof/>
              </w:rPr>
              <w:t>6.2</w:t>
            </w:r>
            <w:r>
              <w:rPr>
                <w:rFonts w:eastAsiaTheme="minorEastAsia"/>
                <w:noProof/>
                <w:kern w:val="2"/>
                <w:lang w:eastAsia="en-AU"/>
                <w14:ligatures w14:val="standardContextual"/>
              </w:rPr>
              <w:tab/>
            </w:r>
            <w:r w:rsidRPr="009C1C70">
              <w:rPr>
                <w:rStyle w:val="Hyperlink"/>
                <w:noProof/>
              </w:rPr>
              <w:t>Impact of changing maximum program duration on participant outcomes</w:t>
            </w:r>
            <w:r>
              <w:rPr>
                <w:noProof/>
                <w:webHidden/>
              </w:rPr>
              <w:tab/>
            </w:r>
            <w:r>
              <w:rPr>
                <w:noProof/>
                <w:webHidden/>
              </w:rPr>
              <w:fldChar w:fldCharType="begin"/>
            </w:r>
            <w:r>
              <w:rPr>
                <w:noProof/>
                <w:webHidden/>
              </w:rPr>
              <w:instrText xml:space="preserve"> PAGEREF _Toc146033531 \h </w:instrText>
            </w:r>
            <w:r>
              <w:rPr>
                <w:noProof/>
                <w:webHidden/>
              </w:rPr>
            </w:r>
            <w:r>
              <w:rPr>
                <w:noProof/>
                <w:webHidden/>
              </w:rPr>
              <w:fldChar w:fldCharType="separate"/>
            </w:r>
            <w:r w:rsidR="00180E14">
              <w:rPr>
                <w:noProof/>
                <w:webHidden/>
              </w:rPr>
              <w:t>79</w:t>
            </w:r>
            <w:r>
              <w:rPr>
                <w:noProof/>
                <w:webHidden/>
              </w:rPr>
              <w:fldChar w:fldCharType="end"/>
            </w:r>
          </w:hyperlink>
        </w:p>
        <w:p w14:paraId="495D32B9" w14:textId="27D453FC" w:rsidR="00FF5DFD" w:rsidRDefault="00FF5DFD">
          <w:pPr>
            <w:pStyle w:val="TOC3"/>
            <w:rPr>
              <w:rFonts w:eastAsiaTheme="minorEastAsia"/>
              <w:noProof/>
              <w:kern w:val="2"/>
              <w:lang w:eastAsia="en-AU"/>
              <w14:ligatures w14:val="standardContextual"/>
            </w:rPr>
          </w:pPr>
          <w:hyperlink w:anchor="_Toc146033532" w:history="1">
            <w:r w:rsidRPr="009C1C70">
              <w:rPr>
                <w:rStyle w:val="Hyperlink"/>
                <w:noProof/>
              </w:rPr>
              <w:t>6.2.1</w:t>
            </w:r>
            <w:r>
              <w:rPr>
                <w:rFonts w:eastAsiaTheme="minorEastAsia"/>
                <w:noProof/>
                <w:kern w:val="2"/>
                <w:lang w:eastAsia="en-AU"/>
                <w14:ligatures w14:val="standardContextual"/>
              </w:rPr>
              <w:tab/>
            </w:r>
            <w:r w:rsidRPr="009C1C70">
              <w:rPr>
                <w:rStyle w:val="Hyperlink"/>
                <w:noProof/>
              </w:rPr>
              <w:t>Time in program</w:t>
            </w:r>
            <w:r>
              <w:rPr>
                <w:noProof/>
                <w:webHidden/>
              </w:rPr>
              <w:tab/>
            </w:r>
            <w:r>
              <w:rPr>
                <w:noProof/>
                <w:webHidden/>
              </w:rPr>
              <w:fldChar w:fldCharType="begin"/>
            </w:r>
            <w:r>
              <w:rPr>
                <w:noProof/>
                <w:webHidden/>
              </w:rPr>
              <w:instrText xml:space="preserve"> PAGEREF _Toc146033532 \h </w:instrText>
            </w:r>
            <w:r>
              <w:rPr>
                <w:noProof/>
                <w:webHidden/>
              </w:rPr>
            </w:r>
            <w:r>
              <w:rPr>
                <w:noProof/>
                <w:webHidden/>
              </w:rPr>
              <w:fldChar w:fldCharType="separate"/>
            </w:r>
            <w:r w:rsidR="00180E14">
              <w:rPr>
                <w:noProof/>
                <w:webHidden/>
              </w:rPr>
              <w:t>79</w:t>
            </w:r>
            <w:r>
              <w:rPr>
                <w:noProof/>
                <w:webHidden/>
              </w:rPr>
              <w:fldChar w:fldCharType="end"/>
            </w:r>
          </w:hyperlink>
        </w:p>
        <w:p w14:paraId="176FBABA" w14:textId="7327E2E0" w:rsidR="00FF5DFD" w:rsidRDefault="00FF5DFD">
          <w:pPr>
            <w:pStyle w:val="TOC3"/>
            <w:rPr>
              <w:rFonts w:eastAsiaTheme="minorEastAsia"/>
              <w:noProof/>
              <w:kern w:val="2"/>
              <w:lang w:eastAsia="en-AU"/>
              <w14:ligatures w14:val="standardContextual"/>
            </w:rPr>
          </w:pPr>
          <w:hyperlink w:anchor="_Toc146033533" w:history="1">
            <w:r w:rsidRPr="009C1C70">
              <w:rPr>
                <w:rStyle w:val="Hyperlink"/>
                <w:noProof/>
              </w:rPr>
              <w:t>6.2.2</w:t>
            </w:r>
            <w:r>
              <w:rPr>
                <w:rFonts w:eastAsiaTheme="minorEastAsia"/>
                <w:noProof/>
                <w:kern w:val="2"/>
                <w:lang w:eastAsia="en-AU"/>
                <w14:ligatures w14:val="standardContextual"/>
              </w:rPr>
              <w:tab/>
            </w:r>
            <w:r w:rsidRPr="009C1C70">
              <w:rPr>
                <w:rStyle w:val="Hyperlink"/>
                <w:noProof/>
              </w:rPr>
              <w:t>Employment and education outcomes</w:t>
            </w:r>
            <w:r>
              <w:rPr>
                <w:noProof/>
                <w:webHidden/>
              </w:rPr>
              <w:tab/>
            </w:r>
            <w:r>
              <w:rPr>
                <w:noProof/>
                <w:webHidden/>
              </w:rPr>
              <w:fldChar w:fldCharType="begin"/>
            </w:r>
            <w:r>
              <w:rPr>
                <w:noProof/>
                <w:webHidden/>
              </w:rPr>
              <w:instrText xml:space="preserve"> PAGEREF _Toc146033533 \h </w:instrText>
            </w:r>
            <w:r>
              <w:rPr>
                <w:noProof/>
                <w:webHidden/>
              </w:rPr>
            </w:r>
            <w:r>
              <w:rPr>
                <w:noProof/>
                <w:webHidden/>
              </w:rPr>
              <w:fldChar w:fldCharType="separate"/>
            </w:r>
            <w:r w:rsidR="00180E14">
              <w:rPr>
                <w:noProof/>
                <w:webHidden/>
              </w:rPr>
              <w:t>81</w:t>
            </w:r>
            <w:r>
              <w:rPr>
                <w:noProof/>
                <w:webHidden/>
              </w:rPr>
              <w:fldChar w:fldCharType="end"/>
            </w:r>
          </w:hyperlink>
        </w:p>
        <w:p w14:paraId="345B2B0B" w14:textId="5EC3DE41" w:rsidR="00FF5DFD" w:rsidRDefault="00FF5DFD">
          <w:pPr>
            <w:pStyle w:val="TOC3"/>
            <w:rPr>
              <w:rFonts w:eastAsiaTheme="minorEastAsia"/>
              <w:noProof/>
              <w:kern w:val="2"/>
              <w:lang w:eastAsia="en-AU"/>
              <w14:ligatures w14:val="standardContextual"/>
            </w:rPr>
          </w:pPr>
          <w:hyperlink w:anchor="_Toc146033534" w:history="1">
            <w:r w:rsidRPr="009C1C70">
              <w:rPr>
                <w:rStyle w:val="Hyperlink"/>
                <w:noProof/>
              </w:rPr>
              <w:t>6.2.3</w:t>
            </w:r>
            <w:r>
              <w:rPr>
                <w:rFonts w:eastAsiaTheme="minorEastAsia"/>
                <w:noProof/>
                <w:kern w:val="2"/>
                <w:lang w:eastAsia="en-AU"/>
                <w14:ligatures w14:val="standardContextual"/>
              </w:rPr>
              <w:tab/>
            </w:r>
            <w:r w:rsidRPr="009C1C70">
              <w:rPr>
                <w:rStyle w:val="Hyperlink"/>
                <w:noProof/>
              </w:rPr>
              <w:t>Provider perspectives</w:t>
            </w:r>
            <w:r>
              <w:rPr>
                <w:noProof/>
                <w:webHidden/>
              </w:rPr>
              <w:tab/>
            </w:r>
            <w:r>
              <w:rPr>
                <w:noProof/>
                <w:webHidden/>
              </w:rPr>
              <w:fldChar w:fldCharType="begin"/>
            </w:r>
            <w:r>
              <w:rPr>
                <w:noProof/>
                <w:webHidden/>
              </w:rPr>
              <w:instrText xml:space="preserve"> PAGEREF _Toc146033534 \h </w:instrText>
            </w:r>
            <w:r>
              <w:rPr>
                <w:noProof/>
                <w:webHidden/>
              </w:rPr>
            </w:r>
            <w:r>
              <w:rPr>
                <w:noProof/>
                <w:webHidden/>
              </w:rPr>
              <w:fldChar w:fldCharType="separate"/>
            </w:r>
            <w:r w:rsidR="00180E14">
              <w:rPr>
                <w:noProof/>
                <w:webHidden/>
              </w:rPr>
              <w:t>84</w:t>
            </w:r>
            <w:r>
              <w:rPr>
                <w:noProof/>
                <w:webHidden/>
              </w:rPr>
              <w:fldChar w:fldCharType="end"/>
            </w:r>
          </w:hyperlink>
        </w:p>
        <w:p w14:paraId="288F04B0" w14:textId="712A3FC9" w:rsidR="00FF5DFD" w:rsidRDefault="00FF5DFD">
          <w:pPr>
            <w:pStyle w:val="TOC3"/>
            <w:rPr>
              <w:rFonts w:eastAsiaTheme="minorEastAsia"/>
              <w:noProof/>
              <w:kern w:val="2"/>
              <w:lang w:eastAsia="en-AU"/>
              <w14:ligatures w14:val="standardContextual"/>
            </w:rPr>
          </w:pPr>
          <w:hyperlink w:anchor="_Toc146033535" w:history="1">
            <w:r w:rsidRPr="009C1C70">
              <w:rPr>
                <w:rStyle w:val="Hyperlink"/>
                <w:noProof/>
              </w:rPr>
              <w:t>6.2.4</w:t>
            </w:r>
            <w:r>
              <w:rPr>
                <w:rFonts w:eastAsiaTheme="minorEastAsia"/>
                <w:noProof/>
                <w:kern w:val="2"/>
                <w:lang w:eastAsia="en-AU"/>
                <w14:ligatures w14:val="standardContextual"/>
              </w:rPr>
              <w:tab/>
            </w:r>
            <w:r w:rsidRPr="009C1C70">
              <w:rPr>
                <w:rStyle w:val="Hyperlink"/>
                <w:noProof/>
              </w:rPr>
              <w:t>Timing of outcomes</w:t>
            </w:r>
            <w:r>
              <w:rPr>
                <w:noProof/>
                <w:webHidden/>
              </w:rPr>
              <w:tab/>
            </w:r>
            <w:r>
              <w:rPr>
                <w:noProof/>
                <w:webHidden/>
              </w:rPr>
              <w:fldChar w:fldCharType="begin"/>
            </w:r>
            <w:r>
              <w:rPr>
                <w:noProof/>
                <w:webHidden/>
              </w:rPr>
              <w:instrText xml:space="preserve"> PAGEREF _Toc146033535 \h </w:instrText>
            </w:r>
            <w:r>
              <w:rPr>
                <w:noProof/>
                <w:webHidden/>
              </w:rPr>
            </w:r>
            <w:r>
              <w:rPr>
                <w:noProof/>
                <w:webHidden/>
              </w:rPr>
              <w:fldChar w:fldCharType="separate"/>
            </w:r>
            <w:r w:rsidR="00180E14">
              <w:rPr>
                <w:noProof/>
                <w:webHidden/>
              </w:rPr>
              <w:t>85</w:t>
            </w:r>
            <w:r>
              <w:rPr>
                <w:noProof/>
                <w:webHidden/>
              </w:rPr>
              <w:fldChar w:fldCharType="end"/>
            </w:r>
          </w:hyperlink>
        </w:p>
        <w:p w14:paraId="11B3968D" w14:textId="68EBDA5A" w:rsidR="00FF5DFD" w:rsidRDefault="00FF5DFD">
          <w:pPr>
            <w:pStyle w:val="TOC2"/>
            <w:rPr>
              <w:rFonts w:eastAsiaTheme="minorEastAsia"/>
              <w:noProof/>
              <w:kern w:val="2"/>
              <w:lang w:eastAsia="en-AU"/>
              <w14:ligatures w14:val="standardContextual"/>
            </w:rPr>
          </w:pPr>
          <w:hyperlink w:anchor="_Toc146033536" w:history="1">
            <w:r w:rsidRPr="009C1C70">
              <w:rPr>
                <w:rStyle w:val="Hyperlink"/>
                <w:noProof/>
              </w:rPr>
              <w:t>6.3</w:t>
            </w:r>
            <w:r>
              <w:rPr>
                <w:rFonts w:eastAsiaTheme="minorEastAsia"/>
                <w:noProof/>
                <w:kern w:val="2"/>
                <w:lang w:eastAsia="en-AU"/>
                <w14:ligatures w14:val="standardContextual"/>
              </w:rPr>
              <w:tab/>
            </w:r>
            <w:r w:rsidRPr="009C1C70">
              <w:rPr>
                <w:rStyle w:val="Hyperlink"/>
                <w:noProof/>
              </w:rPr>
              <w:t>Provider views on the impact of increasing program duration on service delivery</w:t>
            </w:r>
            <w:r>
              <w:rPr>
                <w:noProof/>
                <w:webHidden/>
              </w:rPr>
              <w:tab/>
            </w:r>
            <w:r>
              <w:rPr>
                <w:noProof/>
                <w:webHidden/>
              </w:rPr>
              <w:fldChar w:fldCharType="begin"/>
            </w:r>
            <w:r>
              <w:rPr>
                <w:noProof/>
                <w:webHidden/>
              </w:rPr>
              <w:instrText xml:space="preserve"> PAGEREF _Toc146033536 \h </w:instrText>
            </w:r>
            <w:r>
              <w:rPr>
                <w:noProof/>
                <w:webHidden/>
              </w:rPr>
            </w:r>
            <w:r>
              <w:rPr>
                <w:noProof/>
                <w:webHidden/>
              </w:rPr>
              <w:fldChar w:fldCharType="separate"/>
            </w:r>
            <w:r w:rsidR="00180E14">
              <w:rPr>
                <w:noProof/>
                <w:webHidden/>
              </w:rPr>
              <w:t>86</w:t>
            </w:r>
            <w:r>
              <w:rPr>
                <w:noProof/>
                <w:webHidden/>
              </w:rPr>
              <w:fldChar w:fldCharType="end"/>
            </w:r>
          </w:hyperlink>
        </w:p>
        <w:p w14:paraId="31A3650F" w14:textId="0437BA34" w:rsidR="00FF5DFD" w:rsidRDefault="00FF5DFD">
          <w:pPr>
            <w:pStyle w:val="TOC2"/>
            <w:rPr>
              <w:rFonts w:eastAsiaTheme="minorEastAsia"/>
              <w:noProof/>
              <w:kern w:val="2"/>
              <w:lang w:eastAsia="en-AU"/>
              <w14:ligatures w14:val="standardContextual"/>
            </w:rPr>
          </w:pPr>
          <w:hyperlink w:anchor="_Toc146033537" w:history="1">
            <w:r w:rsidRPr="009C1C70">
              <w:rPr>
                <w:rStyle w:val="Hyperlink"/>
                <w:noProof/>
              </w:rPr>
              <w:t>6.4</w:t>
            </w:r>
            <w:r>
              <w:rPr>
                <w:rFonts w:eastAsiaTheme="minorEastAsia"/>
                <w:noProof/>
                <w:kern w:val="2"/>
                <w:lang w:eastAsia="en-AU"/>
                <w14:ligatures w14:val="standardContextual"/>
              </w:rPr>
              <w:tab/>
            </w:r>
            <w:r w:rsidRPr="009C1C70">
              <w:rPr>
                <w:rStyle w:val="Hyperlink"/>
                <w:noProof/>
              </w:rPr>
              <w:t>Participant perspectives on program duration</w:t>
            </w:r>
            <w:r>
              <w:rPr>
                <w:noProof/>
                <w:webHidden/>
              </w:rPr>
              <w:tab/>
            </w:r>
            <w:r>
              <w:rPr>
                <w:noProof/>
                <w:webHidden/>
              </w:rPr>
              <w:fldChar w:fldCharType="begin"/>
            </w:r>
            <w:r>
              <w:rPr>
                <w:noProof/>
                <w:webHidden/>
              </w:rPr>
              <w:instrText xml:space="preserve"> PAGEREF _Toc146033537 \h </w:instrText>
            </w:r>
            <w:r>
              <w:rPr>
                <w:noProof/>
                <w:webHidden/>
              </w:rPr>
            </w:r>
            <w:r>
              <w:rPr>
                <w:noProof/>
                <w:webHidden/>
              </w:rPr>
              <w:fldChar w:fldCharType="separate"/>
            </w:r>
            <w:r w:rsidR="00180E14">
              <w:rPr>
                <w:noProof/>
                <w:webHidden/>
              </w:rPr>
              <w:t>88</w:t>
            </w:r>
            <w:r>
              <w:rPr>
                <w:noProof/>
                <w:webHidden/>
              </w:rPr>
              <w:fldChar w:fldCharType="end"/>
            </w:r>
          </w:hyperlink>
        </w:p>
        <w:p w14:paraId="6468AF03" w14:textId="362B79A2" w:rsidR="00FF5DFD" w:rsidRDefault="00FF5DFD">
          <w:pPr>
            <w:pStyle w:val="TOC2"/>
            <w:rPr>
              <w:rFonts w:eastAsiaTheme="minorEastAsia"/>
              <w:noProof/>
              <w:kern w:val="2"/>
              <w:lang w:eastAsia="en-AU"/>
              <w14:ligatures w14:val="standardContextual"/>
            </w:rPr>
          </w:pPr>
          <w:hyperlink w:anchor="_Toc146033538" w:history="1">
            <w:r w:rsidRPr="009C1C70">
              <w:rPr>
                <w:rStyle w:val="Hyperlink"/>
                <w:noProof/>
              </w:rPr>
              <w:t>6.5</w:t>
            </w:r>
            <w:r>
              <w:rPr>
                <w:rFonts w:eastAsiaTheme="minorEastAsia"/>
                <w:noProof/>
                <w:kern w:val="2"/>
                <w:lang w:eastAsia="en-AU"/>
                <w14:ligatures w14:val="standardContextual"/>
              </w:rPr>
              <w:tab/>
            </w:r>
            <w:r w:rsidRPr="009C1C70">
              <w:rPr>
                <w:rStyle w:val="Hyperlink"/>
                <w:noProof/>
              </w:rPr>
              <w:t>Conclusion</w:t>
            </w:r>
            <w:r>
              <w:rPr>
                <w:noProof/>
                <w:webHidden/>
              </w:rPr>
              <w:tab/>
            </w:r>
            <w:r>
              <w:rPr>
                <w:noProof/>
                <w:webHidden/>
              </w:rPr>
              <w:fldChar w:fldCharType="begin"/>
            </w:r>
            <w:r>
              <w:rPr>
                <w:noProof/>
                <w:webHidden/>
              </w:rPr>
              <w:instrText xml:space="preserve"> PAGEREF _Toc146033538 \h </w:instrText>
            </w:r>
            <w:r>
              <w:rPr>
                <w:noProof/>
                <w:webHidden/>
              </w:rPr>
            </w:r>
            <w:r>
              <w:rPr>
                <w:noProof/>
                <w:webHidden/>
              </w:rPr>
              <w:fldChar w:fldCharType="separate"/>
            </w:r>
            <w:r w:rsidR="00180E14">
              <w:rPr>
                <w:noProof/>
                <w:webHidden/>
              </w:rPr>
              <w:t>89</w:t>
            </w:r>
            <w:r>
              <w:rPr>
                <w:noProof/>
                <w:webHidden/>
              </w:rPr>
              <w:fldChar w:fldCharType="end"/>
            </w:r>
          </w:hyperlink>
        </w:p>
        <w:p w14:paraId="1F0EF9A2" w14:textId="5EEF9A99" w:rsidR="00FF5DFD" w:rsidRDefault="00FF5DFD">
          <w:pPr>
            <w:pStyle w:val="TOC1"/>
            <w:rPr>
              <w:rFonts w:eastAsiaTheme="minorEastAsia"/>
              <w:b w:val="0"/>
              <w:noProof/>
              <w:kern w:val="2"/>
              <w:lang w:eastAsia="en-AU"/>
              <w14:ligatures w14:val="standardContextual"/>
            </w:rPr>
          </w:pPr>
          <w:hyperlink w:anchor="_Toc146033539" w:history="1">
            <w:r w:rsidRPr="009C1C70">
              <w:rPr>
                <w:rStyle w:val="Hyperlink"/>
                <w:noProof/>
              </w:rPr>
              <w:t>Chapter 7 – Does TtW offer value for money?</w:t>
            </w:r>
            <w:r>
              <w:rPr>
                <w:noProof/>
                <w:webHidden/>
              </w:rPr>
              <w:tab/>
            </w:r>
            <w:r>
              <w:rPr>
                <w:noProof/>
                <w:webHidden/>
              </w:rPr>
              <w:fldChar w:fldCharType="begin"/>
            </w:r>
            <w:r>
              <w:rPr>
                <w:noProof/>
                <w:webHidden/>
              </w:rPr>
              <w:instrText xml:space="preserve"> PAGEREF _Toc146033539 \h </w:instrText>
            </w:r>
            <w:r>
              <w:rPr>
                <w:noProof/>
                <w:webHidden/>
              </w:rPr>
            </w:r>
            <w:r>
              <w:rPr>
                <w:noProof/>
                <w:webHidden/>
              </w:rPr>
              <w:fldChar w:fldCharType="separate"/>
            </w:r>
            <w:r w:rsidR="00180E14">
              <w:rPr>
                <w:noProof/>
                <w:webHidden/>
              </w:rPr>
              <w:t>91</w:t>
            </w:r>
            <w:r>
              <w:rPr>
                <w:noProof/>
                <w:webHidden/>
              </w:rPr>
              <w:fldChar w:fldCharType="end"/>
            </w:r>
          </w:hyperlink>
        </w:p>
        <w:p w14:paraId="1C8B72C7" w14:textId="1AFF7B57" w:rsidR="00FF5DFD" w:rsidRDefault="00FF5DFD">
          <w:pPr>
            <w:pStyle w:val="TOC2"/>
            <w:rPr>
              <w:rFonts w:eastAsiaTheme="minorEastAsia"/>
              <w:noProof/>
              <w:kern w:val="2"/>
              <w:lang w:eastAsia="en-AU"/>
              <w14:ligatures w14:val="standardContextual"/>
            </w:rPr>
          </w:pPr>
          <w:hyperlink w:anchor="_Toc146033540" w:history="1">
            <w:r w:rsidRPr="009C1C70">
              <w:rPr>
                <w:rStyle w:val="Hyperlink"/>
                <w:noProof/>
              </w:rPr>
              <w:t>7.1</w:t>
            </w:r>
            <w:r>
              <w:rPr>
                <w:rFonts w:eastAsiaTheme="minorEastAsia"/>
                <w:noProof/>
                <w:kern w:val="2"/>
                <w:lang w:eastAsia="en-AU"/>
                <w14:ligatures w14:val="standardContextual"/>
              </w:rPr>
              <w:tab/>
            </w:r>
            <w:r w:rsidRPr="009C1C70">
              <w:rPr>
                <w:rStyle w:val="Hyperlink"/>
                <w:noProof/>
              </w:rPr>
              <w:t>Introduction</w:t>
            </w:r>
            <w:r>
              <w:rPr>
                <w:noProof/>
                <w:webHidden/>
              </w:rPr>
              <w:tab/>
            </w:r>
            <w:r>
              <w:rPr>
                <w:noProof/>
                <w:webHidden/>
              </w:rPr>
              <w:fldChar w:fldCharType="begin"/>
            </w:r>
            <w:r>
              <w:rPr>
                <w:noProof/>
                <w:webHidden/>
              </w:rPr>
              <w:instrText xml:space="preserve"> PAGEREF _Toc146033540 \h </w:instrText>
            </w:r>
            <w:r>
              <w:rPr>
                <w:noProof/>
                <w:webHidden/>
              </w:rPr>
            </w:r>
            <w:r>
              <w:rPr>
                <w:noProof/>
                <w:webHidden/>
              </w:rPr>
              <w:fldChar w:fldCharType="separate"/>
            </w:r>
            <w:r w:rsidR="00180E14">
              <w:rPr>
                <w:noProof/>
                <w:webHidden/>
              </w:rPr>
              <w:t>91</w:t>
            </w:r>
            <w:r>
              <w:rPr>
                <w:noProof/>
                <w:webHidden/>
              </w:rPr>
              <w:fldChar w:fldCharType="end"/>
            </w:r>
          </w:hyperlink>
        </w:p>
        <w:p w14:paraId="2CBEF53D" w14:textId="5DBE1231" w:rsidR="00FF5DFD" w:rsidRDefault="00FF5DFD">
          <w:pPr>
            <w:pStyle w:val="TOC2"/>
            <w:rPr>
              <w:rFonts w:eastAsiaTheme="minorEastAsia"/>
              <w:noProof/>
              <w:kern w:val="2"/>
              <w:lang w:eastAsia="en-AU"/>
              <w14:ligatures w14:val="standardContextual"/>
            </w:rPr>
          </w:pPr>
          <w:hyperlink w:anchor="_Toc146033541" w:history="1">
            <w:r w:rsidRPr="009C1C70">
              <w:rPr>
                <w:rStyle w:val="Hyperlink"/>
                <w:noProof/>
              </w:rPr>
              <w:t>7.2</w:t>
            </w:r>
            <w:r>
              <w:rPr>
                <w:rFonts w:eastAsiaTheme="minorEastAsia"/>
                <w:noProof/>
                <w:kern w:val="2"/>
                <w:lang w:eastAsia="en-AU"/>
                <w14:ligatures w14:val="standardContextual"/>
              </w:rPr>
              <w:tab/>
            </w:r>
            <w:r w:rsidRPr="009C1C70">
              <w:rPr>
                <w:rStyle w:val="Hyperlink"/>
                <w:noProof/>
              </w:rPr>
              <w:t>Summary: the value for money of TtW</w:t>
            </w:r>
            <w:r>
              <w:rPr>
                <w:noProof/>
                <w:webHidden/>
              </w:rPr>
              <w:tab/>
            </w:r>
            <w:r>
              <w:rPr>
                <w:noProof/>
                <w:webHidden/>
              </w:rPr>
              <w:fldChar w:fldCharType="begin"/>
            </w:r>
            <w:r>
              <w:rPr>
                <w:noProof/>
                <w:webHidden/>
              </w:rPr>
              <w:instrText xml:space="preserve"> PAGEREF _Toc146033541 \h </w:instrText>
            </w:r>
            <w:r>
              <w:rPr>
                <w:noProof/>
                <w:webHidden/>
              </w:rPr>
            </w:r>
            <w:r>
              <w:rPr>
                <w:noProof/>
                <w:webHidden/>
              </w:rPr>
              <w:fldChar w:fldCharType="separate"/>
            </w:r>
            <w:r w:rsidR="00180E14">
              <w:rPr>
                <w:noProof/>
                <w:webHidden/>
              </w:rPr>
              <w:t>92</w:t>
            </w:r>
            <w:r>
              <w:rPr>
                <w:noProof/>
                <w:webHidden/>
              </w:rPr>
              <w:fldChar w:fldCharType="end"/>
            </w:r>
          </w:hyperlink>
        </w:p>
        <w:p w14:paraId="34D300CC" w14:textId="4F15F3EB" w:rsidR="00FF5DFD" w:rsidRDefault="00FF5DFD">
          <w:pPr>
            <w:pStyle w:val="TOC2"/>
            <w:rPr>
              <w:rFonts w:eastAsiaTheme="minorEastAsia"/>
              <w:noProof/>
              <w:kern w:val="2"/>
              <w:lang w:eastAsia="en-AU"/>
              <w14:ligatures w14:val="standardContextual"/>
            </w:rPr>
          </w:pPr>
          <w:hyperlink w:anchor="_Toc146033542" w:history="1">
            <w:r w:rsidRPr="009C1C70">
              <w:rPr>
                <w:rStyle w:val="Hyperlink"/>
                <w:noProof/>
              </w:rPr>
              <w:t>7.3</w:t>
            </w:r>
            <w:r>
              <w:rPr>
                <w:rFonts w:eastAsiaTheme="minorEastAsia"/>
                <w:noProof/>
                <w:kern w:val="2"/>
                <w:lang w:eastAsia="en-AU"/>
                <w14:ligatures w14:val="standardContextual"/>
              </w:rPr>
              <w:tab/>
            </w:r>
            <w:r w:rsidRPr="009C1C70">
              <w:rPr>
                <w:rStyle w:val="Hyperlink"/>
                <w:noProof/>
              </w:rPr>
              <w:t>Valuing benefits associated with increased human capabilities and wellbeing</w:t>
            </w:r>
            <w:r>
              <w:rPr>
                <w:noProof/>
                <w:webHidden/>
              </w:rPr>
              <w:tab/>
            </w:r>
            <w:r>
              <w:rPr>
                <w:noProof/>
                <w:webHidden/>
              </w:rPr>
              <w:fldChar w:fldCharType="begin"/>
            </w:r>
            <w:r>
              <w:rPr>
                <w:noProof/>
                <w:webHidden/>
              </w:rPr>
              <w:instrText xml:space="preserve"> PAGEREF _Toc146033542 \h </w:instrText>
            </w:r>
            <w:r>
              <w:rPr>
                <w:noProof/>
                <w:webHidden/>
              </w:rPr>
            </w:r>
            <w:r>
              <w:rPr>
                <w:noProof/>
                <w:webHidden/>
              </w:rPr>
              <w:fldChar w:fldCharType="separate"/>
            </w:r>
            <w:r w:rsidR="00180E14">
              <w:rPr>
                <w:noProof/>
                <w:webHidden/>
              </w:rPr>
              <w:t>100</w:t>
            </w:r>
            <w:r>
              <w:rPr>
                <w:noProof/>
                <w:webHidden/>
              </w:rPr>
              <w:fldChar w:fldCharType="end"/>
            </w:r>
          </w:hyperlink>
        </w:p>
        <w:p w14:paraId="1DD27192" w14:textId="3877587F" w:rsidR="00FF5DFD" w:rsidRDefault="00FF5DFD">
          <w:pPr>
            <w:pStyle w:val="TOC3"/>
            <w:rPr>
              <w:rFonts w:eastAsiaTheme="minorEastAsia"/>
              <w:noProof/>
              <w:kern w:val="2"/>
              <w:lang w:eastAsia="en-AU"/>
              <w14:ligatures w14:val="standardContextual"/>
            </w:rPr>
          </w:pPr>
          <w:hyperlink w:anchor="_Toc146033543" w:history="1">
            <w:r w:rsidRPr="009C1C70">
              <w:rPr>
                <w:rStyle w:val="Hyperlink"/>
                <w:noProof/>
              </w:rPr>
              <w:t>7.3.1</w:t>
            </w:r>
            <w:r>
              <w:rPr>
                <w:rFonts w:eastAsiaTheme="minorEastAsia"/>
                <w:noProof/>
                <w:kern w:val="2"/>
                <w:lang w:eastAsia="en-AU"/>
                <w14:ligatures w14:val="standardContextual"/>
              </w:rPr>
              <w:tab/>
            </w:r>
            <w:r w:rsidRPr="009C1C70">
              <w:rPr>
                <w:rStyle w:val="Hyperlink"/>
                <w:noProof/>
              </w:rPr>
              <w:t>The appropriateness of and methodologies for valuing wellbeing</w:t>
            </w:r>
            <w:r>
              <w:rPr>
                <w:noProof/>
                <w:webHidden/>
              </w:rPr>
              <w:tab/>
            </w:r>
            <w:r>
              <w:rPr>
                <w:noProof/>
                <w:webHidden/>
              </w:rPr>
              <w:fldChar w:fldCharType="begin"/>
            </w:r>
            <w:r>
              <w:rPr>
                <w:noProof/>
                <w:webHidden/>
              </w:rPr>
              <w:instrText xml:space="preserve"> PAGEREF _Toc146033543 \h </w:instrText>
            </w:r>
            <w:r>
              <w:rPr>
                <w:noProof/>
                <w:webHidden/>
              </w:rPr>
            </w:r>
            <w:r>
              <w:rPr>
                <w:noProof/>
                <w:webHidden/>
              </w:rPr>
              <w:fldChar w:fldCharType="separate"/>
            </w:r>
            <w:r w:rsidR="00180E14">
              <w:rPr>
                <w:noProof/>
                <w:webHidden/>
              </w:rPr>
              <w:t>100</w:t>
            </w:r>
            <w:r>
              <w:rPr>
                <w:noProof/>
                <w:webHidden/>
              </w:rPr>
              <w:fldChar w:fldCharType="end"/>
            </w:r>
          </w:hyperlink>
        </w:p>
        <w:p w14:paraId="2D5BB140" w14:textId="49077271" w:rsidR="00FF5DFD" w:rsidRDefault="00FF5DFD">
          <w:pPr>
            <w:pStyle w:val="TOC3"/>
            <w:rPr>
              <w:rFonts w:eastAsiaTheme="minorEastAsia"/>
              <w:noProof/>
              <w:kern w:val="2"/>
              <w:lang w:eastAsia="en-AU"/>
              <w14:ligatures w14:val="standardContextual"/>
            </w:rPr>
          </w:pPr>
          <w:hyperlink w:anchor="_Toc146033544" w:history="1">
            <w:r w:rsidRPr="009C1C70">
              <w:rPr>
                <w:rStyle w:val="Hyperlink"/>
                <w:noProof/>
              </w:rPr>
              <w:t>7.3.2</w:t>
            </w:r>
            <w:r>
              <w:rPr>
                <w:rFonts w:eastAsiaTheme="minorEastAsia"/>
                <w:noProof/>
                <w:kern w:val="2"/>
                <w:lang w:eastAsia="en-AU"/>
                <w14:ligatures w14:val="standardContextual"/>
              </w:rPr>
              <w:tab/>
            </w:r>
            <w:r w:rsidRPr="009C1C70">
              <w:rPr>
                <w:rStyle w:val="Hyperlink"/>
                <w:noProof/>
              </w:rPr>
              <w:t>Establishing the impact of TtW on wellbeing</w:t>
            </w:r>
            <w:r>
              <w:rPr>
                <w:noProof/>
                <w:webHidden/>
              </w:rPr>
              <w:tab/>
            </w:r>
            <w:r>
              <w:rPr>
                <w:noProof/>
                <w:webHidden/>
              </w:rPr>
              <w:fldChar w:fldCharType="begin"/>
            </w:r>
            <w:r>
              <w:rPr>
                <w:noProof/>
                <w:webHidden/>
              </w:rPr>
              <w:instrText xml:space="preserve"> PAGEREF _Toc146033544 \h </w:instrText>
            </w:r>
            <w:r>
              <w:rPr>
                <w:noProof/>
                <w:webHidden/>
              </w:rPr>
            </w:r>
            <w:r>
              <w:rPr>
                <w:noProof/>
                <w:webHidden/>
              </w:rPr>
              <w:fldChar w:fldCharType="separate"/>
            </w:r>
            <w:r w:rsidR="00180E14">
              <w:rPr>
                <w:noProof/>
                <w:webHidden/>
              </w:rPr>
              <w:t>102</w:t>
            </w:r>
            <w:r>
              <w:rPr>
                <w:noProof/>
                <w:webHidden/>
              </w:rPr>
              <w:fldChar w:fldCharType="end"/>
            </w:r>
          </w:hyperlink>
        </w:p>
        <w:p w14:paraId="31ABBB78" w14:textId="46F20CA2" w:rsidR="00FF5DFD" w:rsidRDefault="00FF5DFD">
          <w:pPr>
            <w:pStyle w:val="TOC3"/>
            <w:rPr>
              <w:rFonts w:eastAsiaTheme="minorEastAsia"/>
              <w:noProof/>
              <w:kern w:val="2"/>
              <w:lang w:eastAsia="en-AU"/>
              <w14:ligatures w14:val="standardContextual"/>
            </w:rPr>
          </w:pPr>
          <w:hyperlink w:anchor="_Toc146033545" w:history="1">
            <w:r w:rsidRPr="009C1C70">
              <w:rPr>
                <w:rStyle w:val="Hyperlink"/>
                <w:noProof/>
              </w:rPr>
              <w:t>7.3.3</w:t>
            </w:r>
            <w:r>
              <w:rPr>
                <w:rFonts w:eastAsiaTheme="minorEastAsia"/>
                <w:noProof/>
                <w:kern w:val="2"/>
                <w:lang w:eastAsia="en-AU"/>
                <w14:ligatures w14:val="standardContextual"/>
              </w:rPr>
              <w:tab/>
            </w:r>
            <w:r w:rsidRPr="009C1C70">
              <w:rPr>
                <w:rStyle w:val="Hyperlink"/>
                <w:noProof/>
              </w:rPr>
              <w:t>Calculating the value of changes in wellbeing</w:t>
            </w:r>
            <w:r>
              <w:rPr>
                <w:noProof/>
                <w:webHidden/>
              </w:rPr>
              <w:tab/>
            </w:r>
            <w:r>
              <w:rPr>
                <w:noProof/>
                <w:webHidden/>
              </w:rPr>
              <w:fldChar w:fldCharType="begin"/>
            </w:r>
            <w:r>
              <w:rPr>
                <w:noProof/>
                <w:webHidden/>
              </w:rPr>
              <w:instrText xml:space="preserve"> PAGEREF _Toc146033545 \h </w:instrText>
            </w:r>
            <w:r>
              <w:rPr>
                <w:noProof/>
                <w:webHidden/>
              </w:rPr>
            </w:r>
            <w:r>
              <w:rPr>
                <w:noProof/>
                <w:webHidden/>
              </w:rPr>
              <w:fldChar w:fldCharType="separate"/>
            </w:r>
            <w:r w:rsidR="00180E14">
              <w:rPr>
                <w:noProof/>
                <w:webHidden/>
              </w:rPr>
              <w:t>102</w:t>
            </w:r>
            <w:r>
              <w:rPr>
                <w:noProof/>
                <w:webHidden/>
              </w:rPr>
              <w:fldChar w:fldCharType="end"/>
            </w:r>
          </w:hyperlink>
        </w:p>
        <w:p w14:paraId="2443AE8E" w14:textId="5831029B" w:rsidR="00FF5DFD" w:rsidRDefault="00FF5DFD">
          <w:pPr>
            <w:pStyle w:val="TOC3"/>
            <w:rPr>
              <w:rFonts w:eastAsiaTheme="minorEastAsia"/>
              <w:noProof/>
              <w:kern w:val="2"/>
              <w:lang w:eastAsia="en-AU"/>
              <w14:ligatures w14:val="standardContextual"/>
            </w:rPr>
          </w:pPr>
          <w:hyperlink w:anchor="_Toc146033546" w:history="1">
            <w:r w:rsidRPr="009C1C70">
              <w:rPr>
                <w:rStyle w:val="Hyperlink"/>
                <w:noProof/>
              </w:rPr>
              <w:t>7.3.4</w:t>
            </w:r>
            <w:r>
              <w:rPr>
                <w:rFonts w:eastAsiaTheme="minorEastAsia"/>
                <w:noProof/>
                <w:kern w:val="2"/>
                <w:lang w:eastAsia="en-AU"/>
                <w14:ligatures w14:val="standardContextual"/>
              </w:rPr>
              <w:tab/>
            </w:r>
            <w:r w:rsidRPr="009C1C70">
              <w:rPr>
                <w:rStyle w:val="Hyperlink"/>
                <w:noProof/>
              </w:rPr>
              <w:t>Estimating the monetary value of changes in wellbeing attributable to TtW</w:t>
            </w:r>
            <w:r>
              <w:rPr>
                <w:noProof/>
                <w:webHidden/>
              </w:rPr>
              <w:tab/>
            </w:r>
            <w:r>
              <w:rPr>
                <w:noProof/>
                <w:webHidden/>
              </w:rPr>
              <w:fldChar w:fldCharType="begin"/>
            </w:r>
            <w:r>
              <w:rPr>
                <w:noProof/>
                <w:webHidden/>
              </w:rPr>
              <w:instrText xml:space="preserve"> PAGEREF _Toc146033546 \h </w:instrText>
            </w:r>
            <w:r>
              <w:rPr>
                <w:noProof/>
                <w:webHidden/>
              </w:rPr>
            </w:r>
            <w:r>
              <w:rPr>
                <w:noProof/>
                <w:webHidden/>
              </w:rPr>
              <w:fldChar w:fldCharType="separate"/>
            </w:r>
            <w:r w:rsidR="00180E14">
              <w:rPr>
                <w:noProof/>
                <w:webHidden/>
              </w:rPr>
              <w:t>103</w:t>
            </w:r>
            <w:r>
              <w:rPr>
                <w:noProof/>
                <w:webHidden/>
              </w:rPr>
              <w:fldChar w:fldCharType="end"/>
            </w:r>
          </w:hyperlink>
        </w:p>
        <w:p w14:paraId="538C4DC2" w14:textId="3EACC75F" w:rsidR="00FF5DFD" w:rsidRDefault="00FF5DFD">
          <w:pPr>
            <w:pStyle w:val="TOC2"/>
            <w:rPr>
              <w:rFonts w:eastAsiaTheme="minorEastAsia"/>
              <w:noProof/>
              <w:kern w:val="2"/>
              <w:lang w:eastAsia="en-AU"/>
              <w14:ligatures w14:val="standardContextual"/>
            </w:rPr>
          </w:pPr>
          <w:hyperlink w:anchor="_Toc146033547" w:history="1">
            <w:r w:rsidRPr="009C1C70">
              <w:rPr>
                <w:rStyle w:val="Hyperlink"/>
                <w:noProof/>
              </w:rPr>
              <w:t>7.4</w:t>
            </w:r>
            <w:r>
              <w:rPr>
                <w:rFonts w:eastAsiaTheme="minorEastAsia"/>
                <w:noProof/>
                <w:kern w:val="2"/>
                <w:lang w:eastAsia="en-AU"/>
                <w14:ligatures w14:val="standardContextual"/>
              </w:rPr>
              <w:tab/>
            </w:r>
            <w:r w:rsidRPr="009C1C70">
              <w:rPr>
                <w:rStyle w:val="Hyperlink"/>
                <w:noProof/>
              </w:rPr>
              <w:t>Valuing savings associated with reduced offending</w:t>
            </w:r>
            <w:r>
              <w:rPr>
                <w:noProof/>
                <w:webHidden/>
              </w:rPr>
              <w:tab/>
            </w:r>
            <w:r>
              <w:rPr>
                <w:noProof/>
                <w:webHidden/>
              </w:rPr>
              <w:fldChar w:fldCharType="begin"/>
            </w:r>
            <w:r>
              <w:rPr>
                <w:noProof/>
                <w:webHidden/>
              </w:rPr>
              <w:instrText xml:space="preserve"> PAGEREF _Toc146033547 \h </w:instrText>
            </w:r>
            <w:r>
              <w:rPr>
                <w:noProof/>
                <w:webHidden/>
              </w:rPr>
            </w:r>
            <w:r>
              <w:rPr>
                <w:noProof/>
                <w:webHidden/>
              </w:rPr>
              <w:fldChar w:fldCharType="separate"/>
            </w:r>
            <w:r w:rsidR="00180E14">
              <w:rPr>
                <w:noProof/>
                <w:webHidden/>
              </w:rPr>
              <w:t>103</w:t>
            </w:r>
            <w:r>
              <w:rPr>
                <w:noProof/>
                <w:webHidden/>
              </w:rPr>
              <w:fldChar w:fldCharType="end"/>
            </w:r>
          </w:hyperlink>
        </w:p>
        <w:p w14:paraId="488FF2F4" w14:textId="36838E79" w:rsidR="00FF5DFD" w:rsidRDefault="00FF5DFD">
          <w:pPr>
            <w:pStyle w:val="TOC3"/>
            <w:rPr>
              <w:rFonts w:eastAsiaTheme="minorEastAsia"/>
              <w:noProof/>
              <w:kern w:val="2"/>
              <w:lang w:eastAsia="en-AU"/>
              <w14:ligatures w14:val="standardContextual"/>
            </w:rPr>
          </w:pPr>
          <w:hyperlink w:anchor="_Toc146033548" w:history="1">
            <w:r w:rsidRPr="009C1C70">
              <w:rPr>
                <w:rStyle w:val="Hyperlink"/>
                <w:noProof/>
              </w:rPr>
              <w:t>7.4.1</w:t>
            </w:r>
            <w:r>
              <w:rPr>
                <w:rFonts w:eastAsiaTheme="minorEastAsia"/>
                <w:noProof/>
                <w:kern w:val="2"/>
                <w:lang w:eastAsia="en-AU"/>
                <w14:ligatures w14:val="standardContextual"/>
              </w:rPr>
              <w:tab/>
            </w:r>
            <w:r w:rsidRPr="009C1C70">
              <w:rPr>
                <w:rStyle w:val="Hyperlink"/>
                <w:noProof/>
              </w:rPr>
              <w:t>Nights of incarceration that were avoided due to TtW participation</w:t>
            </w:r>
            <w:r>
              <w:rPr>
                <w:noProof/>
                <w:webHidden/>
              </w:rPr>
              <w:tab/>
            </w:r>
            <w:r>
              <w:rPr>
                <w:noProof/>
                <w:webHidden/>
              </w:rPr>
              <w:fldChar w:fldCharType="begin"/>
            </w:r>
            <w:r>
              <w:rPr>
                <w:noProof/>
                <w:webHidden/>
              </w:rPr>
              <w:instrText xml:space="preserve"> PAGEREF _Toc146033548 \h </w:instrText>
            </w:r>
            <w:r>
              <w:rPr>
                <w:noProof/>
                <w:webHidden/>
              </w:rPr>
            </w:r>
            <w:r>
              <w:rPr>
                <w:noProof/>
                <w:webHidden/>
              </w:rPr>
              <w:fldChar w:fldCharType="separate"/>
            </w:r>
            <w:r w:rsidR="00180E14">
              <w:rPr>
                <w:noProof/>
                <w:webHidden/>
              </w:rPr>
              <w:t>104</w:t>
            </w:r>
            <w:r>
              <w:rPr>
                <w:noProof/>
                <w:webHidden/>
              </w:rPr>
              <w:fldChar w:fldCharType="end"/>
            </w:r>
          </w:hyperlink>
        </w:p>
        <w:p w14:paraId="55684E8F" w14:textId="6B50ED7D" w:rsidR="00FF5DFD" w:rsidRDefault="00FF5DFD">
          <w:pPr>
            <w:pStyle w:val="TOC3"/>
            <w:rPr>
              <w:rFonts w:eastAsiaTheme="minorEastAsia"/>
              <w:noProof/>
              <w:kern w:val="2"/>
              <w:lang w:eastAsia="en-AU"/>
              <w14:ligatures w14:val="standardContextual"/>
            </w:rPr>
          </w:pPr>
          <w:hyperlink w:anchor="_Toc146033549" w:history="1">
            <w:r w:rsidRPr="009C1C70">
              <w:rPr>
                <w:rStyle w:val="Hyperlink"/>
                <w:noProof/>
              </w:rPr>
              <w:t>7.4.2</w:t>
            </w:r>
            <w:r>
              <w:rPr>
                <w:rFonts w:eastAsiaTheme="minorEastAsia"/>
                <w:noProof/>
                <w:kern w:val="2"/>
                <w:lang w:eastAsia="en-AU"/>
                <w14:ligatures w14:val="standardContextual"/>
              </w:rPr>
              <w:tab/>
            </w:r>
            <w:r w:rsidRPr="009C1C70">
              <w:rPr>
                <w:rStyle w:val="Hyperlink"/>
                <w:noProof/>
              </w:rPr>
              <w:t>Cost per person per night of incarceration</w:t>
            </w:r>
            <w:r>
              <w:rPr>
                <w:noProof/>
                <w:webHidden/>
              </w:rPr>
              <w:tab/>
            </w:r>
            <w:r>
              <w:rPr>
                <w:noProof/>
                <w:webHidden/>
              </w:rPr>
              <w:fldChar w:fldCharType="begin"/>
            </w:r>
            <w:r>
              <w:rPr>
                <w:noProof/>
                <w:webHidden/>
              </w:rPr>
              <w:instrText xml:space="preserve"> PAGEREF _Toc146033549 \h </w:instrText>
            </w:r>
            <w:r>
              <w:rPr>
                <w:noProof/>
                <w:webHidden/>
              </w:rPr>
            </w:r>
            <w:r>
              <w:rPr>
                <w:noProof/>
                <w:webHidden/>
              </w:rPr>
              <w:fldChar w:fldCharType="separate"/>
            </w:r>
            <w:r w:rsidR="00180E14">
              <w:rPr>
                <w:noProof/>
                <w:webHidden/>
              </w:rPr>
              <w:t>105</w:t>
            </w:r>
            <w:r>
              <w:rPr>
                <w:noProof/>
                <w:webHidden/>
              </w:rPr>
              <w:fldChar w:fldCharType="end"/>
            </w:r>
          </w:hyperlink>
        </w:p>
        <w:p w14:paraId="1D9AAE93" w14:textId="7EFEE7A4" w:rsidR="00FF5DFD" w:rsidRDefault="00FF5DFD">
          <w:pPr>
            <w:pStyle w:val="TOC3"/>
            <w:rPr>
              <w:rFonts w:eastAsiaTheme="minorEastAsia"/>
              <w:noProof/>
              <w:kern w:val="2"/>
              <w:lang w:eastAsia="en-AU"/>
              <w14:ligatures w14:val="standardContextual"/>
            </w:rPr>
          </w:pPr>
          <w:hyperlink w:anchor="_Toc146033550" w:history="1">
            <w:r w:rsidRPr="009C1C70">
              <w:rPr>
                <w:rStyle w:val="Hyperlink"/>
                <w:noProof/>
              </w:rPr>
              <w:t>7.4.3</w:t>
            </w:r>
            <w:r>
              <w:rPr>
                <w:rFonts w:eastAsiaTheme="minorEastAsia"/>
                <w:noProof/>
                <w:kern w:val="2"/>
                <w:lang w:eastAsia="en-AU"/>
                <w14:ligatures w14:val="standardContextual"/>
              </w:rPr>
              <w:tab/>
            </w:r>
            <w:r w:rsidRPr="009C1C70">
              <w:rPr>
                <w:rStyle w:val="Hyperlink"/>
                <w:noProof/>
              </w:rPr>
              <w:t>Total value of savings from ‘avoided’ incarceration</w:t>
            </w:r>
            <w:r>
              <w:rPr>
                <w:noProof/>
                <w:webHidden/>
              </w:rPr>
              <w:tab/>
            </w:r>
            <w:r>
              <w:rPr>
                <w:noProof/>
                <w:webHidden/>
              </w:rPr>
              <w:fldChar w:fldCharType="begin"/>
            </w:r>
            <w:r>
              <w:rPr>
                <w:noProof/>
                <w:webHidden/>
              </w:rPr>
              <w:instrText xml:space="preserve"> PAGEREF _Toc146033550 \h </w:instrText>
            </w:r>
            <w:r>
              <w:rPr>
                <w:noProof/>
                <w:webHidden/>
              </w:rPr>
            </w:r>
            <w:r>
              <w:rPr>
                <w:noProof/>
                <w:webHidden/>
              </w:rPr>
              <w:fldChar w:fldCharType="separate"/>
            </w:r>
            <w:r w:rsidR="00180E14">
              <w:rPr>
                <w:noProof/>
                <w:webHidden/>
              </w:rPr>
              <w:t>105</w:t>
            </w:r>
            <w:r>
              <w:rPr>
                <w:noProof/>
                <w:webHidden/>
              </w:rPr>
              <w:fldChar w:fldCharType="end"/>
            </w:r>
          </w:hyperlink>
        </w:p>
        <w:p w14:paraId="52280316" w14:textId="4C6E23AD" w:rsidR="00FF5DFD" w:rsidRDefault="00FF5DFD">
          <w:pPr>
            <w:pStyle w:val="TOC2"/>
            <w:rPr>
              <w:rFonts w:eastAsiaTheme="minorEastAsia"/>
              <w:noProof/>
              <w:kern w:val="2"/>
              <w:lang w:eastAsia="en-AU"/>
              <w14:ligatures w14:val="standardContextual"/>
            </w:rPr>
          </w:pPr>
          <w:hyperlink w:anchor="_Toc146033551" w:history="1">
            <w:r w:rsidRPr="009C1C70">
              <w:rPr>
                <w:rStyle w:val="Hyperlink"/>
                <w:noProof/>
              </w:rPr>
              <w:t>7.5</w:t>
            </w:r>
            <w:r>
              <w:rPr>
                <w:rFonts w:eastAsiaTheme="minorEastAsia"/>
                <w:noProof/>
                <w:kern w:val="2"/>
                <w:lang w:eastAsia="en-AU"/>
                <w14:ligatures w14:val="standardContextual"/>
              </w:rPr>
              <w:tab/>
            </w:r>
            <w:r w:rsidRPr="009C1C70">
              <w:rPr>
                <w:rStyle w:val="Hyperlink"/>
                <w:noProof/>
              </w:rPr>
              <w:t>Calculating the cost of servicing one participant in TtW</w:t>
            </w:r>
            <w:r>
              <w:rPr>
                <w:noProof/>
                <w:webHidden/>
              </w:rPr>
              <w:tab/>
            </w:r>
            <w:r>
              <w:rPr>
                <w:noProof/>
                <w:webHidden/>
              </w:rPr>
              <w:fldChar w:fldCharType="begin"/>
            </w:r>
            <w:r>
              <w:rPr>
                <w:noProof/>
                <w:webHidden/>
              </w:rPr>
              <w:instrText xml:space="preserve"> PAGEREF _Toc146033551 \h </w:instrText>
            </w:r>
            <w:r>
              <w:rPr>
                <w:noProof/>
                <w:webHidden/>
              </w:rPr>
            </w:r>
            <w:r>
              <w:rPr>
                <w:noProof/>
                <w:webHidden/>
              </w:rPr>
              <w:fldChar w:fldCharType="separate"/>
            </w:r>
            <w:r w:rsidR="00180E14">
              <w:rPr>
                <w:noProof/>
                <w:webHidden/>
              </w:rPr>
              <w:t>106</w:t>
            </w:r>
            <w:r>
              <w:rPr>
                <w:noProof/>
                <w:webHidden/>
              </w:rPr>
              <w:fldChar w:fldCharType="end"/>
            </w:r>
          </w:hyperlink>
        </w:p>
        <w:p w14:paraId="640B39FB" w14:textId="2750CD5D" w:rsidR="00FF5DFD" w:rsidRDefault="00FF5DFD">
          <w:pPr>
            <w:pStyle w:val="TOC2"/>
            <w:rPr>
              <w:rFonts w:eastAsiaTheme="minorEastAsia"/>
              <w:noProof/>
              <w:kern w:val="2"/>
              <w:lang w:eastAsia="en-AU"/>
              <w14:ligatures w14:val="standardContextual"/>
            </w:rPr>
          </w:pPr>
          <w:hyperlink w:anchor="_Toc146033552" w:history="1">
            <w:r w:rsidRPr="009C1C70">
              <w:rPr>
                <w:rStyle w:val="Hyperlink"/>
                <w:noProof/>
              </w:rPr>
              <w:t>7.6</w:t>
            </w:r>
            <w:r>
              <w:rPr>
                <w:rFonts w:eastAsiaTheme="minorEastAsia"/>
                <w:noProof/>
                <w:kern w:val="2"/>
                <w:lang w:eastAsia="en-AU"/>
                <w14:ligatures w14:val="standardContextual"/>
              </w:rPr>
              <w:tab/>
            </w:r>
            <w:r w:rsidRPr="009C1C70">
              <w:rPr>
                <w:rStyle w:val="Hyperlink"/>
                <w:noProof/>
              </w:rPr>
              <w:t>Calculating the average cost/person associated with additional income support payments</w:t>
            </w:r>
            <w:r>
              <w:rPr>
                <w:noProof/>
                <w:webHidden/>
              </w:rPr>
              <w:tab/>
            </w:r>
            <w:r w:rsidR="003B7DC1">
              <w:rPr>
                <w:noProof/>
                <w:webHidden/>
              </w:rPr>
              <w:tab/>
            </w:r>
            <w:r w:rsidR="003B7DC1">
              <w:rPr>
                <w:noProof/>
                <w:webHidden/>
              </w:rPr>
              <w:tab/>
            </w:r>
            <w:r>
              <w:rPr>
                <w:noProof/>
                <w:webHidden/>
              </w:rPr>
              <w:fldChar w:fldCharType="begin"/>
            </w:r>
            <w:r>
              <w:rPr>
                <w:noProof/>
                <w:webHidden/>
              </w:rPr>
              <w:instrText xml:space="preserve"> PAGEREF _Toc146033552 \h </w:instrText>
            </w:r>
            <w:r>
              <w:rPr>
                <w:noProof/>
                <w:webHidden/>
              </w:rPr>
            </w:r>
            <w:r>
              <w:rPr>
                <w:noProof/>
                <w:webHidden/>
              </w:rPr>
              <w:fldChar w:fldCharType="separate"/>
            </w:r>
            <w:r w:rsidR="00180E14">
              <w:rPr>
                <w:noProof/>
                <w:webHidden/>
              </w:rPr>
              <w:t>106</w:t>
            </w:r>
            <w:r>
              <w:rPr>
                <w:noProof/>
                <w:webHidden/>
              </w:rPr>
              <w:fldChar w:fldCharType="end"/>
            </w:r>
          </w:hyperlink>
        </w:p>
        <w:p w14:paraId="1DBC4DF8" w14:textId="63FEC2A2" w:rsidR="00FF5DFD" w:rsidRDefault="00FF5DFD">
          <w:pPr>
            <w:pStyle w:val="TOC2"/>
            <w:rPr>
              <w:rFonts w:eastAsiaTheme="minorEastAsia"/>
              <w:noProof/>
              <w:kern w:val="2"/>
              <w:lang w:eastAsia="en-AU"/>
              <w14:ligatures w14:val="standardContextual"/>
            </w:rPr>
          </w:pPr>
          <w:hyperlink w:anchor="_Toc146033553" w:history="1">
            <w:r w:rsidRPr="009C1C70">
              <w:rPr>
                <w:rStyle w:val="Hyperlink"/>
                <w:noProof/>
              </w:rPr>
              <w:t>7.7</w:t>
            </w:r>
            <w:r>
              <w:rPr>
                <w:rFonts w:eastAsiaTheme="minorEastAsia"/>
                <w:noProof/>
                <w:kern w:val="2"/>
                <w:lang w:eastAsia="en-AU"/>
                <w14:ligatures w14:val="standardContextual"/>
              </w:rPr>
              <w:tab/>
            </w:r>
            <w:r w:rsidRPr="009C1C70">
              <w:rPr>
                <w:rStyle w:val="Hyperlink"/>
                <w:noProof/>
              </w:rPr>
              <w:t>Estimating the cost : benefit ratio</w:t>
            </w:r>
            <w:r>
              <w:rPr>
                <w:noProof/>
                <w:webHidden/>
              </w:rPr>
              <w:tab/>
            </w:r>
            <w:r>
              <w:rPr>
                <w:noProof/>
                <w:webHidden/>
              </w:rPr>
              <w:fldChar w:fldCharType="begin"/>
            </w:r>
            <w:r>
              <w:rPr>
                <w:noProof/>
                <w:webHidden/>
              </w:rPr>
              <w:instrText xml:space="preserve"> PAGEREF _Toc146033553 \h </w:instrText>
            </w:r>
            <w:r>
              <w:rPr>
                <w:noProof/>
                <w:webHidden/>
              </w:rPr>
            </w:r>
            <w:r>
              <w:rPr>
                <w:noProof/>
                <w:webHidden/>
              </w:rPr>
              <w:fldChar w:fldCharType="separate"/>
            </w:r>
            <w:r w:rsidR="00180E14">
              <w:rPr>
                <w:noProof/>
                <w:webHidden/>
              </w:rPr>
              <w:t>107</w:t>
            </w:r>
            <w:r>
              <w:rPr>
                <w:noProof/>
                <w:webHidden/>
              </w:rPr>
              <w:fldChar w:fldCharType="end"/>
            </w:r>
          </w:hyperlink>
        </w:p>
        <w:p w14:paraId="5C07D944" w14:textId="5610AB82" w:rsidR="00FF5DFD" w:rsidRDefault="00FF5DFD">
          <w:pPr>
            <w:pStyle w:val="TOC2"/>
            <w:rPr>
              <w:rFonts w:eastAsiaTheme="minorEastAsia"/>
              <w:noProof/>
              <w:kern w:val="2"/>
              <w:lang w:eastAsia="en-AU"/>
              <w14:ligatures w14:val="standardContextual"/>
            </w:rPr>
          </w:pPr>
          <w:hyperlink w:anchor="_Toc146033554" w:history="1">
            <w:r w:rsidRPr="009C1C70">
              <w:rPr>
                <w:rStyle w:val="Hyperlink"/>
                <w:noProof/>
              </w:rPr>
              <w:t>7.8</w:t>
            </w:r>
            <w:r>
              <w:rPr>
                <w:rFonts w:eastAsiaTheme="minorEastAsia"/>
                <w:noProof/>
                <w:kern w:val="2"/>
                <w:lang w:eastAsia="en-AU"/>
                <w14:ligatures w14:val="standardContextual"/>
              </w:rPr>
              <w:tab/>
            </w:r>
            <w:r w:rsidRPr="009C1C70">
              <w:rPr>
                <w:rStyle w:val="Hyperlink"/>
                <w:noProof/>
              </w:rPr>
              <w:t>Conclusion</w:t>
            </w:r>
            <w:r>
              <w:rPr>
                <w:noProof/>
                <w:webHidden/>
              </w:rPr>
              <w:tab/>
            </w:r>
            <w:r>
              <w:rPr>
                <w:noProof/>
                <w:webHidden/>
              </w:rPr>
              <w:fldChar w:fldCharType="begin"/>
            </w:r>
            <w:r>
              <w:rPr>
                <w:noProof/>
                <w:webHidden/>
              </w:rPr>
              <w:instrText xml:space="preserve"> PAGEREF _Toc146033554 \h </w:instrText>
            </w:r>
            <w:r>
              <w:rPr>
                <w:noProof/>
                <w:webHidden/>
              </w:rPr>
            </w:r>
            <w:r>
              <w:rPr>
                <w:noProof/>
                <w:webHidden/>
              </w:rPr>
              <w:fldChar w:fldCharType="separate"/>
            </w:r>
            <w:r w:rsidR="00180E14">
              <w:rPr>
                <w:noProof/>
                <w:webHidden/>
              </w:rPr>
              <w:t>108</w:t>
            </w:r>
            <w:r>
              <w:rPr>
                <w:noProof/>
                <w:webHidden/>
              </w:rPr>
              <w:fldChar w:fldCharType="end"/>
            </w:r>
          </w:hyperlink>
        </w:p>
        <w:p w14:paraId="3426EC0E" w14:textId="3959DAFE" w:rsidR="00FF5DFD" w:rsidRDefault="00FF5DFD">
          <w:pPr>
            <w:pStyle w:val="TOC1"/>
            <w:rPr>
              <w:rFonts w:eastAsiaTheme="minorEastAsia"/>
              <w:b w:val="0"/>
              <w:noProof/>
              <w:kern w:val="2"/>
              <w:lang w:eastAsia="en-AU"/>
              <w14:ligatures w14:val="standardContextual"/>
            </w:rPr>
          </w:pPr>
          <w:hyperlink w:anchor="_Toc146033555" w:history="1">
            <w:r w:rsidRPr="009C1C70">
              <w:rPr>
                <w:rStyle w:val="Hyperlink"/>
                <w:noProof/>
              </w:rPr>
              <w:t>Chapter 8 – Conclusion</w:t>
            </w:r>
            <w:r>
              <w:rPr>
                <w:noProof/>
                <w:webHidden/>
              </w:rPr>
              <w:tab/>
            </w:r>
            <w:r>
              <w:rPr>
                <w:noProof/>
                <w:webHidden/>
              </w:rPr>
              <w:fldChar w:fldCharType="begin"/>
            </w:r>
            <w:r>
              <w:rPr>
                <w:noProof/>
                <w:webHidden/>
              </w:rPr>
              <w:instrText xml:space="preserve"> PAGEREF _Toc146033555 \h </w:instrText>
            </w:r>
            <w:r>
              <w:rPr>
                <w:noProof/>
                <w:webHidden/>
              </w:rPr>
            </w:r>
            <w:r>
              <w:rPr>
                <w:noProof/>
                <w:webHidden/>
              </w:rPr>
              <w:fldChar w:fldCharType="separate"/>
            </w:r>
            <w:r w:rsidR="00180E14">
              <w:rPr>
                <w:noProof/>
                <w:webHidden/>
              </w:rPr>
              <w:t>109</w:t>
            </w:r>
            <w:r>
              <w:rPr>
                <w:noProof/>
                <w:webHidden/>
              </w:rPr>
              <w:fldChar w:fldCharType="end"/>
            </w:r>
          </w:hyperlink>
        </w:p>
        <w:p w14:paraId="543AB392" w14:textId="107C62AF" w:rsidR="00FF5DFD" w:rsidRDefault="00FF5DFD">
          <w:pPr>
            <w:pStyle w:val="TOC1"/>
            <w:rPr>
              <w:rFonts w:eastAsiaTheme="minorEastAsia"/>
              <w:b w:val="0"/>
              <w:noProof/>
              <w:kern w:val="2"/>
              <w:lang w:eastAsia="en-AU"/>
              <w14:ligatures w14:val="standardContextual"/>
            </w:rPr>
          </w:pPr>
          <w:hyperlink w:anchor="_Toc146033556" w:history="1">
            <w:r w:rsidRPr="009C1C70">
              <w:rPr>
                <w:rStyle w:val="Hyperlink"/>
                <w:noProof/>
              </w:rPr>
              <w:t>References</w:t>
            </w:r>
            <w:r>
              <w:rPr>
                <w:noProof/>
                <w:webHidden/>
              </w:rPr>
              <w:tab/>
            </w:r>
            <w:r>
              <w:rPr>
                <w:noProof/>
                <w:webHidden/>
              </w:rPr>
              <w:fldChar w:fldCharType="begin"/>
            </w:r>
            <w:r>
              <w:rPr>
                <w:noProof/>
                <w:webHidden/>
              </w:rPr>
              <w:instrText xml:space="preserve"> PAGEREF _Toc146033556 \h </w:instrText>
            </w:r>
            <w:r>
              <w:rPr>
                <w:noProof/>
                <w:webHidden/>
              </w:rPr>
            </w:r>
            <w:r>
              <w:rPr>
                <w:noProof/>
                <w:webHidden/>
              </w:rPr>
              <w:fldChar w:fldCharType="separate"/>
            </w:r>
            <w:r w:rsidR="00180E14">
              <w:rPr>
                <w:noProof/>
                <w:webHidden/>
              </w:rPr>
              <w:t>110</w:t>
            </w:r>
            <w:r>
              <w:rPr>
                <w:noProof/>
                <w:webHidden/>
              </w:rPr>
              <w:fldChar w:fldCharType="end"/>
            </w:r>
          </w:hyperlink>
        </w:p>
        <w:p w14:paraId="6B07C3C0" w14:textId="220DBEC9" w:rsidR="00FF5DFD" w:rsidRDefault="00FF5DFD">
          <w:pPr>
            <w:pStyle w:val="TOC1"/>
            <w:rPr>
              <w:rFonts w:eastAsiaTheme="minorEastAsia"/>
              <w:b w:val="0"/>
              <w:noProof/>
              <w:kern w:val="2"/>
              <w:lang w:eastAsia="en-AU"/>
              <w14:ligatures w14:val="standardContextual"/>
            </w:rPr>
          </w:pPr>
          <w:hyperlink w:anchor="_Toc146033557" w:history="1">
            <w:r w:rsidRPr="009C1C70">
              <w:rPr>
                <w:rStyle w:val="Hyperlink"/>
                <w:noProof/>
              </w:rPr>
              <w:t>List of tables</w:t>
            </w:r>
            <w:r>
              <w:rPr>
                <w:noProof/>
                <w:webHidden/>
              </w:rPr>
              <w:tab/>
            </w:r>
            <w:r>
              <w:rPr>
                <w:noProof/>
                <w:webHidden/>
              </w:rPr>
              <w:fldChar w:fldCharType="begin"/>
            </w:r>
            <w:r>
              <w:rPr>
                <w:noProof/>
                <w:webHidden/>
              </w:rPr>
              <w:instrText xml:space="preserve"> PAGEREF _Toc146033557 \h </w:instrText>
            </w:r>
            <w:r>
              <w:rPr>
                <w:noProof/>
                <w:webHidden/>
              </w:rPr>
            </w:r>
            <w:r>
              <w:rPr>
                <w:noProof/>
                <w:webHidden/>
              </w:rPr>
              <w:fldChar w:fldCharType="separate"/>
            </w:r>
            <w:r w:rsidR="00180E14">
              <w:rPr>
                <w:noProof/>
                <w:webHidden/>
              </w:rPr>
              <w:t>115</w:t>
            </w:r>
            <w:r>
              <w:rPr>
                <w:noProof/>
                <w:webHidden/>
              </w:rPr>
              <w:fldChar w:fldCharType="end"/>
            </w:r>
          </w:hyperlink>
        </w:p>
        <w:p w14:paraId="23ED832E" w14:textId="7D59BEB9" w:rsidR="00FF5DFD" w:rsidRDefault="00FF5DFD">
          <w:pPr>
            <w:pStyle w:val="TOC1"/>
            <w:rPr>
              <w:rFonts w:eastAsiaTheme="minorEastAsia"/>
              <w:b w:val="0"/>
              <w:noProof/>
              <w:kern w:val="2"/>
              <w:lang w:eastAsia="en-AU"/>
              <w14:ligatures w14:val="standardContextual"/>
            </w:rPr>
          </w:pPr>
          <w:hyperlink w:anchor="_Toc146033558" w:history="1">
            <w:r w:rsidRPr="009C1C70">
              <w:rPr>
                <w:rStyle w:val="Hyperlink"/>
                <w:noProof/>
              </w:rPr>
              <w:t>List of figures</w:t>
            </w:r>
            <w:r>
              <w:rPr>
                <w:noProof/>
                <w:webHidden/>
              </w:rPr>
              <w:tab/>
            </w:r>
            <w:r>
              <w:rPr>
                <w:noProof/>
                <w:webHidden/>
              </w:rPr>
              <w:fldChar w:fldCharType="begin"/>
            </w:r>
            <w:r>
              <w:rPr>
                <w:noProof/>
                <w:webHidden/>
              </w:rPr>
              <w:instrText xml:space="preserve"> PAGEREF _Toc146033558 \h </w:instrText>
            </w:r>
            <w:r>
              <w:rPr>
                <w:noProof/>
                <w:webHidden/>
              </w:rPr>
            </w:r>
            <w:r>
              <w:rPr>
                <w:noProof/>
                <w:webHidden/>
              </w:rPr>
              <w:fldChar w:fldCharType="separate"/>
            </w:r>
            <w:r w:rsidR="00180E14">
              <w:rPr>
                <w:noProof/>
                <w:webHidden/>
              </w:rPr>
              <w:t>118</w:t>
            </w:r>
            <w:r>
              <w:rPr>
                <w:noProof/>
                <w:webHidden/>
              </w:rPr>
              <w:fldChar w:fldCharType="end"/>
            </w:r>
          </w:hyperlink>
        </w:p>
        <w:p w14:paraId="69CE3AE0" w14:textId="708D6E2C" w:rsidR="00FF5DFD" w:rsidRDefault="00FF5DFD">
          <w:pPr>
            <w:pStyle w:val="TOC1"/>
            <w:rPr>
              <w:rFonts w:eastAsiaTheme="minorEastAsia"/>
              <w:b w:val="0"/>
              <w:noProof/>
              <w:kern w:val="2"/>
              <w:lang w:eastAsia="en-AU"/>
              <w14:ligatures w14:val="standardContextual"/>
            </w:rPr>
          </w:pPr>
          <w:hyperlink w:anchor="_Toc146033559" w:history="1">
            <w:r w:rsidRPr="009C1C70">
              <w:rPr>
                <w:rStyle w:val="Hyperlink"/>
                <w:noProof/>
              </w:rPr>
              <w:t>Appendix 1: Macroeconomic conditions affecting program outcomes</w:t>
            </w:r>
            <w:r>
              <w:rPr>
                <w:noProof/>
                <w:webHidden/>
              </w:rPr>
              <w:tab/>
            </w:r>
            <w:r>
              <w:rPr>
                <w:noProof/>
                <w:webHidden/>
              </w:rPr>
              <w:fldChar w:fldCharType="begin"/>
            </w:r>
            <w:r>
              <w:rPr>
                <w:noProof/>
                <w:webHidden/>
              </w:rPr>
              <w:instrText xml:space="preserve"> PAGEREF _Toc146033559 \h </w:instrText>
            </w:r>
            <w:r>
              <w:rPr>
                <w:noProof/>
                <w:webHidden/>
              </w:rPr>
            </w:r>
            <w:r>
              <w:rPr>
                <w:noProof/>
                <w:webHidden/>
              </w:rPr>
              <w:fldChar w:fldCharType="separate"/>
            </w:r>
            <w:r w:rsidR="00180E14">
              <w:rPr>
                <w:noProof/>
                <w:webHidden/>
              </w:rPr>
              <w:t>121</w:t>
            </w:r>
            <w:r>
              <w:rPr>
                <w:noProof/>
                <w:webHidden/>
              </w:rPr>
              <w:fldChar w:fldCharType="end"/>
            </w:r>
          </w:hyperlink>
        </w:p>
        <w:p w14:paraId="27B581F0" w14:textId="316BC292" w:rsidR="00FF5DFD" w:rsidRDefault="00FF5DFD">
          <w:pPr>
            <w:pStyle w:val="TOC2"/>
            <w:rPr>
              <w:rFonts w:eastAsiaTheme="minorEastAsia"/>
              <w:noProof/>
              <w:kern w:val="2"/>
              <w:lang w:eastAsia="en-AU"/>
              <w14:ligatures w14:val="standardContextual"/>
            </w:rPr>
          </w:pPr>
          <w:hyperlink w:anchor="_Toc146033560" w:history="1">
            <w:r w:rsidRPr="009C1C70">
              <w:rPr>
                <w:rStyle w:val="Hyperlink"/>
                <w:noProof/>
              </w:rPr>
              <w:t>A1.1. An underlying upward trend in economic growth, 2016–2020</w:t>
            </w:r>
            <w:r>
              <w:rPr>
                <w:noProof/>
                <w:webHidden/>
              </w:rPr>
              <w:tab/>
            </w:r>
            <w:r>
              <w:rPr>
                <w:noProof/>
                <w:webHidden/>
              </w:rPr>
              <w:fldChar w:fldCharType="begin"/>
            </w:r>
            <w:r>
              <w:rPr>
                <w:noProof/>
                <w:webHidden/>
              </w:rPr>
              <w:instrText xml:space="preserve"> PAGEREF _Toc146033560 \h </w:instrText>
            </w:r>
            <w:r>
              <w:rPr>
                <w:noProof/>
                <w:webHidden/>
              </w:rPr>
            </w:r>
            <w:r>
              <w:rPr>
                <w:noProof/>
                <w:webHidden/>
              </w:rPr>
              <w:fldChar w:fldCharType="separate"/>
            </w:r>
            <w:r w:rsidR="00180E14">
              <w:rPr>
                <w:noProof/>
                <w:webHidden/>
              </w:rPr>
              <w:t>121</w:t>
            </w:r>
            <w:r>
              <w:rPr>
                <w:noProof/>
                <w:webHidden/>
              </w:rPr>
              <w:fldChar w:fldCharType="end"/>
            </w:r>
          </w:hyperlink>
        </w:p>
        <w:p w14:paraId="79469080" w14:textId="35A28B6A" w:rsidR="00FF5DFD" w:rsidRDefault="00FF5DFD">
          <w:pPr>
            <w:pStyle w:val="TOC2"/>
            <w:rPr>
              <w:rFonts w:eastAsiaTheme="minorEastAsia"/>
              <w:noProof/>
              <w:kern w:val="2"/>
              <w:lang w:eastAsia="en-AU"/>
              <w14:ligatures w14:val="standardContextual"/>
            </w:rPr>
          </w:pPr>
          <w:hyperlink w:anchor="_Toc146033561" w:history="1">
            <w:r w:rsidRPr="009C1C70">
              <w:rPr>
                <w:rStyle w:val="Hyperlink"/>
                <w:noProof/>
              </w:rPr>
              <w:t>A1.2. The shock of COVID-19 and natural disasters</w:t>
            </w:r>
            <w:r>
              <w:rPr>
                <w:noProof/>
                <w:webHidden/>
              </w:rPr>
              <w:tab/>
            </w:r>
            <w:r>
              <w:rPr>
                <w:noProof/>
                <w:webHidden/>
              </w:rPr>
              <w:fldChar w:fldCharType="begin"/>
            </w:r>
            <w:r>
              <w:rPr>
                <w:noProof/>
                <w:webHidden/>
              </w:rPr>
              <w:instrText xml:space="preserve"> PAGEREF _Toc146033561 \h </w:instrText>
            </w:r>
            <w:r>
              <w:rPr>
                <w:noProof/>
                <w:webHidden/>
              </w:rPr>
            </w:r>
            <w:r>
              <w:rPr>
                <w:noProof/>
                <w:webHidden/>
              </w:rPr>
              <w:fldChar w:fldCharType="separate"/>
            </w:r>
            <w:r w:rsidR="00180E14">
              <w:rPr>
                <w:noProof/>
                <w:webHidden/>
              </w:rPr>
              <w:t>124</w:t>
            </w:r>
            <w:r>
              <w:rPr>
                <w:noProof/>
                <w:webHidden/>
              </w:rPr>
              <w:fldChar w:fldCharType="end"/>
            </w:r>
          </w:hyperlink>
        </w:p>
        <w:p w14:paraId="2322872C" w14:textId="0A2C5CF5" w:rsidR="00FF5DFD" w:rsidRDefault="00FF5DFD">
          <w:pPr>
            <w:pStyle w:val="TOC1"/>
            <w:rPr>
              <w:rFonts w:eastAsiaTheme="minorEastAsia"/>
              <w:b w:val="0"/>
              <w:noProof/>
              <w:kern w:val="2"/>
              <w:lang w:eastAsia="en-AU"/>
              <w14:ligatures w14:val="standardContextual"/>
            </w:rPr>
          </w:pPr>
          <w:hyperlink w:anchor="_Toc146033562" w:history="1">
            <w:r w:rsidRPr="009C1C70">
              <w:rPr>
                <w:rStyle w:val="Hyperlink"/>
                <w:noProof/>
              </w:rPr>
              <w:t>Appendix 2: Data sources</w:t>
            </w:r>
            <w:r>
              <w:rPr>
                <w:noProof/>
                <w:webHidden/>
              </w:rPr>
              <w:tab/>
            </w:r>
            <w:r>
              <w:rPr>
                <w:noProof/>
                <w:webHidden/>
              </w:rPr>
              <w:fldChar w:fldCharType="begin"/>
            </w:r>
            <w:r>
              <w:rPr>
                <w:noProof/>
                <w:webHidden/>
              </w:rPr>
              <w:instrText xml:space="preserve"> PAGEREF _Toc146033562 \h </w:instrText>
            </w:r>
            <w:r>
              <w:rPr>
                <w:noProof/>
                <w:webHidden/>
              </w:rPr>
            </w:r>
            <w:r>
              <w:rPr>
                <w:noProof/>
                <w:webHidden/>
              </w:rPr>
              <w:fldChar w:fldCharType="separate"/>
            </w:r>
            <w:r w:rsidR="00180E14">
              <w:rPr>
                <w:noProof/>
                <w:webHidden/>
              </w:rPr>
              <w:t>126</w:t>
            </w:r>
            <w:r>
              <w:rPr>
                <w:noProof/>
                <w:webHidden/>
              </w:rPr>
              <w:fldChar w:fldCharType="end"/>
            </w:r>
          </w:hyperlink>
        </w:p>
        <w:p w14:paraId="7EA86272" w14:textId="32278303" w:rsidR="00FF5DFD" w:rsidRDefault="00FF5DFD">
          <w:pPr>
            <w:pStyle w:val="TOC2"/>
            <w:rPr>
              <w:rFonts w:eastAsiaTheme="minorEastAsia"/>
              <w:noProof/>
              <w:kern w:val="2"/>
              <w:lang w:eastAsia="en-AU"/>
              <w14:ligatures w14:val="standardContextual"/>
            </w:rPr>
          </w:pPr>
          <w:hyperlink w:anchor="_Toc146033563" w:history="1">
            <w:r w:rsidRPr="009C1C70">
              <w:rPr>
                <w:rStyle w:val="Hyperlink"/>
                <w:noProof/>
              </w:rPr>
              <w:t>A2.1. Qualitative research</w:t>
            </w:r>
            <w:r>
              <w:rPr>
                <w:noProof/>
                <w:webHidden/>
              </w:rPr>
              <w:tab/>
            </w:r>
            <w:r>
              <w:rPr>
                <w:noProof/>
                <w:webHidden/>
              </w:rPr>
              <w:fldChar w:fldCharType="begin"/>
            </w:r>
            <w:r>
              <w:rPr>
                <w:noProof/>
                <w:webHidden/>
              </w:rPr>
              <w:instrText xml:space="preserve"> PAGEREF _Toc146033563 \h </w:instrText>
            </w:r>
            <w:r>
              <w:rPr>
                <w:noProof/>
                <w:webHidden/>
              </w:rPr>
            </w:r>
            <w:r>
              <w:rPr>
                <w:noProof/>
                <w:webHidden/>
              </w:rPr>
              <w:fldChar w:fldCharType="separate"/>
            </w:r>
            <w:r w:rsidR="00180E14">
              <w:rPr>
                <w:noProof/>
                <w:webHidden/>
              </w:rPr>
              <w:t>126</w:t>
            </w:r>
            <w:r>
              <w:rPr>
                <w:noProof/>
                <w:webHidden/>
              </w:rPr>
              <w:fldChar w:fldCharType="end"/>
            </w:r>
          </w:hyperlink>
        </w:p>
        <w:p w14:paraId="1CD5A9D9" w14:textId="31353CB4" w:rsidR="00FF5DFD" w:rsidRDefault="00FF5DFD">
          <w:pPr>
            <w:pStyle w:val="TOC3"/>
            <w:rPr>
              <w:rFonts w:eastAsiaTheme="minorEastAsia"/>
              <w:noProof/>
              <w:kern w:val="2"/>
              <w:lang w:eastAsia="en-AU"/>
              <w14:ligatures w14:val="standardContextual"/>
            </w:rPr>
          </w:pPr>
          <w:hyperlink w:anchor="_Toc146033564" w:history="1">
            <w:r w:rsidRPr="009C1C70">
              <w:rPr>
                <w:rStyle w:val="Hyperlink"/>
                <w:noProof/>
              </w:rPr>
              <w:t>A2.1.1. 2021 participant, provider and stakeholder interviews</w:t>
            </w:r>
            <w:r>
              <w:rPr>
                <w:noProof/>
                <w:webHidden/>
              </w:rPr>
              <w:tab/>
            </w:r>
            <w:r>
              <w:rPr>
                <w:noProof/>
                <w:webHidden/>
              </w:rPr>
              <w:fldChar w:fldCharType="begin"/>
            </w:r>
            <w:r>
              <w:rPr>
                <w:noProof/>
                <w:webHidden/>
              </w:rPr>
              <w:instrText xml:space="preserve"> PAGEREF _Toc146033564 \h </w:instrText>
            </w:r>
            <w:r>
              <w:rPr>
                <w:noProof/>
                <w:webHidden/>
              </w:rPr>
            </w:r>
            <w:r>
              <w:rPr>
                <w:noProof/>
                <w:webHidden/>
              </w:rPr>
              <w:fldChar w:fldCharType="separate"/>
            </w:r>
            <w:r w:rsidR="00180E14">
              <w:rPr>
                <w:noProof/>
                <w:webHidden/>
              </w:rPr>
              <w:t>126</w:t>
            </w:r>
            <w:r>
              <w:rPr>
                <w:noProof/>
                <w:webHidden/>
              </w:rPr>
              <w:fldChar w:fldCharType="end"/>
            </w:r>
          </w:hyperlink>
        </w:p>
        <w:p w14:paraId="4BE1BC2E" w14:textId="159B703F" w:rsidR="00FF5DFD" w:rsidRDefault="00FF5DFD">
          <w:pPr>
            <w:pStyle w:val="TOC2"/>
            <w:rPr>
              <w:rFonts w:eastAsiaTheme="minorEastAsia"/>
              <w:noProof/>
              <w:kern w:val="2"/>
              <w:lang w:eastAsia="en-AU"/>
              <w14:ligatures w14:val="standardContextual"/>
            </w:rPr>
          </w:pPr>
          <w:hyperlink w:anchor="_Toc146033565" w:history="1">
            <w:r w:rsidRPr="009C1C70">
              <w:rPr>
                <w:rStyle w:val="Hyperlink"/>
                <w:noProof/>
              </w:rPr>
              <w:t>A2.2. Quantitative research</w:t>
            </w:r>
            <w:r>
              <w:rPr>
                <w:noProof/>
                <w:webHidden/>
              </w:rPr>
              <w:tab/>
            </w:r>
            <w:r>
              <w:rPr>
                <w:noProof/>
                <w:webHidden/>
              </w:rPr>
              <w:fldChar w:fldCharType="begin"/>
            </w:r>
            <w:r>
              <w:rPr>
                <w:noProof/>
                <w:webHidden/>
              </w:rPr>
              <w:instrText xml:space="preserve"> PAGEREF _Toc146033565 \h </w:instrText>
            </w:r>
            <w:r>
              <w:rPr>
                <w:noProof/>
                <w:webHidden/>
              </w:rPr>
            </w:r>
            <w:r>
              <w:rPr>
                <w:noProof/>
                <w:webHidden/>
              </w:rPr>
              <w:fldChar w:fldCharType="separate"/>
            </w:r>
            <w:r w:rsidR="00180E14">
              <w:rPr>
                <w:noProof/>
                <w:webHidden/>
              </w:rPr>
              <w:t>126</w:t>
            </w:r>
            <w:r>
              <w:rPr>
                <w:noProof/>
                <w:webHidden/>
              </w:rPr>
              <w:fldChar w:fldCharType="end"/>
            </w:r>
          </w:hyperlink>
        </w:p>
        <w:p w14:paraId="2DFCFC17" w14:textId="06AB6945" w:rsidR="00FF5DFD" w:rsidRDefault="00FF5DFD">
          <w:pPr>
            <w:pStyle w:val="TOC3"/>
            <w:rPr>
              <w:rFonts w:eastAsiaTheme="minorEastAsia"/>
              <w:noProof/>
              <w:kern w:val="2"/>
              <w:lang w:eastAsia="en-AU"/>
              <w14:ligatures w14:val="standardContextual"/>
            </w:rPr>
          </w:pPr>
          <w:hyperlink w:anchor="_Toc146033566" w:history="1">
            <w:r w:rsidRPr="009C1C70">
              <w:rPr>
                <w:rStyle w:val="Hyperlink"/>
                <w:noProof/>
              </w:rPr>
              <w:t>A2.2.1. 2021 TtW provider survey</w:t>
            </w:r>
            <w:r>
              <w:rPr>
                <w:noProof/>
                <w:webHidden/>
              </w:rPr>
              <w:tab/>
            </w:r>
            <w:r>
              <w:rPr>
                <w:noProof/>
                <w:webHidden/>
              </w:rPr>
              <w:fldChar w:fldCharType="begin"/>
            </w:r>
            <w:r>
              <w:rPr>
                <w:noProof/>
                <w:webHidden/>
              </w:rPr>
              <w:instrText xml:space="preserve"> PAGEREF _Toc146033566 \h </w:instrText>
            </w:r>
            <w:r>
              <w:rPr>
                <w:noProof/>
                <w:webHidden/>
              </w:rPr>
            </w:r>
            <w:r>
              <w:rPr>
                <w:noProof/>
                <w:webHidden/>
              </w:rPr>
              <w:fldChar w:fldCharType="separate"/>
            </w:r>
            <w:r w:rsidR="00180E14">
              <w:rPr>
                <w:noProof/>
                <w:webHidden/>
              </w:rPr>
              <w:t>126</w:t>
            </w:r>
            <w:r>
              <w:rPr>
                <w:noProof/>
                <w:webHidden/>
              </w:rPr>
              <w:fldChar w:fldCharType="end"/>
            </w:r>
          </w:hyperlink>
        </w:p>
        <w:p w14:paraId="5D5FCDDA" w14:textId="7B9E559E" w:rsidR="00FF5DFD" w:rsidRDefault="00FF5DFD">
          <w:pPr>
            <w:pStyle w:val="TOC3"/>
            <w:rPr>
              <w:rFonts w:eastAsiaTheme="minorEastAsia"/>
              <w:noProof/>
              <w:kern w:val="2"/>
              <w:lang w:eastAsia="en-AU"/>
              <w14:ligatures w14:val="standardContextual"/>
            </w:rPr>
          </w:pPr>
          <w:hyperlink w:anchor="_Toc146033567" w:history="1">
            <w:r w:rsidRPr="009C1C70">
              <w:rPr>
                <w:rStyle w:val="Hyperlink"/>
                <w:noProof/>
              </w:rPr>
              <w:t>A2.2.2. 2021 TTW participant survey</w:t>
            </w:r>
            <w:r>
              <w:rPr>
                <w:noProof/>
                <w:webHidden/>
              </w:rPr>
              <w:tab/>
            </w:r>
            <w:r>
              <w:rPr>
                <w:noProof/>
                <w:webHidden/>
              </w:rPr>
              <w:fldChar w:fldCharType="begin"/>
            </w:r>
            <w:r>
              <w:rPr>
                <w:noProof/>
                <w:webHidden/>
              </w:rPr>
              <w:instrText xml:space="preserve"> PAGEREF _Toc146033567 \h </w:instrText>
            </w:r>
            <w:r>
              <w:rPr>
                <w:noProof/>
                <w:webHidden/>
              </w:rPr>
            </w:r>
            <w:r>
              <w:rPr>
                <w:noProof/>
                <w:webHidden/>
              </w:rPr>
              <w:fldChar w:fldCharType="separate"/>
            </w:r>
            <w:r w:rsidR="00180E14">
              <w:rPr>
                <w:noProof/>
                <w:webHidden/>
              </w:rPr>
              <w:t>127</w:t>
            </w:r>
            <w:r>
              <w:rPr>
                <w:noProof/>
                <w:webHidden/>
              </w:rPr>
              <w:fldChar w:fldCharType="end"/>
            </w:r>
          </w:hyperlink>
        </w:p>
        <w:p w14:paraId="3F6919AF" w14:textId="460E9486" w:rsidR="00FF5DFD" w:rsidRDefault="00FF5DFD">
          <w:pPr>
            <w:pStyle w:val="TOC2"/>
            <w:rPr>
              <w:rFonts w:eastAsiaTheme="minorEastAsia"/>
              <w:noProof/>
              <w:kern w:val="2"/>
              <w:lang w:eastAsia="en-AU"/>
              <w14:ligatures w14:val="standardContextual"/>
            </w:rPr>
          </w:pPr>
          <w:hyperlink w:anchor="_Toc146033568" w:history="1">
            <w:r w:rsidRPr="009C1C70">
              <w:rPr>
                <w:rStyle w:val="Hyperlink"/>
                <w:noProof/>
              </w:rPr>
              <w:t>A2.3. Analysis of the department’s administrative data</w:t>
            </w:r>
            <w:r>
              <w:rPr>
                <w:noProof/>
                <w:webHidden/>
              </w:rPr>
              <w:tab/>
            </w:r>
            <w:r>
              <w:rPr>
                <w:noProof/>
                <w:webHidden/>
              </w:rPr>
              <w:fldChar w:fldCharType="begin"/>
            </w:r>
            <w:r>
              <w:rPr>
                <w:noProof/>
                <w:webHidden/>
              </w:rPr>
              <w:instrText xml:space="preserve"> PAGEREF _Toc146033568 \h </w:instrText>
            </w:r>
            <w:r>
              <w:rPr>
                <w:noProof/>
                <w:webHidden/>
              </w:rPr>
            </w:r>
            <w:r>
              <w:rPr>
                <w:noProof/>
                <w:webHidden/>
              </w:rPr>
              <w:fldChar w:fldCharType="separate"/>
            </w:r>
            <w:r w:rsidR="00180E14">
              <w:rPr>
                <w:noProof/>
                <w:webHidden/>
              </w:rPr>
              <w:t>128</w:t>
            </w:r>
            <w:r>
              <w:rPr>
                <w:noProof/>
                <w:webHidden/>
              </w:rPr>
              <w:fldChar w:fldCharType="end"/>
            </w:r>
          </w:hyperlink>
        </w:p>
        <w:p w14:paraId="3E0B2138" w14:textId="08F39792" w:rsidR="00FF5DFD" w:rsidRDefault="00FF5DFD">
          <w:pPr>
            <w:pStyle w:val="TOC1"/>
            <w:rPr>
              <w:rFonts w:eastAsiaTheme="minorEastAsia"/>
              <w:b w:val="0"/>
              <w:noProof/>
              <w:kern w:val="2"/>
              <w:lang w:eastAsia="en-AU"/>
              <w14:ligatures w14:val="standardContextual"/>
            </w:rPr>
          </w:pPr>
          <w:hyperlink w:anchor="_Toc146033569" w:history="1">
            <w:r w:rsidRPr="009C1C70">
              <w:rPr>
                <w:rStyle w:val="Hyperlink"/>
                <w:noProof/>
              </w:rPr>
              <w:t>Appendix 3: Long-term impact analysis: study population methodology and demographics, analysis methodology and data limitations</w:t>
            </w:r>
            <w:r>
              <w:rPr>
                <w:noProof/>
                <w:webHidden/>
              </w:rPr>
              <w:tab/>
            </w:r>
            <w:r>
              <w:rPr>
                <w:noProof/>
                <w:webHidden/>
              </w:rPr>
              <w:fldChar w:fldCharType="begin"/>
            </w:r>
            <w:r>
              <w:rPr>
                <w:noProof/>
                <w:webHidden/>
              </w:rPr>
              <w:instrText xml:space="preserve"> PAGEREF _Toc146033569 \h </w:instrText>
            </w:r>
            <w:r>
              <w:rPr>
                <w:noProof/>
                <w:webHidden/>
              </w:rPr>
            </w:r>
            <w:r>
              <w:rPr>
                <w:noProof/>
                <w:webHidden/>
              </w:rPr>
              <w:fldChar w:fldCharType="separate"/>
            </w:r>
            <w:r w:rsidR="00180E14">
              <w:rPr>
                <w:noProof/>
                <w:webHidden/>
              </w:rPr>
              <w:t>129</w:t>
            </w:r>
            <w:r>
              <w:rPr>
                <w:noProof/>
                <w:webHidden/>
              </w:rPr>
              <w:fldChar w:fldCharType="end"/>
            </w:r>
          </w:hyperlink>
        </w:p>
        <w:p w14:paraId="4C064898" w14:textId="20EEBAE9" w:rsidR="00FF5DFD" w:rsidRDefault="00FF5DFD">
          <w:pPr>
            <w:pStyle w:val="TOC2"/>
            <w:rPr>
              <w:rFonts w:eastAsiaTheme="minorEastAsia"/>
              <w:noProof/>
              <w:kern w:val="2"/>
              <w:lang w:eastAsia="en-AU"/>
              <w14:ligatures w14:val="standardContextual"/>
            </w:rPr>
          </w:pPr>
          <w:hyperlink w:anchor="_Toc146033570" w:history="1">
            <w:r w:rsidRPr="009C1C70">
              <w:rPr>
                <w:rStyle w:val="Hyperlink"/>
                <w:noProof/>
              </w:rPr>
              <w:t>A3.1. Introduction</w:t>
            </w:r>
            <w:r>
              <w:rPr>
                <w:noProof/>
                <w:webHidden/>
              </w:rPr>
              <w:tab/>
            </w:r>
            <w:r>
              <w:rPr>
                <w:noProof/>
                <w:webHidden/>
              </w:rPr>
              <w:fldChar w:fldCharType="begin"/>
            </w:r>
            <w:r>
              <w:rPr>
                <w:noProof/>
                <w:webHidden/>
              </w:rPr>
              <w:instrText xml:space="preserve"> PAGEREF _Toc146033570 \h </w:instrText>
            </w:r>
            <w:r>
              <w:rPr>
                <w:noProof/>
                <w:webHidden/>
              </w:rPr>
            </w:r>
            <w:r>
              <w:rPr>
                <w:noProof/>
                <w:webHidden/>
              </w:rPr>
              <w:fldChar w:fldCharType="separate"/>
            </w:r>
            <w:r w:rsidR="00180E14">
              <w:rPr>
                <w:noProof/>
                <w:webHidden/>
              </w:rPr>
              <w:t>129</w:t>
            </w:r>
            <w:r>
              <w:rPr>
                <w:noProof/>
                <w:webHidden/>
              </w:rPr>
              <w:fldChar w:fldCharType="end"/>
            </w:r>
          </w:hyperlink>
        </w:p>
        <w:p w14:paraId="281BD499" w14:textId="6F2374F4" w:rsidR="00FF5DFD" w:rsidRDefault="00FF5DFD">
          <w:pPr>
            <w:pStyle w:val="TOC2"/>
            <w:rPr>
              <w:rFonts w:eastAsiaTheme="minorEastAsia"/>
              <w:noProof/>
              <w:kern w:val="2"/>
              <w:lang w:eastAsia="en-AU"/>
              <w14:ligatures w14:val="standardContextual"/>
            </w:rPr>
          </w:pPr>
          <w:hyperlink w:anchor="_Toc146033571" w:history="1">
            <w:r w:rsidRPr="009C1C70">
              <w:rPr>
                <w:rStyle w:val="Hyperlink"/>
                <w:noProof/>
              </w:rPr>
              <w:t>A3.2. Construction of the study population</w:t>
            </w:r>
            <w:r>
              <w:rPr>
                <w:noProof/>
                <w:webHidden/>
              </w:rPr>
              <w:tab/>
            </w:r>
            <w:r>
              <w:rPr>
                <w:noProof/>
                <w:webHidden/>
              </w:rPr>
              <w:fldChar w:fldCharType="begin"/>
            </w:r>
            <w:r>
              <w:rPr>
                <w:noProof/>
                <w:webHidden/>
              </w:rPr>
              <w:instrText xml:space="preserve"> PAGEREF _Toc146033571 \h </w:instrText>
            </w:r>
            <w:r>
              <w:rPr>
                <w:noProof/>
                <w:webHidden/>
              </w:rPr>
            </w:r>
            <w:r>
              <w:rPr>
                <w:noProof/>
                <w:webHidden/>
              </w:rPr>
              <w:fldChar w:fldCharType="separate"/>
            </w:r>
            <w:r w:rsidR="00180E14">
              <w:rPr>
                <w:noProof/>
                <w:webHidden/>
              </w:rPr>
              <w:t>129</w:t>
            </w:r>
            <w:r>
              <w:rPr>
                <w:noProof/>
                <w:webHidden/>
              </w:rPr>
              <w:fldChar w:fldCharType="end"/>
            </w:r>
          </w:hyperlink>
        </w:p>
        <w:p w14:paraId="4EB7C234" w14:textId="535BFBEE" w:rsidR="00FF5DFD" w:rsidRDefault="00FF5DFD">
          <w:pPr>
            <w:pStyle w:val="TOC2"/>
            <w:rPr>
              <w:rFonts w:eastAsiaTheme="minorEastAsia"/>
              <w:noProof/>
              <w:kern w:val="2"/>
              <w:lang w:eastAsia="en-AU"/>
              <w14:ligatures w14:val="standardContextual"/>
            </w:rPr>
          </w:pPr>
          <w:hyperlink w:anchor="_Toc146033572" w:history="1">
            <w:r w:rsidRPr="009C1C70">
              <w:rPr>
                <w:rStyle w:val="Hyperlink"/>
                <w:noProof/>
              </w:rPr>
              <w:t>A3.3. Population and sample demographics</w:t>
            </w:r>
            <w:r>
              <w:rPr>
                <w:noProof/>
                <w:webHidden/>
              </w:rPr>
              <w:tab/>
            </w:r>
            <w:r>
              <w:rPr>
                <w:noProof/>
                <w:webHidden/>
              </w:rPr>
              <w:fldChar w:fldCharType="begin"/>
            </w:r>
            <w:r>
              <w:rPr>
                <w:noProof/>
                <w:webHidden/>
              </w:rPr>
              <w:instrText xml:space="preserve"> PAGEREF _Toc146033572 \h </w:instrText>
            </w:r>
            <w:r>
              <w:rPr>
                <w:noProof/>
                <w:webHidden/>
              </w:rPr>
            </w:r>
            <w:r>
              <w:rPr>
                <w:noProof/>
                <w:webHidden/>
              </w:rPr>
              <w:fldChar w:fldCharType="separate"/>
            </w:r>
            <w:r w:rsidR="00180E14">
              <w:rPr>
                <w:noProof/>
                <w:webHidden/>
              </w:rPr>
              <w:t>131</w:t>
            </w:r>
            <w:r>
              <w:rPr>
                <w:noProof/>
                <w:webHidden/>
              </w:rPr>
              <w:fldChar w:fldCharType="end"/>
            </w:r>
          </w:hyperlink>
        </w:p>
        <w:p w14:paraId="7AA22FCF" w14:textId="4EF44CDC" w:rsidR="00FF5DFD" w:rsidRDefault="00FF5DFD">
          <w:pPr>
            <w:pStyle w:val="TOC3"/>
            <w:rPr>
              <w:rFonts w:eastAsiaTheme="minorEastAsia"/>
              <w:noProof/>
              <w:kern w:val="2"/>
              <w:lang w:eastAsia="en-AU"/>
              <w14:ligatures w14:val="standardContextual"/>
            </w:rPr>
          </w:pPr>
          <w:hyperlink w:anchor="_Toc146033573" w:history="1">
            <w:r w:rsidRPr="009C1C70">
              <w:rPr>
                <w:rStyle w:val="Hyperlink"/>
                <w:noProof/>
              </w:rPr>
              <w:t>A3.3.1. The study samples are matched and very similar</w:t>
            </w:r>
            <w:r>
              <w:rPr>
                <w:noProof/>
                <w:webHidden/>
              </w:rPr>
              <w:tab/>
            </w:r>
            <w:r>
              <w:rPr>
                <w:noProof/>
                <w:webHidden/>
              </w:rPr>
              <w:fldChar w:fldCharType="begin"/>
            </w:r>
            <w:r>
              <w:rPr>
                <w:noProof/>
                <w:webHidden/>
              </w:rPr>
              <w:instrText xml:space="preserve"> PAGEREF _Toc146033573 \h </w:instrText>
            </w:r>
            <w:r>
              <w:rPr>
                <w:noProof/>
                <w:webHidden/>
              </w:rPr>
            </w:r>
            <w:r>
              <w:rPr>
                <w:noProof/>
                <w:webHidden/>
              </w:rPr>
              <w:fldChar w:fldCharType="separate"/>
            </w:r>
            <w:r w:rsidR="00180E14">
              <w:rPr>
                <w:noProof/>
                <w:webHidden/>
              </w:rPr>
              <w:t>131</w:t>
            </w:r>
            <w:r>
              <w:rPr>
                <w:noProof/>
                <w:webHidden/>
              </w:rPr>
              <w:fldChar w:fldCharType="end"/>
            </w:r>
          </w:hyperlink>
        </w:p>
        <w:p w14:paraId="3B11201F" w14:textId="587B2416" w:rsidR="00FF5DFD" w:rsidRDefault="00FF5DFD">
          <w:pPr>
            <w:pStyle w:val="TOC2"/>
            <w:rPr>
              <w:rFonts w:eastAsiaTheme="minorEastAsia"/>
              <w:noProof/>
              <w:kern w:val="2"/>
              <w:lang w:eastAsia="en-AU"/>
              <w14:ligatures w14:val="standardContextual"/>
            </w:rPr>
          </w:pPr>
          <w:hyperlink w:anchor="_Toc146033574" w:history="1">
            <w:r w:rsidRPr="009C1C70">
              <w:rPr>
                <w:rStyle w:val="Hyperlink"/>
                <w:noProof/>
              </w:rPr>
              <w:t>A3.4. Construction of the ‘employment-related’ income support exit indicator</w:t>
            </w:r>
            <w:r>
              <w:rPr>
                <w:noProof/>
                <w:webHidden/>
              </w:rPr>
              <w:tab/>
            </w:r>
            <w:r>
              <w:rPr>
                <w:noProof/>
                <w:webHidden/>
              </w:rPr>
              <w:fldChar w:fldCharType="begin"/>
            </w:r>
            <w:r>
              <w:rPr>
                <w:noProof/>
                <w:webHidden/>
              </w:rPr>
              <w:instrText xml:space="preserve"> PAGEREF _Toc146033574 \h </w:instrText>
            </w:r>
            <w:r>
              <w:rPr>
                <w:noProof/>
                <w:webHidden/>
              </w:rPr>
            </w:r>
            <w:r>
              <w:rPr>
                <w:noProof/>
                <w:webHidden/>
              </w:rPr>
              <w:fldChar w:fldCharType="separate"/>
            </w:r>
            <w:r w:rsidR="00180E14">
              <w:rPr>
                <w:noProof/>
                <w:webHidden/>
              </w:rPr>
              <w:t>137</w:t>
            </w:r>
            <w:r>
              <w:rPr>
                <w:noProof/>
                <w:webHidden/>
              </w:rPr>
              <w:fldChar w:fldCharType="end"/>
            </w:r>
          </w:hyperlink>
        </w:p>
        <w:p w14:paraId="1B0A0BEC" w14:textId="1321D9AF" w:rsidR="00FF5DFD" w:rsidRDefault="00FF5DFD">
          <w:pPr>
            <w:pStyle w:val="TOC2"/>
            <w:rPr>
              <w:rFonts w:eastAsiaTheme="minorEastAsia"/>
              <w:noProof/>
              <w:kern w:val="2"/>
              <w:lang w:eastAsia="en-AU"/>
              <w14:ligatures w14:val="standardContextual"/>
            </w:rPr>
          </w:pPr>
          <w:hyperlink w:anchor="_Toc146033575" w:history="1">
            <w:r w:rsidRPr="009C1C70">
              <w:rPr>
                <w:rStyle w:val="Hyperlink"/>
                <w:noProof/>
              </w:rPr>
              <w:t>A3.5. Impact of COVID-19</w:t>
            </w:r>
            <w:r>
              <w:rPr>
                <w:noProof/>
                <w:webHidden/>
              </w:rPr>
              <w:tab/>
            </w:r>
            <w:r>
              <w:rPr>
                <w:noProof/>
                <w:webHidden/>
              </w:rPr>
              <w:fldChar w:fldCharType="begin"/>
            </w:r>
            <w:r>
              <w:rPr>
                <w:noProof/>
                <w:webHidden/>
              </w:rPr>
              <w:instrText xml:space="preserve"> PAGEREF _Toc146033575 \h </w:instrText>
            </w:r>
            <w:r>
              <w:rPr>
                <w:noProof/>
                <w:webHidden/>
              </w:rPr>
            </w:r>
            <w:r>
              <w:rPr>
                <w:noProof/>
                <w:webHidden/>
              </w:rPr>
              <w:fldChar w:fldCharType="separate"/>
            </w:r>
            <w:r w:rsidR="00180E14">
              <w:rPr>
                <w:noProof/>
                <w:webHidden/>
              </w:rPr>
              <w:t>138</w:t>
            </w:r>
            <w:r>
              <w:rPr>
                <w:noProof/>
                <w:webHidden/>
              </w:rPr>
              <w:fldChar w:fldCharType="end"/>
            </w:r>
          </w:hyperlink>
        </w:p>
        <w:p w14:paraId="6B781B39" w14:textId="2B0948CC" w:rsidR="00FF5DFD" w:rsidRDefault="00FF5DFD">
          <w:pPr>
            <w:pStyle w:val="TOC2"/>
            <w:rPr>
              <w:rFonts w:eastAsiaTheme="minorEastAsia"/>
              <w:noProof/>
              <w:kern w:val="2"/>
              <w:lang w:eastAsia="en-AU"/>
              <w14:ligatures w14:val="standardContextual"/>
            </w:rPr>
          </w:pPr>
          <w:hyperlink w:anchor="_Toc146033576" w:history="1">
            <w:r w:rsidRPr="009C1C70">
              <w:rPr>
                <w:rStyle w:val="Hyperlink"/>
                <w:noProof/>
                <w:lang w:eastAsia="en-AU"/>
              </w:rPr>
              <w:t>A3.6. Limitations</w:t>
            </w:r>
            <w:r>
              <w:rPr>
                <w:noProof/>
                <w:webHidden/>
              </w:rPr>
              <w:tab/>
            </w:r>
            <w:r>
              <w:rPr>
                <w:noProof/>
                <w:webHidden/>
              </w:rPr>
              <w:fldChar w:fldCharType="begin"/>
            </w:r>
            <w:r>
              <w:rPr>
                <w:noProof/>
                <w:webHidden/>
              </w:rPr>
              <w:instrText xml:space="preserve"> PAGEREF _Toc146033576 \h </w:instrText>
            </w:r>
            <w:r>
              <w:rPr>
                <w:noProof/>
                <w:webHidden/>
              </w:rPr>
            </w:r>
            <w:r>
              <w:rPr>
                <w:noProof/>
                <w:webHidden/>
              </w:rPr>
              <w:fldChar w:fldCharType="separate"/>
            </w:r>
            <w:r w:rsidR="00180E14">
              <w:rPr>
                <w:noProof/>
                <w:webHidden/>
              </w:rPr>
              <w:t>139</w:t>
            </w:r>
            <w:r>
              <w:rPr>
                <w:noProof/>
                <w:webHidden/>
              </w:rPr>
              <w:fldChar w:fldCharType="end"/>
            </w:r>
          </w:hyperlink>
        </w:p>
        <w:p w14:paraId="79B94646" w14:textId="48927FB7" w:rsidR="00FF5DFD" w:rsidRDefault="00FF5DFD">
          <w:pPr>
            <w:pStyle w:val="TOC1"/>
            <w:rPr>
              <w:rFonts w:eastAsiaTheme="minorEastAsia"/>
              <w:b w:val="0"/>
              <w:noProof/>
              <w:kern w:val="2"/>
              <w:lang w:eastAsia="en-AU"/>
              <w14:ligatures w14:val="standardContextual"/>
            </w:rPr>
          </w:pPr>
          <w:hyperlink w:anchor="_Toc146033577" w:history="1">
            <w:r w:rsidRPr="009C1C70">
              <w:rPr>
                <w:rStyle w:val="Hyperlink"/>
                <w:noProof/>
              </w:rPr>
              <w:t>Appendix 4: Analysis of extension of program duration: study population selection and demographics, analysis methodology and data limitations</w:t>
            </w:r>
            <w:r>
              <w:rPr>
                <w:noProof/>
                <w:webHidden/>
              </w:rPr>
              <w:tab/>
            </w:r>
            <w:r>
              <w:rPr>
                <w:noProof/>
                <w:webHidden/>
              </w:rPr>
              <w:fldChar w:fldCharType="begin"/>
            </w:r>
            <w:r>
              <w:rPr>
                <w:noProof/>
                <w:webHidden/>
              </w:rPr>
              <w:instrText xml:space="preserve"> PAGEREF _Toc146033577 \h </w:instrText>
            </w:r>
            <w:r>
              <w:rPr>
                <w:noProof/>
                <w:webHidden/>
              </w:rPr>
            </w:r>
            <w:r>
              <w:rPr>
                <w:noProof/>
                <w:webHidden/>
              </w:rPr>
              <w:fldChar w:fldCharType="separate"/>
            </w:r>
            <w:r w:rsidR="00180E14">
              <w:rPr>
                <w:noProof/>
                <w:webHidden/>
              </w:rPr>
              <w:t>141</w:t>
            </w:r>
            <w:r>
              <w:rPr>
                <w:noProof/>
                <w:webHidden/>
              </w:rPr>
              <w:fldChar w:fldCharType="end"/>
            </w:r>
          </w:hyperlink>
        </w:p>
        <w:p w14:paraId="53C9F346" w14:textId="58A4CC6A" w:rsidR="00FF5DFD" w:rsidRDefault="00FF5DFD">
          <w:pPr>
            <w:pStyle w:val="TOC2"/>
            <w:rPr>
              <w:rFonts w:eastAsiaTheme="minorEastAsia"/>
              <w:noProof/>
              <w:kern w:val="2"/>
              <w:lang w:eastAsia="en-AU"/>
              <w14:ligatures w14:val="standardContextual"/>
            </w:rPr>
          </w:pPr>
          <w:hyperlink w:anchor="_Toc146033578" w:history="1">
            <w:r w:rsidRPr="009C1C70">
              <w:rPr>
                <w:rStyle w:val="Hyperlink"/>
                <w:noProof/>
              </w:rPr>
              <w:t>A4.1. Introduction</w:t>
            </w:r>
            <w:r>
              <w:rPr>
                <w:noProof/>
                <w:webHidden/>
              </w:rPr>
              <w:tab/>
            </w:r>
            <w:r>
              <w:rPr>
                <w:noProof/>
                <w:webHidden/>
              </w:rPr>
              <w:fldChar w:fldCharType="begin"/>
            </w:r>
            <w:r>
              <w:rPr>
                <w:noProof/>
                <w:webHidden/>
              </w:rPr>
              <w:instrText xml:space="preserve"> PAGEREF _Toc146033578 \h </w:instrText>
            </w:r>
            <w:r>
              <w:rPr>
                <w:noProof/>
                <w:webHidden/>
              </w:rPr>
            </w:r>
            <w:r>
              <w:rPr>
                <w:noProof/>
                <w:webHidden/>
              </w:rPr>
              <w:fldChar w:fldCharType="separate"/>
            </w:r>
            <w:r w:rsidR="00180E14">
              <w:rPr>
                <w:noProof/>
                <w:webHidden/>
              </w:rPr>
              <w:t>141</w:t>
            </w:r>
            <w:r>
              <w:rPr>
                <w:noProof/>
                <w:webHidden/>
              </w:rPr>
              <w:fldChar w:fldCharType="end"/>
            </w:r>
          </w:hyperlink>
        </w:p>
        <w:p w14:paraId="0586AA69" w14:textId="3263E9A2" w:rsidR="00FF5DFD" w:rsidRDefault="00FF5DFD">
          <w:pPr>
            <w:pStyle w:val="TOC2"/>
            <w:rPr>
              <w:rFonts w:eastAsiaTheme="minorEastAsia"/>
              <w:noProof/>
              <w:kern w:val="2"/>
              <w:lang w:eastAsia="en-AU"/>
              <w14:ligatures w14:val="standardContextual"/>
            </w:rPr>
          </w:pPr>
          <w:hyperlink w:anchor="_Toc146033579" w:history="1">
            <w:r w:rsidRPr="009C1C70">
              <w:rPr>
                <w:rStyle w:val="Hyperlink"/>
                <w:noProof/>
              </w:rPr>
              <w:t>A4.2. Construction of study populations and samples</w:t>
            </w:r>
            <w:r>
              <w:rPr>
                <w:noProof/>
                <w:webHidden/>
              </w:rPr>
              <w:tab/>
            </w:r>
            <w:r>
              <w:rPr>
                <w:noProof/>
                <w:webHidden/>
              </w:rPr>
              <w:fldChar w:fldCharType="begin"/>
            </w:r>
            <w:r>
              <w:rPr>
                <w:noProof/>
                <w:webHidden/>
              </w:rPr>
              <w:instrText xml:space="preserve"> PAGEREF _Toc146033579 \h </w:instrText>
            </w:r>
            <w:r>
              <w:rPr>
                <w:noProof/>
                <w:webHidden/>
              </w:rPr>
            </w:r>
            <w:r>
              <w:rPr>
                <w:noProof/>
                <w:webHidden/>
              </w:rPr>
              <w:fldChar w:fldCharType="separate"/>
            </w:r>
            <w:r w:rsidR="00180E14">
              <w:rPr>
                <w:noProof/>
                <w:webHidden/>
              </w:rPr>
              <w:t>141</w:t>
            </w:r>
            <w:r>
              <w:rPr>
                <w:noProof/>
                <w:webHidden/>
              </w:rPr>
              <w:fldChar w:fldCharType="end"/>
            </w:r>
          </w:hyperlink>
        </w:p>
        <w:p w14:paraId="1A4439CA" w14:textId="216E306B" w:rsidR="00FF5DFD" w:rsidRDefault="00FF5DFD">
          <w:pPr>
            <w:pStyle w:val="TOC2"/>
            <w:rPr>
              <w:rFonts w:eastAsiaTheme="minorEastAsia"/>
              <w:noProof/>
              <w:kern w:val="2"/>
              <w:lang w:eastAsia="en-AU"/>
              <w14:ligatures w14:val="standardContextual"/>
            </w:rPr>
          </w:pPr>
          <w:hyperlink w:anchor="_Toc146033580" w:history="1">
            <w:r w:rsidRPr="009C1C70">
              <w:rPr>
                <w:rStyle w:val="Hyperlink"/>
                <w:noProof/>
              </w:rPr>
              <w:t>A4.3. Population and sample demographics</w:t>
            </w:r>
            <w:r>
              <w:rPr>
                <w:noProof/>
                <w:webHidden/>
              </w:rPr>
              <w:tab/>
            </w:r>
            <w:r>
              <w:rPr>
                <w:noProof/>
                <w:webHidden/>
              </w:rPr>
              <w:fldChar w:fldCharType="begin"/>
            </w:r>
            <w:r>
              <w:rPr>
                <w:noProof/>
                <w:webHidden/>
              </w:rPr>
              <w:instrText xml:space="preserve"> PAGEREF _Toc146033580 \h </w:instrText>
            </w:r>
            <w:r>
              <w:rPr>
                <w:noProof/>
                <w:webHidden/>
              </w:rPr>
            </w:r>
            <w:r>
              <w:rPr>
                <w:noProof/>
                <w:webHidden/>
              </w:rPr>
              <w:fldChar w:fldCharType="separate"/>
            </w:r>
            <w:r w:rsidR="00180E14">
              <w:rPr>
                <w:noProof/>
                <w:webHidden/>
              </w:rPr>
              <w:t>142</w:t>
            </w:r>
            <w:r>
              <w:rPr>
                <w:noProof/>
                <w:webHidden/>
              </w:rPr>
              <w:fldChar w:fldCharType="end"/>
            </w:r>
          </w:hyperlink>
        </w:p>
        <w:p w14:paraId="4669C456" w14:textId="25B8D237" w:rsidR="00FF5DFD" w:rsidRDefault="00FF5DFD">
          <w:pPr>
            <w:pStyle w:val="TOC2"/>
            <w:rPr>
              <w:rFonts w:eastAsiaTheme="minorEastAsia"/>
              <w:noProof/>
              <w:kern w:val="2"/>
              <w:lang w:eastAsia="en-AU"/>
              <w14:ligatures w14:val="standardContextual"/>
            </w:rPr>
          </w:pPr>
          <w:hyperlink w:anchor="_Toc146033581" w:history="1">
            <w:r w:rsidRPr="009C1C70">
              <w:rPr>
                <w:rStyle w:val="Hyperlink"/>
                <w:noProof/>
              </w:rPr>
              <w:t>A4.4. Regression analysis</w:t>
            </w:r>
            <w:r>
              <w:rPr>
                <w:noProof/>
                <w:webHidden/>
              </w:rPr>
              <w:tab/>
            </w:r>
            <w:r>
              <w:rPr>
                <w:noProof/>
                <w:webHidden/>
              </w:rPr>
              <w:fldChar w:fldCharType="begin"/>
            </w:r>
            <w:r>
              <w:rPr>
                <w:noProof/>
                <w:webHidden/>
              </w:rPr>
              <w:instrText xml:space="preserve"> PAGEREF _Toc146033581 \h </w:instrText>
            </w:r>
            <w:r>
              <w:rPr>
                <w:noProof/>
                <w:webHidden/>
              </w:rPr>
            </w:r>
            <w:r>
              <w:rPr>
                <w:noProof/>
                <w:webHidden/>
              </w:rPr>
              <w:fldChar w:fldCharType="separate"/>
            </w:r>
            <w:r w:rsidR="00180E14">
              <w:rPr>
                <w:noProof/>
                <w:webHidden/>
              </w:rPr>
              <w:t>145</w:t>
            </w:r>
            <w:r>
              <w:rPr>
                <w:noProof/>
                <w:webHidden/>
              </w:rPr>
              <w:fldChar w:fldCharType="end"/>
            </w:r>
          </w:hyperlink>
        </w:p>
        <w:p w14:paraId="629DFBCB" w14:textId="50473F67" w:rsidR="00FF5DFD" w:rsidRDefault="00FF5DFD">
          <w:pPr>
            <w:pStyle w:val="TOC2"/>
            <w:rPr>
              <w:rFonts w:eastAsiaTheme="minorEastAsia"/>
              <w:noProof/>
              <w:kern w:val="2"/>
              <w:lang w:eastAsia="en-AU"/>
              <w14:ligatures w14:val="standardContextual"/>
            </w:rPr>
          </w:pPr>
          <w:hyperlink w:anchor="_Toc146033582" w:history="1">
            <w:r w:rsidRPr="009C1C70">
              <w:rPr>
                <w:rStyle w:val="Hyperlink"/>
                <w:noProof/>
              </w:rPr>
              <w:t>A4.5. Limitations</w:t>
            </w:r>
            <w:r>
              <w:rPr>
                <w:noProof/>
                <w:webHidden/>
              </w:rPr>
              <w:tab/>
            </w:r>
            <w:r>
              <w:rPr>
                <w:noProof/>
                <w:webHidden/>
              </w:rPr>
              <w:fldChar w:fldCharType="begin"/>
            </w:r>
            <w:r>
              <w:rPr>
                <w:noProof/>
                <w:webHidden/>
              </w:rPr>
              <w:instrText xml:space="preserve"> PAGEREF _Toc146033582 \h </w:instrText>
            </w:r>
            <w:r>
              <w:rPr>
                <w:noProof/>
                <w:webHidden/>
              </w:rPr>
            </w:r>
            <w:r>
              <w:rPr>
                <w:noProof/>
                <w:webHidden/>
              </w:rPr>
              <w:fldChar w:fldCharType="separate"/>
            </w:r>
            <w:r w:rsidR="00180E14">
              <w:rPr>
                <w:noProof/>
                <w:webHidden/>
              </w:rPr>
              <w:t>146</w:t>
            </w:r>
            <w:r>
              <w:rPr>
                <w:noProof/>
                <w:webHidden/>
              </w:rPr>
              <w:fldChar w:fldCharType="end"/>
            </w:r>
          </w:hyperlink>
        </w:p>
        <w:p w14:paraId="61D191CE" w14:textId="4B52FE61" w:rsidR="00FF5DFD" w:rsidRDefault="00FF5DFD">
          <w:pPr>
            <w:pStyle w:val="TOC1"/>
            <w:rPr>
              <w:rFonts w:eastAsiaTheme="minorEastAsia"/>
              <w:b w:val="0"/>
              <w:noProof/>
              <w:kern w:val="2"/>
              <w:lang w:eastAsia="en-AU"/>
              <w14:ligatures w14:val="standardContextual"/>
            </w:rPr>
          </w:pPr>
          <w:hyperlink w:anchor="_Toc146033583" w:history="1">
            <w:r w:rsidRPr="009C1C70">
              <w:rPr>
                <w:rStyle w:val="Hyperlink"/>
                <w:noProof/>
              </w:rPr>
              <w:t>Appendix 5: Methodology, data and calculations used in the value-for-money analysis of TtW</w:t>
            </w:r>
            <w:r>
              <w:rPr>
                <w:noProof/>
                <w:webHidden/>
              </w:rPr>
              <w:tab/>
            </w:r>
            <w:r>
              <w:rPr>
                <w:noProof/>
                <w:webHidden/>
              </w:rPr>
              <w:fldChar w:fldCharType="begin"/>
            </w:r>
            <w:r>
              <w:rPr>
                <w:noProof/>
                <w:webHidden/>
              </w:rPr>
              <w:instrText xml:space="preserve"> PAGEREF _Toc146033583 \h </w:instrText>
            </w:r>
            <w:r>
              <w:rPr>
                <w:noProof/>
                <w:webHidden/>
              </w:rPr>
            </w:r>
            <w:r>
              <w:rPr>
                <w:noProof/>
                <w:webHidden/>
              </w:rPr>
              <w:fldChar w:fldCharType="separate"/>
            </w:r>
            <w:r w:rsidR="00180E14">
              <w:rPr>
                <w:noProof/>
                <w:webHidden/>
              </w:rPr>
              <w:t>147</w:t>
            </w:r>
            <w:r>
              <w:rPr>
                <w:noProof/>
                <w:webHidden/>
              </w:rPr>
              <w:fldChar w:fldCharType="end"/>
            </w:r>
          </w:hyperlink>
        </w:p>
        <w:p w14:paraId="3FD37DBA" w14:textId="704A5719" w:rsidR="00FF5DFD" w:rsidRDefault="00FF5DFD">
          <w:pPr>
            <w:pStyle w:val="TOC2"/>
            <w:rPr>
              <w:rFonts w:eastAsiaTheme="minorEastAsia"/>
              <w:noProof/>
              <w:kern w:val="2"/>
              <w:lang w:eastAsia="en-AU"/>
              <w14:ligatures w14:val="standardContextual"/>
            </w:rPr>
          </w:pPr>
          <w:hyperlink w:anchor="_Toc146033584" w:history="1">
            <w:r w:rsidRPr="009C1C70">
              <w:rPr>
                <w:rStyle w:val="Hyperlink"/>
                <w:noProof/>
              </w:rPr>
              <w:t>A5.1. Introduction</w:t>
            </w:r>
            <w:r>
              <w:rPr>
                <w:noProof/>
                <w:webHidden/>
              </w:rPr>
              <w:tab/>
            </w:r>
            <w:r>
              <w:rPr>
                <w:noProof/>
                <w:webHidden/>
              </w:rPr>
              <w:fldChar w:fldCharType="begin"/>
            </w:r>
            <w:r>
              <w:rPr>
                <w:noProof/>
                <w:webHidden/>
              </w:rPr>
              <w:instrText xml:space="preserve"> PAGEREF _Toc146033584 \h </w:instrText>
            </w:r>
            <w:r>
              <w:rPr>
                <w:noProof/>
                <w:webHidden/>
              </w:rPr>
            </w:r>
            <w:r>
              <w:rPr>
                <w:noProof/>
                <w:webHidden/>
              </w:rPr>
              <w:fldChar w:fldCharType="separate"/>
            </w:r>
            <w:r w:rsidR="00180E14">
              <w:rPr>
                <w:noProof/>
                <w:webHidden/>
              </w:rPr>
              <w:t>147</w:t>
            </w:r>
            <w:r>
              <w:rPr>
                <w:noProof/>
                <w:webHidden/>
              </w:rPr>
              <w:fldChar w:fldCharType="end"/>
            </w:r>
          </w:hyperlink>
        </w:p>
        <w:p w14:paraId="2F8B2602" w14:textId="61DE572A" w:rsidR="00FF5DFD" w:rsidRDefault="00FF5DFD">
          <w:pPr>
            <w:pStyle w:val="TOC2"/>
            <w:rPr>
              <w:rFonts w:eastAsiaTheme="minorEastAsia"/>
              <w:noProof/>
              <w:kern w:val="2"/>
              <w:lang w:eastAsia="en-AU"/>
              <w14:ligatures w14:val="standardContextual"/>
            </w:rPr>
          </w:pPr>
          <w:hyperlink w:anchor="_Toc146033585" w:history="1">
            <w:r w:rsidRPr="009C1C70">
              <w:rPr>
                <w:rStyle w:val="Hyperlink"/>
                <w:noProof/>
              </w:rPr>
              <w:t>A5.2. Valuing the broader benefits of TtW</w:t>
            </w:r>
            <w:r>
              <w:rPr>
                <w:noProof/>
                <w:webHidden/>
              </w:rPr>
              <w:tab/>
            </w:r>
            <w:r>
              <w:rPr>
                <w:noProof/>
                <w:webHidden/>
              </w:rPr>
              <w:fldChar w:fldCharType="begin"/>
            </w:r>
            <w:r>
              <w:rPr>
                <w:noProof/>
                <w:webHidden/>
              </w:rPr>
              <w:instrText xml:space="preserve"> PAGEREF _Toc146033585 \h </w:instrText>
            </w:r>
            <w:r>
              <w:rPr>
                <w:noProof/>
                <w:webHidden/>
              </w:rPr>
            </w:r>
            <w:r>
              <w:rPr>
                <w:noProof/>
                <w:webHidden/>
              </w:rPr>
              <w:fldChar w:fldCharType="separate"/>
            </w:r>
            <w:r w:rsidR="00180E14">
              <w:rPr>
                <w:noProof/>
                <w:webHidden/>
              </w:rPr>
              <w:t>148</w:t>
            </w:r>
            <w:r>
              <w:rPr>
                <w:noProof/>
                <w:webHidden/>
              </w:rPr>
              <w:fldChar w:fldCharType="end"/>
            </w:r>
          </w:hyperlink>
        </w:p>
        <w:p w14:paraId="083DE19D" w14:textId="31F6B23C" w:rsidR="00FF5DFD" w:rsidRDefault="00FF5DFD">
          <w:pPr>
            <w:pStyle w:val="TOC2"/>
            <w:rPr>
              <w:rFonts w:eastAsiaTheme="minorEastAsia"/>
              <w:noProof/>
              <w:kern w:val="2"/>
              <w:lang w:eastAsia="en-AU"/>
              <w14:ligatures w14:val="standardContextual"/>
            </w:rPr>
          </w:pPr>
          <w:hyperlink w:anchor="_Toc146033586" w:history="1">
            <w:r w:rsidRPr="009C1C70">
              <w:rPr>
                <w:rStyle w:val="Hyperlink"/>
                <w:noProof/>
              </w:rPr>
              <w:t>A5.3. Valuing benefits associated with increased wellbeing</w:t>
            </w:r>
            <w:r>
              <w:rPr>
                <w:noProof/>
                <w:webHidden/>
              </w:rPr>
              <w:tab/>
            </w:r>
            <w:r>
              <w:rPr>
                <w:noProof/>
                <w:webHidden/>
              </w:rPr>
              <w:fldChar w:fldCharType="begin"/>
            </w:r>
            <w:r>
              <w:rPr>
                <w:noProof/>
                <w:webHidden/>
              </w:rPr>
              <w:instrText xml:space="preserve"> PAGEREF _Toc146033586 \h </w:instrText>
            </w:r>
            <w:r>
              <w:rPr>
                <w:noProof/>
                <w:webHidden/>
              </w:rPr>
            </w:r>
            <w:r>
              <w:rPr>
                <w:noProof/>
                <w:webHidden/>
              </w:rPr>
              <w:fldChar w:fldCharType="separate"/>
            </w:r>
            <w:r w:rsidR="00180E14">
              <w:rPr>
                <w:noProof/>
                <w:webHidden/>
              </w:rPr>
              <w:t>148</w:t>
            </w:r>
            <w:r>
              <w:rPr>
                <w:noProof/>
                <w:webHidden/>
              </w:rPr>
              <w:fldChar w:fldCharType="end"/>
            </w:r>
          </w:hyperlink>
        </w:p>
        <w:p w14:paraId="4904F111" w14:textId="580373F1" w:rsidR="00FF5DFD" w:rsidRDefault="00FF5DFD">
          <w:pPr>
            <w:pStyle w:val="TOC3"/>
            <w:rPr>
              <w:rFonts w:eastAsiaTheme="minorEastAsia"/>
              <w:noProof/>
              <w:kern w:val="2"/>
              <w:lang w:eastAsia="en-AU"/>
              <w14:ligatures w14:val="standardContextual"/>
            </w:rPr>
          </w:pPr>
          <w:hyperlink w:anchor="_Toc146033587" w:history="1">
            <w:r w:rsidRPr="009C1C70">
              <w:rPr>
                <w:rStyle w:val="Hyperlink"/>
                <w:noProof/>
              </w:rPr>
              <w:t>A5.3.1. Valuing savings associated with reduced offending</w:t>
            </w:r>
            <w:r>
              <w:rPr>
                <w:noProof/>
                <w:webHidden/>
              </w:rPr>
              <w:tab/>
            </w:r>
            <w:r>
              <w:rPr>
                <w:noProof/>
                <w:webHidden/>
              </w:rPr>
              <w:fldChar w:fldCharType="begin"/>
            </w:r>
            <w:r>
              <w:rPr>
                <w:noProof/>
                <w:webHidden/>
              </w:rPr>
              <w:instrText xml:space="preserve"> PAGEREF _Toc146033587 \h </w:instrText>
            </w:r>
            <w:r>
              <w:rPr>
                <w:noProof/>
                <w:webHidden/>
              </w:rPr>
            </w:r>
            <w:r>
              <w:rPr>
                <w:noProof/>
                <w:webHidden/>
              </w:rPr>
              <w:fldChar w:fldCharType="separate"/>
            </w:r>
            <w:r w:rsidR="00180E14">
              <w:rPr>
                <w:noProof/>
                <w:webHidden/>
              </w:rPr>
              <w:t>152</w:t>
            </w:r>
            <w:r>
              <w:rPr>
                <w:noProof/>
                <w:webHidden/>
              </w:rPr>
              <w:fldChar w:fldCharType="end"/>
            </w:r>
          </w:hyperlink>
        </w:p>
        <w:p w14:paraId="5DA0F962" w14:textId="33FDD612" w:rsidR="00FF5DFD" w:rsidRDefault="00FF5DFD">
          <w:pPr>
            <w:pStyle w:val="TOC3"/>
            <w:rPr>
              <w:rFonts w:eastAsiaTheme="minorEastAsia"/>
              <w:noProof/>
              <w:kern w:val="2"/>
              <w:lang w:eastAsia="en-AU"/>
              <w14:ligatures w14:val="standardContextual"/>
            </w:rPr>
          </w:pPr>
          <w:hyperlink w:anchor="_Toc146033588" w:history="1">
            <w:r w:rsidRPr="009C1C70">
              <w:rPr>
                <w:rStyle w:val="Hyperlink"/>
                <w:noProof/>
              </w:rPr>
              <w:t>A5.3.2. Limitations associated with calculation of benefits</w:t>
            </w:r>
            <w:r>
              <w:rPr>
                <w:noProof/>
                <w:webHidden/>
              </w:rPr>
              <w:tab/>
            </w:r>
            <w:r>
              <w:rPr>
                <w:noProof/>
                <w:webHidden/>
              </w:rPr>
              <w:fldChar w:fldCharType="begin"/>
            </w:r>
            <w:r>
              <w:rPr>
                <w:noProof/>
                <w:webHidden/>
              </w:rPr>
              <w:instrText xml:space="preserve"> PAGEREF _Toc146033588 \h </w:instrText>
            </w:r>
            <w:r>
              <w:rPr>
                <w:noProof/>
                <w:webHidden/>
              </w:rPr>
            </w:r>
            <w:r>
              <w:rPr>
                <w:noProof/>
                <w:webHidden/>
              </w:rPr>
              <w:fldChar w:fldCharType="separate"/>
            </w:r>
            <w:r w:rsidR="00180E14">
              <w:rPr>
                <w:noProof/>
                <w:webHidden/>
              </w:rPr>
              <w:t>154</w:t>
            </w:r>
            <w:r>
              <w:rPr>
                <w:noProof/>
                <w:webHidden/>
              </w:rPr>
              <w:fldChar w:fldCharType="end"/>
            </w:r>
          </w:hyperlink>
        </w:p>
        <w:p w14:paraId="038C0723" w14:textId="20251050" w:rsidR="00FF5DFD" w:rsidRDefault="00FF5DFD">
          <w:pPr>
            <w:pStyle w:val="TOC2"/>
            <w:rPr>
              <w:rFonts w:eastAsiaTheme="minorEastAsia"/>
              <w:noProof/>
              <w:kern w:val="2"/>
              <w:lang w:eastAsia="en-AU"/>
              <w14:ligatures w14:val="standardContextual"/>
            </w:rPr>
          </w:pPr>
          <w:hyperlink w:anchor="_Toc146033589" w:history="1">
            <w:r w:rsidRPr="009C1C70">
              <w:rPr>
                <w:rStyle w:val="Hyperlink"/>
                <w:noProof/>
              </w:rPr>
              <w:t>A5.4. Calculating the relative costs associated with TtW</w:t>
            </w:r>
            <w:r>
              <w:rPr>
                <w:noProof/>
                <w:webHidden/>
              </w:rPr>
              <w:tab/>
            </w:r>
            <w:r>
              <w:rPr>
                <w:noProof/>
                <w:webHidden/>
              </w:rPr>
              <w:fldChar w:fldCharType="begin"/>
            </w:r>
            <w:r>
              <w:rPr>
                <w:noProof/>
                <w:webHidden/>
              </w:rPr>
              <w:instrText xml:space="preserve"> PAGEREF _Toc146033589 \h </w:instrText>
            </w:r>
            <w:r>
              <w:rPr>
                <w:noProof/>
                <w:webHidden/>
              </w:rPr>
            </w:r>
            <w:r>
              <w:rPr>
                <w:noProof/>
                <w:webHidden/>
              </w:rPr>
              <w:fldChar w:fldCharType="separate"/>
            </w:r>
            <w:r w:rsidR="00180E14">
              <w:rPr>
                <w:noProof/>
                <w:webHidden/>
              </w:rPr>
              <w:t>155</w:t>
            </w:r>
            <w:r>
              <w:rPr>
                <w:noProof/>
                <w:webHidden/>
              </w:rPr>
              <w:fldChar w:fldCharType="end"/>
            </w:r>
          </w:hyperlink>
        </w:p>
        <w:p w14:paraId="2DFA77B9" w14:textId="27B87915" w:rsidR="00FF5DFD" w:rsidRDefault="00FF5DFD">
          <w:pPr>
            <w:pStyle w:val="TOC3"/>
            <w:rPr>
              <w:rFonts w:eastAsiaTheme="minorEastAsia"/>
              <w:noProof/>
              <w:kern w:val="2"/>
              <w:lang w:eastAsia="en-AU"/>
              <w14:ligatures w14:val="standardContextual"/>
            </w:rPr>
          </w:pPr>
          <w:hyperlink w:anchor="_Toc146033590" w:history="1">
            <w:r w:rsidRPr="009C1C70">
              <w:rPr>
                <w:rStyle w:val="Hyperlink"/>
                <w:noProof/>
              </w:rPr>
              <w:t>A5.4.1. Calculating the cost of servicing one participant in TtW</w:t>
            </w:r>
            <w:r>
              <w:rPr>
                <w:noProof/>
                <w:webHidden/>
              </w:rPr>
              <w:tab/>
            </w:r>
            <w:r>
              <w:rPr>
                <w:noProof/>
                <w:webHidden/>
              </w:rPr>
              <w:fldChar w:fldCharType="begin"/>
            </w:r>
            <w:r>
              <w:rPr>
                <w:noProof/>
                <w:webHidden/>
              </w:rPr>
              <w:instrText xml:space="preserve"> PAGEREF _Toc146033590 \h </w:instrText>
            </w:r>
            <w:r>
              <w:rPr>
                <w:noProof/>
                <w:webHidden/>
              </w:rPr>
            </w:r>
            <w:r>
              <w:rPr>
                <w:noProof/>
                <w:webHidden/>
              </w:rPr>
              <w:fldChar w:fldCharType="separate"/>
            </w:r>
            <w:r w:rsidR="00180E14">
              <w:rPr>
                <w:noProof/>
                <w:webHidden/>
              </w:rPr>
              <w:t>155</w:t>
            </w:r>
            <w:r>
              <w:rPr>
                <w:noProof/>
                <w:webHidden/>
              </w:rPr>
              <w:fldChar w:fldCharType="end"/>
            </w:r>
          </w:hyperlink>
        </w:p>
        <w:p w14:paraId="7CCFBBE9" w14:textId="7484D8D6" w:rsidR="00FF5DFD" w:rsidRDefault="00FF5DFD">
          <w:pPr>
            <w:pStyle w:val="TOC3"/>
            <w:rPr>
              <w:rFonts w:eastAsiaTheme="minorEastAsia"/>
              <w:noProof/>
              <w:kern w:val="2"/>
              <w:lang w:eastAsia="en-AU"/>
              <w14:ligatures w14:val="standardContextual"/>
            </w:rPr>
          </w:pPr>
          <w:hyperlink w:anchor="_Toc146033591" w:history="1">
            <w:r w:rsidRPr="009C1C70">
              <w:rPr>
                <w:rStyle w:val="Hyperlink"/>
                <w:noProof/>
              </w:rPr>
              <w:t>A5.4.2. Calculating the average cost/person associated with additional income support payments</w:t>
            </w:r>
            <w:r>
              <w:rPr>
                <w:noProof/>
                <w:webHidden/>
              </w:rPr>
              <w:tab/>
            </w:r>
            <w:r>
              <w:rPr>
                <w:noProof/>
                <w:webHidden/>
              </w:rPr>
              <w:fldChar w:fldCharType="begin"/>
            </w:r>
            <w:r>
              <w:rPr>
                <w:noProof/>
                <w:webHidden/>
              </w:rPr>
              <w:instrText xml:space="preserve"> PAGEREF _Toc146033591 \h </w:instrText>
            </w:r>
            <w:r>
              <w:rPr>
                <w:noProof/>
                <w:webHidden/>
              </w:rPr>
            </w:r>
            <w:r>
              <w:rPr>
                <w:noProof/>
                <w:webHidden/>
              </w:rPr>
              <w:fldChar w:fldCharType="separate"/>
            </w:r>
            <w:r w:rsidR="00180E14">
              <w:rPr>
                <w:noProof/>
                <w:webHidden/>
              </w:rPr>
              <w:t>155</w:t>
            </w:r>
            <w:r>
              <w:rPr>
                <w:noProof/>
                <w:webHidden/>
              </w:rPr>
              <w:fldChar w:fldCharType="end"/>
            </w:r>
          </w:hyperlink>
        </w:p>
        <w:p w14:paraId="4868D354" w14:textId="620CE3F8" w:rsidR="00FF5DFD" w:rsidRDefault="00FF5DFD">
          <w:pPr>
            <w:pStyle w:val="TOC2"/>
            <w:rPr>
              <w:rFonts w:eastAsiaTheme="minorEastAsia"/>
              <w:noProof/>
              <w:kern w:val="2"/>
              <w:lang w:eastAsia="en-AU"/>
              <w14:ligatures w14:val="standardContextual"/>
            </w:rPr>
          </w:pPr>
          <w:hyperlink w:anchor="_Toc146033592" w:history="1">
            <w:r w:rsidRPr="009C1C70">
              <w:rPr>
                <w:rStyle w:val="Hyperlink"/>
                <w:noProof/>
              </w:rPr>
              <w:t>A5.5. Estimating the cost : benefit ratio</w:t>
            </w:r>
            <w:r>
              <w:rPr>
                <w:noProof/>
                <w:webHidden/>
              </w:rPr>
              <w:tab/>
            </w:r>
            <w:r>
              <w:rPr>
                <w:noProof/>
                <w:webHidden/>
              </w:rPr>
              <w:fldChar w:fldCharType="begin"/>
            </w:r>
            <w:r>
              <w:rPr>
                <w:noProof/>
                <w:webHidden/>
              </w:rPr>
              <w:instrText xml:space="preserve"> PAGEREF _Toc146033592 \h </w:instrText>
            </w:r>
            <w:r>
              <w:rPr>
                <w:noProof/>
                <w:webHidden/>
              </w:rPr>
            </w:r>
            <w:r>
              <w:rPr>
                <w:noProof/>
                <w:webHidden/>
              </w:rPr>
              <w:fldChar w:fldCharType="separate"/>
            </w:r>
            <w:r w:rsidR="00180E14">
              <w:rPr>
                <w:noProof/>
                <w:webHidden/>
              </w:rPr>
              <w:t>157</w:t>
            </w:r>
            <w:r>
              <w:rPr>
                <w:noProof/>
                <w:webHidden/>
              </w:rPr>
              <w:fldChar w:fldCharType="end"/>
            </w:r>
          </w:hyperlink>
        </w:p>
        <w:p w14:paraId="788016C1" w14:textId="4AB5D89E" w:rsidR="00FF5DFD" w:rsidRDefault="00FF5DFD">
          <w:pPr>
            <w:pStyle w:val="TOC2"/>
            <w:rPr>
              <w:rFonts w:eastAsiaTheme="minorEastAsia"/>
              <w:noProof/>
              <w:kern w:val="2"/>
              <w:lang w:eastAsia="en-AU"/>
              <w14:ligatures w14:val="standardContextual"/>
            </w:rPr>
          </w:pPr>
          <w:hyperlink w:anchor="_Toc146033593" w:history="1">
            <w:r w:rsidRPr="009C1C70">
              <w:rPr>
                <w:rStyle w:val="Hyperlink"/>
                <w:noProof/>
              </w:rPr>
              <w:t>A5.6. Assessing risks and testing sensitivities</w:t>
            </w:r>
            <w:r>
              <w:rPr>
                <w:noProof/>
                <w:webHidden/>
              </w:rPr>
              <w:tab/>
            </w:r>
            <w:r>
              <w:rPr>
                <w:noProof/>
                <w:webHidden/>
              </w:rPr>
              <w:fldChar w:fldCharType="begin"/>
            </w:r>
            <w:r>
              <w:rPr>
                <w:noProof/>
                <w:webHidden/>
              </w:rPr>
              <w:instrText xml:space="preserve"> PAGEREF _Toc146033593 \h </w:instrText>
            </w:r>
            <w:r>
              <w:rPr>
                <w:noProof/>
                <w:webHidden/>
              </w:rPr>
            </w:r>
            <w:r>
              <w:rPr>
                <w:noProof/>
                <w:webHidden/>
              </w:rPr>
              <w:fldChar w:fldCharType="separate"/>
            </w:r>
            <w:r w:rsidR="00180E14">
              <w:rPr>
                <w:noProof/>
                <w:webHidden/>
              </w:rPr>
              <w:t>158</w:t>
            </w:r>
            <w:r>
              <w:rPr>
                <w:noProof/>
                <w:webHidden/>
              </w:rPr>
              <w:fldChar w:fldCharType="end"/>
            </w:r>
          </w:hyperlink>
        </w:p>
        <w:p w14:paraId="64F5D0C3" w14:textId="76166825" w:rsidR="00FF5DFD" w:rsidRDefault="00FF5DFD">
          <w:pPr>
            <w:pStyle w:val="TOC2"/>
            <w:rPr>
              <w:rFonts w:eastAsiaTheme="minorEastAsia"/>
              <w:noProof/>
              <w:kern w:val="2"/>
              <w:lang w:eastAsia="en-AU"/>
              <w14:ligatures w14:val="standardContextual"/>
            </w:rPr>
          </w:pPr>
          <w:hyperlink w:anchor="_Toc146033594" w:history="1">
            <w:r w:rsidRPr="009C1C70">
              <w:rPr>
                <w:rStyle w:val="Hyperlink"/>
                <w:noProof/>
              </w:rPr>
              <w:t>A5.7. Future research needs</w:t>
            </w:r>
            <w:r>
              <w:rPr>
                <w:noProof/>
                <w:webHidden/>
              </w:rPr>
              <w:tab/>
            </w:r>
            <w:r>
              <w:rPr>
                <w:noProof/>
                <w:webHidden/>
              </w:rPr>
              <w:fldChar w:fldCharType="begin"/>
            </w:r>
            <w:r>
              <w:rPr>
                <w:noProof/>
                <w:webHidden/>
              </w:rPr>
              <w:instrText xml:space="preserve"> PAGEREF _Toc146033594 \h </w:instrText>
            </w:r>
            <w:r>
              <w:rPr>
                <w:noProof/>
                <w:webHidden/>
              </w:rPr>
            </w:r>
            <w:r>
              <w:rPr>
                <w:noProof/>
                <w:webHidden/>
              </w:rPr>
              <w:fldChar w:fldCharType="separate"/>
            </w:r>
            <w:r w:rsidR="00180E14">
              <w:rPr>
                <w:noProof/>
                <w:webHidden/>
              </w:rPr>
              <w:t>159</w:t>
            </w:r>
            <w:r>
              <w:rPr>
                <w:noProof/>
                <w:webHidden/>
              </w:rPr>
              <w:fldChar w:fldCharType="end"/>
            </w:r>
          </w:hyperlink>
        </w:p>
        <w:p w14:paraId="4556C359" w14:textId="0CA44A1A" w:rsidR="00FF5DFD" w:rsidRDefault="00FF5DFD">
          <w:pPr>
            <w:pStyle w:val="TOC1"/>
            <w:rPr>
              <w:rFonts w:eastAsiaTheme="minorEastAsia"/>
              <w:b w:val="0"/>
              <w:noProof/>
              <w:kern w:val="2"/>
              <w:lang w:eastAsia="en-AU"/>
              <w14:ligatures w14:val="standardContextual"/>
            </w:rPr>
          </w:pPr>
          <w:hyperlink w:anchor="_Toc146033595" w:history="1">
            <w:r w:rsidRPr="009C1C70">
              <w:rPr>
                <w:rStyle w:val="Hyperlink"/>
                <w:noProof/>
              </w:rPr>
              <w:t>Appendix 6: Regression analysis</w:t>
            </w:r>
            <w:r>
              <w:rPr>
                <w:noProof/>
                <w:webHidden/>
              </w:rPr>
              <w:tab/>
            </w:r>
            <w:r>
              <w:rPr>
                <w:noProof/>
                <w:webHidden/>
              </w:rPr>
              <w:fldChar w:fldCharType="begin"/>
            </w:r>
            <w:r>
              <w:rPr>
                <w:noProof/>
                <w:webHidden/>
              </w:rPr>
              <w:instrText xml:space="preserve"> PAGEREF _Toc146033595 \h </w:instrText>
            </w:r>
            <w:r>
              <w:rPr>
                <w:noProof/>
                <w:webHidden/>
              </w:rPr>
            </w:r>
            <w:r>
              <w:rPr>
                <w:noProof/>
                <w:webHidden/>
              </w:rPr>
              <w:fldChar w:fldCharType="separate"/>
            </w:r>
            <w:r w:rsidR="00180E14">
              <w:rPr>
                <w:noProof/>
                <w:webHidden/>
              </w:rPr>
              <w:t>160</w:t>
            </w:r>
            <w:r>
              <w:rPr>
                <w:noProof/>
                <w:webHidden/>
              </w:rPr>
              <w:fldChar w:fldCharType="end"/>
            </w:r>
          </w:hyperlink>
        </w:p>
        <w:p w14:paraId="2C910680" w14:textId="554A9730" w:rsidR="00FF5DFD" w:rsidRDefault="00FF5DFD">
          <w:pPr>
            <w:pStyle w:val="TOC2"/>
            <w:rPr>
              <w:rFonts w:eastAsiaTheme="minorEastAsia"/>
              <w:noProof/>
              <w:kern w:val="2"/>
              <w:lang w:eastAsia="en-AU"/>
              <w14:ligatures w14:val="standardContextual"/>
            </w:rPr>
          </w:pPr>
          <w:hyperlink w:anchor="_Toc146033596" w:history="1">
            <w:r w:rsidRPr="009C1C70">
              <w:rPr>
                <w:rStyle w:val="Hyperlink"/>
                <w:noProof/>
              </w:rPr>
              <w:t>A6.1. Long-term impact analysis – regression output</w:t>
            </w:r>
            <w:r>
              <w:rPr>
                <w:noProof/>
                <w:webHidden/>
              </w:rPr>
              <w:tab/>
            </w:r>
            <w:r>
              <w:rPr>
                <w:noProof/>
                <w:webHidden/>
              </w:rPr>
              <w:fldChar w:fldCharType="begin"/>
            </w:r>
            <w:r>
              <w:rPr>
                <w:noProof/>
                <w:webHidden/>
              </w:rPr>
              <w:instrText xml:space="preserve"> PAGEREF _Toc146033596 \h </w:instrText>
            </w:r>
            <w:r>
              <w:rPr>
                <w:noProof/>
                <w:webHidden/>
              </w:rPr>
            </w:r>
            <w:r>
              <w:rPr>
                <w:noProof/>
                <w:webHidden/>
              </w:rPr>
              <w:fldChar w:fldCharType="separate"/>
            </w:r>
            <w:r w:rsidR="00180E14">
              <w:rPr>
                <w:noProof/>
                <w:webHidden/>
              </w:rPr>
              <w:t>160</w:t>
            </w:r>
            <w:r>
              <w:rPr>
                <w:noProof/>
                <w:webHidden/>
              </w:rPr>
              <w:fldChar w:fldCharType="end"/>
            </w:r>
          </w:hyperlink>
        </w:p>
        <w:p w14:paraId="52B315D2" w14:textId="1FEFC23B" w:rsidR="00FF5DFD" w:rsidRDefault="00FF5DFD">
          <w:pPr>
            <w:pStyle w:val="TOC2"/>
            <w:rPr>
              <w:rFonts w:eastAsiaTheme="minorEastAsia"/>
              <w:noProof/>
              <w:kern w:val="2"/>
              <w:lang w:eastAsia="en-AU"/>
              <w14:ligatures w14:val="standardContextual"/>
            </w:rPr>
          </w:pPr>
          <w:hyperlink w:anchor="_Toc146033597" w:history="1">
            <w:r w:rsidRPr="009C1C70">
              <w:rPr>
                <w:rStyle w:val="Hyperlink"/>
                <w:noProof/>
              </w:rPr>
              <w:t>A6.2. Participant survey – regression output</w:t>
            </w:r>
            <w:r>
              <w:rPr>
                <w:noProof/>
                <w:webHidden/>
              </w:rPr>
              <w:tab/>
            </w:r>
            <w:r>
              <w:rPr>
                <w:noProof/>
                <w:webHidden/>
              </w:rPr>
              <w:fldChar w:fldCharType="begin"/>
            </w:r>
            <w:r>
              <w:rPr>
                <w:noProof/>
                <w:webHidden/>
              </w:rPr>
              <w:instrText xml:space="preserve"> PAGEREF _Toc146033597 \h </w:instrText>
            </w:r>
            <w:r>
              <w:rPr>
                <w:noProof/>
                <w:webHidden/>
              </w:rPr>
            </w:r>
            <w:r>
              <w:rPr>
                <w:noProof/>
                <w:webHidden/>
              </w:rPr>
              <w:fldChar w:fldCharType="separate"/>
            </w:r>
            <w:r w:rsidR="00180E14">
              <w:rPr>
                <w:noProof/>
                <w:webHidden/>
              </w:rPr>
              <w:t>170</w:t>
            </w:r>
            <w:r>
              <w:rPr>
                <w:noProof/>
                <w:webHidden/>
              </w:rPr>
              <w:fldChar w:fldCharType="end"/>
            </w:r>
          </w:hyperlink>
        </w:p>
        <w:p w14:paraId="3B58F168" w14:textId="7A28B718" w:rsidR="00FF5DFD" w:rsidRDefault="00FF5DFD">
          <w:pPr>
            <w:pStyle w:val="TOC1"/>
            <w:rPr>
              <w:rFonts w:eastAsiaTheme="minorEastAsia"/>
              <w:b w:val="0"/>
              <w:noProof/>
              <w:kern w:val="2"/>
              <w:lang w:eastAsia="en-AU"/>
              <w14:ligatures w14:val="standardContextual"/>
            </w:rPr>
          </w:pPr>
          <w:hyperlink w:anchor="_Toc146033598" w:history="1">
            <w:r w:rsidRPr="009C1C70">
              <w:rPr>
                <w:rStyle w:val="Hyperlink"/>
                <w:noProof/>
              </w:rPr>
              <w:t>Appendix 7: Impact of COVID-19</w:t>
            </w:r>
            <w:r>
              <w:rPr>
                <w:noProof/>
                <w:webHidden/>
              </w:rPr>
              <w:tab/>
            </w:r>
            <w:r>
              <w:rPr>
                <w:noProof/>
                <w:webHidden/>
              </w:rPr>
              <w:fldChar w:fldCharType="begin"/>
            </w:r>
            <w:r>
              <w:rPr>
                <w:noProof/>
                <w:webHidden/>
              </w:rPr>
              <w:instrText xml:space="preserve"> PAGEREF _Toc146033598 \h </w:instrText>
            </w:r>
            <w:r>
              <w:rPr>
                <w:noProof/>
                <w:webHidden/>
              </w:rPr>
            </w:r>
            <w:r>
              <w:rPr>
                <w:noProof/>
                <w:webHidden/>
              </w:rPr>
              <w:fldChar w:fldCharType="separate"/>
            </w:r>
            <w:r w:rsidR="00180E14">
              <w:rPr>
                <w:noProof/>
                <w:webHidden/>
              </w:rPr>
              <w:t>180</w:t>
            </w:r>
            <w:r>
              <w:rPr>
                <w:noProof/>
                <w:webHidden/>
              </w:rPr>
              <w:fldChar w:fldCharType="end"/>
            </w:r>
          </w:hyperlink>
        </w:p>
        <w:p w14:paraId="5E31EDA2" w14:textId="691673B0" w:rsidR="00FF5DFD" w:rsidRDefault="00FF5DFD">
          <w:pPr>
            <w:pStyle w:val="TOC2"/>
            <w:rPr>
              <w:rFonts w:eastAsiaTheme="minorEastAsia"/>
              <w:noProof/>
              <w:kern w:val="2"/>
              <w:lang w:eastAsia="en-AU"/>
              <w14:ligatures w14:val="standardContextual"/>
            </w:rPr>
          </w:pPr>
          <w:hyperlink w:anchor="_Toc146033599" w:history="1">
            <w:r w:rsidRPr="009C1C70">
              <w:rPr>
                <w:rStyle w:val="Hyperlink"/>
                <w:noProof/>
              </w:rPr>
              <w:t>A7.1. General COVID-19 impacts</w:t>
            </w:r>
            <w:r>
              <w:rPr>
                <w:noProof/>
                <w:webHidden/>
              </w:rPr>
              <w:tab/>
            </w:r>
            <w:r>
              <w:rPr>
                <w:noProof/>
                <w:webHidden/>
              </w:rPr>
              <w:fldChar w:fldCharType="begin"/>
            </w:r>
            <w:r>
              <w:rPr>
                <w:noProof/>
                <w:webHidden/>
              </w:rPr>
              <w:instrText xml:space="preserve"> PAGEREF _Toc146033599 \h </w:instrText>
            </w:r>
            <w:r>
              <w:rPr>
                <w:noProof/>
                <w:webHidden/>
              </w:rPr>
            </w:r>
            <w:r>
              <w:rPr>
                <w:noProof/>
                <w:webHidden/>
              </w:rPr>
              <w:fldChar w:fldCharType="separate"/>
            </w:r>
            <w:r w:rsidR="00180E14">
              <w:rPr>
                <w:noProof/>
                <w:webHidden/>
              </w:rPr>
              <w:t>180</w:t>
            </w:r>
            <w:r>
              <w:rPr>
                <w:noProof/>
                <w:webHidden/>
              </w:rPr>
              <w:fldChar w:fldCharType="end"/>
            </w:r>
          </w:hyperlink>
        </w:p>
        <w:p w14:paraId="3C764B4D" w14:textId="319D9378" w:rsidR="00FF5DFD" w:rsidRDefault="00FF5DFD">
          <w:pPr>
            <w:pStyle w:val="TOC2"/>
            <w:rPr>
              <w:rFonts w:eastAsiaTheme="minorEastAsia"/>
              <w:noProof/>
              <w:kern w:val="2"/>
              <w:lang w:eastAsia="en-AU"/>
              <w14:ligatures w14:val="standardContextual"/>
            </w:rPr>
          </w:pPr>
          <w:hyperlink w:anchor="_Toc146033600" w:history="1">
            <w:r w:rsidRPr="009C1C70">
              <w:rPr>
                <w:rStyle w:val="Hyperlink"/>
                <w:noProof/>
              </w:rPr>
              <w:t>A7.2. Impact on TtW support</w:t>
            </w:r>
            <w:r>
              <w:rPr>
                <w:noProof/>
                <w:webHidden/>
              </w:rPr>
              <w:tab/>
            </w:r>
            <w:r>
              <w:rPr>
                <w:noProof/>
                <w:webHidden/>
              </w:rPr>
              <w:fldChar w:fldCharType="begin"/>
            </w:r>
            <w:r>
              <w:rPr>
                <w:noProof/>
                <w:webHidden/>
              </w:rPr>
              <w:instrText xml:space="preserve"> PAGEREF _Toc146033600 \h </w:instrText>
            </w:r>
            <w:r>
              <w:rPr>
                <w:noProof/>
                <w:webHidden/>
              </w:rPr>
            </w:r>
            <w:r>
              <w:rPr>
                <w:noProof/>
                <w:webHidden/>
              </w:rPr>
              <w:fldChar w:fldCharType="separate"/>
            </w:r>
            <w:r w:rsidR="00180E14">
              <w:rPr>
                <w:noProof/>
                <w:webHidden/>
              </w:rPr>
              <w:t>181</w:t>
            </w:r>
            <w:r>
              <w:rPr>
                <w:noProof/>
                <w:webHidden/>
              </w:rPr>
              <w:fldChar w:fldCharType="end"/>
            </w:r>
          </w:hyperlink>
        </w:p>
        <w:p w14:paraId="21338E95" w14:textId="7E7C3385" w:rsidR="00FF5DFD" w:rsidRDefault="00FF5DFD">
          <w:pPr>
            <w:pStyle w:val="TOC2"/>
            <w:rPr>
              <w:rFonts w:eastAsiaTheme="minorEastAsia"/>
              <w:noProof/>
              <w:kern w:val="2"/>
              <w:lang w:eastAsia="en-AU"/>
              <w14:ligatures w14:val="standardContextual"/>
            </w:rPr>
          </w:pPr>
          <w:hyperlink w:anchor="_Toc146033601" w:history="1">
            <w:r w:rsidRPr="009C1C70">
              <w:rPr>
                <w:rStyle w:val="Hyperlink"/>
                <w:noProof/>
              </w:rPr>
              <w:t>A7.3. Impact on participants’ human capabilities</w:t>
            </w:r>
            <w:r>
              <w:rPr>
                <w:noProof/>
                <w:webHidden/>
              </w:rPr>
              <w:tab/>
            </w:r>
            <w:r>
              <w:rPr>
                <w:noProof/>
                <w:webHidden/>
              </w:rPr>
              <w:fldChar w:fldCharType="begin"/>
            </w:r>
            <w:r>
              <w:rPr>
                <w:noProof/>
                <w:webHidden/>
              </w:rPr>
              <w:instrText xml:space="preserve"> PAGEREF _Toc146033601 \h </w:instrText>
            </w:r>
            <w:r>
              <w:rPr>
                <w:noProof/>
                <w:webHidden/>
              </w:rPr>
            </w:r>
            <w:r>
              <w:rPr>
                <w:noProof/>
                <w:webHidden/>
              </w:rPr>
              <w:fldChar w:fldCharType="separate"/>
            </w:r>
            <w:r w:rsidR="00180E14">
              <w:rPr>
                <w:noProof/>
                <w:webHidden/>
              </w:rPr>
              <w:t>181</w:t>
            </w:r>
            <w:r>
              <w:rPr>
                <w:noProof/>
                <w:webHidden/>
              </w:rPr>
              <w:fldChar w:fldCharType="end"/>
            </w:r>
          </w:hyperlink>
        </w:p>
        <w:p w14:paraId="51F1BA27" w14:textId="68C9D34C" w:rsidR="00FF5DFD" w:rsidRDefault="00FF5DFD">
          <w:pPr>
            <w:pStyle w:val="TOC1"/>
            <w:rPr>
              <w:rFonts w:eastAsiaTheme="minorEastAsia"/>
              <w:b w:val="0"/>
              <w:noProof/>
              <w:kern w:val="2"/>
              <w:lang w:eastAsia="en-AU"/>
              <w14:ligatures w14:val="standardContextual"/>
            </w:rPr>
          </w:pPr>
          <w:hyperlink w:anchor="_Toc146033602" w:history="1">
            <w:r w:rsidRPr="009C1C70">
              <w:rPr>
                <w:rStyle w:val="Hyperlink"/>
                <w:noProof/>
              </w:rPr>
              <w:t>Appendix 8: Data from 2021 provider and participant surveys</w:t>
            </w:r>
            <w:r>
              <w:rPr>
                <w:noProof/>
                <w:webHidden/>
              </w:rPr>
              <w:tab/>
            </w:r>
            <w:r>
              <w:rPr>
                <w:noProof/>
                <w:webHidden/>
              </w:rPr>
              <w:fldChar w:fldCharType="begin"/>
            </w:r>
            <w:r>
              <w:rPr>
                <w:noProof/>
                <w:webHidden/>
              </w:rPr>
              <w:instrText xml:space="preserve"> PAGEREF _Toc146033602 \h </w:instrText>
            </w:r>
            <w:r>
              <w:rPr>
                <w:noProof/>
                <w:webHidden/>
              </w:rPr>
            </w:r>
            <w:r>
              <w:rPr>
                <w:noProof/>
                <w:webHidden/>
              </w:rPr>
              <w:fldChar w:fldCharType="separate"/>
            </w:r>
            <w:r w:rsidR="00180E14">
              <w:rPr>
                <w:noProof/>
                <w:webHidden/>
              </w:rPr>
              <w:t>184</w:t>
            </w:r>
            <w:r>
              <w:rPr>
                <w:noProof/>
                <w:webHidden/>
              </w:rPr>
              <w:fldChar w:fldCharType="end"/>
            </w:r>
          </w:hyperlink>
        </w:p>
        <w:p w14:paraId="417F43B5" w14:textId="4528A88C" w:rsidR="00FF5DFD" w:rsidRDefault="00FF5DFD">
          <w:pPr>
            <w:pStyle w:val="TOC2"/>
            <w:rPr>
              <w:rFonts w:eastAsiaTheme="minorEastAsia"/>
              <w:noProof/>
              <w:kern w:val="2"/>
              <w:lang w:eastAsia="en-AU"/>
              <w14:ligatures w14:val="standardContextual"/>
            </w:rPr>
          </w:pPr>
          <w:hyperlink w:anchor="_Toc146033603" w:history="1">
            <w:r w:rsidRPr="009C1C70">
              <w:rPr>
                <w:rStyle w:val="Hyperlink"/>
                <w:noProof/>
              </w:rPr>
              <w:t>A8.1. 2021 participant survey results</w:t>
            </w:r>
            <w:r>
              <w:rPr>
                <w:noProof/>
                <w:webHidden/>
              </w:rPr>
              <w:tab/>
            </w:r>
            <w:r>
              <w:rPr>
                <w:noProof/>
                <w:webHidden/>
              </w:rPr>
              <w:fldChar w:fldCharType="begin"/>
            </w:r>
            <w:r>
              <w:rPr>
                <w:noProof/>
                <w:webHidden/>
              </w:rPr>
              <w:instrText xml:space="preserve"> PAGEREF _Toc146033603 \h </w:instrText>
            </w:r>
            <w:r>
              <w:rPr>
                <w:noProof/>
                <w:webHidden/>
              </w:rPr>
            </w:r>
            <w:r>
              <w:rPr>
                <w:noProof/>
                <w:webHidden/>
              </w:rPr>
              <w:fldChar w:fldCharType="separate"/>
            </w:r>
            <w:r w:rsidR="00180E14">
              <w:rPr>
                <w:noProof/>
                <w:webHidden/>
              </w:rPr>
              <w:t>184</w:t>
            </w:r>
            <w:r>
              <w:rPr>
                <w:noProof/>
                <w:webHidden/>
              </w:rPr>
              <w:fldChar w:fldCharType="end"/>
            </w:r>
          </w:hyperlink>
        </w:p>
        <w:p w14:paraId="4A5552EA" w14:textId="23456311" w:rsidR="00FF5DFD" w:rsidRDefault="00FF5DFD">
          <w:pPr>
            <w:pStyle w:val="TOC2"/>
            <w:rPr>
              <w:rFonts w:eastAsiaTheme="minorEastAsia"/>
              <w:noProof/>
              <w:kern w:val="2"/>
              <w:lang w:eastAsia="en-AU"/>
              <w14:ligatures w14:val="standardContextual"/>
            </w:rPr>
          </w:pPr>
          <w:hyperlink w:anchor="_Toc146033604" w:history="1">
            <w:r w:rsidRPr="009C1C70">
              <w:rPr>
                <w:rStyle w:val="Hyperlink"/>
                <w:noProof/>
              </w:rPr>
              <w:t>A8.2.</w:t>
            </w:r>
            <w:r w:rsidRPr="009C1C70">
              <w:rPr>
                <w:rStyle w:val="Hyperlink"/>
                <w:noProof/>
                <w:lang w:eastAsia="en-AU"/>
              </w:rPr>
              <w:t xml:space="preserve"> 2021 provider survey results</w:t>
            </w:r>
            <w:r>
              <w:rPr>
                <w:noProof/>
                <w:webHidden/>
              </w:rPr>
              <w:tab/>
            </w:r>
            <w:r>
              <w:rPr>
                <w:noProof/>
                <w:webHidden/>
              </w:rPr>
              <w:fldChar w:fldCharType="begin"/>
            </w:r>
            <w:r>
              <w:rPr>
                <w:noProof/>
                <w:webHidden/>
              </w:rPr>
              <w:instrText xml:space="preserve"> PAGEREF _Toc146033604 \h </w:instrText>
            </w:r>
            <w:r>
              <w:rPr>
                <w:noProof/>
                <w:webHidden/>
              </w:rPr>
            </w:r>
            <w:r>
              <w:rPr>
                <w:noProof/>
                <w:webHidden/>
              </w:rPr>
              <w:fldChar w:fldCharType="separate"/>
            </w:r>
            <w:r w:rsidR="00180E14">
              <w:rPr>
                <w:noProof/>
                <w:webHidden/>
              </w:rPr>
              <w:t>188</w:t>
            </w:r>
            <w:r>
              <w:rPr>
                <w:noProof/>
                <w:webHidden/>
              </w:rPr>
              <w:fldChar w:fldCharType="end"/>
            </w:r>
          </w:hyperlink>
        </w:p>
        <w:p w14:paraId="1A3AB689" w14:textId="465AC4E2" w:rsidR="007855CC" w:rsidRPr="0095636C" w:rsidRDefault="0095636C" w:rsidP="0095636C">
          <w:r>
            <w:rPr>
              <w:rFonts w:ascii="Calibri" w:eastAsiaTheme="majorEastAsia" w:hAnsi="Calibri" w:cstheme="majorBidi"/>
              <w:b/>
              <w:color w:val="343741"/>
              <w:sz w:val="32"/>
              <w:szCs w:val="32"/>
            </w:rPr>
            <w:fldChar w:fldCharType="end"/>
          </w:r>
        </w:p>
      </w:sdtContent>
    </w:sdt>
    <w:bookmarkEnd w:id="1" w:displacedByCustomXml="prev"/>
    <w:bookmarkEnd w:id="0" w:displacedByCustomXml="prev"/>
    <w:p w14:paraId="0AB9717A" w14:textId="3EFFF7F3" w:rsidR="00A5687C" w:rsidRDefault="00A5687C">
      <w:pPr>
        <w:spacing w:after="160" w:line="259" w:lineRule="auto"/>
      </w:pPr>
      <w:r>
        <w:br w:type="page"/>
      </w:r>
    </w:p>
    <w:p w14:paraId="32B3C6EB" w14:textId="74A644A6" w:rsidR="001431BC" w:rsidRDefault="001431BC" w:rsidP="00D41004">
      <w:pPr>
        <w:pStyle w:val="Heading1"/>
        <w:numPr>
          <w:ilvl w:val="0"/>
          <w:numId w:val="0"/>
        </w:numPr>
      </w:pPr>
      <w:bookmarkStart w:id="2" w:name="_Toc132650418"/>
      <w:bookmarkStart w:id="3" w:name="_Toc146033441"/>
      <w:bookmarkStart w:id="4" w:name="_Toc106711787"/>
      <w:r>
        <w:lastRenderedPageBreak/>
        <w:t xml:space="preserve">List of </w:t>
      </w:r>
      <w:r w:rsidR="00F8391B">
        <w:t>s</w:t>
      </w:r>
      <w:r>
        <w:t xml:space="preserve">hort </w:t>
      </w:r>
      <w:r w:rsidR="00F8391B">
        <w:t>f</w:t>
      </w:r>
      <w:r>
        <w:t>orms</w:t>
      </w:r>
      <w:bookmarkEnd w:id="2"/>
      <w:bookmarkEnd w:id="3"/>
    </w:p>
    <w:tbl>
      <w:tblPr>
        <w:tblStyle w:val="TtWReportTableTemplate2"/>
        <w:tblW w:w="0" w:type="auto"/>
        <w:tblLook w:val="04A0" w:firstRow="1" w:lastRow="0" w:firstColumn="1" w:lastColumn="0" w:noHBand="0" w:noVBand="1"/>
      </w:tblPr>
      <w:tblGrid>
        <w:gridCol w:w="1211"/>
        <w:gridCol w:w="5133"/>
      </w:tblGrid>
      <w:tr w:rsidR="00825E4A" w:rsidRPr="00B0400C" w14:paraId="0662379D" w14:textId="77777777" w:rsidTr="00C9113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5D7A38"/>
          </w:tcPr>
          <w:p w14:paraId="33561BFC" w14:textId="77777777" w:rsidR="00825E4A" w:rsidRPr="00ED6857" w:rsidRDefault="00825E4A" w:rsidP="00D11E39">
            <w:pPr>
              <w:rPr>
                <w:rFonts w:asciiTheme="minorHAnsi" w:hAnsiTheme="minorHAnsi" w:cstheme="minorHAnsi"/>
                <w:b w:val="0"/>
                <w:szCs w:val="20"/>
              </w:rPr>
            </w:pPr>
            <w:r w:rsidRPr="00ED6857">
              <w:rPr>
                <w:rFonts w:cstheme="minorHAnsi"/>
                <w:szCs w:val="20"/>
              </w:rPr>
              <w:t>Short form</w:t>
            </w:r>
          </w:p>
        </w:tc>
        <w:tc>
          <w:tcPr>
            <w:tcW w:w="0" w:type="auto"/>
            <w:shd w:val="clear" w:color="auto" w:fill="5D7A38"/>
          </w:tcPr>
          <w:p w14:paraId="097C735C" w14:textId="77777777" w:rsidR="00825E4A" w:rsidRPr="00ED6857" w:rsidRDefault="00825E4A" w:rsidP="00D11E3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0"/>
              </w:rPr>
            </w:pPr>
            <w:r w:rsidRPr="00ED6857">
              <w:rPr>
                <w:rFonts w:cstheme="minorHAnsi"/>
                <w:szCs w:val="20"/>
              </w:rPr>
              <w:t>In full</w:t>
            </w:r>
          </w:p>
        </w:tc>
      </w:tr>
      <w:tr w:rsidR="00825E4A" w:rsidRPr="00B0400C" w14:paraId="5CD2DDD7"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Pr>
          <w:p w14:paraId="00FC3571" w14:textId="77777777" w:rsidR="00825E4A" w:rsidRPr="00672358" w:rsidRDefault="00825E4A" w:rsidP="00D11E39">
            <w:pPr>
              <w:rPr>
                <w:rFonts w:cstheme="minorHAnsi"/>
                <w:b w:val="0"/>
                <w:szCs w:val="20"/>
              </w:rPr>
            </w:pPr>
            <w:r w:rsidRPr="00672358">
              <w:rPr>
                <w:rFonts w:cstheme="minorHAnsi"/>
                <w:szCs w:val="20"/>
              </w:rPr>
              <w:t>ABS</w:t>
            </w:r>
          </w:p>
        </w:tc>
        <w:tc>
          <w:tcPr>
            <w:tcW w:w="0" w:type="auto"/>
            <w:shd w:val="clear" w:color="auto" w:fill="D9D9D9"/>
          </w:tcPr>
          <w:p w14:paraId="669AD464"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Australian Bureau of Statistics</w:t>
            </w:r>
          </w:p>
        </w:tc>
      </w:tr>
      <w:tr w:rsidR="00825E4A" w:rsidRPr="00B0400C" w14:paraId="3FDEB9A6"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955A6C" w14:textId="77777777" w:rsidR="00825E4A" w:rsidRPr="00672358" w:rsidRDefault="00825E4A" w:rsidP="00D11E39">
            <w:pPr>
              <w:rPr>
                <w:rFonts w:cstheme="minorHAnsi"/>
                <w:szCs w:val="20"/>
              </w:rPr>
            </w:pPr>
            <w:r w:rsidRPr="00672358">
              <w:rPr>
                <w:rFonts w:cstheme="minorHAnsi"/>
                <w:szCs w:val="20"/>
              </w:rPr>
              <w:t>ASC</w:t>
            </w:r>
          </w:p>
        </w:tc>
        <w:tc>
          <w:tcPr>
            <w:tcW w:w="0" w:type="auto"/>
          </w:tcPr>
          <w:p w14:paraId="1CBAA87E" w14:textId="77777777"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Australian Skills Commission</w:t>
            </w:r>
          </w:p>
        </w:tc>
      </w:tr>
      <w:tr w:rsidR="00825E4A" w:rsidRPr="00B0400C" w14:paraId="7E1B0AB2"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Pr>
          <w:p w14:paraId="5E84E0E8" w14:textId="77777777" w:rsidR="00825E4A" w:rsidRPr="00672358" w:rsidRDefault="00825E4A" w:rsidP="00D11E39">
            <w:pPr>
              <w:rPr>
                <w:rFonts w:cstheme="minorHAnsi"/>
                <w:b w:val="0"/>
                <w:szCs w:val="20"/>
              </w:rPr>
            </w:pPr>
            <w:r w:rsidRPr="00672358">
              <w:rPr>
                <w:rFonts w:cstheme="minorHAnsi"/>
                <w:szCs w:val="20"/>
              </w:rPr>
              <w:t>CALD</w:t>
            </w:r>
          </w:p>
        </w:tc>
        <w:tc>
          <w:tcPr>
            <w:tcW w:w="0" w:type="auto"/>
            <w:shd w:val="clear" w:color="auto" w:fill="D9D9D9"/>
          </w:tcPr>
          <w:p w14:paraId="2AB508B0"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Culturally and linguistically diverse</w:t>
            </w:r>
          </w:p>
        </w:tc>
      </w:tr>
      <w:tr w:rsidR="00825E4A" w:rsidRPr="00B0400C" w14:paraId="23E4D40D"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67E892A" w14:textId="77777777" w:rsidR="00825E4A" w:rsidRPr="00672358" w:rsidRDefault="00825E4A" w:rsidP="00D11E39">
            <w:pPr>
              <w:rPr>
                <w:rFonts w:cstheme="minorHAnsi"/>
                <w:szCs w:val="20"/>
              </w:rPr>
            </w:pPr>
            <w:r w:rsidRPr="00672358">
              <w:rPr>
                <w:rFonts w:cstheme="minorHAnsi"/>
                <w:szCs w:val="20"/>
              </w:rPr>
              <w:t>CPI</w:t>
            </w:r>
          </w:p>
        </w:tc>
        <w:tc>
          <w:tcPr>
            <w:tcW w:w="0" w:type="auto"/>
            <w:shd w:val="clear" w:color="auto" w:fill="auto"/>
          </w:tcPr>
          <w:p w14:paraId="5F60E959" w14:textId="77777777"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Consumer Price Index</w:t>
            </w:r>
          </w:p>
        </w:tc>
      </w:tr>
      <w:tr w:rsidR="00825E4A" w:rsidRPr="00B0400C" w14:paraId="61FB126B"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Pr>
          <w:p w14:paraId="1CA7AC99" w14:textId="77777777" w:rsidR="00825E4A" w:rsidRPr="00672358" w:rsidRDefault="00825E4A" w:rsidP="00D11E39">
            <w:pPr>
              <w:rPr>
                <w:rFonts w:cstheme="minorHAnsi"/>
                <w:b w:val="0"/>
                <w:szCs w:val="20"/>
              </w:rPr>
            </w:pPr>
            <w:r w:rsidRPr="00672358">
              <w:rPr>
                <w:rFonts w:cstheme="minorHAnsi"/>
                <w:szCs w:val="20"/>
              </w:rPr>
              <w:t>department</w:t>
            </w:r>
          </w:p>
        </w:tc>
        <w:tc>
          <w:tcPr>
            <w:tcW w:w="0" w:type="auto"/>
          </w:tcPr>
          <w:p w14:paraId="6795340F"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Department of </w:t>
            </w:r>
            <w:r>
              <w:rPr>
                <w:rFonts w:cstheme="minorHAnsi"/>
                <w:szCs w:val="20"/>
              </w:rPr>
              <w:t xml:space="preserve">Employment and Workforce Relations </w:t>
            </w:r>
          </w:p>
        </w:tc>
      </w:tr>
      <w:tr w:rsidR="00825E4A" w:rsidRPr="00B0400C" w14:paraId="3404574D"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FE6D15" w14:textId="77777777" w:rsidR="00825E4A" w:rsidRPr="00672358" w:rsidRDefault="00825E4A" w:rsidP="00D11E39">
            <w:pPr>
              <w:rPr>
                <w:rFonts w:cstheme="minorHAnsi"/>
                <w:szCs w:val="20"/>
              </w:rPr>
            </w:pPr>
            <w:r w:rsidRPr="00672358">
              <w:rPr>
                <w:rFonts w:cstheme="minorHAnsi"/>
                <w:szCs w:val="20"/>
              </w:rPr>
              <w:t>DESE</w:t>
            </w:r>
          </w:p>
        </w:tc>
        <w:tc>
          <w:tcPr>
            <w:tcW w:w="0" w:type="auto"/>
          </w:tcPr>
          <w:p w14:paraId="76ABB324" w14:textId="528DF54A"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t xml:space="preserve">Department of Education, Skills and Employment </w:t>
            </w:r>
          </w:p>
        </w:tc>
      </w:tr>
      <w:tr w:rsidR="00825E4A" w:rsidRPr="00B0400C" w14:paraId="41024A1F"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95FC1E" w14:textId="77777777" w:rsidR="00825E4A" w:rsidRPr="00672358" w:rsidRDefault="00825E4A" w:rsidP="00D11E39">
            <w:pPr>
              <w:rPr>
                <w:rFonts w:cstheme="minorHAnsi"/>
                <w:szCs w:val="20"/>
              </w:rPr>
            </w:pPr>
            <w:r w:rsidRPr="00672358">
              <w:rPr>
                <w:rFonts w:cstheme="minorHAnsi"/>
                <w:szCs w:val="20"/>
              </w:rPr>
              <w:t>DEWR</w:t>
            </w:r>
          </w:p>
        </w:tc>
        <w:tc>
          <w:tcPr>
            <w:tcW w:w="0" w:type="auto"/>
          </w:tcPr>
          <w:p w14:paraId="05F5C7E5"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Department of </w:t>
            </w:r>
            <w:r>
              <w:rPr>
                <w:rFonts w:cstheme="minorHAnsi"/>
                <w:szCs w:val="20"/>
              </w:rPr>
              <w:t>Employment and Workforce Relations</w:t>
            </w:r>
          </w:p>
        </w:tc>
      </w:tr>
      <w:tr w:rsidR="00825E4A" w:rsidRPr="00B0400C" w14:paraId="235832F0"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E26E5E" w14:textId="77777777" w:rsidR="00825E4A" w:rsidRPr="00672358" w:rsidRDefault="00825E4A" w:rsidP="00D11E39">
            <w:pPr>
              <w:rPr>
                <w:rFonts w:cstheme="minorHAnsi"/>
                <w:b w:val="0"/>
                <w:szCs w:val="20"/>
              </w:rPr>
            </w:pPr>
            <w:r w:rsidRPr="00672358">
              <w:rPr>
                <w:rFonts w:cstheme="minorHAnsi"/>
                <w:szCs w:val="20"/>
              </w:rPr>
              <w:t>ESAt</w:t>
            </w:r>
          </w:p>
        </w:tc>
        <w:tc>
          <w:tcPr>
            <w:tcW w:w="0" w:type="auto"/>
          </w:tcPr>
          <w:p w14:paraId="7CB0BD39" w14:textId="77777777"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Employment Services Assessment </w:t>
            </w:r>
          </w:p>
        </w:tc>
      </w:tr>
      <w:tr w:rsidR="00825E4A" w:rsidRPr="00B0400C" w14:paraId="562C084C"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A6E527" w14:textId="77777777" w:rsidR="00825E4A" w:rsidRPr="00672358" w:rsidRDefault="00825E4A" w:rsidP="00D11E39">
            <w:pPr>
              <w:rPr>
                <w:rFonts w:cstheme="minorHAnsi"/>
                <w:b w:val="0"/>
                <w:bCs/>
                <w:szCs w:val="20"/>
              </w:rPr>
            </w:pPr>
            <w:r w:rsidRPr="00672358">
              <w:rPr>
                <w:rFonts w:cstheme="minorHAnsi"/>
                <w:bCs/>
                <w:szCs w:val="20"/>
              </w:rPr>
              <w:t>ESL</w:t>
            </w:r>
          </w:p>
        </w:tc>
        <w:tc>
          <w:tcPr>
            <w:tcW w:w="0" w:type="auto"/>
          </w:tcPr>
          <w:p w14:paraId="62B1B2FA"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Early school leaver</w:t>
            </w:r>
          </w:p>
        </w:tc>
      </w:tr>
      <w:tr w:rsidR="00825E4A" w:rsidRPr="00B0400C" w14:paraId="3E692DE1"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471F87" w14:textId="77777777" w:rsidR="00825E4A" w:rsidRPr="00672358" w:rsidRDefault="00825E4A" w:rsidP="00D11E39">
            <w:pPr>
              <w:rPr>
                <w:rFonts w:cstheme="minorHAnsi"/>
                <w:szCs w:val="20"/>
              </w:rPr>
            </w:pPr>
            <w:r w:rsidRPr="00672358">
              <w:rPr>
                <w:rFonts w:cstheme="minorHAnsi"/>
                <w:szCs w:val="20"/>
              </w:rPr>
              <w:t>FTE</w:t>
            </w:r>
          </w:p>
        </w:tc>
        <w:tc>
          <w:tcPr>
            <w:tcW w:w="0" w:type="auto"/>
          </w:tcPr>
          <w:p w14:paraId="2D9168AB" w14:textId="26F6B29A"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Full</w:t>
            </w:r>
            <w:r w:rsidR="00F8391B">
              <w:rPr>
                <w:rFonts w:cstheme="minorHAnsi"/>
                <w:szCs w:val="20"/>
              </w:rPr>
              <w:t>-t</w:t>
            </w:r>
            <w:r>
              <w:rPr>
                <w:rFonts w:cstheme="minorHAnsi"/>
                <w:szCs w:val="20"/>
              </w:rPr>
              <w:t xml:space="preserve">ime </w:t>
            </w:r>
            <w:r w:rsidR="00F8391B">
              <w:rPr>
                <w:rFonts w:cstheme="minorHAnsi"/>
                <w:szCs w:val="20"/>
              </w:rPr>
              <w:t>e</w:t>
            </w:r>
            <w:r>
              <w:rPr>
                <w:rFonts w:cstheme="minorHAnsi"/>
                <w:szCs w:val="20"/>
              </w:rPr>
              <w:t>quivalent</w:t>
            </w:r>
          </w:p>
        </w:tc>
      </w:tr>
      <w:tr w:rsidR="00825E4A" w:rsidRPr="00B0400C" w14:paraId="3BA1BF10"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11EEB2" w14:textId="77777777" w:rsidR="00825E4A" w:rsidRPr="00672358" w:rsidRDefault="00825E4A" w:rsidP="00D11E39">
            <w:pPr>
              <w:rPr>
                <w:rFonts w:cstheme="minorHAnsi"/>
                <w:szCs w:val="20"/>
              </w:rPr>
            </w:pPr>
            <w:r w:rsidRPr="00672358">
              <w:rPr>
                <w:rFonts w:cstheme="minorHAnsi"/>
                <w:szCs w:val="20"/>
              </w:rPr>
              <w:t>HILDA</w:t>
            </w:r>
          </w:p>
        </w:tc>
        <w:tc>
          <w:tcPr>
            <w:tcW w:w="0" w:type="auto"/>
          </w:tcPr>
          <w:p w14:paraId="1EFF1A54" w14:textId="77777777" w:rsidR="00825E4A"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754E79">
              <w:rPr>
                <w:rFonts w:cstheme="minorHAnsi"/>
                <w:szCs w:val="20"/>
              </w:rPr>
              <w:t>Household, Income and Labour Dynamics in Australia</w:t>
            </w:r>
            <w:r>
              <w:rPr>
                <w:rFonts w:cstheme="minorHAnsi"/>
                <w:szCs w:val="20"/>
              </w:rPr>
              <w:t xml:space="preserve"> Survey</w:t>
            </w:r>
          </w:p>
        </w:tc>
      </w:tr>
      <w:tr w:rsidR="00825E4A" w:rsidRPr="00B0400C" w14:paraId="3CC72FE0"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2BABA5" w14:textId="77777777" w:rsidR="00825E4A" w:rsidRPr="00672358" w:rsidRDefault="00825E4A" w:rsidP="00D11E39">
            <w:pPr>
              <w:rPr>
                <w:rFonts w:cstheme="minorHAnsi"/>
                <w:szCs w:val="20"/>
              </w:rPr>
            </w:pPr>
            <w:r w:rsidRPr="00672358">
              <w:rPr>
                <w:rFonts w:cstheme="minorHAnsi"/>
                <w:szCs w:val="20"/>
              </w:rPr>
              <w:t>IS</w:t>
            </w:r>
          </w:p>
        </w:tc>
        <w:tc>
          <w:tcPr>
            <w:tcW w:w="0" w:type="auto"/>
          </w:tcPr>
          <w:p w14:paraId="7164A2D1" w14:textId="1823BD07" w:rsidR="00825E4A" w:rsidRPr="00ED6857" w:rsidRDefault="00825E4A" w:rsidP="00BB5352">
            <w:pPr>
              <w:tabs>
                <w:tab w:val="center" w:pos="2458"/>
              </w:tabs>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 xml:space="preserve">Income </w:t>
            </w:r>
            <w:r w:rsidR="00F8391B">
              <w:rPr>
                <w:rFonts w:cstheme="minorHAnsi"/>
                <w:szCs w:val="20"/>
              </w:rPr>
              <w:t>s</w:t>
            </w:r>
            <w:r>
              <w:rPr>
                <w:rFonts w:cstheme="minorHAnsi"/>
                <w:szCs w:val="20"/>
              </w:rPr>
              <w:t>upport</w:t>
            </w:r>
          </w:p>
        </w:tc>
      </w:tr>
      <w:tr w:rsidR="00825E4A" w:rsidRPr="00B0400C" w14:paraId="1EEBF447"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847945" w14:textId="77777777" w:rsidR="00825E4A" w:rsidRPr="00672358" w:rsidRDefault="00825E4A" w:rsidP="00D11E39">
            <w:pPr>
              <w:rPr>
                <w:rFonts w:cstheme="minorHAnsi"/>
                <w:b w:val="0"/>
                <w:szCs w:val="20"/>
              </w:rPr>
            </w:pPr>
            <w:r w:rsidRPr="00672358">
              <w:rPr>
                <w:rFonts w:cstheme="minorHAnsi"/>
                <w:szCs w:val="20"/>
              </w:rPr>
              <w:t>JSCI</w:t>
            </w:r>
          </w:p>
        </w:tc>
        <w:tc>
          <w:tcPr>
            <w:tcW w:w="0" w:type="auto"/>
          </w:tcPr>
          <w:p w14:paraId="352D1E30"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Job Seeker Classification Instrument</w:t>
            </w:r>
          </w:p>
        </w:tc>
      </w:tr>
      <w:tr w:rsidR="00825E4A" w:rsidRPr="00B0400C" w14:paraId="7AB9F218"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06FD4A" w14:textId="77777777" w:rsidR="00825E4A" w:rsidRPr="00672358" w:rsidRDefault="00825E4A" w:rsidP="00D11E39">
            <w:pPr>
              <w:rPr>
                <w:rFonts w:cstheme="minorHAnsi"/>
                <w:b w:val="0"/>
                <w:szCs w:val="20"/>
              </w:rPr>
            </w:pPr>
            <w:r w:rsidRPr="00672358">
              <w:rPr>
                <w:rFonts w:cstheme="minorHAnsi"/>
                <w:szCs w:val="20"/>
              </w:rPr>
              <w:t>LMA</w:t>
            </w:r>
          </w:p>
        </w:tc>
        <w:tc>
          <w:tcPr>
            <w:tcW w:w="0" w:type="auto"/>
          </w:tcPr>
          <w:p w14:paraId="702FF43E" w14:textId="77777777"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Labour market attachment</w:t>
            </w:r>
          </w:p>
        </w:tc>
      </w:tr>
      <w:tr w:rsidR="00825E4A" w:rsidRPr="00B0400C" w14:paraId="0E0B2E3B"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89816C" w14:textId="77777777" w:rsidR="00825E4A" w:rsidRPr="00672358" w:rsidRDefault="00825E4A" w:rsidP="00D11E39">
            <w:pPr>
              <w:rPr>
                <w:rFonts w:cstheme="minorHAnsi"/>
                <w:b w:val="0"/>
                <w:szCs w:val="20"/>
              </w:rPr>
            </w:pPr>
            <w:r w:rsidRPr="00672358">
              <w:rPr>
                <w:rFonts w:cstheme="minorHAnsi"/>
                <w:szCs w:val="20"/>
              </w:rPr>
              <w:t>NCVER</w:t>
            </w:r>
          </w:p>
        </w:tc>
        <w:tc>
          <w:tcPr>
            <w:tcW w:w="0" w:type="auto"/>
          </w:tcPr>
          <w:p w14:paraId="1836EC12"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National Centre for Vocational Education Research</w:t>
            </w:r>
          </w:p>
        </w:tc>
      </w:tr>
      <w:tr w:rsidR="00825E4A" w:rsidRPr="00B0400C" w14:paraId="21DB16BB"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F9500B" w14:textId="77777777" w:rsidR="00825E4A" w:rsidRPr="00672358" w:rsidRDefault="00825E4A" w:rsidP="00D11E39">
            <w:pPr>
              <w:rPr>
                <w:rFonts w:cstheme="minorHAnsi"/>
                <w:szCs w:val="20"/>
              </w:rPr>
            </w:pPr>
            <w:r w:rsidRPr="00672358">
              <w:rPr>
                <w:rFonts w:cstheme="minorHAnsi"/>
                <w:szCs w:val="20"/>
              </w:rPr>
              <w:t>NEST</w:t>
            </w:r>
          </w:p>
        </w:tc>
        <w:tc>
          <w:tcPr>
            <w:tcW w:w="0" w:type="auto"/>
          </w:tcPr>
          <w:p w14:paraId="4080A231" w14:textId="77777777"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sidRPr="00754E79">
              <w:rPr>
                <w:rFonts w:cstheme="minorHAnsi"/>
                <w:szCs w:val="20"/>
              </w:rPr>
              <w:t>New Employment Services Trial</w:t>
            </w:r>
          </w:p>
        </w:tc>
      </w:tr>
      <w:tr w:rsidR="00825E4A" w:rsidRPr="00B0400C" w14:paraId="50D6F3E3"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03D11B" w14:textId="77777777" w:rsidR="00825E4A" w:rsidRPr="00672358" w:rsidRDefault="00825E4A" w:rsidP="00D11E39">
            <w:pPr>
              <w:rPr>
                <w:rFonts w:cstheme="minorHAnsi"/>
                <w:szCs w:val="20"/>
              </w:rPr>
            </w:pPr>
            <w:r w:rsidRPr="00672358">
              <w:rPr>
                <w:rFonts w:cstheme="minorHAnsi"/>
                <w:szCs w:val="20"/>
              </w:rPr>
              <w:t>POS</w:t>
            </w:r>
          </w:p>
        </w:tc>
        <w:tc>
          <w:tcPr>
            <w:tcW w:w="0" w:type="auto"/>
          </w:tcPr>
          <w:p w14:paraId="4679FC75" w14:textId="4E54A74F"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Period of </w:t>
            </w:r>
            <w:r w:rsidR="00F8391B">
              <w:rPr>
                <w:rFonts w:cstheme="minorHAnsi"/>
                <w:szCs w:val="20"/>
              </w:rPr>
              <w:t>s</w:t>
            </w:r>
            <w:r>
              <w:rPr>
                <w:rFonts w:cstheme="minorHAnsi"/>
                <w:szCs w:val="20"/>
              </w:rPr>
              <w:t>ervice</w:t>
            </w:r>
          </w:p>
        </w:tc>
      </w:tr>
      <w:tr w:rsidR="00825E4A" w:rsidRPr="00B0400C" w14:paraId="3A2F5A45"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308DD9" w14:textId="77777777" w:rsidR="00825E4A" w:rsidRPr="00672358" w:rsidRDefault="00825E4A" w:rsidP="00D11E39">
            <w:pPr>
              <w:rPr>
                <w:rFonts w:cstheme="minorHAnsi"/>
                <w:szCs w:val="20"/>
              </w:rPr>
            </w:pPr>
            <w:r w:rsidRPr="00672358">
              <w:rPr>
                <w:rFonts w:cstheme="minorHAnsi"/>
                <w:szCs w:val="20"/>
              </w:rPr>
              <w:t>PWI</w:t>
            </w:r>
          </w:p>
        </w:tc>
        <w:tc>
          <w:tcPr>
            <w:tcW w:w="0" w:type="auto"/>
          </w:tcPr>
          <w:p w14:paraId="50BE938D" w14:textId="77777777"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Personal Wellbeing Index</w:t>
            </w:r>
          </w:p>
        </w:tc>
      </w:tr>
      <w:tr w:rsidR="00825E4A" w:rsidRPr="00B0400C" w14:paraId="39E610D3"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A6DEEF" w14:textId="77777777" w:rsidR="00825E4A" w:rsidRPr="00672358" w:rsidRDefault="00825E4A" w:rsidP="00D11E39">
            <w:pPr>
              <w:rPr>
                <w:rFonts w:cstheme="minorHAnsi"/>
                <w:b w:val="0"/>
                <w:szCs w:val="20"/>
              </w:rPr>
            </w:pPr>
            <w:r w:rsidRPr="00672358">
              <w:rPr>
                <w:rFonts w:cstheme="minorHAnsi"/>
                <w:szCs w:val="20"/>
              </w:rPr>
              <w:t>RED</w:t>
            </w:r>
          </w:p>
        </w:tc>
        <w:tc>
          <w:tcPr>
            <w:tcW w:w="0" w:type="auto"/>
          </w:tcPr>
          <w:p w14:paraId="2DC356CF"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Research and Evaluation Database</w:t>
            </w:r>
          </w:p>
        </w:tc>
      </w:tr>
      <w:tr w:rsidR="00825E4A" w:rsidRPr="00B0400C" w14:paraId="0C028BBF"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204F62" w14:textId="77777777" w:rsidR="00825E4A" w:rsidRPr="00672358" w:rsidRDefault="00825E4A" w:rsidP="00D11E39">
            <w:pPr>
              <w:rPr>
                <w:rFonts w:cstheme="minorHAnsi"/>
                <w:szCs w:val="20"/>
              </w:rPr>
            </w:pPr>
            <w:r w:rsidRPr="00672358">
              <w:rPr>
                <w:rFonts w:cstheme="minorHAnsi"/>
                <w:szCs w:val="20"/>
              </w:rPr>
              <w:t>SWB</w:t>
            </w:r>
          </w:p>
        </w:tc>
        <w:tc>
          <w:tcPr>
            <w:tcW w:w="0" w:type="auto"/>
          </w:tcPr>
          <w:p w14:paraId="54924F8C" w14:textId="20A36F19"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 xml:space="preserve">Subjective </w:t>
            </w:r>
            <w:r w:rsidR="00F8391B">
              <w:rPr>
                <w:rFonts w:cstheme="minorHAnsi"/>
                <w:szCs w:val="20"/>
              </w:rPr>
              <w:t>w</w:t>
            </w:r>
            <w:r>
              <w:rPr>
                <w:rFonts w:cstheme="minorHAnsi"/>
                <w:szCs w:val="20"/>
              </w:rPr>
              <w:t>ellbeing</w:t>
            </w:r>
          </w:p>
        </w:tc>
      </w:tr>
      <w:tr w:rsidR="00825E4A" w:rsidRPr="00B0400C" w14:paraId="7ADFA50B"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B7E8B7" w14:textId="77777777" w:rsidR="00825E4A" w:rsidRPr="00672358" w:rsidRDefault="00825E4A" w:rsidP="00D11E39">
            <w:pPr>
              <w:rPr>
                <w:rFonts w:cstheme="minorHAnsi"/>
                <w:szCs w:val="20"/>
              </w:rPr>
            </w:pPr>
            <w:r w:rsidRPr="00672358">
              <w:rPr>
                <w:rFonts w:cstheme="minorHAnsi"/>
                <w:szCs w:val="20"/>
              </w:rPr>
              <w:t>TAFE</w:t>
            </w:r>
          </w:p>
        </w:tc>
        <w:tc>
          <w:tcPr>
            <w:tcW w:w="0" w:type="auto"/>
          </w:tcPr>
          <w:p w14:paraId="22679584" w14:textId="7C6C43AF"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Tertiary and </w:t>
            </w:r>
            <w:r w:rsidR="00F8391B">
              <w:rPr>
                <w:rFonts w:cstheme="minorHAnsi"/>
                <w:szCs w:val="20"/>
              </w:rPr>
              <w:t>f</w:t>
            </w:r>
            <w:r>
              <w:rPr>
                <w:rFonts w:cstheme="minorHAnsi"/>
                <w:szCs w:val="20"/>
              </w:rPr>
              <w:t xml:space="preserve">urther </w:t>
            </w:r>
            <w:r w:rsidR="00F8391B">
              <w:rPr>
                <w:rFonts w:cstheme="minorHAnsi"/>
                <w:szCs w:val="20"/>
              </w:rPr>
              <w:t>e</w:t>
            </w:r>
            <w:r>
              <w:rPr>
                <w:rFonts w:cstheme="minorHAnsi"/>
                <w:szCs w:val="20"/>
              </w:rPr>
              <w:t>ducation</w:t>
            </w:r>
          </w:p>
        </w:tc>
      </w:tr>
      <w:tr w:rsidR="00825E4A" w:rsidRPr="00B0400C" w14:paraId="00B62104"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CB8AC2" w14:textId="77777777" w:rsidR="00825E4A" w:rsidRPr="00672358" w:rsidRDefault="00825E4A" w:rsidP="00D11E39">
            <w:pPr>
              <w:rPr>
                <w:rFonts w:cstheme="minorHAnsi"/>
                <w:b w:val="0"/>
                <w:szCs w:val="20"/>
              </w:rPr>
            </w:pPr>
            <w:r w:rsidRPr="00672358">
              <w:rPr>
                <w:rFonts w:cstheme="minorHAnsi"/>
                <w:szCs w:val="20"/>
              </w:rPr>
              <w:t>TtW</w:t>
            </w:r>
          </w:p>
        </w:tc>
        <w:tc>
          <w:tcPr>
            <w:tcW w:w="0" w:type="auto"/>
          </w:tcPr>
          <w:p w14:paraId="4B9726BE" w14:textId="77777777"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Transition to Work</w:t>
            </w:r>
          </w:p>
        </w:tc>
      </w:tr>
      <w:tr w:rsidR="00825E4A" w:rsidRPr="00B0400C" w14:paraId="1C2833CA"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1D4FB2" w14:textId="77777777" w:rsidR="00825E4A" w:rsidRPr="00672358" w:rsidRDefault="00825E4A" w:rsidP="00D11E39">
            <w:pPr>
              <w:rPr>
                <w:rFonts w:cstheme="minorHAnsi"/>
                <w:b w:val="0"/>
                <w:szCs w:val="20"/>
              </w:rPr>
            </w:pPr>
            <w:r w:rsidRPr="00672358">
              <w:rPr>
                <w:rFonts w:cstheme="minorHAnsi"/>
                <w:szCs w:val="20"/>
              </w:rPr>
              <w:t>TtW Deed</w:t>
            </w:r>
          </w:p>
        </w:tc>
        <w:tc>
          <w:tcPr>
            <w:tcW w:w="0" w:type="auto"/>
          </w:tcPr>
          <w:p w14:paraId="0D87572E" w14:textId="77777777" w:rsidR="00825E4A" w:rsidRPr="00ED6857" w:rsidRDefault="00825E4A" w:rsidP="00D11E39">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Transition to Work Deed 2016–2022 </w:t>
            </w:r>
          </w:p>
        </w:tc>
      </w:tr>
      <w:tr w:rsidR="00825E4A" w:rsidRPr="00B0400C" w14:paraId="55E63D29"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578913" w14:textId="77777777" w:rsidR="00825E4A" w:rsidRPr="00672358" w:rsidRDefault="00825E4A" w:rsidP="00D11E39">
            <w:pPr>
              <w:rPr>
                <w:rFonts w:cstheme="minorHAnsi"/>
                <w:szCs w:val="20"/>
              </w:rPr>
            </w:pPr>
            <w:r w:rsidRPr="00672358">
              <w:rPr>
                <w:rFonts w:cstheme="minorHAnsi"/>
                <w:szCs w:val="20"/>
              </w:rPr>
              <w:t>YA (O)</w:t>
            </w:r>
          </w:p>
        </w:tc>
        <w:tc>
          <w:tcPr>
            <w:tcW w:w="0" w:type="auto"/>
          </w:tcPr>
          <w:p w14:paraId="32327CB0" w14:textId="77777777" w:rsidR="00825E4A" w:rsidRPr="00ED6857" w:rsidRDefault="00825E4A" w:rsidP="00D11E39">
            <w:pPr>
              <w:cnfStyle w:val="000000010000" w:firstRow="0" w:lastRow="0" w:firstColumn="0" w:lastColumn="0" w:oddVBand="0" w:evenVBand="0" w:oddHBand="0" w:evenHBand="1" w:firstRowFirstColumn="0" w:firstRowLastColumn="0" w:lastRowFirstColumn="0" w:lastRowLastColumn="0"/>
              <w:rPr>
                <w:rFonts w:cstheme="minorHAnsi"/>
                <w:szCs w:val="20"/>
              </w:rPr>
            </w:pPr>
            <w:r>
              <w:t>Youth Allowance (Other)</w:t>
            </w:r>
          </w:p>
        </w:tc>
      </w:tr>
    </w:tbl>
    <w:p w14:paraId="3A49CAE1" w14:textId="66F1C024" w:rsidR="00907C60" w:rsidRDefault="00907C60" w:rsidP="00D41004">
      <w:pPr>
        <w:pStyle w:val="Heading1"/>
        <w:numPr>
          <w:ilvl w:val="0"/>
          <w:numId w:val="0"/>
        </w:numPr>
      </w:pPr>
      <w:bookmarkStart w:id="5" w:name="_Toc132650419"/>
      <w:bookmarkStart w:id="6" w:name="_Toc146033442"/>
      <w:r>
        <w:lastRenderedPageBreak/>
        <w:t>Glossary</w:t>
      </w:r>
      <w:bookmarkEnd w:id="5"/>
      <w:bookmarkEnd w:id="6"/>
    </w:p>
    <w:tbl>
      <w:tblPr>
        <w:tblStyle w:val="TtWReportTableTemplate2"/>
        <w:tblW w:w="0" w:type="auto"/>
        <w:tblLayout w:type="fixed"/>
        <w:tblLook w:val="04A0" w:firstRow="1" w:lastRow="0" w:firstColumn="1" w:lastColumn="0" w:noHBand="0" w:noVBand="1"/>
      </w:tblPr>
      <w:tblGrid>
        <w:gridCol w:w="1816"/>
        <w:gridCol w:w="7210"/>
      </w:tblGrid>
      <w:tr w:rsidR="00907C60" w:rsidRPr="002C3BDC" w14:paraId="6BB967D8" w14:textId="77777777" w:rsidTr="00D41004">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816" w:type="dxa"/>
            <w:shd w:val="clear" w:color="auto" w:fill="5D7A38"/>
            <w:vAlign w:val="center"/>
          </w:tcPr>
          <w:p w14:paraId="051AD88B" w14:textId="77777777" w:rsidR="00907C60" w:rsidRPr="002C3BDC" w:rsidRDefault="00907C60" w:rsidP="00D41004">
            <w:pPr>
              <w:pStyle w:val="TableText"/>
              <w:keepNext/>
              <w:spacing w:after="0"/>
              <w:rPr>
                <w:rFonts w:asciiTheme="minorHAnsi" w:hAnsiTheme="minorHAnsi"/>
                <w:bCs/>
              </w:rPr>
            </w:pPr>
            <w:r w:rsidRPr="00BA59CF">
              <w:rPr>
                <w:rFonts w:asciiTheme="minorHAnsi" w:eastAsiaTheme="minorHAnsi" w:hAnsiTheme="minorHAnsi"/>
                <w:bCs/>
              </w:rPr>
              <w:t>Term</w:t>
            </w:r>
          </w:p>
        </w:tc>
        <w:tc>
          <w:tcPr>
            <w:tcW w:w="7210" w:type="dxa"/>
            <w:shd w:val="clear" w:color="auto" w:fill="5D7A38"/>
            <w:vAlign w:val="center"/>
          </w:tcPr>
          <w:p w14:paraId="71F1FE65" w14:textId="77777777" w:rsidR="00907C60" w:rsidRPr="002C3BDC" w:rsidRDefault="00907C60" w:rsidP="00D41004">
            <w:pPr>
              <w:pStyle w:val="TableText"/>
              <w:keepNext/>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bCs/>
              </w:rPr>
            </w:pPr>
            <w:r w:rsidRPr="00BA59CF">
              <w:rPr>
                <w:rFonts w:asciiTheme="minorHAnsi" w:eastAsiaTheme="minorHAnsi" w:hAnsiTheme="minorHAnsi"/>
                <w:bCs/>
              </w:rPr>
              <w:t>Description</w:t>
            </w:r>
          </w:p>
        </w:tc>
      </w:tr>
      <w:tr w:rsidR="00907C60" w:rsidRPr="00ED6857" w14:paraId="3B9B16FF"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42D1ACC0" w14:textId="67C223BE" w:rsidR="00907C60" w:rsidRPr="00ED6857" w:rsidRDefault="00907C60" w:rsidP="00D41004">
            <w:pPr>
              <w:spacing w:before="120" w:after="0"/>
              <w:rPr>
                <w:rFonts w:cstheme="minorHAnsi"/>
                <w:szCs w:val="20"/>
              </w:rPr>
            </w:pPr>
            <w:r w:rsidRPr="00ED6857">
              <w:rPr>
                <w:rFonts w:cstheme="minorHAnsi"/>
                <w:szCs w:val="20"/>
              </w:rPr>
              <w:t xml:space="preserve">Annual </w:t>
            </w:r>
            <w:r w:rsidR="00F8391B">
              <w:rPr>
                <w:rFonts w:cstheme="minorHAnsi"/>
                <w:szCs w:val="20"/>
              </w:rPr>
              <w:t>f</w:t>
            </w:r>
            <w:r w:rsidRPr="00ED6857">
              <w:rPr>
                <w:rFonts w:cstheme="minorHAnsi"/>
                <w:szCs w:val="20"/>
              </w:rPr>
              <w:t xml:space="preserve">unded </w:t>
            </w:r>
            <w:r w:rsidR="007D0BB9">
              <w:rPr>
                <w:rFonts w:cstheme="minorHAnsi"/>
                <w:szCs w:val="20"/>
              </w:rPr>
              <w:t>p</w:t>
            </w:r>
            <w:r w:rsidRPr="00ED6857">
              <w:rPr>
                <w:rFonts w:cstheme="minorHAnsi"/>
                <w:szCs w:val="20"/>
              </w:rPr>
              <w:t>laces</w:t>
            </w:r>
          </w:p>
        </w:tc>
        <w:tc>
          <w:tcPr>
            <w:tcW w:w="7210" w:type="dxa"/>
          </w:tcPr>
          <w:p w14:paraId="00DD0F28" w14:textId="1DE22237"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Transition to Work (TtW) providers are contracted for an agreed number of funded places, with each funded place expected to allow participation for approximately </w:t>
            </w:r>
            <w:r w:rsidR="00F8391B">
              <w:rPr>
                <w:rFonts w:cstheme="minorHAnsi"/>
                <w:szCs w:val="20"/>
              </w:rPr>
              <w:t>2</w:t>
            </w:r>
            <w:r w:rsidRPr="00ED6857">
              <w:rPr>
                <w:rFonts w:cstheme="minorHAnsi"/>
                <w:szCs w:val="20"/>
              </w:rPr>
              <w:t xml:space="preserve"> young people on average per annum.</w:t>
            </w:r>
          </w:p>
        </w:tc>
      </w:tr>
      <w:tr w:rsidR="00907C60" w:rsidRPr="008A048F" w14:paraId="66BDBAEF"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47CE0795" w14:textId="77777777" w:rsidR="00907C60" w:rsidRPr="00ED6857" w:rsidRDefault="00907C60" w:rsidP="00D41004">
            <w:pPr>
              <w:spacing w:before="120" w:after="0"/>
              <w:rPr>
                <w:rFonts w:cstheme="minorHAnsi"/>
                <w:szCs w:val="20"/>
              </w:rPr>
            </w:pPr>
            <w:r w:rsidRPr="00ED6857">
              <w:rPr>
                <w:rFonts w:cstheme="minorHAnsi"/>
                <w:szCs w:val="20"/>
              </w:rPr>
              <w:t>Caseload</w:t>
            </w:r>
          </w:p>
        </w:tc>
        <w:tc>
          <w:tcPr>
            <w:tcW w:w="7210" w:type="dxa"/>
          </w:tcPr>
          <w:p w14:paraId="4605C75B" w14:textId="77777777" w:rsidR="00907C60" w:rsidRPr="00ED6857"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Caseload refers to the number of participants in services and information about this group captured at a point in time.</w:t>
            </w:r>
          </w:p>
        </w:tc>
      </w:tr>
      <w:tr w:rsidR="00907C60" w:rsidRPr="008A048F" w14:paraId="6C0DA003"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17B94A9A" w14:textId="77777777" w:rsidR="00907C60" w:rsidRPr="00ED6857" w:rsidRDefault="00907C60" w:rsidP="00D41004">
            <w:pPr>
              <w:spacing w:before="120" w:after="0"/>
              <w:rPr>
                <w:rFonts w:cstheme="minorHAnsi"/>
                <w:szCs w:val="20"/>
              </w:rPr>
            </w:pPr>
            <w:r w:rsidRPr="00ED6857">
              <w:rPr>
                <w:rFonts w:cstheme="minorHAnsi"/>
                <w:szCs w:val="20"/>
              </w:rPr>
              <w:t>Contract</w:t>
            </w:r>
          </w:p>
        </w:tc>
        <w:tc>
          <w:tcPr>
            <w:tcW w:w="7210" w:type="dxa"/>
          </w:tcPr>
          <w:p w14:paraId="3A6FBF60" w14:textId="77777777"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In this report, a contract is an agreement between a provider and the Australian Government to deliver TtW services in a particular employment region. Some providers have more than one contract because they deliver TtW in more than one region.</w:t>
            </w:r>
          </w:p>
        </w:tc>
      </w:tr>
      <w:tr w:rsidR="00907C60" w:rsidRPr="008A048F" w14:paraId="5C4452BA"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61C080A2" w14:textId="77777777" w:rsidR="00907C60" w:rsidRPr="00ED6857" w:rsidRDefault="00907C60" w:rsidP="00D41004">
            <w:pPr>
              <w:spacing w:before="120" w:after="0"/>
              <w:rPr>
                <w:rFonts w:cstheme="minorHAnsi"/>
                <w:szCs w:val="20"/>
              </w:rPr>
            </w:pPr>
            <w:r w:rsidRPr="00ED6857">
              <w:rPr>
                <w:rFonts w:cstheme="minorHAnsi"/>
                <w:szCs w:val="20"/>
              </w:rPr>
              <w:t>ESAt</w:t>
            </w:r>
          </w:p>
        </w:tc>
        <w:tc>
          <w:tcPr>
            <w:tcW w:w="7210" w:type="dxa"/>
          </w:tcPr>
          <w:p w14:paraId="3113B645" w14:textId="07D825F6" w:rsidR="00907C60" w:rsidRPr="00ED6857"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An Employment Services Assessment (ESAt) provides a comprehensive work capacity assessment for people with disability and/or other potentially serious barriers to work. An ESAt is required before a participant can be referred </w:t>
            </w:r>
            <w:r w:rsidR="00844F9E">
              <w:rPr>
                <w:rFonts w:cstheme="minorHAnsi"/>
                <w:szCs w:val="20"/>
              </w:rPr>
              <w:t xml:space="preserve">to </w:t>
            </w:r>
            <w:r w:rsidRPr="00ED6857">
              <w:rPr>
                <w:rFonts w:cstheme="minorHAnsi"/>
                <w:szCs w:val="20"/>
              </w:rPr>
              <w:t xml:space="preserve">Disability Employment Services. </w:t>
            </w:r>
          </w:p>
        </w:tc>
      </w:tr>
      <w:tr w:rsidR="00907C60" w:rsidRPr="008A048F" w14:paraId="124584C8"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52E2F9EC" w14:textId="77777777" w:rsidR="00907C60" w:rsidRPr="00ED6857" w:rsidRDefault="00907C60" w:rsidP="00D41004">
            <w:pPr>
              <w:spacing w:before="120" w:after="0"/>
              <w:rPr>
                <w:rFonts w:cstheme="minorHAnsi"/>
                <w:szCs w:val="20"/>
              </w:rPr>
            </w:pPr>
            <w:r w:rsidRPr="00ED6857">
              <w:rPr>
                <w:rFonts w:cstheme="minorHAnsi"/>
                <w:szCs w:val="20"/>
              </w:rPr>
              <w:t>Exit</w:t>
            </w:r>
          </w:p>
        </w:tc>
        <w:tc>
          <w:tcPr>
            <w:tcW w:w="7210" w:type="dxa"/>
          </w:tcPr>
          <w:p w14:paraId="689AB603" w14:textId="3054E6D1"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In this report, an exit occurs when a participant is removed from the caseload of a TtW or jobactive provider. Most exits are automatic (</w:t>
            </w:r>
            <w:r w:rsidR="00F8391B">
              <w:rPr>
                <w:rFonts w:cstheme="minorHAnsi"/>
                <w:szCs w:val="20"/>
              </w:rPr>
              <w:t>e</w:t>
            </w:r>
            <w:r w:rsidRPr="00ED6857">
              <w:rPr>
                <w:rFonts w:cstheme="minorHAnsi"/>
                <w:szCs w:val="20"/>
              </w:rPr>
              <w:t xml:space="preserve">ffective </w:t>
            </w:r>
            <w:r w:rsidR="00F8391B">
              <w:rPr>
                <w:rFonts w:cstheme="minorHAnsi"/>
                <w:szCs w:val="20"/>
              </w:rPr>
              <w:t>e</w:t>
            </w:r>
            <w:r w:rsidRPr="00ED6857">
              <w:rPr>
                <w:rFonts w:cstheme="minorHAnsi"/>
                <w:szCs w:val="20"/>
              </w:rPr>
              <w:t xml:space="preserve">xit) for reasons such as stopping or changing income support payments, changing to another employment service, death or imprisonment. Providers can initiate a manual exit (provider exit) and they must record reasons for </w:t>
            </w:r>
            <w:r w:rsidR="00F8391B">
              <w:rPr>
                <w:rFonts w:cstheme="minorHAnsi"/>
                <w:szCs w:val="20"/>
              </w:rPr>
              <w:t>e</w:t>
            </w:r>
            <w:r w:rsidRPr="00ED6857">
              <w:rPr>
                <w:rFonts w:cstheme="minorHAnsi"/>
                <w:szCs w:val="20"/>
              </w:rPr>
              <w:t>xits.</w:t>
            </w:r>
          </w:p>
        </w:tc>
      </w:tr>
      <w:tr w:rsidR="00907C60" w:rsidRPr="00BE46DE" w14:paraId="060DBFAE"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1003B185" w14:textId="4427B20C" w:rsidR="00907C60" w:rsidRPr="00ED6857" w:rsidRDefault="00907C60" w:rsidP="00D41004">
            <w:pPr>
              <w:spacing w:before="120" w:after="0"/>
              <w:rPr>
                <w:rFonts w:cstheme="minorHAnsi"/>
                <w:szCs w:val="20"/>
              </w:rPr>
            </w:pPr>
            <w:r w:rsidRPr="00ED6857">
              <w:rPr>
                <w:rFonts w:cstheme="minorHAnsi"/>
                <w:szCs w:val="20"/>
              </w:rPr>
              <w:t xml:space="preserve">Group </w:t>
            </w:r>
            <w:r w:rsidR="0091011B">
              <w:rPr>
                <w:rFonts w:cstheme="minorHAnsi"/>
                <w:szCs w:val="20"/>
              </w:rPr>
              <w:t>1</w:t>
            </w:r>
          </w:p>
        </w:tc>
        <w:tc>
          <w:tcPr>
            <w:tcW w:w="7210" w:type="dxa"/>
          </w:tcPr>
          <w:p w14:paraId="78BDEC04" w14:textId="7E4574E1" w:rsidR="00907C60" w:rsidRPr="00ED6857" w:rsidRDefault="00907C60" w:rsidP="00CD7319">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Young people aged under 22 years</w:t>
            </w:r>
            <w:r w:rsidR="00311C16">
              <w:rPr>
                <w:rStyle w:val="FootnoteReference"/>
                <w:rFonts w:cstheme="minorHAnsi"/>
                <w:szCs w:val="20"/>
              </w:rPr>
              <w:footnoteReference w:id="2"/>
            </w:r>
            <w:r w:rsidRPr="00ED6857">
              <w:rPr>
                <w:rFonts w:cstheme="minorHAnsi"/>
                <w:szCs w:val="20"/>
              </w:rPr>
              <w:t xml:space="preserve"> referred to TtW through </w:t>
            </w:r>
            <w:r>
              <w:rPr>
                <w:rFonts w:cstheme="minorHAnsi"/>
                <w:szCs w:val="20"/>
              </w:rPr>
              <w:t xml:space="preserve">the Department of </w:t>
            </w:r>
            <w:r w:rsidR="002671F7">
              <w:rPr>
                <w:rFonts w:cstheme="minorHAnsi"/>
                <w:szCs w:val="20"/>
              </w:rPr>
              <w:t xml:space="preserve">Human </w:t>
            </w:r>
            <w:r>
              <w:rPr>
                <w:rFonts w:cstheme="minorHAnsi"/>
                <w:szCs w:val="20"/>
              </w:rPr>
              <w:t>Services (now Services Australia)</w:t>
            </w:r>
            <w:r w:rsidRPr="00ED6857">
              <w:rPr>
                <w:rFonts w:cstheme="minorHAnsi"/>
                <w:szCs w:val="20"/>
              </w:rPr>
              <w:t xml:space="preserve"> who meet the following eligibility criteria:</w:t>
            </w:r>
          </w:p>
          <w:p w14:paraId="29145834" w14:textId="721D94AB" w:rsidR="00907C60" w:rsidRPr="00BE46DE" w:rsidRDefault="00907C60" w:rsidP="00FF5DFD">
            <w:pPr>
              <w:pStyle w:val="ListParagraph"/>
              <w:numPr>
                <w:ilvl w:val="0"/>
                <w:numId w:val="23"/>
              </w:numPr>
              <w:spacing w:after="0" w:line="240" w:lineRule="auto"/>
              <w:ind w:left="602" w:hanging="284"/>
              <w:cnfStyle w:val="000000010000" w:firstRow="0" w:lastRow="0" w:firstColumn="0" w:lastColumn="0" w:oddVBand="0" w:evenVBand="0" w:oddHBand="0" w:evenHBand="1" w:firstRowFirstColumn="0" w:firstRowLastColumn="0" w:lastRowFirstColumn="0" w:lastRowLastColumn="0"/>
            </w:pPr>
            <w:r w:rsidRPr="00BE46DE">
              <w:t>have not been awarded a Year 12 certificate or a Certificate III or higher</w:t>
            </w:r>
            <w:r w:rsidR="00311C16">
              <w:rPr>
                <w:rStyle w:val="FootnoteReference"/>
              </w:rPr>
              <w:footnoteReference w:id="3"/>
            </w:r>
          </w:p>
          <w:p w14:paraId="0C889B62" w14:textId="77777777" w:rsidR="00907C60" w:rsidRPr="00BE46DE" w:rsidRDefault="00907C60" w:rsidP="00FF5DFD">
            <w:pPr>
              <w:pStyle w:val="ListParagraph"/>
              <w:numPr>
                <w:ilvl w:val="0"/>
                <w:numId w:val="23"/>
              </w:numPr>
              <w:spacing w:before="240" w:after="0" w:line="240" w:lineRule="auto"/>
              <w:ind w:left="602" w:hanging="284"/>
              <w:cnfStyle w:val="000000010000" w:firstRow="0" w:lastRow="0" w:firstColumn="0" w:lastColumn="0" w:oddVBand="0" w:evenVBand="0" w:oddHBand="0" w:evenHBand="1" w:firstRowFirstColumn="0" w:firstRowLastColumn="0" w:lastRowFirstColumn="0" w:lastRowLastColumn="0"/>
            </w:pPr>
            <w:r w:rsidRPr="00BE46DE">
              <w:t>are receiving Youth Allowance (Other) or any other activity-tested income support payment</w:t>
            </w:r>
          </w:p>
          <w:p w14:paraId="5E5F38AA" w14:textId="31465452" w:rsidR="00907C60" w:rsidRPr="00311C16" w:rsidRDefault="00907C60" w:rsidP="00FF5DFD">
            <w:pPr>
              <w:pStyle w:val="ListParagraph"/>
              <w:numPr>
                <w:ilvl w:val="0"/>
                <w:numId w:val="23"/>
              </w:numPr>
              <w:spacing w:before="240" w:after="0" w:line="240" w:lineRule="auto"/>
              <w:ind w:left="602" w:hanging="284"/>
              <w:cnfStyle w:val="000000010000" w:firstRow="0" w:lastRow="0" w:firstColumn="0" w:lastColumn="0" w:oddVBand="0" w:evenVBand="0" w:oddHBand="0" w:evenHBand="1" w:firstRowFirstColumn="0" w:firstRowLastColumn="0" w:lastRowFirstColumn="0" w:lastRowLastColumn="0"/>
            </w:pPr>
            <w:r w:rsidRPr="00BE46DE">
              <w:t>are eligible for Stream B in jobactive</w:t>
            </w:r>
          </w:p>
        </w:tc>
      </w:tr>
      <w:tr w:rsidR="00907C60" w:rsidRPr="00BE46DE" w14:paraId="75DE5976"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587F3B98" w14:textId="41E65332" w:rsidR="00907C60" w:rsidRPr="00ED6857" w:rsidRDefault="00907C60" w:rsidP="00D41004">
            <w:pPr>
              <w:spacing w:before="120" w:after="0"/>
              <w:rPr>
                <w:rFonts w:cstheme="minorHAnsi"/>
                <w:szCs w:val="20"/>
              </w:rPr>
            </w:pPr>
            <w:r w:rsidRPr="00ED6857">
              <w:rPr>
                <w:rFonts w:cstheme="minorHAnsi"/>
                <w:szCs w:val="20"/>
              </w:rPr>
              <w:t xml:space="preserve">Group </w:t>
            </w:r>
            <w:r w:rsidR="0091011B">
              <w:rPr>
                <w:rFonts w:cstheme="minorHAnsi"/>
                <w:szCs w:val="20"/>
              </w:rPr>
              <w:t>2</w:t>
            </w:r>
          </w:p>
        </w:tc>
        <w:tc>
          <w:tcPr>
            <w:tcW w:w="7210" w:type="dxa"/>
          </w:tcPr>
          <w:p w14:paraId="241E17B4" w14:textId="3C128107" w:rsidR="00907C60" w:rsidRPr="00ED6857" w:rsidRDefault="00907C60" w:rsidP="00CD7319">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Disengaged young people who are directly registered with a TtW provider and meet the following eligibility criteria:</w:t>
            </w:r>
          </w:p>
          <w:p w14:paraId="318013EE" w14:textId="77777777" w:rsidR="00907C60" w:rsidRPr="00BE46DE" w:rsidRDefault="00907C60" w:rsidP="00FF5DFD">
            <w:pPr>
              <w:pStyle w:val="ListParagraph"/>
              <w:numPr>
                <w:ilvl w:val="0"/>
                <w:numId w:val="24"/>
              </w:numPr>
              <w:spacing w:after="0" w:line="240" w:lineRule="auto"/>
              <w:ind w:left="602" w:hanging="284"/>
              <w:cnfStyle w:val="000000100000" w:firstRow="0" w:lastRow="0" w:firstColumn="0" w:lastColumn="0" w:oddVBand="0" w:evenVBand="0" w:oddHBand="1" w:evenHBand="0" w:firstRowFirstColumn="0" w:firstRowLastColumn="0" w:lastRowFirstColumn="0" w:lastRowLastColumn="0"/>
            </w:pPr>
            <w:r w:rsidRPr="00BE46DE">
              <w:t>have not been awarded a Year 12 certificate or a Certificate III or higher</w:t>
            </w:r>
          </w:p>
          <w:p w14:paraId="19896C80" w14:textId="77777777" w:rsidR="00907C60" w:rsidRPr="00BE46DE" w:rsidRDefault="00907C60" w:rsidP="00FF5DFD">
            <w:pPr>
              <w:pStyle w:val="ListParagraph"/>
              <w:numPr>
                <w:ilvl w:val="0"/>
                <w:numId w:val="24"/>
              </w:numPr>
              <w:spacing w:before="240" w:after="0" w:line="240" w:lineRule="auto"/>
              <w:ind w:left="602" w:hanging="284"/>
              <w:cnfStyle w:val="000000100000" w:firstRow="0" w:lastRow="0" w:firstColumn="0" w:lastColumn="0" w:oddVBand="0" w:evenVBand="0" w:oddHBand="1" w:evenHBand="0" w:firstRowFirstColumn="0" w:firstRowLastColumn="0" w:lastRowFirstColumn="0" w:lastRowLastColumn="0"/>
            </w:pPr>
            <w:r w:rsidRPr="00BE46DE">
              <w:t>are not already participating in employment services</w:t>
            </w:r>
          </w:p>
          <w:p w14:paraId="48143893" w14:textId="5B1C3B80" w:rsidR="00907C60" w:rsidRPr="00BE46DE" w:rsidRDefault="00907C60" w:rsidP="00FF5DFD">
            <w:pPr>
              <w:pStyle w:val="ListParagraph"/>
              <w:numPr>
                <w:ilvl w:val="0"/>
                <w:numId w:val="24"/>
              </w:numPr>
              <w:spacing w:before="240" w:after="0" w:line="240" w:lineRule="auto"/>
              <w:ind w:left="602" w:hanging="284"/>
              <w:cnfStyle w:val="000000100000" w:firstRow="0" w:lastRow="0" w:firstColumn="0" w:lastColumn="0" w:oddVBand="0" w:evenVBand="0" w:oddHBand="1" w:evenHBand="0" w:firstRowFirstColumn="0" w:firstRowLastColumn="0" w:lastRowFirstColumn="0" w:lastRowLastColumn="0"/>
            </w:pPr>
            <w:r w:rsidRPr="00BE46DE">
              <w:t>for the last 13 weeks have not been working an average of 8 hours or more per week</w:t>
            </w:r>
            <w:r w:rsidR="00C750F4">
              <w:rPr>
                <w:rStyle w:val="FootnoteReference"/>
              </w:rPr>
              <w:footnoteReference w:id="4"/>
            </w:r>
          </w:p>
          <w:p w14:paraId="4ACB4395" w14:textId="340EE79C" w:rsidR="00907C60" w:rsidRPr="00BE46DE" w:rsidRDefault="00907C60" w:rsidP="00FF5DFD">
            <w:pPr>
              <w:pStyle w:val="ListParagraph"/>
              <w:numPr>
                <w:ilvl w:val="0"/>
                <w:numId w:val="24"/>
              </w:numPr>
              <w:spacing w:before="240" w:after="0" w:line="240" w:lineRule="auto"/>
              <w:ind w:left="602" w:hanging="284"/>
              <w:cnfStyle w:val="000000100000" w:firstRow="0" w:lastRow="0" w:firstColumn="0" w:lastColumn="0" w:oddVBand="0" w:evenVBand="0" w:oddHBand="1" w:evenHBand="0" w:firstRowFirstColumn="0" w:firstRowLastColumn="0" w:lastRowFirstColumn="0" w:lastRowLastColumn="0"/>
            </w:pPr>
            <w:r w:rsidRPr="00BE46DE">
              <w:t>have not attended secondary education for 13 weeks, are not enrolled in secondary education and have an exemption from legal requirements to attend school (if compulsory school age)</w:t>
            </w:r>
          </w:p>
          <w:p w14:paraId="72EC7F58" w14:textId="77777777" w:rsidR="00907C60" w:rsidRPr="00BE46DE" w:rsidRDefault="00907C60" w:rsidP="00FF5DFD">
            <w:pPr>
              <w:pStyle w:val="ListParagraph"/>
              <w:numPr>
                <w:ilvl w:val="0"/>
                <w:numId w:val="24"/>
              </w:numPr>
              <w:spacing w:before="240" w:after="0" w:line="240" w:lineRule="auto"/>
              <w:ind w:left="602" w:hanging="284"/>
              <w:cnfStyle w:val="000000100000" w:firstRow="0" w:lastRow="0" w:firstColumn="0" w:lastColumn="0" w:oddVBand="0" w:evenVBand="0" w:oddHBand="1" w:evenHBand="0" w:firstRowFirstColumn="0" w:firstRowLastColumn="0" w:lastRowFirstColumn="0" w:lastRowLastColumn="0"/>
            </w:pPr>
            <w:r w:rsidRPr="00BE46DE">
              <w:t>are not receiving income support or are receiving non-activity-tested income support such as Parenting Payment.</w:t>
            </w:r>
          </w:p>
        </w:tc>
      </w:tr>
      <w:tr w:rsidR="00907C60" w:rsidRPr="00BE46DE" w14:paraId="2EECCA7E"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6E1B05DE" w14:textId="2CECB78B" w:rsidR="00907C60" w:rsidRPr="00ED6857" w:rsidRDefault="00907C60" w:rsidP="00D41004">
            <w:pPr>
              <w:spacing w:before="120" w:after="0"/>
              <w:rPr>
                <w:rFonts w:cstheme="minorHAnsi"/>
                <w:szCs w:val="20"/>
              </w:rPr>
            </w:pPr>
            <w:r w:rsidRPr="00ED6857">
              <w:rPr>
                <w:rFonts w:cstheme="minorHAnsi"/>
                <w:szCs w:val="20"/>
              </w:rPr>
              <w:t xml:space="preserve">Group </w:t>
            </w:r>
            <w:r w:rsidR="0091011B">
              <w:rPr>
                <w:rFonts w:cstheme="minorHAnsi"/>
                <w:szCs w:val="20"/>
              </w:rPr>
              <w:t>3</w:t>
            </w:r>
          </w:p>
        </w:tc>
        <w:tc>
          <w:tcPr>
            <w:tcW w:w="7210" w:type="dxa"/>
          </w:tcPr>
          <w:p w14:paraId="1DBCF52F" w14:textId="77777777" w:rsidR="00907C60" w:rsidRPr="00ED6857" w:rsidRDefault="00907C60" w:rsidP="00CD7319">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Young people referred from a jobactive provider who meet the following eligibility criteria:</w:t>
            </w:r>
          </w:p>
          <w:p w14:paraId="7516D653" w14:textId="77777777" w:rsidR="00907C60" w:rsidRPr="00BE46DE" w:rsidRDefault="00907C60" w:rsidP="00FF5DFD">
            <w:pPr>
              <w:pStyle w:val="ListParagraph"/>
              <w:numPr>
                <w:ilvl w:val="0"/>
                <w:numId w:val="25"/>
              </w:numPr>
              <w:spacing w:after="0" w:line="240" w:lineRule="auto"/>
              <w:ind w:left="602" w:hanging="284"/>
              <w:cnfStyle w:val="000000010000" w:firstRow="0" w:lastRow="0" w:firstColumn="0" w:lastColumn="0" w:oddVBand="0" w:evenVBand="0" w:oddHBand="0" w:evenHBand="1" w:firstRowFirstColumn="0" w:firstRowLastColumn="0" w:lastRowFirstColumn="0" w:lastRowLastColumn="0"/>
            </w:pPr>
            <w:r w:rsidRPr="00BE46DE">
              <w:t>are in Stream C in jobactive</w:t>
            </w:r>
          </w:p>
          <w:p w14:paraId="08292E95" w14:textId="77777777" w:rsidR="00907C60" w:rsidRPr="00BE46DE" w:rsidRDefault="00907C60" w:rsidP="00FF5DFD">
            <w:pPr>
              <w:pStyle w:val="ListParagraph"/>
              <w:numPr>
                <w:ilvl w:val="0"/>
                <w:numId w:val="25"/>
              </w:numPr>
              <w:spacing w:before="240" w:after="0" w:line="240" w:lineRule="auto"/>
              <w:ind w:left="602" w:hanging="284"/>
              <w:cnfStyle w:val="000000010000" w:firstRow="0" w:lastRow="0" w:firstColumn="0" w:lastColumn="0" w:oddVBand="0" w:evenVBand="0" w:oddHBand="0" w:evenHBand="1" w:firstRowFirstColumn="0" w:firstRowLastColumn="0" w:lastRowFirstColumn="0" w:lastRowLastColumn="0"/>
            </w:pPr>
            <w:r w:rsidRPr="00BE46DE">
              <w:lastRenderedPageBreak/>
              <w:t>are identified by their jobactive provider as having capacity to benefit from TtW (e.g. young people with one or more particular types of disadvantage, such as unstable housing).</w:t>
            </w:r>
          </w:p>
        </w:tc>
      </w:tr>
      <w:tr w:rsidR="00907C60" w:rsidRPr="008A048F" w14:paraId="2CD52AB6"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4D211EBC" w14:textId="104A2CB6" w:rsidR="00907C60" w:rsidRPr="00ED6857" w:rsidRDefault="00907C60" w:rsidP="00D41004">
            <w:pPr>
              <w:spacing w:before="120" w:after="0"/>
              <w:rPr>
                <w:rFonts w:cstheme="minorHAnsi"/>
                <w:szCs w:val="20"/>
              </w:rPr>
            </w:pPr>
            <w:r>
              <w:rPr>
                <w:rFonts w:cstheme="minorHAnsi"/>
                <w:szCs w:val="20"/>
              </w:rPr>
              <w:lastRenderedPageBreak/>
              <w:t xml:space="preserve">Human </w:t>
            </w:r>
            <w:r w:rsidR="006501F0">
              <w:rPr>
                <w:rFonts w:cstheme="minorHAnsi"/>
                <w:szCs w:val="20"/>
              </w:rPr>
              <w:t>c</w:t>
            </w:r>
            <w:r>
              <w:rPr>
                <w:rFonts w:cstheme="minorHAnsi"/>
                <w:szCs w:val="20"/>
              </w:rPr>
              <w:t>apabilities</w:t>
            </w:r>
          </w:p>
        </w:tc>
        <w:tc>
          <w:tcPr>
            <w:tcW w:w="7210" w:type="dxa"/>
          </w:tcPr>
          <w:p w14:paraId="0AA4FFC5" w14:textId="08A1F419" w:rsidR="00907C60" w:rsidRPr="00BC44BA"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8A048F">
              <w:rPr>
                <w:rFonts w:cstheme="minorHAnsi"/>
                <w:szCs w:val="20"/>
              </w:rPr>
              <w:t xml:space="preserve">Human </w:t>
            </w:r>
            <w:r w:rsidR="006501F0">
              <w:rPr>
                <w:rFonts w:cstheme="minorHAnsi"/>
                <w:szCs w:val="20"/>
              </w:rPr>
              <w:t>c</w:t>
            </w:r>
            <w:r w:rsidRPr="008A048F">
              <w:rPr>
                <w:rFonts w:cstheme="minorHAnsi"/>
                <w:szCs w:val="20"/>
              </w:rPr>
              <w:t xml:space="preserve">apabilities theory proposes that </w:t>
            </w:r>
            <w:r w:rsidR="2EFD4D3C" w:rsidRPr="008A048F">
              <w:rPr>
                <w:rFonts w:cstheme="minorHAnsi"/>
                <w:szCs w:val="20"/>
              </w:rPr>
              <w:t>for</w:t>
            </w:r>
            <w:r w:rsidRPr="008A048F">
              <w:rPr>
                <w:rFonts w:cstheme="minorHAnsi"/>
                <w:szCs w:val="20"/>
              </w:rPr>
              <w:t xml:space="preserve"> a person to be able to make good choices and act to achieve their goals (for example</w:t>
            </w:r>
            <w:r w:rsidR="006501F0">
              <w:rPr>
                <w:rFonts w:cstheme="minorHAnsi"/>
                <w:szCs w:val="20"/>
              </w:rPr>
              <w:t>,</w:t>
            </w:r>
            <w:r w:rsidRPr="008A048F">
              <w:rPr>
                <w:rFonts w:cstheme="minorHAnsi"/>
                <w:szCs w:val="20"/>
              </w:rPr>
              <w:t xml:space="preserve"> finding and maintaining work) they need a well-rounded set of personal capabilities coupled with favourable external condi</w:t>
            </w:r>
            <w:r w:rsidRPr="00BC44BA">
              <w:rPr>
                <w:rFonts w:cstheme="minorHAnsi"/>
                <w:szCs w:val="20"/>
              </w:rPr>
              <w:t>tions (capability influencers)</w:t>
            </w:r>
            <w:r w:rsidR="006501F0">
              <w:rPr>
                <w:rFonts w:cstheme="minorHAnsi"/>
                <w:szCs w:val="20"/>
              </w:rPr>
              <w:t>.</w:t>
            </w:r>
          </w:p>
          <w:p w14:paraId="76F4EA80" w14:textId="0A3F73AB" w:rsidR="00907C60" w:rsidRPr="00BC44BA"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BC44BA">
              <w:rPr>
                <w:rFonts w:cstheme="minorHAnsi"/>
                <w:szCs w:val="20"/>
              </w:rPr>
              <w:t>The human capabilities included in this research comprise pre</w:t>
            </w:r>
            <w:r w:rsidR="2EFD4D3C" w:rsidRPr="00BC44BA">
              <w:rPr>
                <w:rFonts w:cstheme="minorHAnsi"/>
                <w:szCs w:val="20"/>
              </w:rPr>
              <w:t>-</w:t>
            </w:r>
            <w:r w:rsidRPr="00BC44BA">
              <w:rPr>
                <w:rFonts w:cstheme="minorHAnsi"/>
                <w:szCs w:val="20"/>
              </w:rPr>
              <w:t>employment factors (education, vocational skills, qualifications and experience) personal psychosocial capabilities (such as self-confidence, resilience and ability to cope with setbacks, physical and mental health, motivation and sense of control over one</w:t>
            </w:r>
            <w:r w:rsidR="00EB2C29">
              <w:rPr>
                <w:rFonts w:cstheme="minorHAnsi"/>
                <w:szCs w:val="20"/>
              </w:rPr>
              <w:t>’</w:t>
            </w:r>
            <w:r w:rsidR="00844F9E">
              <w:rPr>
                <w:rFonts w:cstheme="minorHAnsi"/>
                <w:szCs w:val="20"/>
              </w:rPr>
              <w:t>s</w:t>
            </w:r>
            <w:r w:rsidRPr="00BC44BA">
              <w:rPr>
                <w:rFonts w:cstheme="minorHAnsi"/>
                <w:szCs w:val="20"/>
              </w:rPr>
              <w:t xml:space="preserve"> life); and capability influencers (including social connections and ability to access social supports and services).</w:t>
            </w:r>
          </w:p>
        </w:tc>
      </w:tr>
      <w:tr w:rsidR="00907C60" w:rsidRPr="008A048F" w14:paraId="23822A80"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08D4457D" w14:textId="77777777" w:rsidR="00907C60" w:rsidRPr="00ED6857" w:rsidRDefault="00907C60" w:rsidP="00D41004">
            <w:pPr>
              <w:spacing w:before="120" w:after="0"/>
              <w:rPr>
                <w:rFonts w:cstheme="minorHAnsi"/>
                <w:szCs w:val="20"/>
              </w:rPr>
            </w:pPr>
            <w:r w:rsidRPr="00ED6857">
              <w:rPr>
                <w:rFonts w:cstheme="minorHAnsi"/>
                <w:szCs w:val="20"/>
              </w:rPr>
              <w:t>Inflow population</w:t>
            </w:r>
          </w:p>
        </w:tc>
        <w:tc>
          <w:tcPr>
            <w:tcW w:w="7210" w:type="dxa"/>
          </w:tcPr>
          <w:p w14:paraId="527A76D2" w14:textId="6D918D77" w:rsidR="00907C60" w:rsidRPr="00BC44BA"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8A048F">
              <w:rPr>
                <w:rFonts w:cstheme="minorHAnsi"/>
                <w:szCs w:val="20"/>
              </w:rPr>
              <w:t xml:space="preserve">The inflow population is the primary study population used for the analysis of the </w:t>
            </w:r>
            <w:r w:rsidR="006150C6">
              <w:rPr>
                <w:rFonts w:cstheme="minorHAnsi"/>
                <w:szCs w:val="20"/>
              </w:rPr>
              <w:t>long-term</w:t>
            </w:r>
            <w:r w:rsidRPr="00BC44BA">
              <w:rPr>
                <w:rFonts w:cstheme="minorHAnsi"/>
                <w:szCs w:val="20"/>
              </w:rPr>
              <w:t xml:space="preserve"> impact of TtW and the impact of changing the duration of service of TtW in this report. </w:t>
            </w:r>
          </w:p>
          <w:p w14:paraId="3F2D28C9" w14:textId="04AAA331" w:rsidR="00907C60" w:rsidRPr="00BC44BA"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BC44BA">
              <w:rPr>
                <w:rFonts w:cstheme="minorHAnsi"/>
                <w:szCs w:val="20"/>
              </w:rPr>
              <w:t xml:space="preserve">The inflow populations for the change in service duration </w:t>
            </w:r>
            <w:r w:rsidR="009F1529">
              <w:rPr>
                <w:rFonts w:cstheme="minorHAnsi"/>
                <w:szCs w:val="20"/>
              </w:rPr>
              <w:t>comprised</w:t>
            </w:r>
            <w:r w:rsidR="00F8391B">
              <w:rPr>
                <w:rFonts w:cstheme="minorHAnsi"/>
                <w:szCs w:val="20"/>
              </w:rPr>
              <w:t xml:space="preserve"> 2</w:t>
            </w:r>
            <w:r w:rsidRPr="00BC44BA">
              <w:rPr>
                <w:rFonts w:cstheme="minorHAnsi"/>
                <w:szCs w:val="20"/>
              </w:rPr>
              <w:t xml:space="preserve"> comparison groups: participants who were eligible for the longer service duration (the MD18 population), </w:t>
            </w:r>
            <w:r w:rsidR="00091059">
              <w:rPr>
                <w:rFonts w:cstheme="minorHAnsi"/>
                <w:szCs w:val="20"/>
              </w:rPr>
              <w:t>who</w:t>
            </w:r>
            <w:r w:rsidRPr="00BC44BA">
              <w:rPr>
                <w:rFonts w:cstheme="minorHAnsi"/>
                <w:szCs w:val="20"/>
              </w:rPr>
              <w:t xml:space="preserve"> commenced in the TtW service between 1 July 2019 and 30</w:t>
            </w:r>
            <w:r w:rsidR="00C750F4">
              <w:rPr>
                <w:rFonts w:cstheme="minorHAnsi"/>
                <w:szCs w:val="20"/>
              </w:rPr>
              <w:t> </w:t>
            </w:r>
            <w:r w:rsidRPr="00BC44BA">
              <w:rPr>
                <w:rFonts w:cstheme="minorHAnsi"/>
                <w:szCs w:val="20"/>
              </w:rPr>
              <w:t>June</w:t>
            </w:r>
            <w:r w:rsidR="00C750F4">
              <w:rPr>
                <w:rFonts w:cstheme="minorHAnsi"/>
                <w:szCs w:val="20"/>
              </w:rPr>
              <w:t> </w:t>
            </w:r>
            <w:r w:rsidRPr="00BC44BA">
              <w:rPr>
                <w:rFonts w:cstheme="minorHAnsi"/>
                <w:szCs w:val="20"/>
              </w:rPr>
              <w:t>2020</w:t>
            </w:r>
            <w:r w:rsidR="005810B1">
              <w:rPr>
                <w:rFonts w:cstheme="minorHAnsi"/>
                <w:szCs w:val="20"/>
              </w:rPr>
              <w:t>;</w:t>
            </w:r>
            <w:r w:rsidRPr="00BC44BA">
              <w:rPr>
                <w:rFonts w:cstheme="minorHAnsi"/>
                <w:szCs w:val="20"/>
              </w:rPr>
              <w:t xml:space="preserve"> and participants who were ineligible for the extension in program duration (MD12)</w:t>
            </w:r>
            <w:r w:rsidR="00EB2C29">
              <w:rPr>
                <w:rFonts w:cstheme="minorHAnsi"/>
                <w:szCs w:val="20"/>
              </w:rPr>
              <w:t>,</w:t>
            </w:r>
            <w:r w:rsidRPr="00BC44BA">
              <w:rPr>
                <w:rFonts w:cstheme="minorHAnsi"/>
                <w:szCs w:val="20"/>
              </w:rPr>
              <w:t xml:space="preserve"> which </w:t>
            </w:r>
            <w:r w:rsidRPr="009F1529">
              <w:rPr>
                <w:rFonts w:cstheme="minorHAnsi"/>
                <w:szCs w:val="20"/>
              </w:rPr>
              <w:t>includes</w:t>
            </w:r>
            <w:r w:rsidRPr="00BC44BA">
              <w:rPr>
                <w:rFonts w:cstheme="minorHAnsi"/>
                <w:szCs w:val="20"/>
              </w:rPr>
              <w:t xml:space="preserve"> all participants who commenced in TtW between 20</w:t>
            </w:r>
            <w:r w:rsidR="005810B1">
              <w:rPr>
                <w:rFonts w:cstheme="minorHAnsi"/>
                <w:szCs w:val="20"/>
              </w:rPr>
              <w:t> </w:t>
            </w:r>
            <w:r w:rsidRPr="00BC44BA">
              <w:rPr>
                <w:rFonts w:cstheme="minorHAnsi"/>
                <w:szCs w:val="20"/>
              </w:rPr>
              <w:t>Jan</w:t>
            </w:r>
            <w:r w:rsidR="00C750F4">
              <w:rPr>
                <w:rFonts w:cstheme="minorHAnsi"/>
                <w:szCs w:val="20"/>
              </w:rPr>
              <w:t>uary</w:t>
            </w:r>
            <w:r w:rsidRPr="00BC44BA">
              <w:rPr>
                <w:rFonts w:cstheme="minorHAnsi"/>
                <w:szCs w:val="20"/>
              </w:rPr>
              <w:t xml:space="preserve"> 2018 and 30 June 2019.</w:t>
            </w:r>
          </w:p>
          <w:p w14:paraId="42828056" w14:textId="37FF0DB1" w:rsidR="00907C60" w:rsidRPr="00ED6857"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3A17AE">
              <w:rPr>
                <w:rFonts w:cstheme="minorHAnsi"/>
                <w:szCs w:val="20"/>
              </w:rPr>
              <w:t xml:space="preserve">The primary inflow population chosen for the </w:t>
            </w:r>
            <w:r w:rsidR="006150C6">
              <w:rPr>
                <w:rFonts w:cstheme="minorHAnsi"/>
                <w:szCs w:val="20"/>
              </w:rPr>
              <w:t>long-term</w:t>
            </w:r>
            <w:r w:rsidRPr="003A17AE">
              <w:rPr>
                <w:rFonts w:cstheme="minorHAnsi"/>
                <w:szCs w:val="20"/>
              </w:rPr>
              <w:t xml:space="preserve"> impact analysis include</w:t>
            </w:r>
            <w:r>
              <w:rPr>
                <w:rFonts w:cstheme="minorHAnsi"/>
                <w:szCs w:val="20"/>
              </w:rPr>
              <w:t>d</w:t>
            </w:r>
            <w:r w:rsidRPr="003A17AE">
              <w:rPr>
                <w:rFonts w:cstheme="minorHAnsi"/>
                <w:szCs w:val="20"/>
              </w:rPr>
              <w:t xml:space="preserve"> participants referred to the TtW service between 1 April 2016 and 31</w:t>
            </w:r>
            <w:r w:rsidR="00C750F4">
              <w:rPr>
                <w:rFonts w:cstheme="minorHAnsi"/>
                <w:szCs w:val="20"/>
              </w:rPr>
              <w:t> </w:t>
            </w:r>
            <w:r w:rsidRPr="003A17AE">
              <w:rPr>
                <w:rFonts w:cstheme="minorHAnsi"/>
                <w:szCs w:val="20"/>
              </w:rPr>
              <w:t>March</w:t>
            </w:r>
            <w:r w:rsidR="00C750F4">
              <w:rPr>
                <w:rFonts w:cstheme="minorHAnsi"/>
                <w:szCs w:val="20"/>
              </w:rPr>
              <w:t> </w:t>
            </w:r>
            <w:r w:rsidRPr="003A17AE">
              <w:rPr>
                <w:rFonts w:cstheme="minorHAnsi"/>
                <w:szCs w:val="20"/>
              </w:rPr>
              <w:t>2017 who commenced in the service. It excludes any initial caseload referrals from jobactive. An inflow population of jobactive participants was constructed for the same period as the TtW inflow population (referred between 1</w:t>
            </w:r>
            <w:r w:rsidR="00C750F4">
              <w:rPr>
                <w:rFonts w:cstheme="minorHAnsi"/>
                <w:szCs w:val="20"/>
              </w:rPr>
              <w:t> </w:t>
            </w:r>
            <w:r w:rsidRPr="003A17AE">
              <w:rPr>
                <w:rFonts w:cstheme="minorHAnsi"/>
                <w:szCs w:val="20"/>
              </w:rPr>
              <w:t>April</w:t>
            </w:r>
            <w:r w:rsidR="00C750F4">
              <w:rPr>
                <w:rFonts w:cstheme="minorHAnsi"/>
                <w:szCs w:val="20"/>
              </w:rPr>
              <w:t> </w:t>
            </w:r>
            <w:r w:rsidRPr="003A17AE">
              <w:rPr>
                <w:rFonts w:cstheme="minorHAnsi"/>
                <w:szCs w:val="20"/>
              </w:rPr>
              <w:t>2016 and 31</w:t>
            </w:r>
            <w:r w:rsidR="00C750F4">
              <w:rPr>
                <w:rFonts w:cstheme="minorHAnsi"/>
                <w:szCs w:val="20"/>
              </w:rPr>
              <w:t> </w:t>
            </w:r>
            <w:r w:rsidRPr="003A17AE">
              <w:rPr>
                <w:rFonts w:cstheme="minorHAnsi"/>
                <w:szCs w:val="20"/>
              </w:rPr>
              <w:t>March</w:t>
            </w:r>
            <w:r w:rsidR="00C750F4">
              <w:rPr>
                <w:rFonts w:cstheme="minorHAnsi"/>
                <w:szCs w:val="20"/>
              </w:rPr>
              <w:t> </w:t>
            </w:r>
            <w:r w:rsidRPr="003A17AE">
              <w:rPr>
                <w:rFonts w:cstheme="minorHAnsi"/>
                <w:szCs w:val="20"/>
              </w:rPr>
              <w:t>2017). This population was restricted to commenced Stream B participants aged under 22 years at referral.</w:t>
            </w:r>
          </w:p>
        </w:tc>
      </w:tr>
      <w:tr w:rsidR="00907C60" w:rsidRPr="008A048F" w14:paraId="69D222B9"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53A5405F" w14:textId="77777777" w:rsidR="00907C60" w:rsidRPr="00ED6857" w:rsidRDefault="00907C60" w:rsidP="00D41004">
            <w:pPr>
              <w:spacing w:before="120" w:after="0"/>
              <w:rPr>
                <w:rFonts w:cstheme="minorHAnsi"/>
                <w:szCs w:val="20"/>
              </w:rPr>
            </w:pPr>
            <w:r w:rsidRPr="00ED6857">
              <w:rPr>
                <w:rFonts w:cstheme="minorHAnsi"/>
                <w:szCs w:val="20"/>
              </w:rPr>
              <w:t xml:space="preserve">Job </w:t>
            </w:r>
            <w:r>
              <w:rPr>
                <w:rFonts w:cstheme="minorHAnsi"/>
                <w:szCs w:val="20"/>
              </w:rPr>
              <w:t>p</w:t>
            </w:r>
            <w:r w:rsidRPr="00ED6857">
              <w:rPr>
                <w:rFonts w:cstheme="minorHAnsi"/>
                <w:szCs w:val="20"/>
              </w:rPr>
              <w:t>lan</w:t>
            </w:r>
          </w:p>
        </w:tc>
        <w:tc>
          <w:tcPr>
            <w:tcW w:w="7210" w:type="dxa"/>
          </w:tcPr>
          <w:p w14:paraId="05A36E7B" w14:textId="65B4850F"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A </w:t>
            </w:r>
            <w:r>
              <w:rPr>
                <w:rFonts w:cstheme="minorHAnsi"/>
                <w:szCs w:val="20"/>
              </w:rPr>
              <w:t>j</w:t>
            </w:r>
            <w:r w:rsidRPr="00ED6857">
              <w:rPr>
                <w:rFonts w:cstheme="minorHAnsi"/>
                <w:szCs w:val="20"/>
              </w:rPr>
              <w:t xml:space="preserve">ob </w:t>
            </w:r>
            <w:r>
              <w:rPr>
                <w:rFonts w:cstheme="minorHAnsi"/>
                <w:szCs w:val="20"/>
              </w:rPr>
              <w:t>p</w:t>
            </w:r>
            <w:r w:rsidRPr="00ED6857">
              <w:rPr>
                <w:rFonts w:cstheme="minorHAnsi"/>
                <w:szCs w:val="20"/>
              </w:rPr>
              <w:t xml:space="preserve">lan is an agreement that a jobactive or TtW participant must make with their employment services provider and comply with in return for receiving income support payments and services. It covers things they need to do to meet their mutual obligations, </w:t>
            </w:r>
            <w:r w:rsidR="003B705A">
              <w:rPr>
                <w:rFonts w:cstheme="minorHAnsi"/>
                <w:szCs w:val="20"/>
              </w:rPr>
              <w:t>such as</w:t>
            </w:r>
            <w:r w:rsidRPr="00ED6857">
              <w:rPr>
                <w:rFonts w:cstheme="minorHAnsi"/>
                <w:szCs w:val="20"/>
              </w:rPr>
              <w:t xml:space="preserve"> applying for jobs, attending appointments with the provider and participating in approved activities.</w:t>
            </w:r>
          </w:p>
        </w:tc>
      </w:tr>
      <w:tr w:rsidR="00907C60" w:rsidRPr="008A048F" w14:paraId="30FAE8FE"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3D8AFC55" w14:textId="77777777" w:rsidR="00907C60" w:rsidRPr="00ED6857" w:rsidRDefault="00907C60" w:rsidP="00D41004">
            <w:pPr>
              <w:spacing w:before="120" w:after="0"/>
              <w:rPr>
                <w:rFonts w:cstheme="minorHAnsi"/>
                <w:szCs w:val="20"/>
              </w:rPr>
            </w:pPr>
            <w:r w:rsidRPr="00ED6857">
              <w:rPr>
                <w:rFonts w:cstheme="minorHAnsi"/>
                <w:szCs w:val="20"/>
              </w:rPr>
              <w:t>jobactive</w:t>
            </w:r>
          </w:p>
        </w:tc>
        <w:tc>
          <w:tcPr>
            <w:tcW w:w="7210" w:type="dxa"/>
          </w:tcPr>
          <w:p w14:paraId="17FF1CA7" w14:textId="59618663" w:rsidR="00907C60" w:rsidRPr="008A048F" w:rsidRDefault="003C71F9"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F00066">
              <w:t>jobactive was the Australian Government</w:t>
            </w:r>
            <w:r w:rsidR="00F8391B">
              <w:t>’</w:t>
            </w:r>
            <w:r w:rsidRPr="00F00066">
              <w:t>s previous employment service model that commenced on 1 July 2015</w:t>
            </w:r>
            <w:r>
              <w:t xml:space="preserve"> and was replaced by Workforce Australia Employment Services on 4 July 2022. This evaluation of TtW was undertaken </w:t>
            </w:r>
            <w:r w:rsidR="003B705A">
              <w:t>before</w:t>
            </w:r>
            <w:r>
              <w:t xml:space="preserve"> this change, and hence refers to jobactive as the alternative employment service that young people could, at that time, choose to access. </w:t>
            </w:r>
          </w:p>
        </w:tc>
      </w:tr>
      <w:tr w:rsidR="00907C60" w:rsidRPr="008A048F" w14:paraId="38B38A07"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24C92633" w14:textId="77DFDC2A" w:rsidR="00907C60" w:rsidRPr="00ED6857" w:rsidRDefault="00907C60" w:rsidP="00D41004">
            <w:pPr>
              <w:spacing w:before="120" w:after="0"/>
              <w:rPr>
                <w:rFonts w:cstheme="minorHAnsi"/>
                <w:szCs w:val="20"/>
              </w:rPr>
            </w:pPr>
            <w:r w:rsidRPr="00ED6857">
              <w:rPr>
                <w:rFonts w:cstheme="minorHAnsi"/>
                <w:szCs w:val="20"/>
              </w:rPr>
              <w:t>Labour market attachment</w:t>
            </w:r>
            <w:r w:rsidR="00775E2E">
              <w:rPr>
                <w:rFonts w:cstheme="minorHAnsi"/>
                <w:szCs w:val="20"/>
              </w:rPr>
              <w:t xml:space="preserve"> (LMA)</w:t>
            </w:r>
          </w:p>
        </w:tc>
        <w:tc>
          <w:tcPr>
            <w:tcW w:w="7210" w:type="dxa"/>
          </w:tcPr>
          <w:p w14:paraId="53CB48C5" w14:textId="2E659015"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A participant achieves labour market attachment when the income support and job placement information on the department</w:t>
            </w:r>
            <w:r w:rsidR="00F8391B">
              <w:rPr>
                <w:rFonts w:cstheme="minorHAnsi"/>
                <w:szCs w:val="20"/>
              </w:rPr>
              <w:t>’</w:t>
            </w:r>
            <w:r w:rsidRPr="00ED6857">
              <w:rPr>
                <w:rFonts w:cstheme="minorHAnsi"/>
                <w:szCs w:val="20"/>
              </w:rPr>
              <w:t>s IT system suggests they have secured some form of employment.</w:t>
            </w:r>
          </w:p>
        </w:tc>
      </w:tr>
      <w:tr w:rsidR="00907C60" w:rsidRPr="008A048F" w14:paraId="219F17BB"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5AC30DED" w14:textId="77777777" w:rsidR="00907C60" w:rsidRPr="00ED6857" w:rsidRDefault="00907C60" w:rsidP="00D41004">
            <w:pPr>
              <w:spacing w:before="120" w:after="0"/>
              <w:rPr>
                <w:rFonts w:cstheme="minorHAnsi"/>
                <w:szCs w:val="20"/>
              </w:rPr>
            </w:pPr>
            <w:r w:rsidRPr="00ED6857">
              <w:rPr>
                <w:rFonts w:cstheme="minorHAnsi"/>
                <w:szCs w:val="20"/>
              </w:rPr>
              <w:lastRenderedPageBreak/>
              <w:t>Lock-in effect</w:t>
            </w:r>
          </w:p>
        </w:tc>
        <w:tc>
          <w:tcPr>
            <w:tcW w:w="7210" w:type="dxa"/>
          </w:tcPr>
          <w:p w14:paraId="07FA1FB5" w14:textId="77777777" w:rsidR="00907C60" w:rsidRPr="00ED6857"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Where a program causes a path dependency that results in participants spending less time and effort on job search activities than non-participants and reducing the likelihood of exiting income support.</w:t>
            </w:r>
          </w:p>
        </w:tc>
      </w:tr>
      <w:tr w:rsidR="00907C60" w:rsidRPr="008A048F" w14:paraId="203E06E3"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6F5E2484" w14:textId="77777777" w:rsidR="00907C60" w:rsidRPr="00ED6857" w:rsidRDefault="00907C60" w:rsidP="00D41004">
            <w:pPr>
              <w:spacing w:before="120" w:after="0"/>
              <w:rPr>
                <w:rFonts w:cstheme="minorHAnsi"/>
                <w:szCs w:val="20"/>
              </w:rPr>
            </w:pPr>
            <w:r w:rsidRPr="00ED6857">
              <w:rPr>
                <w:rFonts w:cstheme="minorHAnsi"/>
                <w:szCs w:val="20"/>
              </w:rPr>
              <w:t>Matched samples</w:t>
            </w:r>
          </w:p>
        </w:tc>
        <w:tc>
          <w:tcPr>
            <w:tcW w:w="7210" w:type="dxa"/>
          </w:tcPr>
          <w:p w14:paraId="09ABD604" w14:textId="1A556F8C"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Samples of TtW and jobactive participants</w:t>
            </w:r>
            <w:r w:rsidR="00775E2E">
              <w:rPr>
                <w:rFonts w:cstheme="minorHAnsi"/>
                <w:szCs w:val="20"/>
              </w:rPr>
              <w:t xml:space="preserve"> (for examination of the impact of TtW on human capability, incarceration and </w:t>
            </w:r>
            <w:r w:rsidR="00775E2E" w:rsidRPr="009F1529">
              <w:rPr>
                <w:rFonts w:cstheme="minorHAnsi"/>
                <w:szCs w:val="20"/>
              </w:rPr>
              <w:t>longer</w:t>
            </w:r>
            <w:r w:rsidR="00526504" w:rsidRPr="009F1529">
              <w:rPr>
                <w:rFonts w:cstheme="minorHAnsi"/>
                <w:szCs w:val="20"/>
              </w:rPr>
              <w:t>-</w:t>
            </w:r>
            <w:r w:rsidR="00775E2E" w:rsidRPr="009F1529">
              <w:rPr>
                <w:rFonts w:cstheme="minorHAnsi"/>
                <w:szCs w:val="20"/>
              </w:rPr>
              <w:t>term</w:t>
            </w:r>
            <w:r w:rsidR="00775E2E">
              <w:rPr>
                <w:rFonts w:cstheme="minorHAnsi"/>
                <w:szCs w:val="20"/>
              </w:rPr>
              <w:t xml:space="preserve"> employment and LMA)</w:t>
            </w:r>
            <w:r>
              <w:rPr>
                <w:rFonts w:cstheme="minorHAnsi"/>
                <w:szCs w:val="20"/>
              </w:rPr>
              <w:t>, or comparison populations of TtW participants</w:t>
            </w:r>
            <w:r w:rsidR="00775E2E">
              <w:rPr>
                <w:rFonts w:cstheme="minorHAnsi"/>
                <w:szCs w:val="20"/>
              </w:rPr>
              <w:t xml:space="preserve"> (for examination of the impact of changing maximum service duration)</w:t>
            </w:r>
            <w:r w:rsidRPr="00ED6857">
              <w:rPr>
                <w:rFonts w:cstheme="minorHAnsi"/>
                <w:szCs w:val="20"/>
              </w:rPr>
              <w:t xml:space="preserve">. The samples contain an equal number of participants </w:t>
            </w:r>
            <w:r>
              <w:rPr>
                <w:rFonts w:cstheme="minorHAnsi"/>
                <w:szCs w:val="20"/>
              </w:rPr>
              <w:t xml:space="preserve">from each population </w:t>
            </w:r>
            <w:r w:rsidRPr="00ED6857">
              <w:rPr>
                <w:rFonts w:cstheme="minorHAnsi"/>
                <w:szCs w:val="20"/>
              </w:rPr>
              <w:t>selected so that the participants have similar labour market characteristics (using case-control matching).</w:t>
            </w:r>
          </w:p>
        </w:tc>
      </w:tr>
      <w:tr w:rsidR="00091059" w:rsidRPr="008A048F" w14:paraId="39C00FAB"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56C3F98E" w14:textId="77777777" w:rsidR="00091059" w:rsidRDefault="00091059" w:rsidP="00D41004">
            <w:pPr>
              <w:spacing w:before="120" w:after="0"/>
              <w:rPr>
                <w:rFonts w:cstheme="minorHAnsi"/>
                <w:b w:val="0"/>
                <w:szCs w:val="20"/>
              </w:rPr>
            </w:pPr>
            <w:r>
              <w:rPr>
                <w:rFonts w:cstheme="minorHAnsi"/>
                <w:szCs w:val="20"/>
              </w:rPr>
              <w:t xml:space="preserve">Maximum Duration </w:t>
            </w:r>
          </w:p>
          <w:p w14:paraId="7566F928" w14:textId="257363AF" w:rsidR="00091059" w:rsidRPr="00ED6857" w:rsidRDefault="00091059" w:rsidP="00D41004">
            <w:pPr>
              <w:spacing w:before="120" w:after="0"/>
              <w:rPr>
                <w:rFonts w:cstheme="minorHAnsi"/>
                <w:szCs w:val="20"/>
              </w:rPr>
            </w:pPr>
            <w:r>
              <w:rPr>
                <w:rFonts w:cstheme="minorHAnsi"/>
                <w:szCs w:val="20"/>
              </w:rPr>
              <w:t>(MD12 and MD18)</w:t>
            </w:r>
          </w:p>
        </w:tc>
        <w:tc>
          <w:tcPr>
            <w:tcW w:w="7210" w:type="dxa"/>
          </w:tcPr>
          <w:p w14:paraId="0A715B16" w14:textId="52AE1AF4" w:rsidR="00091059" w:rsidRPr="00ED6857" w:rsidRDefault="00091059"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 xml:space="preserve">As noted above the </w:t>
            </w:r>
            <w:r w:rsidRPr="00BC44BA">
              <w:rPr>
                <w:rFonts w:cstheme="minorHAnsi"/>
                <w:szCs w:val="20"/>
              </w:rPr>
              <w:t xml:space="preserve">inflow populations for the change in service duration </w:t>
            </w:r>
            <w:r>
              <w:rPr>
                <w:rFonts w:cstheme="minorHAnsi"/>
                <w:szCs w:val="20"/>
              </w:rPr>
              <w:t>comprised 2</w:t>
            </w:r>
            <w:r w:rsidRPr="00BC44BA">
              <w:rPr>
                <w:rFonts w:cstheme="minorHAnsi"/>
                <w:szCs w:val="20"/>
              </w:rPr>
              <w:t xml:space="preserve"> comparison groups: participants who were eligible for the longer service duration (the MD18 population), </w:t>
            </w:r>
            <w:r>
              <w:rPr>
                <w:rFonts w:cstheme="minorHAnsi"/>
                <w:szCs w:val="20"/>
              </w:rPr>
              <w:t>who</w:t>
            </w:r>
            <w:r w:rsidRPr="00BC44BA">
              <w:rPr>
                <w:rFonts w:cstheme="minorHAnsi"/>
                <w:szCs w:val="20"/>
              </w:rPr>
              <w:t xml:space="preserve"> commenced in the TtW service between 1 July 2019 and 30</w:t>
            </w:r>
            <w:r>
              <w:rPr>
                <w:rFonts w:cstheme="minorHAnsi"/>
                <w:szCs w:val="20"/>
              </w:rPr>
              <w:t> </w:t>
            </w:r>
            <w:r w:rsidRPr="00BC44BA">
              <w:rPr>
                <w:rFonts w:cstheme="minorHAnsi"/>
                <w:szCs w:val="20"/>
              </w:rPr>
              <w:t>June</w:t>
            </w:r>
            <w:r>
              <w:rPr>
                <w:rFonts w:cstheme="minorHAnsi"/>
                <w:szCs w:val="20"/>
              </w:rPr>
              <w:t> </w:t>
            </w:r>
            <w:r w:rsidRPr="00BC44BA">
              <w:rPr>
                <w:rFonts w:cstheme="minorHAnsi"/>
                <w:szCs w:val="20"/>
              </w:rPr>
              <w:t>2020</w:t>
            </w:r>
            <w:r>
              <w:rPr>
                <w:rFonts w:cstheme="minorHAnsi"/>
                <w:szCs w:val="20"/>
              </w:rPr>
              <w:t>;</w:t>
            </w:r>
            <w:r w:rsidRPr="00BC44BA">
              <w:rPr>
                <w:rFonts w:cstheme="minorHAnsi"/>
                <w:szCs w:val="20"/>
              </w:rPr>
              <w:t xml:space="preserve"> and participants who were ineligible for the extension in program duration (MD12)</w:t>
            </w:r>
            <w:r>
              <w:rPr>
                <w:rFonts w:cstheme="minorHAnsi"/>
                <w:szCs w:val="20"/>
              </w:rPr>
              <w:t>,</w:t>
            </w:r>
            <w:r w:rsidRPr="00BC44BA">
              <w:rPr>
                <w:rFonts w:cstheme="minorHAnsi"/>
                <w:szCs w:val="20"/>
              </w:rPr>
              <w:t xml:space="preserve"> which </w:t>
            </w:r>
            <w:r w:rsidRPr="009F1529">
              <w:rPr>
                <w:rFonts w:cstheme="minorHAnsi"/>
                <w:szCs w:val="20"/>
              </w:rPr>
              <w:t>includes</w:t>
            </w:r>
            <w:r w:rsidRPr="00BC44BA">
              <w:rPr>
                <w:rFonts w:cstheme="minorHAnsi"/>
                <w:szCs w:val="20"/>
              </w:rPr>
              <w:t xml:space="preserve"> all participants who commenced in TtW between 20</w:t>
            </w:r>
            <w:r>
              <w:rPr>
                <w:rFonts w:cstheme="minorHAnsi"/>
                <w:szCs w:val="20"/>
              </w:rPr>
              <w:t> </w:t>
            </w:r>
            <w:r w:rsidRPr="00BC44BA">
              <w:rPr>
                <w:rFonts w:cstheme="minorHAnsi"/>
                <w:szCs w:val="20"/>
              </w:rPr>
              <w:t>Jan</w:t>
            </w:r>
            <w:r>
              <w:rPr>
                <w:rFonts w:cstheme="minorHAnsi"/>
                <w:szCs w:val="20"/>
              </w:rPr>
              <w:t>uary</w:t>
            </w:r>
            <w:r w:rsidRPr="00BC44BA">
              <w:rPr>
                <w:rFonts w:cstheme="minorHAnsi"/>
                <w:szCs w:val="20"/>
              </w:rPr>
              <w:t xml:space="preserve"> 2018 and 30 June 2019.</w:t>
            </w:r>
          </w:p>
        </w:tc>
      </w:tr>
      <w:tr w:rsidR="00907C60" w:rsidRPr="008A048F" w14:paraId="67FE774C"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069AE51F" w14:textId="3724BFFA" w:rsidR="00907C60" w:rsidRPr="00ED6857" w:rsidRDefault="00907C60" w:rsidP="00D41004">
            <w:pPr>
              <w:spacing w:before="120" w:after="0"/>
              <w:rPr>
                <w:rFonts w:cstheme="minorHAnsi"/>
                <w:szCs w:val="20"/>
              </w:rPr>
            </w:pPr>
            <w:r w:rsidRPr="00ED6857">
              <w:rPr>
                <w:rFonts w:cstheme="minorHAnsi"/>
                <w:szCs w:val="20"/>
              </w:rPr>
              <w:t xml:space="preserve">Mutual </w:t>
            </w:r>
            <w:r w:rsidR="0073703F">
              <w:rPr>
                <w:rFonts w:cstheme="minorHAnsi"/>
                <w:szCs w:val="20"/>
              </w:rPr>
              <w:t>o</w:t>
            </w:r>
            <w:r w:rsidRPr="00ED6857">
              <w:rPr>
                <w:rFonts w:cstheme="minorHAnsi"/>
                <w:szCs w:val="20"/>
              </w:rPr>
              <w:t xml:space="preserve">bligation </w:t>
            </w:r>
            <w:r w:rsidR="0073703F">
              <w:rPr>
                <w:rFonts w:cstheme="minorHAnsi"/>
                <w:szCs w:val="20"/>
              </w:rPr>
              <w:t>r</w:t>
            </w:r>
            <w:r w:rsidRPr="00ED6857">
              <w:rPr>
                <w:rFonts w:cstheme="minorHAnsi"/>
                <w:szCs w:val="20"/>
              </w:rPr>
              <w:t>equirements</w:t>
            </w:r>
          </w:p>
        </w:tc>
        <w:tc>
          <w:tcPr>
            <w:tcW w:w="7210" w:type="dxa"/>
          </w:tcPr>
          <w:p w14:paraId="7F5481A4" w14:textId="5E7B567C"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Mutual </w:t>
            </w:r>
            <w:r w:rsidR="0073703F">
              <w:rPr>
                <w:rFonts w:cstheme="minorHAnsi"/>
                <w:szCs w:val="20"/>
              </w:rPr>
              <w:t>o</w:t>
            </w:r>
            <w:r w:rsidRPr="00ED6857">
              <w:rPr>
                <w:rFonts w:cstheme="minorHAnsi"/>
                <w:szCs w:val="20"/>
              </w:rPr>
              <w:t xml:space="preserve">bligation </w:t>
            </w:r>
            <w:r w:rsidR="0073703F">
              <w:rPr>
                <w:rFonts w:cstheme="minorHAnsi"/>
                <w:szCs w:val="20"/>
              </w:rPr>
              <w:t>r</w:t>
            </w:r>
            <w:r w:rsidRPr="00ED6857">
              <w:rPr>
                <w:rFonts w:cstheme="minorHAnsi"/>
                <w:szCs w:val="20"/>
              </w:rPr>
              <w:t>equirements are actions that people on activity-tested income support must complete in return for receiving payments. These include requirements for job seekers to attend employment service provider appointments and interviews, undertake activities to improve their job prospects, and look for and accept suitable paid work.</w:t>
            </w:r>
          </w:p>
        </w:tc>
      </w:tr>
      <w:tr w:rsidR="00907C60" w:rsidRPr="008A048F" w14:paraId="7695C4ED"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28338F3A" w14:textId="77777777" w:rsidR="00907C60" w:rsidRPr="00ED6857" w:rsidRDefault="00907C60" w:rsidP="00D41004">
            <w:pPr>
              <w:spacing w:before="120" w:after="0"/>
              <w:rPr>
                <w:rFonts w:cstheme="minorHAnsi"/>
                <w:szCs w:val="20"/>
              </w:rPr>
            </w:pPr>
            <w:r w:rsidRPr="00ED6857">
              <w:rPr>
                <w:rFonts w:cstheme="minorHAnsi"/>
                <w:szCs w:val="20"/>
              </w:rPr>
              <w:t>Participant</w:t>
            </w:r>
          </w:p>
        </w:tc>
        <w:tc>
          <w:tcPr>
            <w:tcW w:w="7210" w:type="dxa"/>
          </w:tcPr>
          <w:p w14:paraId="5D0A7E22" w14:textId="77777777" w:rsidR="00907C60" w:rsidRPr="00ED6857"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In this report, a participant is a young person who has commenced with the TtW service (or, in some cases, with jobactive).</w:t>
            </w:r>
          </w:p>
        </w:tc>
      </w:tr>
      <w:tr w:rsidR="00907C60" w:rsidRPr="008A048F" w14:paraId="6C105F06"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6AB0AB7C" w14:textId="3CB1B56E" w:rsidR="00907C60" w:rsidRPr="00B14CDC" w:rsidRDefault="00907C60" w:rsidP="00D41004">
            <w:pPr>
              <w:spacing w:before="120" w:after="0"/>
              <w:rPr>
                <w:rFonts w:cstheme="minorHAnsi"/>
                <w:b w:val="0"/>
                <w:szCs w:val="20"/>
              </w:rPr>
            </w:pPr>
            <w:r w:rsidRPr="00E232A4">
              <w:rPr>
                <w:rFonts w:cstheme="minorHAnsi"/>
                <w:szCs w:val="20"/>
              </w:rPr>
              <w:t xml:space="preserve">Period of </w:t>
            </w:r>
            <w:r w:rsidR="0073703F" w:rsidRPr="00746490">
              <w:rPr>
                <w:rFonts w:cstheme="minorHAnsi"/>
                <w:bCs/>
                <w:szCs w:val="20"/>
              </w:rPr>
              <w:t>a</w:t>
            </w:r>
            <w:r w:rsidRPr="00E232A4">
              <w:rPr>
                <w:rFonts w:cstheme="minorHAnsi"/>
                <w:szCs w:val="20"/>
              </w:rPr>
              <w:t>ssistance</w:t>
            </w:r>
          </w:p>
        </w:tc>
        <w:tc>
          <w:tcPr>
            <w:tcW w:w="7210" w:type="dxa"/>
          </w:tcPr>
          <w:p w14:paraId="16AFA9C3" w14:textId="38A054BE" w:rsidR="00907C60" w:rsidRPr="00E232A4"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232A4">
              <w:rPr>
                <w:rFonts w:cstheme="minorHAnsi"/>
                <w:szCs w:val="20"/>
              </w:rPr>
              <w:t xml:space="preserve">A period of assistance, defined for evaluation purposes, is </w:t>
            </w:r>
            <w:r w:rsidR="00C750F4">
              <w:rPr>
                <w:rFonts w:cstheme="minorHAnsi"/>
                <w:szCs w:val="20"/>
              </w:rPr>
              <w:t>the</w:t>
            </w:r>
            <w:r w:rsidRPr="00E232A4">
              <w:rPr>
                <w:rFonts w:cstheme="minorHAnsi"/>
                <w:szCs w:val="20"/>
              </w:rPr>
              <w:t xml:space="preserve"> time over which a </w:t>
            </w:r>
            <w:r w:rsidR="00C750F4">
              <w:rPr>
                <w:rFonts w:cstheme="minorHAnsi"/>
                <w:szCs w:val="20"/>
              </w:rPr>
              <w:t>person in employment services</w:t>
            </w:r>
            <w:r w:rsidRPr="00E232A4">
              <w:rPr>
                <w:rFonts w:cstheme="minorHAnsi"/>
                <w:szCs w:val="20"/>
              </w:rPr>
              <w:t xml:space="preserve"> has received servicing. A period of assistance for a TtW or jobactive participant begins when the participant is referred to TtW or jobactive. It ends when the participant has exited TtW or jobactive for more than 91 days.</w:t>
            </w:r>
          </w:p>
        </w:tc>
      </w:tr>
      <w:tr w:rsidR="00907C60" w:rsidRPr="008A048F" w14:paraId="5F594F28"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4B1A6A6E" w14:textId="088A0366" w:rsidR="00907C60" w:rsidRPr="00E232A4" w:rsidRDefault="00907C60" w:rsidP="00D41004">
            <w:pPr>
              <w:spacing w:before="120" w:after="0"/>
              <w:rPr>
                <w:rFonts w:cstheme="minorHAnsi"/>
                <w:szCs w:val="20"/>
              </w:rPr>
            </w:pPr>
            <w:r w:rsidRPr="00E232A4">
              <w:rPr>
                <w:rFonts w:cstheme="minorHAnsi"/>
                <w:szCs w:val="20"/>
              </w:rPr>
              <w:t xml:space="preserve">Period of </w:t>
            </w:r>
            <w:r w:rsidR="0073703F">
              <w:rPr>
                <w:rFonts w:cstheme="minorHAnsi"/>
                <w:szCs w:val="20"/>
              </w:rPr>
              <w:t>s</w:t>
            </w:r>
            <w:r w:rsidRPr="00E232A4">
              <w:rPr>
                <w:rFonts w:cstheme="minorHAnsi"/>
                <w:szCs w:val="20"/>
              </w:rPr>
              <w:t>ervice</w:t>
            </w:r>
          </w:p>
        </w:tc>
        <w:tc>
          <w:tcPr>
            <w:tcW w:w="7210" w:type="dxa"/>
          </w:tcPr>
          <w:p w14:paraId="4F71E48A" w14:textId="31B109A4" w:rsidR="00907C60" w:rsidRPr="00ED6857" w:rsidRDefault="007D5F97"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232A4">
              <w:rPr>
                <w:rFonts w:cstheme="minorHAnsi"/>
                <w:szCs w:val="20"/>
              </w:rPr>
              <w:t xml:space="preserve">A period of service, defined for evaluation purposes, is </w:t>
            </w:r>
            <w:r w:rsidR="00C91B83" w:rsidRPr="00E232A4">
              <w:rPr>
                <w:rFonts w:cstheme="minorHAnsi"/>
                <w:szCs w:val="20"/>
              </w:rPr>
              <w:t>the</w:t>
            </w:r>
            <w:r w:rsidRPr="00E232A4">
              <w:rPr>
                <w:rFonts w:cstheme="minorHAnsi"/>
                <w:szCs w:val="20"/>
              </w:rPr>
              <w:t xml:space="preserve"> time over which a TtW or jobactive participant is receiving servic</w:t>
            </w:r>
            <w:r w:rsidR="00C91B83" w:rsidRPr="00E232A4">
              <w:rPr>
                <w:rFonts w:cstheme="minorHAnsi"/>
                <w:szCs w:val="20"/>
              </w:rPr>
              <w:t xml:space="preserve">e </w:t>
            </w:r>
            <w:r w:rsidRPr="00E232A4">
              <w:rPr>
                <w:rFonts w:cstheme="minorHAnsi"/>
                <w:szCs w:val="20"/>
              </w:rPr>
              <w:t xml:space="preserve">in one period of assistance. A period of service for a TtW or jobactive participant begins when the participant commences in </w:t>
            </w:r>
            <w:r w:rsidR="00C91B83" w:rsidRPr="00E232A4">
              <w:rPr>
                <w:rFonts w:cstheme="minorHAnsi"/>
                <w:szCs w:val="20"/>
              </w:rPr>
              <w:t>the program</w:t>
            </w:r>
            <w:r w:rsidRPr="00E232A4">
              <w:rPr>
                <w:rFonts w:cstheme="minorHAnsi"/>
                <w:szCs w:val="20"/>
              </w:rPr>
              <w:t xml:space="preserve">. It </w:t>
            </w:r>
            <w:r w:rsidR="00C91B83" w:rsidRPr="00E232A4">
              <w:rPr>
                <w:rFonts w:cstheme="minorHAnsi"/>
                <w:szCs w:val="20"/>
              </w:rPr>
              <w:t>pauses</w:t>
            </w:r>
            <w:r w:rsidRPr="00E232A4">
              <w:rPr>
                <w:rFonts w:cstheme="minorHAnsi"/>
                <w:szCs w:val="20"/>
              </w:rPr>
              <w:t xml:space="preserve"> when</w:t>
            </w:r>
            <w:r w:rsidR="00C91B83" w:rsidRPr="00E232A4">
              <w:rPr>
                <w:rFonts w:cstheme="minorHAnsi"/>
                <w:szCs w:val="20"/>
              </w:rPr>
              <w:t xml:space="preserve"> the service is suspended or pending and ends when the </w:t>
            </w:r>
            <w:r w:rsidR="004B628E">
              <w:rPr>
                <w:rFonts w:cstheme="minorHAnsi"/>
                <w:szCs w:val="20"/>
              </w:rPr>
              <w:t>p</w:t>
            </w:r>
            <w:r w:rsidR="00C91B83" w:rsidRPr="00E232A4">
              <w:rPr>
                <w:rFonts w:cstheme="minorHAnsi"/>
                <w:szCs w:val="20"/>
              </w:rPr>
              <w:t>eriod of assistance ends.</w:t>
            </w:r>
          </w:p>
        </w:tc>
      </w:tr>
      <w:tr w:rsidR="00907C60" w:rsidRPr="008A048F" w14:paraId="4907FCCB"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003EA73F" w14:textId="77777777" w:rsidR="00907C60" w:rsidRPr="00ED6857" w:rsidRDefault="00907C60" w:rsidP="00D41004">
            <w:pPr>
              <w:spacing w:before="120" w:after="0"/>
              <w:rPr>
                <w:rFonts w:cstheme="minorHAnsi"/>
                <w:szCs w:val="20"/>
              </w:rPr>
            </w:pPr>
            <w:r w:rsidRPr="00ED6857">
              <w:rPr>
                <w:rFonts w:cstheme="minorHAnsi"/>
                <w:szCs w:val="20"/>
              </w:rPr>
              <w:t xml:space="preserve">Provider </w:t>
            </w:r>
          </w:p>
        </w:tc>
        <w:tc>
          <w:tcPr>
            <w:tcW w:w="7210" w:type="dxa"/>
          </w:tcPr>
          <w:p w14:paraId="7EA2DD12" w14:textId="77777777"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In this report, a provider is an organisation that has a contract (or contracts) to deliver TtW (or, where specified, jobactive) services.</w:t>
            </w:r>
          </w:p>
        </w:tc>
      </w:tr>
      <w:tr w:rsidR="00907C60" w:rsidRPr="008A048F" w14:paraId="36DDCE0C"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5279C658" w14:textId="77777777" w:rsidR="00907C60" w:rsidRPr="00ED6857" w:rsidRDefault="00907C60" w:rsidP="00D41004">
            <w:pPr>
              <w:spacing w:before="120" w:after="0"/>
              <w:rPr>
                <w:rFonts w:cstheme="minorHAnsi"/>
                <w:szCs w:val="20"/>
              </w:rPr>
            </w:pPr>
            <w:r w:rsidRPr="00ED6857">
              <w:rPr>
                <w:rFonts w:cstheme="minorHAnsi"/>
                <w:szCs w:val="20"/>
              </w:rPr>
              <w:t>Provider Portal</w:t>
            </w:r>
          </w:p>
        </w:tc>
        <w:tc>
          <w:tcPr>
            <w:tcW w:w="7210" w:type="dxa"/>
          </w:tcPr>
          <w:p w14:paraId="24BB0C91" w14:textId="77777777" w:rsidR="00907C60" w:rsidRPr="00ED6857"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The Provider Portal is a secure website for providers of Australian Government employment services and departmental staff to access policy and program information and advice.</w:t>
            </w:r>
          </w:p>
        </w:tc>
      </w:tr>
      <w:tr w:rsidR="00907C60" w:rsidRPr="008A048F" w14:paraId="5981CE4A"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00CAA89A" w14:textId="77777777" w:rsidR="00907C60" w:rsidRPr="00ED6857" w:rsidRDefault="00907C60" w:rsidP="00D41004">
            <w:pPr>
              <w:spacing w:before="120" w:after="0"/>
              <w:rPr>
                <w:rFonts w:cstheme="minorHAnsi"/>
                <w:szCs w:val="20"/>
              </w:rPr>
            </w:pPr>
            <w:r w:rsidRPr="00ED6857">
              <w:rPr>
                <w:rFonts w:cstheme="minorHAnsi"/>
                <w:szCs w:val="20"/>
              </w:rPr>
              <w:t>Referrals</w:t>
            </w:r>
          </w:p>
        </w:tc>
        <w:tc>
          <w:tcPr>
            <w:tcW w:w="7210" w:type="dxa"/>
          </w:tcPr>
          <w:p w14:paraId="79B2C022" w14:textId="2DD9B58C" w:rsidR="00907C60" w:rsidRPr="00170B7E"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8A048F">
              <w:rPr>
                <w:rFonts w:cstheme="minorHAnsi"/>
                <w:szCs w:val="20"/>
              </w:rPr>
              <w:t>In this report, referrals are people who have been referred by Service</w:t>
            </w:r>
            <w:r w:rsidR="00844F9E">
              <w:rPr>
                <w:rFonts w:cstheme="minorHAnsi"/>
                <w:szCs w:val="20"/>
              </w:rPr>
              <w:t>s</w:t>
            </w:r>
            <w:r w:rsidRPr="008A048F">
              <w:rPr>
                <w:rFonts w:cstheme="minorHAnsi"/>
                <w:szCs w:val="20"/>
              </w:rPr>
              <w:t xml:space="preserve"> Australia and TtW providers to the TtW service (or, in some cases, to jobactive). </w:t>
            </w:r>
          </w:p>
        </w:tc>
      </w:tr>
      <w:tr w:rsidR="00907C60" w:rsidRPr="008A048F" w14:paraId="3E742DC2"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63D3CE83" w14:textId="77777777" w:rsidR="00907C60" w:rsidRPr="00ED6857" w:rsidRDefault="00907C60" w:rsidP="00D41004">
            <w:pPr>
              <w:spacing w:before="120" w:after="0"/>
              <w:rPr>
                <w:rFonts w:cstheme="minorHAnsi"/>
                <w:szCs w:val="20"/>
              </w:rPr>
            </w:pPr>
            <w:r w:rsidRPr="00ED6857">
              <w:rPr>
                <w:rFonts w:cstheme="minorHAnsi"/>
                <w:szCs w:val="20"/>
              </w:rPr>
              <w:t>Service guidelines</w:t>
            </w:r>
          </w:p>
        </w:tc>
        <w:tc>
          <w:tcPr>
            <w:tcW w:w="7210" w:type="dxa"/>
          </w:tcPr>
          <w:p w14:paraId="4FA66B6E" w14:textId="77777777" w:rsidR="00907C60" w:rsidRPr="00ED6857"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Service guidelines provide information on administering employment service programs.</w:t>
            </w:r>
          </w:p>
        </w:tc>
      </w:tr>
      <w:tr w:rsidR="00907C60" w:rsidRPr="008A048F" w14:paraId="42A3F88B"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0A0C3A4E" w14:textId="77777777" w:rsidR="00907C60" w:rsidRPr="00ED6857" w:rsidRDefault="00907C60" w:rsidP="00D41004">
            <w:pPr>
              <w:spacing w:before="120" w:after="0"/>
              <w:rPr>
                <w:rFonts w:cstheme="minorHAnsi"/>
                <w:szCs w:val="20"/>
              </w:rPr>
            </w:pPr>
            <w:r w:rsidRPr="00ED6857">
              <w:rPr>
                <w:rFonts w:cstheme="minorHAnsi"/>
                <w:szCs w:val="20"/>
              </w:rPr>
              <w:lastRenderedPageBreak/>
              <w:t>Stream A (jobactive)</w:t>
            </w:r>
          </w:p>
        </w:tc>
        <w:tc>
          <w:tcPr>
            <w:tcW w:w="7210" w:type="dxa"/>
          </w:tcPr>
          <w:p w14:paraId="1225791D" w14:textId="77777777"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Stream A participants are the most job ready. They receive services to help them understand what employers want and how to navigate the local labour market, build résumés and look for jobs.</w:t>
            </w:r>
          </w:p>
        </w:tc>
      </w:tr>
      <w:tr w:rsidR="00907C60" w:rsidRPr="008A048F" w14:paraId="48F531BF"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2782D061" w14:textId="77777777" w:rsidR="00907C60" w:rsidRPr="00ED6857" w:rsidRDefault="00907C60" w:rsidP="00D41004">
            <w:pPr>
              <w:spacing w:before="120" w:after="0"/>
              <w:rPr>
                <w:rFonts w:cstheme="minorHAnsi"/>
                <w:szCs w:val="20"/>
              </w:rPr>
            </w:pPr>
            <w:r w:rsidRPr="00ED6857">
              <w:rPr>
                <w:rFonts w:cstheme="minorHAnsi"/>
                <w:szCs w:val="20"/>
              </w:rPr>
              <w:t>Stream B (jobactive)</w:t>
            </w:r>
          </w:p>
        </w:tc>
        <w:tc>
          <w:tcPr>
            <w:tcW w:w="7210" w:type="dxa"/>
          </w:tcPr>
          <w:p w14:paraId="6080D195" w14:textId="77777777" w:rsidR="00907C60" w:rsidRPr="00ED6857"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Stream B participants are those who require more assistance from their </w:t>
            </w:r>
            <w:r w:rsidRPr="008A048F">
              <w:rPr>
                <w:rFonts w:cstheme="minorHAnsi"/>
                <w:szCs w:val="20"/>
              </w:rPr>
              <w:t xml:space="preserve">jobactive </w:t>
            </w:r>
            <w:r w:rsidRPr="00ED6857">
              <w:rPr>
                <w:rFonts w:cstheme="minorHAnsi"/>
                <w:szCs w:val="20"/>
              </w:rPr>
              <w:t>provider. They may have barriers such as housing instability or poor language, literacy and numeracy skills that make them less competitive in the job market.</w:t>
            </w:r>
          </w:p>
        </w:tc>
      </w:tr>
      <w:tr w:rsidR="00907C60" w:rsidRPr="008A048F" w14:paraId="050FC017"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01824674" w14:textId="77777777" w:rsidR="00907C60" w:rsidRPr="00ED6857" w:rsidRDefault="00907C60" w:rsidP="00D41004">
            <w:pPr>
              <w:spacing w:before="120" w:after="0"/>
              <w:rPr>
                <w:rFonts w:cstheme="minorHAnsi"/>
                <w:szCs w:val="20"/>
              </w:rPr>
            </w:pPr>
            <w:r w:rsidRPr="00ED6857">
              <w:rPr>
                <w:rFonts w:cstheme="minorHAnsi"/>
                <w:szCs w:val="20"/>
              </w:rPr>
              <w:t>Stream C (jobactive)</w:t>
            </w:r>
          </w:p>
        </w:tc>
        <w:tc>
          <w:tcPr>
            <w:tcW w:w="7210" w:type="dxa"/>
          </w:tcPr>
          <w:p w14:paraId="7DD5905A" w14:textId="74A5C418"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Stream C participants are the most disadvantaged group in jobactive. They have a combination of </w:t>
            </w:r>
            <w:r w:rsidR="00844F9E">
              <w:rPr>
                <w:rFonts w:cstheme="minorHAnsi"/>
                <w:szCs w:val="20"/>
              </w:rPr>
              <w:t xml:space="preserve">vocational and </w:t>
            </w:r>
            <w:r w:rsidR="00B14CDC">
              <w:rPr>
                <w:rFonts w:cstheme="minorHAnsi"/>
                <w:szCs w:val="20"/>
              </w:rPr>
              <w:t>non-vocational barriers</w:t>
            </w:r>
            <w:r w:rsidRPr="00ED6857">
              <w:rPr>
                <w:rFonts w:cstheme="minorHAnsi"/>
                <w:szCs w:val="20"/>
              </w:rPr>
              <w:t xml:space="preserve"> that require attention before they are work ready.</w:t>
            </w:r>
          </w:p>
        </w:tc>
      </w:tr>
      <w:tr w:rsidR="00907C60" w:rsidRPr="008A048F" w14:paraId="13840C96"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4848E6E1" w14:textId="77777777" w:rsidR="00907C60" w:rsidRPr="00ED6857" w:rsidRDefault="00907C60" w:rsidP="00D41004">
            <w:pPr>
              <w:spacing w:before="120" w:after="0"/>
              <w:rPr>
                <w:rFonts w:cstheme="minorHAnsi"/>
                <w:szCs w:val="20"/>
              </w:rPr>
            </w:pPr>
            <w:r w:rsidRPr="00ED6857">
              <w:rPr>
                <w:rFonts w:cstheme="minorHAnsi"/>
                <w:szCs w:val="20"/>
              </w:rPr>
              <w:t>Study period</w:t>
            </w:r>
          </w:p>
        </w:tc>
        <w:tc>
          <w:tcPr>
            <w:tcW w:w="7210" w:type="dxa"/>
          </w:tcPr>
          <w:p w14:paraId="2FCE2C3E" w14:textId="598E08F5" w:rsidR="00907C60" w:rsidRPr="00CD7319" w:rsidRDefault="00907C60"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Participants in the main study populations were observed for at least </w:t>
            </w:r>
            <w:r>
              <w:rPr>
                <w:rFonts w:cstheme="minorHAnsi"/>
                <w:szCs w:val="20"/>
              </w:rPr>
              <w:t>48</w:t>
            </w:r>
            <w:r w:rsidRPr="00ED6857">
              <w:rPr>
                <w:rFonts w:cstheme="minorHAnsi"/>
                <w:szCs w:val="20"/>
              </w:rPr>
              <w:t xml:space="preserve"> months following their </w:t>
            </w:r>
            <w:r w:rsidR="00DE57CC">
              <w:rPr>
                <w:rFonts w:cstheme="minorHAnsi"/>
                <w:szCs w:val="20"/>
              </w:rPr>
              <w:t>commencement with</w:t>
            </w:r>
            <w:r w:rsidRPr="00ED6857">
              <w:rPr>
                <w:rFonts w:cstheme="minorHAnsi"/>
                <w:szCs w:val="20"/>
              </w:rPr>
              <w:t xml:space="preserve"> TtW or jobactive. Various study periods were used for different types of analyses. These are noted in the report.</w:t>
            </w:r>
          </w:p>
        </w:tc>
      </w:tr>
      <w:tr w:rsidR="00907C60" w:rsidRPr="008A048F" w14:paraId="12FECFE4"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4BE38399" w14:textId="77777777" w:rsidR="00907C60" w:rsidRPr="00ED6857" w:rsidRDefault="00907C60" w:rsidP="00D41004">
            <w:pPr>
              <w:spacing w:before="120" w:after="0"/>
              <w:rPr>
                <w:rFonts w:cstheme="minorHAnsi"/>
                <w:szCs w:val="20"/>
              </w:rPr>
            </w:pPr>
            <w:r w:rsidRPr="00ED6857">
              <w:rPr>
                <w:rFonts w:cstheme="minorHAnsi"/>
                <w:szCs w:val="20"/>
              </w:rPr>
              <w:t>TtW Deed</w:t>
            </w:r>
          </w:p>
        </w:tc>
        <w:tc>
          <w:tcPr>
            <w:tcW w:w="7210" w:type="dxa"/>
          </w:tcPr>
          <w:p w14:paraId="723C6BC1" w14:textId="77777777"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Providers are contracted under this legal agreement to deliver TtW services.</w:t>
            </w:r>
          </w:p>
        </w:tc>
      </w:tr>
      <w:tr w:rsidR="003C71F9" w:rsidRPr="008A048F" w14:paraId="3AC0E2AE" w14:textId="77777777" w:rsidTr="00D410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4BF3D69F" w14:textId="6FCBAB26" w:rsidR="003C71F9" w:rsidRPr="00ED6857" w:rsidRDefault="003C71F9" w:rsidP="00D41004">
            <w:pPr>
              <w:spacing w:before="120" w:after="0"/>
              <w:rPr>
                <w:rFonts w:cstheme="minorHAnsi"/>
                <w:szCs w:val="20"/>
              </w:rPr>
            </w:pPr>
            <w:r>
              <w:rPr>
                <w:rFonts w:cstheme="minorHAnsi"/>
                <w:szCs w:val="20"/>
              </w:rPr>
              <w:t>Workforce Australia</w:t>
            </w:r>
            <w:r w:rsidR="001E4630">
              <w:rPr>
                <w:rFonts w:cstheme="minorHAnsi"/>
                <w:szCs w:val="20"/>
              </w:rPr>
              <w:t xml:space="preserve"> </w:t>
            </w:r>
            <w:r>
              <w:rPr>
                <w:rFonts w:cstheme="minorHAnsi"/>
                <w:szCs w:val="20"/>
              </w:rPr>
              <w:t>Employment Services</w:t>
            </w:r>
          </w:p>
        </w:tc>
        <w:tc>
          <w:tcPr>
            <w:tcW w:w="7210" w:type="dxa"/>
          </w:tcPr>
          <w:p w14:paraId="647D6CB9" w14:textId="7371B116" w:rsidR="003C71F9" w:rsidRPr="00ED6857" w:rsidRDefault="003C71F9" w:rsidP="00D41004">
            <w:pPr>
              <w:spacing w:before="120" w:after="0"/>
              <w:cnfStyle w:val="000000010000" w:firstRow="0" w:lastRow="0" w:firstColumn="0" w:lastColumn="0" w:oddVBand="0" w:evenVBand="0" w:oddHBand="0" w:evenHBand="1" w:firstRowFirstColumn="0" w:firstRowLastColumn="0" w:lastRowFirstColumn="0" w:lastRowLastColumn="0"/>
              <w:rPr>
                <w:rFonts w:cstheme="minorHAnsi"/>
                <w:szCs w:val="20"/>
              </w:rPr>
            </w:pPr>
            <w:r>
              <w:t xml:space="preserve">The mainstream employment services program introduced in July 2022, replacing jobactive. </w:t>
            </w:r>
            <w:r w:rsidRPr="00F00066">
              <w:t xml:space="preserve">Under Workforce Australia, there are </w:t>
            </w:r>
            <w:r w:rsidR="00F8391B">
              <w:t>2</w:t>
            </w:r>
            <w:r w:rsidRPr="00F00066">
              <w:t xml:space="preserve"> mainstream employment services – online services (Workforce Australia Online) and provider-led services (Workforce Australia Services). Workforce Australia Online focuses on enabling individuals to self-manage and connect with businesses through online and digital platforms. Workforce Australia Services comprise</w:t>
            </w:r>
            <w:r w:rsidR="00ED7946">
              <w:t>s</w:t>
            </w:r>
            <w:r w:rsidRPr="00F00066">
              <w:t xml:space="preserve"> a network of providers who are engaged to deliver personalised support for those with more complex needs.</w:t>
            </w:r>
            <w:r>
              <w:t xml:space="preserve"> TtW is the youth specialist service in Workforce Australia.</w:t>
            </w:r>
          </w:p>
        </w:tc>
      </w:tr>
      <w:tr w:rsidR="00907C60" w:rsidRPr="008A048F" w14:paraId="6CF0988C" w14:textId="77777777" w:rsidTr="00D41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14:paraId="547A0C35" w14:textId="77777777" w:rsidR="00907C60" w:rsidRPr="00ED6857" w:rsidRDefault="00907C60" w:rsidP="00D41004">
            <w:pPr>
              <w:spacing w:before="120" w:after="0"/>
              <w:rPr>
                <w:rFonts w:cstheme="minorHAnsi"/>
                <w:szCs w:val="20"/>
              </w:rPr>
            </w:pPr>
            <w:r w:rsidRPr="00ED6857">
              <w:rPr>
                <w:rFonts w:cstheme="minorHAnsi"/>
                <w:szCs w:val="20"/>
              </w:rPr>
              <w:t>Work readiness</w:t>
            </w:r>
          </w:p>
        </w:tc>
        <w:tc>
          <w:tcPr>
            <w:tcW w:w="7210" w:type="dxa"/>
          </w:tcPr>
          <w:p w14:paraId="693337CD" w14:textId="6BA38290" w:rsidR="00907C60" w:rsidRPr="00ED6857" w:rsidRDefault="00907C60" w:rsidP="00D41004">
            <w:pPr>
              <w:spacing w:before="120" w:after="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Work readiness in the TtW Deed is defined as possessing the core skills and behaviours required by employers, including teamwork skills</w:t>
            </w:r>
            <w:r w:rsidR="00DE57CC">
              <w:rPr>
                <w:rFonts w:cstheme="minorHAnsi"/>
                <w:szCs w:val="20"/>
              </w:rPr>
              <w:t>,</w:t>
            </w:r>
            <w:r w:rsidRPr="00ED6857">
              <w:rPr>
                <w:rFonts w:cstheme="minorHAnsi"/>
                <w:szCs w:val="20"/>
              </w:rPr>
              <w:t xml:space="preserve"> communication skills</w:t>
            </w:r>
            <w:r w:rsidR="00DE57CC">
              <w:rPr>
                <w:rFonts w:cstheme="minorHAnsi"/>
                <w:szCs w:val="20"/>
              </w:rPr>
              <w:t xml:space="preserve"> </w:t>
            </w:r>
            <w:r w:rsidRPr="00ED6857">
              <w:rPr>
                <w:rFonts w:cstheme="minorHAnsi"/>
                <w:szCs w:val="20"/>
              </w:rPr>
              <w:t xml:space="preserve">and a positive attitude and work ethic, including motivation, reliability and a willingness to work. It is sometimes assessed according to </w:t>
            </w:r>
            <w:r w:rsidR="00A93650">
              <w:rPr>
                <w:rFonts w:cstheme="minorHAnsi"/>
                <w:szCs w:val="20"/>
              </w:rPr>
              <w:t>7</w:t>
            </w:r>
            <w:r w:rsidRPr="00ED6857">
              <w:rPr>
                <w:rFonts w:cstheme="minorHAnsi"/>
                <w:szCs w:val="20"/>
              </w:rPr>
              <w:t xml:space="preserve"> key attributes: job skills and experience; aspiration and motivation; job search skills; stability; basic skills; workplace and social skills; and health and wellbeing (Department of Employment, Skills, Small and Family Business, 2020).</w:t>
            </w:r>
          </w:p>
        </w:tc>
      </w:tr>
    </w:tbl>
    <w:p w14:paraId="0F305ADB" w14:textId="77777777" w:rsidR="00AC18E0" w:rsidRDefault="00AC18E0">
      <w:pPr>
        <w:spacing w:after="160" w:line="259" w:lineRule="auto"/>
      </w:pPr>
      <w:r>
        <w:br w:type="page"/>
      </w:r>
    </w:p>
    <w:p w14:paraId="0DE31232" w14:textId="7AD4CBF7" w:rsidR="000A7998" w:rsidRDefault="000A7998" w:rsidP="00D41004">
      <w:pPr>
        <w:pStyle w:val="Heading1"/>
        <w:numPr>
          <w:ilvl w:val="0"/>
          <w:numId w:val="0"/>
        </w:numPr>
      </w:pPr>
      <w:bookmarkStart w:id="7" w:name="_Toc132650420"/>
      <w:bookmarkStart w:id="8" w:name="_Toc146033443"/>
      <w:bookmarkStart w:id="9" w:name="_Hlk117591243"/>
      <w:r w:rsidRPr="009F1529">
        <w:lastRenderedPageBreak/>
        <w:t>Exec</w:t>
      </w:r>
      <w:r w:rsidR="00AD1A8D" w:rsidRPr="009F1529">
        <w:t>utive</w:t>
      </w:r>
      <w:r w:rsidRPr="009F1529">
        <w:t xml:space="preserve"> </w:t>
      </w:r>
      <w:r w:rsidR="00A93650" w:rsidRPr="009F1529">
        <w:t>s</w:t>
      </w:r>
      <w:r w:rsidRPr="009F1529">
        <w:t>ummary</w:t>
      </w:r>
      <w:bookmarkEnd w:id="4"/>
      <w:bookmarkEnd w:id="7"/>
      <w:bookmarkEnd w:id="8"/>
    </w:p>
    <w:p w14:paraId="633BF07A" w14:textId="37D15F11" w:rsidR="00153279" w:rsidRPr="00D07B90" w:rsidRDefault="00153279" w:rsidP="00D41004">
      <w:pPr>
        <w:pStyle w:val="Heading2"/>
        <w:numPr>
          <w:ilvl w:val="0"/>
          <w:numId w:val="0"/>
        </w:numPr>
      </w:pPr>
      <w:bookmarkStart w:id="10" w:name="_Toc132650421"/>
      <w:bookmarkStart w:id="11" w:name="_Toc146033444"/>
      <w:bookmarkStart w:id="12" w:name="_Toc106711788"/>
      <w:r w:rsidRPr="00D07B90">
        <w:t xml:space="preserve">Background to this </w:t>
      </w:r>
      <w:r w:rsidR="001431BC">
        <w:t xml:space="preserve">supplementary </w:t>
      </w:r>
      <w:r w:rsidRPr="00D07B90">
        <w:t>evaluation</w:t>
      </w:r>
      <w:bookmarkEnd w:id="10"/>
      <w:bookmarkEnd w:id="11"/>
      <w:r w:rsidRPr="00D07B90">
        <w:t xml:space="preserve"> </w:t>
      </w:r>
      <w:bookmarkEnd w:id="12"/>
    </w:p>
    <w:p w14:paraId="7592BC3E" w14:textId="0F9D10EB" w:rsidR="00A02B89" w:rsidRDefault="00A02B89" w:rsidP="00A02B89">
      <w:r>
        <w:t>Transition to Work (TtW)</w:t>
      </w:r>
      <w:r w:rsidRPr="0078185B">
        <w:t xml:space="preserve"> </w:t>
      </w:r>
      <w:r>
        <w:t xml:space="preserve">is an Australian Government program that </w:t>
      </w:r>
      <w:r w:rsidRPr="0078185B">
        <w:t xml:space="preserve">aims to provide intensive pre-employment support to improve </w:t>
      </w:r>
      <w:r>
        <w:t xml:space="preserve">the </w:t>
      </w:r>
      <w:r w:rsidRPr="0078185B">
        <w:t>work</w:t>
      </w:r>
      <w:r>
        <w:t xml:space="preserve"> </w:t>
      </w:r>
      <w:r w:rsidRPr="0078185B">
        <w:t>readiness of young people</w:t>
      </w:r>
      <w:r>
        <w:t xml:space="preserve"> who are at risk of long-term unemployment</w:t>
      </w:r>
      <w:r w:rsidRPr="0078185B">
        <w:t xml:space="preserve"> and help them into work (including apprenticeships and traineeships) or education</w:t>
      </w:r>
      <w:r>
        <w:t>. The rollout of this program commenced in February 2016.</w:t>
      </w:r>
    </w:p>
    <w:p w14:paraId="194C9DC6" w14:textId="2A1859F6" w:rsidR="00A02B89" w:rsidRDefault="00A02B89" w:rsidP="00A02B89">
      <w:r w:rsidRPr="003C71F9">
        <w:t xml:space="preserve">Findings from </w:t>
      </w:r>
      <w:r>
        <w:t xml:space="preserve">a </w:t>
      </w:r>
      <w:r w:rsidRPr="003C71F9">
        <w:t>previous TtW evaluation completed by the Department of Employment and Workforce Relations (</w:t>
      </w:r>
      <w:r>
        <w:t xml:space="preserve">at that time the </w:t>
      </w:r>
      <w:r w:rsidRPr="003C71F9">
        <w:t>Department of Education, Skills and Employment) (</w:t>
      </w:r>
      <w:r>
        <w:rPr>
          <w:b/>
          <w:bCs/>
        </w:rPr>
        <w:t>DESE 2021</w:t>
      </w:r>
      <w:r w:rsidRPr="003C71F9">
        <w:t xml:space="preserve">) concluded that </w:t>
      </w:r>
      <w:r>
        <w:t>the tailored and intensive support provided through TtW increased the target groups’ work readiness and contributed to their achievement of study and employment outcomes.</w:t>
      </w:r>
      <w:r w:rsidRPr="003C71F9">
        <w:t xml:space="preserve"> </w:t>
      </w:r>
      <w:r>
        <w:t>The research found that while t</w:t>
      </w:r>
      <w:r w:rsidRPr="00D1297F">
        <w:t xml:space="preserve">he human capital investment associated with </w:t>
      </w:r>
      <w:r>
        <w:t xml:space="preserve">the </w:t>
      </w:r>
      <w:r w:rsidRPr="00D1297F">
        <w:t>program</w:t>
      </w:r>
      <w:r>
        <w:t xml:space="preserve"> </w:t>
      </w:r>
      <w:r w:rsidRPr="00D1297F">
        <w:t>incr</w:t>
      </w:r>
      <w:r>
        <w:t>eased</w:t>
      </w:r>
      <w:r w:rsidRPr="00D1297F">
        <w:t xml:space="preserve"> </w:t>
      </w:r>
      <w:r>
        <w:t xml:space="preserve">the </w:t>
      </w:r>
      <w:r w:rsidRPr="00D1297F">
        <w:t>program</w:t>
      </w:r>
      <w:r>
        <w:t>’s cost and the duration participants spent in it, the</w:t>
      </w:r>
      <w:r>
        <w:rPr>
          <w:rFonts w:cstheme="minorHAnsi"/>
        </w:rPr>
        <w:t xml:space="preserve"> </w:t>
      </w:r>
      <w:r>
        <w:t>flexibility of the service delivery model allowed participants to engage with their consultants in ways that enabled participants to address both vocational and non-vocational barriers.</w:t>
      </w:r>
    </w:p>
    <w:p w14:paraId="2B4D6329" w14:textId="179ECC62" w:rsidR="00A02B89" w:rsidRPr="00961F0A" w:rsidRDefault="00A02B89" w:rsidP="00A02B89">
      <w:r>
        <w:t xml:space="preserve">The evaluation demonstrated that </w:t>
      </w:r>
      <w:r w:rsidRPr="4C39F0CC">
        <w:t xml:space="preserve">participation in TtW had a positive impact on young people’s self-confidence and motivation to undertake study and/or find and retain </w:t>
      </w:r>
      <w:r w:rsidRPr="00961F0A">
        <w:t>employment.</w:t>
      </w:r>
    </w:p>
    <w:p w14:paraId="52E1F881" w14:textId="77777777" w:rsidR="00A02B89" w:rsidRDefault="00A02B89" w:rsidP="00A02B89">
      <w:r w:rsidRPr="00961F0A">
        <w:t>The evaluation also identified early indications that in addition to building the human capital that would enable participants to compete in the jobs market, TtW reduced recidivism and was likely to support the development of participants’ human capabilities</w:t>
      </w:r>
      <w:r w:rsidRPr="4C39F0CC">
        <w:t xml:space="preserve">, </w:t>
      </w:r>
      <w:r>
        <w:t>with</w:t>
      </w:r>
      <w:r w:rsidRPr="4C39F0CC">
        <w:t xml:space="preserve"> wider benefits for both the individuals and society.</w:t>
      </w:r>
    </w:p>
    <w:p w14:paraId="0FAD171E" w14:textId="4A85E5E9" w:rsidR="00CF3A9F" w:rsidRPr="00A02B89" w:rsidRDefault="00A02B89" w:rsidP="001D461A">
      <w:r>
        <w:t xml:space="preserve">More research was needed to verify the effect of the TtW program on recidivism and participants’ human capabilities and to investigate the longer-term impacts of the program. These are key elements of this supplementary evaluation. The maximum duration of service in TtW was extended by 6 months, from 12 to 18 months, on 1 July 2020. The impact of the extended service on participant outcomes is another focus of this evaluation. </w:t>
      </w:r>
      <w:r w:rsidR="00BC44BA">
        <w:rPr>
          <w:rFonts w:eastAsiaTheme="minorEastAsia" w:cstheme="minorHAnsi"/>
        </w:rPr>
        <w:t xml:space="preserve"> </w:t>
      </w:r>
    </w:p>
    <w:p w14:paraId="789C35C9" w14:textId="0DD1ED66" w:rsidR="00153279" w:rsidRPr="00D07B90" w:rsidRDefault="00153279" w:rsidP="00D41004">
      <w:pPr>
        <w:pStyle w:val="Heading2"/>
        <w:numPr>
          <w:ilvl w:val="0"/>
          <w:numId w:val="0"/>
        </w:numPr>
      </w:pPr>
      <w:bookmarkStart w:id="13" w:name="_Toc106711789"/>
      <w:bookmarkStart w:id="14" w:name="_Toc132650422"/>
      <w:bookmarkStart w:id="15" w:name="_Toc146033445"/>
      <w:r w:rsidRPr="00D07B90">
        <w:t xml:space="preserve">Evaluation </w:t>
      </w:r>
      <w:r w:rsidR="00A93650">
        <w:t>o</w:t>
      </w:r>
      <w:r w:rsidR="001431BC">
        <w:t>bjectives</w:t>
      </w:r>
      <w:bookmarkEnd w:id="13"/>
      <w:bookmarkEnd w:id="14"/>
      <w:bookmarkEnd w:id="15"/>
    </w:p>
    <w:p w14:paraId="15E835CE" w14:textId="0CD49788" w:rsidR="00320181" w:rsidRDefault="00980719" w:rsidP="001D461A">
      <w:r>
        <w:t>This</w:t>
      </w:r>
      <w:r w:rsidR="00CF3A9F">
        <w:t xml:space="preserve"> </w:t>
      </w:r>
      <w:r>
        <w:t>s</w:t>
      </w:r>
      <w:r w:rsidR="00CF3A9F">
        <w:t xml:space="preserve">upplementary </w:t>
      </w:r>
      <w:r>
        <w:t>e</w:t>
      </w:r>
      <w:r w:rsidR="00CF3A9F">
        <w:t>valuation</w:t>
      </w:r>
      <w:r w:rsidR="00CF3A9F" w:rsidRPr="00D33026">
        <w:rPr>
          <w:rFonts w:eastAsiaTheme="minorEastAsia" w:cstheme="minorHAnsi"/>
        </w:rPr>
        <w:t xml:space="preserve"> </w:t>
      </w:r>
      <w:r>
        <w:t xml:space="preserve">of TtW </w:t>
      </w:r>
      <w:r w:rsidR="00BC44BA">
        <w:t>address</w:t>
      </w:r>
      <w:r w:rsidR="00C53303">
        <w:t>es</w:t>
      </w:r>
      <w:r w:rsidR="00BC44BA">
        <w:t xml:space="preserve"> </w:t>
      </w:r>
      <w:r w:rsidR="00B722BA">
        <w:t xml:space="preserve">4 </w:t>
      </w:r>
      <w:r w:rsidR="00320181">
        <w:t>questions</w:t>
      </w:r>
      <w:r w:rsidR="00B7587C">
        <w:t>:</w:t>
      </w:r>
    </w:p>
    <w:p w14:paraId="331E0A71" w14:textId="786CFA79" w:rsidR="005B4FD6" w:rsidRDefault="005B4FD6" w:rsidP="00FF5DFD">
      <w:pPr>
        <w:pStyle w:val="ListNumber2"/>
        <w:numPr>
          <w:ilvl w:val="0"/>
          <w:numId w:val="31"/>
        </w:numPr>
      </w:pPr>
      <w:r w:rsidRPr="00B8030A">
        <w:t>How has participation in TtW impacted human capabilities</w:t>
      </w:r>
      <w:r>
        <w:rPr>
          <w:rStyle w:val="FootnoteReference"/>
          <w:rFonts w:eastAsiaTheme="minorEastAsia" w:cstheme="minorHAnsi"/>
        </w:rPr>
        <w:footnoteReference w:id="5"/>
      </w:r>
      <w:r w:rsidRPr="00B8030A">
        <w:t xml:space="preserve"> of participants?</w:t>
      </w:r>
    </w:p>
    <w:p w14:paraId="22834F3E" w14:textId="3B178FCB" w:rsidR="005B4FD6" w:rsidRDefault="005B4FD6" w:rsidP="00FF5DFD">
      <w:pPr>
        <w:pStyle w:val="ListNumber2"/>
        <w:numPr>
          <w:ilvl w:val="0"/>
          <w:numId w:val="31"/>
        </w:numPr>
      </w:pPr>
      <w:r w:rsidRPr="00122A56">
        <w:t>What impact has TtW had on participants</w:t>
      </w:r>
      <w:r w:rsidR="00F8391B">
        <w:t>’</w:t>
      </w:r>
      <w:r w:rsidRPr="00122A56">
        <w:t xml:space="preserve"> contact with the criminal justice system?</w:t>
      </w:r>
    </w:p>
    <w:p w14:paraId="2B8B068E" w14:textId="498D0CB0" w:rsidR="00B8030A" w:rsidRDefault="00A72F64" w:rsidP="00FF5DFD">
      <w:pPr>
        <w:pStyle w:val="ListNumber2"/>
        <w:numPr>
          <w:ilvl w:val="0"/>
          <w:numId w:val="31"/>
        </w:numPr>
      </w:pPr>
      <w:r>
        <w:t>To what extent i</w:t>
      </w:r>
      <w:r w:rsidR="00B8030A" w:rsidRPr="00B8030A">
        <w:t>s TtW achieving the intended longer-term (3</w:t>
      </w:r>
      <w:r w:rsidR="00545BD3">
        <w:t xml:space="preserve"> to </w:t>
      </w:r>
      <w:r w:rsidR="00B8030A" w:rsidRPr="00B8030A">
        <w:t xml:space="preserve">4 year) objective of increased employment and labour market engagement and reduced dependence on </w:t>
      </w:r>
      <w:r w:rsidR="00AB0766">
        <w:t>income support</w:t>
      </w:r>
      <w:r w:rsidR="00B8030A" w:rsidRPr="00B8030A">
        <w:t xml:space="preserve"> for young people?</w:t>
      </w:r>
    </w:p>
    <w:p w14:paraId="27D1E47E" w14:textId="0BCF3D7D" w:rsidR="005B4FD6" w:rsidRDefault="005B4FD6" w:rsidP="00FF5DFD">
      <w:pPr>
        <w:pStyle w:val="ListNumber2"/>
        <w:numPr>
          <w:ilvl w:val="0"/>
          <w:numId w:val="31"/>
        </w:numPr>
      </w:pPr>
      <w:r w:rsidRPr="00B8030A">
        <w:t xml:space="preserve">What impact did </w:t>
      </w:r>
      <w:r>
        <w:t>increasing</w:t>
      </w:r>
      <w:r w:rsidRPr="00B8030A">
        <w:t xml:space="preserve"> the </w:t>
      </w:r>
      <w:r>
        <w:t xml:space="preserve">maximum </w:t>
      </w:r>
      <w:r w:rsidRPr="00B8030A">
        <w:t xml:space="preserve">duration of </w:t>
      </w:r>
      <w:r>
        <w:t xml:space="preserve">service </w:t>
      </w:r>
      <w:r w:rsidRPr="00B8030A">
        <w:t>from 12 to 18 months have on participant outcomes?</w:t>
      </w:r>
    </w:p>
    <w:p w14:paraId="60DD5EFF" w14:textId="43FE7A17" w:rsidR="00435E9A" w:rsidRDefault="00435E9A" w:rsidP="007B09C8">
      <w:r>
        <w:lastRenderedPageBreak/>
        <w:t xml:space="preserve">An exploratory study of the value for money of the TtW program </w:t>
      </w:r>
      <w:r w:rsidR="001431BC">
        <w:t>i</w:t>
      </w:r>
      <w:r>
        <w:t>s also undertaken</w:t>
      </w:r>
      <w:r w:rsidR="009C0652">
        <w:t>.</w:t>
      </w:r>
    </w:p>
    <w:p w14:paraId="3A11C0B3" w14:textId="5FC3BB27" w:rsidR="00153279" w:rsidRPr="00D07B90" w:rsidRDefault="00153279" w:rsidP="00D41004">
      <w:pPr>
        <w:pStyle w:val="Heading2"/>
        <w:numPr>
          <w:ilvl w:val="0"/>
          <w:numId w:val="0"/>
        </w:numPr>
      </w:pPr>
      <w:bookmarkStart w:id="16" w:name="_Toc132650423"/>
      <w:bookmarkStart w:id="17" w:name="_Toc146033446"/>
      <w:bookmarkStart w:id="18" w:name="_Toc106711790"/>
      <w:r w:rsidRPr="00D07B90">
        <w:t xml:space="preserve">Evaluation </w:t>
      </w:r>
      <w:r w:rsidR="00251FF8">
        <w:t>a</w:t>
      </w:r>
      <w:r w:rsidRPr="00D07B90">
        <w:t>pproach</w:t>
      </w:r>
      <w:bookmarkEnd w:id="16"/>
      <w:bookmarkEnd w:id="17"/>
      <w:bookmarkEnd w:id="18"/>
    </w:p>
    <w:p w14:paraId="16931D5C" w14:textId="5C15ECF3" w:rsidR="00FB1883" w:rsidRDefault="00BC44BA" w:rsidP="00153279">
      <w:r>
        <w:t>To ensure the evaluation questions were answered in a robust manner</w:t>
      </w:r>
      <w:r w:rsidR="00B22B2E">
        <w:t>,</w:t>
      </w:r>
      <w:r w:rsidR="00536138">
        <w:t xml:space="preserve"> </w:t>
      </w:r>
      <w:r w:rsidR="00153279">
        <w:t>a mixed</w:t>
      </w:r>
      <w:r w:rsidR="00AB0766">
        <w:t>-</w:t>
      </w:r>
      <w:r w:rsidR="00153279">
        <w:t>methods approach</w:t>
      </w:r>
      <w:r w:rsidR="00536138">
        <w:t xml:space="preserve"> </w:t>
      </w:r>
      <w:r w:rsidR="00DF00A3">
        <w:t xml:space="preserve">was </w:t>
      </w:r>
      <w:r w:rsidR="00536138">
        <w:t>adopted. Research</w:t>
      </w:r>
      <w:r w:rsidR="00153279">
        <w:t xml:space="preserve"> involved collecting and analysing qualitative and quantitative data</w:t>
      </w:r>
      <w:r w:rsidR="00435E9A">
        <w:t xml:space="preserve"> from a range of </w:t>
      </w:r>
      <w:r w:rsidR="002740E5">
        <w:t>data sources</w:t>
      </w:r>
      <w:r w:rsidR="00A47E07">
        <w:t xml:space="preserve">. Data sources </w:t>
      </w:r>
      <w:r w:rsidR="003337A3">
        <w:t>included</w:t>
      </w:r>
      <w:r w:rsidR="00647075">
        <w:t xml:space="preserve"> a</w:t>
      </w:r>
      <w:r w:rsidR="00FB1883">
        <w:t>dministrative data</w:t>
      </w:r>
      <w:r w:rsidR="00A02B89">
        <w:t>;</w:t>
      </w:r>
      <w:r w:rsidR="00B14CDC">
        <w:rPr>
          <w:rStyle w:val="FootnoteReference"/>
        </w:rPr>
        <w:footnoteReference w:id="6"/>
      </w:r>
      <w:r w:rsidR="00B14CDC">
        <w:t xml:space="preserve"> </w:t>
      </w:r>
      <w:r w:rsidR="00E40860" w:rsidRPr="4C222A30">
        <w:t>surveys</w:t>
      </w:r>
      <w:r w:rsidR="000A7C19" w:rsidRPr="4C222A30">
        <w:t xml:space="preserve"> of </w:t>
      </w:r>
      <w:r w:rsidR="00E40860" w:rsidRPr="4C222A30">
        <w:t xml:space="preserve">TtW </w:t>
      </w:r>
      <w:r w:rsidR="000A7C19" w:rsidRPr="4C222A30">
        <w:t>providers and</w:t>
      </w:r>
      <w:r w:rsidR="005A56A0" w:rsidRPr="4C222A30">
        <w:t xml:space="preserve"> matched sample</w:t>
      </w:r>
      <w:r w:rsidR="00B14CDC">
        <w:t>s</w:t>
      </w:r>
      <w:r w:rsidR="005A56A0" w:rsidRPr="4C222A30">
        <w:t xml:space="preserve"> of TtW and jobactive participants</w:t>
      </w:r>
      <w:r w:rsidR="00A02B89">
        <w:t>;</w:t>
      </w:r>
      <w:r w:rsidR="00E40860" w:rsidRPr="4C222A30">
        <w:t xml:space="preserve"> qualitative data collected through interviews and discussions with </w:t>
      </w:r>
      <w:r w:rsidR="005A56A0" w:rsidRPr="4C222A30">
        <w:t>TtW participants, providers and other stakeholders</w:t>
      </w:r>
      <w:r w:rsidR="00A02B89">
        <w:t>;</w:t>
      </w:r>
      <w:r w:rsidR="005D17FA" w:rsidRPr="4C222A30">
        <w:t xml:space="preserve"> and data </w:t>
      </w:r>
      <w:r w:rsidR="00EF6103" w:rsidRPr="002A1AFE">
        <w:t>from the Australian Bureau of Statistics</w:t>
      </w:r>
      <w:r w:rsidR="00311E4F">
        <w:t xml:space="preserve"> (ABS)</w:t>
      </w:r>
      <w:r w:rsidR="00EF6103" w:rsidRPr="002A1AFE">
        <w:t xml:space="preserve"> </w:t>
      </w:r>
      <w:r w:rsidR="00EF6103">
        <w:t xml:space="preserve">(Labour Force, Australian National Accounts and </w:t>
      </w:r>
      <w:r w:rsidR="00E91D08">
        <w:t>Consumer Price Index (CPI)</w:t>
      </w:r>
      <w:r w:rsidR="00EF6103">
        <w:t xml:space="preserve">), the Productivity Commission </w:t>
      </w:r>
      <w:r w:rsidR="00EF6103" w:rsidRPr="002A1AFE">
        <w:t>and academic literature</w:t>
      </w:r>
      <w:r w:rsidR="005A56A0" w:rsidRPr="4C222A30">
        <w:t>.</w:t>
      </w:r>
    </w:p>
    <w:p w14:paraId="7465CAC9" w14:textId="6D855BDF" w:rsidR="00153279" w:rsidRDefault="00153279" w:rsidP="001431BC">
      <w:r>
        <w:t>Several</w:t>
      </w:r>
      <w:r w:rsidRPr="00D07B90">
        <w:t xml:space="preserve"> different study </w:t>
      </w:r>
      <w:r>
        <w:t xml:space="preserve">populations </w:t>
      </w:r>
      <w:r w:rsidR="006D1C22">
        <w:t>we</w:t>
      </w:r>
      <w:r w:rsidRPr="00D07B90">
        <w:t xml:space="preserve">re used </w:t>
      </w:r>
      <w:r>
        <w:t>in the exploration of</w:t>
      </w:r>
      <w:r w:rsidRPr="00D07B90">
        <w:t xml:space="preserve"> </w:t>
      </w:r>
      <w:r w:rsidR="006874D2">
        <w:t>the</w:t>
      </w:r>
      <w:r w:rsidRPr="00D07B90">
        <w:t xml:space="preserve"> evaluation </w:t>
      </w:r>
      <w:bookmarkStart w:id="19" w:name="_Int_taNY1YQV"/>
      <w:r w:rsidR="4F67154D">
        <w:t>question</w:t>
      </w:r>
      <w:bookmarkEnd w:id="19"/>
      <w:r w:rsidR="001E1DDC">
        <w:t>s</w:t>
      </w:r>
      <w:r w:rsidR="4F67154D">
        <w:t>.</w:t>
      </w:r>
      <w:r>
        <w:t xml:space="preserve"> Statistical methods used to analyse quantitative data included descriptive statistics and logistic regression modelling. </w:t>
      </w:r>
      <w:r w:rsidR="00944359">
        <w:t>Where appropriate, a</w:t>
      </w:r>
      <w:r w:rsidRPr="00894EB9">
        <w:t>nalysis compare</w:t>
      </w:r>
      <w:r w:rsidR="00F56AB7">
        <w:t>d</w:t>
      </w:r>
      <w:r w:rsidRPr="00894EB9">
        <w:t xml:space="preserve"> outcomes achieved by TtW participants with </w:t>
      </w:r>
      <w:r>
        <w:t xml:space="preserve">outcomes achieved by </w:t>
      </w:r>
      <w:r w:rsidRPr="00894EB9">
        <w:t>matched samples of jobactive participants</w:t>
      </w:r>
      <w:r w:rsidR="00BC44BA">
        <w:t>.</w:t>
      </w:r>
    </w:p>
    <w:p w14:paraId="4C35DE8F" w14:textId="5D4087EA" w:rsidR="000A7998" w:rsidRPr="001431BC" w:rsidRDefault="000A7998" w:rsidP="00D41004">
      <w:pPr>
        <w:pStyle w:val="Heading2"/>
        <w:numPr>
          <w:ilvl w:val="0"/>
          <w:numId w:val="0"/>
        </w:numPr>
      </w:pPr>
      <w:bookmarkStart w:id="20" w:name="_Toc106711792"/>
      <w:bookmarkStart w:id="21" w:name="_Toc132650424"/>
      <w:bookmarkStart w:id="22" w:name="_Toc146033447"/>
      <w:r w:rsidRPr="00A65989">
        <w:t>Key findings</w:t>
      </w:r>
      <w:bookmarkEnd w:id="20"/>
      <w:bookmarkEnd w:id="21"/>
      <w:bookmarkEnd w:id="22"/>
    </w:p>
    <w:p w14:paraId="7E15E21C" w14:textId="7FF87973" w:rsidR="009E6FE5" w:rsidRPr="001431BC" w:rsidRDefault="00055FC6" w:rsidP="00D41004">
      <w:pPr>
        <w:pStyle w:val="Heading3"/>
        <w:numPr>
          <w:ilvl w:val="0"/>
          <w:numId w:val="0"/>
        </w:numPr>
      </w:pPr>
      <w:bookmarkStart w:id="23" w:name="_Toc132650425"/>
      <w:bookmarkStart w:id="24" w:name="_Toc146033448"/>
      <w:bookmarkStart w:id="25" w:name="_Toc106711795"/>
      <w:r w:rsidRPr="001431BC">
        <w:t>How has participation in TtW impacted human capabilities of participants?</w:t>
      </w:r>
      <w:bookmarkEnd w:id="23"/>
      <w:bookmarkEnd w:id="24"/>
    </w:p>
    <w:p w14:paraId="3FB8B0FC" w14:textId="4A7CABEA" w:rsidR="00E742BB" w:rsidRDefault="005F3DCF" w:rsidP="00E742BB">
      <w:bookmarkStart w:id="26" w:name="_Hlk124930893"/>
      <w:r>
        <w:t xml:space="preserve">Findings from this </w:t>
      </w:r>
      <w:r w:rsidR="00AD4FD4">
        <w:t>evaluation confirm</w:t>
      </w:r>
      <w:r w:rsidR="00E742BB">
        <w:t xml:space="preserve"> that the TtW program has a positive impact on building human capabilities and increasing </w:t>
      </w:r>
      <w:r w:rsidR="00C53303">
        <w:t xml:space="preserve">the </w:t>
      </w:r>
      <w:r w:rsidR="00E742BB">
        <w:t>wellbeing of most participants</w:t>
      </w:r>
      <w:r w:rsidR="009A2CDD">
        <w:t>.</w:t>
      </w:r>
      <w:r w:rsidR="00E742BB">
        <w:t xml:space="preserve"> </w:t>
      </w:r>
    </w:p>
    <w:p w14:paraId="5525B4BF" w14:textId="77AF6259" w:rsidR="000478DC" w:rsidRDefault="009D19FA" w:rsidP="00E742BB">
      <w:r>
        <w:t>Results from participant surveys</w:t>
      </w:r>
      <w:r w:rsidR="00A66EB1">
        <w:t xml:space="preserve"> demonstrated that, c</w:t>
      </w:r>
      <w:r w:rsidR="00D26A99">
        <w:t xml:space="preserve">ompared to the </w:t>
      </w:r>
      <w:r w:rsidR="000900C5">
        <w:t>comparison group</w:t>
      </w:r>
      <w:r w:rsidR="00AD4FD4">
        <w:t xml:space="preserve"> (similar young people in jobactive)</w:t>
      </w:r>
      <w:r w:rsidR="00D26A99">
        <w:t xml:space="preserve">, </w:t>
      </w:r>
      <w:r w:rsidR="001233FC">
        <w:t xml:space="preserve">more TtW participants felt </w:t>
      </w:r>
      <w:r w:rsidR="00A02B89">
        <w:t xml:space="preserve">that </w:t>
      </w:r>
      <w:r w:rsidR="001233FC">
        <w:t>their caseworker</w:t>
      </w:r>
      <w:r w:rsidR="00CB4AC4">
        <w:rPr>
          <w:rStyle w:val="FootnoteReference"/>
        </w:rPr>
        <w:footnoteReference w:id="7"/>
      </w:r>
      <w:r w:rsidR="001233FC">
        <w:t xml:space="preserve"> had a positive impact on their</w:t>
      </w:r>
      <w:r w:rsidR="000478DC">
        <w:t>:</w:t>
      </w:r>
    </w:p>
    <w:p w14:paraId="39DADF88" w14:textId="562CBBE1" w:rsidR="000478DC" w:rsidRPr="00A66EB1" w:rsidRDefault="00E742BB" w:rsidP="006A7F40">
      <w:pPr>
        <w:pStyle w:val="ListBullet"/>
      </w:pPr>
      <w:r w:rsidRPr="00A66EB1">
        <w:t>self-confidence</w:t>
      </w:r>
      <w:r w:rsidR="00300A00" w:rsidRPr="00A66EB1">
        <w:t xml:space="preserve"> (</w:t>
      </w:r>
      <w:r w:rsidR="00A66EB1">
        <w:t>c</w:t>
      </w:r>
      <w:r w:rsidR="00A66EB1" w:rsidRPr="004122D7">
        <w:t xml:space="preserve">aseworker impact </w:t>
      </w:r>
      <w:r w:rsidR="00A66EB1" w:rsidRPr="00BB0C7F">
        <w:t>very positive/positive</w:t>
      </w:r>
      <w:r w:rsidR="00A66EB1" w:rsidRPr="00A66EB1">
        <w:t xml:space="preserve"> – TtW </w:t>
      </w:r>
      <w:r w:rsidR="00300A00" w:rsidRPr="00A66EB1">
        <w:t xml:space="preserve">69% </w:t>
      </w:r>
      <w:r w:rsidR="000900C5">
        <w:t>versus</w:t>
      </w:r>
      <w:r w:rsidR="00300A00" w:rsidRPr="00A66EB1">
        <w:t xml:space="preserve"> 55%</w:t>
      </w:r>
      <w:r w:rsidR="000900C5">
        <w:t xml:space="preserve"> for the matched comparison group</w:t>
      </w:r>
      <w:r w:rsidR="00300A00" w:rsidRPr="00A66EB1">
        <w:t xml:space="preserve">, </w:t>
      </w:r>
      <w:r w:rsidR="009A2CDD" w:rsidRPr="00A66EB1">
        <w:t>or 14 percentage points higher</w:t>
      </w:r>
      <w:r w:rsidR="00300A00" w:rsidRPr="00A66EB1">
        <w:t>)</w:t>
      </w:r>
    </w:p>
    <w:p w14:paraId="03D82147" w14:textId="7A582390" w:rsidR="001233FC" w:rsidRDefault="001233FC" w:rsidP="006A7F40">
      <w:pPr>
        <w:pStyle w:val="ListBullet"/>
      </w:pPr>
      <w:r>
        <w:t>an ability to keep trying and not give up (</w:t>
      </w:r>
      <w:r w:rsidR="00C53303">
        <w:t xml:space="preserve">caseworker </w:t>
      </w:r>
      <w:r>
        <w:t>impact very positive/positive – TtW 76% compared to 66%, or 10 percentage points higher)</w:t>
      </w:r>
    </w:p>
    <w:p w14:paraId="4844759F" w14:textId="5030104D" w:rsidR="000478DC" w:rsidRPr="00A66EB1" w:rsidRDefault="00E742BB" w:rsidP="006A7F40">
      <w:pPr>
        <w:pStyle w:val="ListBullet"/>
      </w:pPr>
      <w:r w:rsidRPr="00A66EB1">
        <w:t>understanding of what they wanted to do in the future</w:t>
      </w:r>
      <w:r w:rsidR="00300A00" w:rsidRPr="00A66EB1">
        <w:t xml:space="preserve"> (</w:t>
      </w:r>
      <w:r w:rsidR="00A66EB1" w:rsidRPr="00A66EB1">
        <w:t>caseworker impact very positive/positive</w:t>
      </w:r>
      <w:r w:rsidR="00F8391B">
        <w:t xml:space="preserve"> – </w:t>
      </w:r>
      <w:r w:rsidR="00A66EB1" w:rsidRPr="00A66EB1">
        <w:t xml:space="preserve">TtW </w:t>
      </w:r>
      <w:r w:rsidR="00300A00" w:rsidRPr="00A66EB1">
        <w:t xml:space="preserve">71% compared to 61%, </w:t>
      </w:r>
      <w:r w:rsidR="009A2CDD" w:rsidRPr="00A66EB1">
        <w:t>or 10 percentage points</w:t>
      </w:r>
      <w:r w:rsidR="00A66EB1" w:rsidRPr="00A66EB1">
        <w:t xml:space="preserve"> higher</w:t>
      </w:r>
      <w:r w:rsidR="00300A00" w:rsidRPr="00A66EB1">
        <w:t>)</w:t>
      </w:r>
    </w:p>
    <w:p w14:paraId="7B570659" w14:textId="5146F617" w:rsidR="000478DC" w:rsidRDefault="00E742BB" w:rsidP="006A7F40">
      <w:pPr>
        <w:pStyle w:val="ListBullet"/>
      </w:pPr>
      <w:r w:rsidRPr="00A66EB1">
        <w:t>motivation to work</w:t>
      </w:r>
      <w:r>
        <w:t xml:space="preserve"> towards their </w:t>
      </w:r>
      <w:r w:rsidR="000478DC">
        <w:t>goals</w:t>
      </w:r>
      <w:r w:rsidR="00300A00">
        <w:t xml:space="preserve"> </w:t>
      </w:r>
      <w:r w:rsidR="00A66EB1">
        <w:t xml:space="preserve">(caseworker impact very positive/positive – TtW </w:t>
      </w:r>
      <w:r w:rsidR="00300A00">
        <w:t xml:space="preserve">80% compared to 66%, </w:t>
      </w:r>
      <w:r w:rsidR="009A2CDD">
        <w:t>or 14 percentage points higher</w:t>
      </w:r>
      <w:r w:rsidR="00300A00">
        <w:t>)</w:t>
      </w:r>
    </w:p>
    <w:p w14:paraId="2A5BC399" w14:textId="347BDBFE" w:rsidR="000900C5" w:rsidRDefault="000900C5" w:rsidP="006A7F40">
      <w:pPr>
        <w:pStyle w:val="ListBullet"/>
      </w:pPr>
      <w:r w:rsidRPr="00BB0C7F">
        <w:t>mental health</w:t>
      </w:r>
      <w:r w:rsidRPr="00A66EB1">
        <w:t xml:space="preserve"> (caseworker impact very positive/positive – TtW 63% compared to 49% for matched </w:t>
      </w:r>
      <w:r>
        <w:t>comparison group</w:t>
      </w:r>
      <w:r w:rsidRPr="00A66EB1">
        <w:t>, or 14 percentage points higher)</w:t>
      </w:r>
      <w:r w:rsidR="00A02B89">
        <w:t>.</w:t>
      </w:r>
    </w:p>
    <w:p w14:paraId="17DBCFDE" w14:textId="73054A3B" w:rsidR="000900C5" w:rsidRDefault="000900C5" w:rsidP="00D41004">
      <w:pPr>
        <w:pageBreakBefore/>
      </w:pPr>
      <w:r>
        <w:lastRenderedPageBreak/>
        <w:t>TtW participants demonstrated significantly greater:</w:t>
      </w:r>
    </w:p>
    <w:p w14:paraId="0A447460" w14:textId="21966740" w:rsidR="00184B67" w:rsidRDefault="00184B67" w:rsidP="006A7F40">
      <w:pPr>
        <w:pStyle w:val="ListBullet"/>
      </w:pPr>
      <w:r>
        <w:t xml:space="preserve">self-rated mental health (TtW 26% excellent/very good compared to 19% for the comparison group, and TtW 45% fair/poor compared to 60% for comparison group) </w:t>
      </w:r>
    </w:p>
    <w:p w14:paraId="4DE8CE55" w14:textId="4C726883" w:rsidR="000900C5" w:rsidRDefault="00E742BB" w:rsidP="006A7F40">
      <w:pPr>
        <w:pStyle w:val="ListBullet"/>
      </w:pPr>
      <w:r>
        <w:t xml:space="preserve">life satisfaction </w:t>
      </w:r>
      <w:r w:rsidR="00160A58">
        <w:t>(6.6</w:t>
      </w:r>
      <w:r w:rsidR="000900C5">
        <w:t xml:space="preserve"> </w:t>
      </w:r>
      <w:r w:rsidR="00160A58">
        <w:t>compared to 5.9</w:t>
      </w:r>
      <w:r w:rsidR="000900C5">
        <w:t xml:space="preserve"> out of 10</w:t>
      </w:r>
      <w:r w:rsidR="00160A58">
        <w:t>)</w:t>
      </w:r>
    </w:p>
    <w:p w14:paraId="468B88FD" w14:textId="3A269813" w:rsidR="003A1D91" w:rsidRDefault="00E742BB" w:rsidP="006A7F40">
      <w:pPr>
        <w:pStyle w:val="ListBullet"/>
      </w:pPr>
      <w:r>
        <w:t xml:space="preserve">personal wellbeing </w:t>
      </w:r>
      <w:r w:rsidR="00160A58">
        <w:t>(71.1 compared to 65.6 out of 100, Personal Wellbeing Index score)</w:t>
      </w:r>
    </w:p>
    <w:p w14:paraId="06C53549" w14:textId="07171DFF" w:rsidR="003A1D91" w:rsidRDefault="003A1D91" w:rsidP="006A7F40">
      <w:pPr>
        <w:pStyle w:val="ListBullet"/>
      </w:pPr>
      <w:r>
        <w:t>resilience (TtW 3.3 out of 5 compared to 3.1 for the comparison group</w:t>
      </w:r>
      <w:r w:rsidR="00F8391B">
        <w:t xml:space="preserve"> – </w:t>
      </w:r>
      <w:r>
        <w:t>Brief Resilience Scale average score)</w:t>
      </w:r>
    </w:p>
    <w:p w14:paraId="31126866" w14:textId="75A4D5D5" w:rsidR="00E742BB" w:rsidRDefault="003A1D91" w:rsidP="006A7F40">
      <w:pPr>
        <w:pStyle w:val="ListBullet"/>
      </w:pPr>
      <w:r>
        <w:t>a</w:t>
      </w:r>
      <w:r w:rsidRPr="001F5EB3">
        <w:t>ccess to the support and services they need</w:t>
      </w:r>
      <w:r>
        <w:t xml:space="preserve"> (various indicators).</w:t>
      </w:r>
    </w:p>
    <w:p w14:paraId="2A3BD52B" w14:textId="634CFE29" w:rsidR="00E742BB" w:rsidRDefault="00E742BB" w:rsidP="00E742BB">
      <w:r>
        <w:t xml:space="preserve">The majority of TtW participants </w:t>
      </w:r>
      <w:r w:rsidR="00CB4AC4">
        <w:t xml:space="preserve">who were </w:t>
      </w:r>
      <w:r>
        <w:t>interviewed</w:t>
      </w:r>
      <w:r w:rsidR="1844EAEB">
        <w:t xml:space="preserve"> </w:t>
      </w:r>
      <w:r>
        <w:t xml:space="preserve">easily identified where the program had a positive impact on their human capabilities </w:t>
      </w:r>
      <w:r w:rsidR="00CB4AC4">
        <w:t xml:space="preserve">that </w:t>
      </w:r>
      <w:r>
        <w:t>related to engaging with work or study. They noted that the program improved their confidence and motivation to search for, apply for and maintain work, and in some instances leave poor work situations. Participants also spoke about feeling clearer about their career pathways, and more resilient in managing job rejections.</w:t>
      </w:r>
    </w:p>
    <w:p w14:paraId="546D8A5E" w14:textId="736622CF" w:rsidR="00E742BB" w:rsidRDefault="00E742BB" w:rsidP="00E742BB">
      <w:r>
        <w:t xml:space="preserve">The findings demonstrated significant impacts on the broader wellbeing of participants, and </w:t>
      </w:r>
      <w:r w:rsidR="00A66EB1">
        <w:t xml:space="preserve">interviews provided </w:t>
      </w:r>
      <w:r>
        <w:t xml:space="preserve">examples of participants </w:t>
      </w:r>
      <w:r w:rsidR="00185B23">
        <w:t>being more</w:t>
      </w:r>
      <w:r>
        <w:t xml:space="preserve"> empower</w:t>
      </w:r>
      <w:r w:rsidR="00185B23">
        <w:t>ed in</w:t>
      </w:r>
      <w:r>
        <w:t xml:space="preserve"> their lives: managing substance abuse, finding stable housing, reducing contact with the criminal justice system, and improving their mental and physical health and (to a lesser extent) developing greater social connectedness and </w:t>
      </w:r>
      <w:r w:rsidR="00185B23">
        <w:t>self</w:t>
      </w:r>
      <w:r w:rsidR="00B65C1F">
        <w:t>-</w:t>
      </w:r>
      <w:r>
        <w:t>confidence.</w:t>
      </w:r>
    </w:p>
    <w:p w14:paraId="09621763" w14:textId="620630E4" w:rsidR="00E742BB" w:rsidRDefault="00E742BB" w:rsidP="00E742BB">
      <w:r>
        <w:t xml:space="preserve">A </w:t>
      </w:r>
      <w:r w:rsidR="003F7818">
        <w:t>few</w:t>
      </w:r>
      <w:r>
        <w:t xml:space="preserve"> of </w:t>
      </w:r>
      <w:r w:rsidR="003F7818">
        <w:t xml:space="preserve">the </w:t>
      </w:r>
      <w:r>
        <w:t xml:space="preserve">participants </w:t>
      </w:r>
      <w:r w:rsidR="003F7818">
        <w:t xml:space="preserve">interviewed during the qualitative research </w:t>
      </w:r>
      <w:r>
        <w:t xml:space="preserve">reported negative impacts of the program on their confidence, resilience and mental health, as a result of feeling that their caseworkers were neither interested </w:t>
      </w:r>
      <w:r w:rsidR="003A1D91">
        <w:t xml:space="preserve">in </w:t>
      </w:r>
      <w:r>
        <w:t>nor supportive of their needs. This</w:t>
      </w:r>
      <w:r w:rsidR="00185B23">
        <w:t xml:space="preserve"> negatively affected their self-esteem and mental health and </w:t>
      </w:r>
      <w:r>
        <w:t>was an important reminder of the fragility of some participants</w:t>
      </w:r>
      <w:r w:rsidR="00F8391B">
        <w:t>’</w:t>
      </w:r>
      <w:r>
        <w:t xml:space="preserve"> self-esteem and the significant role TtW caseworkers play.</w:t>
      </w:r>
    </w:p>
    <w:p w14:paraId="13454FB9" w14:textId="1CE66986" w:rsidR="00E32E69" w:rsidRDefault="00E32E69" w:rsidP="00E32E69">
      <w:bookmarkStart w:id="27" w:name="_Hlk124930877"/>
      <w:bookmarkEnd w:id="26"/>
      <w:r>
        <w:t>Providers were very positive about the impact of TtW</w:t>
      </w:r>
      <w:r w:rsidR="00526504">
        <w:t xml:space="preserve"> </w:t>
      </w:r>
      <w:r>
        <w:t>on the human capabilities of participants, being more optimistic than survey</w:t>
      </w:r>
      <w:r w:rsidR="004B37CF">
        <w:t>ed</w:t>
      </w:r>
      <w:r>
        <w:t xml:space="preserve"> participants about the program</w:t>
      </w:r>
      <w:r w:rsidR="00F8391B">
        <w:t>’</w:t>
      </w:r>
      <w:r>
        <w:t>s impact. This may be influenced by provider staff more easily recollecting positive outcomes with participants compared to mediocre or negative outcomes and/or may reflect a positive bias due to business and personal interests. However, this difference between provider and participant views also reflects the complexity of participants</w:t>
      </w:r>
      <w:r w:rsidR="00F8391B">
        <w:t>’</w:t>
      </w:r>
      <w:r>
        <w:t xml:space="preserve"> lives where TtW is but one element amongs</w:t>
      </w:r>
      <w:r w:rsidR="00C26203">
        <w:t>t</w:t>
      </w:r>
      <w:r>
        <w:t xml:space="preserve"> many influences (both positive and negative).</w:t>
      </w:r>
    </w:p>
    <w:bookmarkEnd w:id="27"/>
    <w:p w14:paraId="65101F02" w14:textId="4E6B01C3" w:rsidR="00E32E69" w:rsidRDefault="00E32E69" w:rsidP="00E32E69">
      <w:r>
        <w:t>There was also acknowledgement by providers that where they relied on external services to support the non-vocational barriers experienced by participants</w:t>
      </w:r>
      <w:r w:rsidR="00A02B89">
        <w:t xml:space="preserve"> –</w:t>
      </w:r>
      <w:r>
        <w:t xml:space="preserve"> for example</w:t>
      </w:r>
      <w:r w:rsidR="00A02B89">
        <w:t>,</w:t>
      </w:r>
      <w:r>
        <w:t xml:space="preserve"> mental health concerns, homelessness, drug and alcohol dependency, or lack of transport</w:t>
      </w:r>
      <w:r w:rsidR="00A02B89">
        <w:t xml:space="preserve"> –</w:t>
      </w:r>
      <w:r>
        <w:t xml:space="preserve"> they often had difficulty accessing appropriate services or assistance for participants</w:t>
      </w:r>
      <w:r w:rsidR="00A02B89">
        <w:t>.</w:t>
      </w:r>
      <w:r>
        <w:rPr>
          <w:rStyle w:val="FootnoteReference"/>
        </w:rPr>
        <w:footnoteReference w:id="8"/>
      </w:r>
    </w:p>
    <w:p w14:paraId="7BE68B48" w14:textId="2755B412" w:rsidR="0024366F" w:rsidRPr="001431BC" w:rsidRDefault="00055FC6" w:rsidP="00CD7319">
      <w:pPr>
        <w:pStyle w:val="Heading3"/>
        <w:numPr>
          <w:ilvl w:val="0"/>
          <w:numId w:val="0"/>
        </w:numPr>
      </w:pPr>
      <w:bookmarkStart w:id="28" w:name="_Toc132650426"/>
      <w:bookmarkStart w:id="29" w:name="_Toc146033449"/>
      <w:r w:rsidRPr="001431BC">
        <w:lastRenderedPageBreak/>
        <w:t>What impact has TtW had on participants</w:t>
      </w:r>
      <w:r w:rsidR="00F8391B">
        <w:t>’</w:t>
      </w:r>
      <w:r w:rsidRPr="001431BC">
        <w:t xml:space="preserve"> contact with the criminal justice system?</w:t>
      </w:r>
      <w:bookmarkEnd w:id="25"/>
      <w:bookmarkEnd w:id="28"/>
      <w:bookmarkEnd w:id="29"/>
    </w:p>
    <w:p w14:paraId="6CFF23E7" w14:textId="17240BA0" w:rsidR="009E73FC" w:rsidRDefault="009E73FC" w:rsidP="009E73FC">
      <w:r>
        <w:t xml:space="preserve">TtW </w:t>
      </w:r>
      <w:r w:rsidR="000C51DD">
        <w:t xml:space="preserve">was </w:t>
      </w:r>
      <w:r>
        <w:t>shown to reduc</w:t>
      </w:r>
      <w:r w:rsidR="00210BBD">
        <w:t>e</w:t>
      </w:r>
      <w:r>
        <w:t xml:space="preserve"> </w:t>
      </w:r>
      <w:r w:rsidRPr="009F1529">
        <w:t>reoffending</w:t>
      </w:r>
      <w:r>
        <w:t>. TtW participants who were ex</w:t>
      </w:r>
      <w:r w:rsidR="00CB6442">
        <w:noBreakHyphen/>
      </w:r>
      <w:r>
        <w:t xml:space="preserve">offenders at referral were 11.5 percentage points less likely than ex-offenders in the </w:t>
      </w:r>
      <w:r w:rsidR="005F3DCF">
        <w:t xml:space="preserve">matched </w:t>
      </w:r>
      <w:r>
        <w:t xml:space="preserve">comparison group to reoffend in the </w:t>
      </w:r>
      <w:r w:rsidR="002158FC">
        <w:t xml:space="preserve">4 </w:t>
      </w:r>
      <w:r>
        <w:t xml:space="preserve">years from commencement. There </w:t>
      </w:r>
      <w:r w:rsidR="00734EEC">
        <w:t xml:space="preserve">was </w:t>
      </w:r>
      <w:r>
        <w:t>almost no difference in incarceration rates between TtW and comparison group participants who had no history of offending at referral.</w:t>
      </w:r>
    </w:p>
    <w:p w14:paraId="1D3EE35A" w14:textId="6795CA56" w:rsidR="00DA4921" w:rsidRPr="001431BC" w:rsidRDefault="009E73FC" w:rsidP="001431BC">
      <w:r>
        <w:t>TtW was also more effective</w:t>
      </w:r>
      <w:r w:rsidR="003F7818">
        <w:t xml:space="preserve"> than the comparison program</w:t>
      </w:r>
      <w:r>
        <w:t xml:space="preserve"> at supporting </w:t>
      </w:r>
      <w:r>
        <w:rPr>
          <w:bCs/>
        </w:rPr>
        <w:t>Aboriginal and/or Torres Strait Islander participants</w:t>
      </w:r>
      <w:r>
        <w:t xml:space="preserve"> to avoid contact with the criminal justice system. </w:t>
      </w:r>
      <w:r>
        <w:rPr>
          <w:bCs/>
        </w:rPr>
        <w:t xml:space="preserve">Aboriginal and/or Torres Strait Islander participants in </w:t>
      </w:r>
      <w:r>
        <w:t xml:space="preserve">TtW were 3.8 percentage points less likely to be incarcerated in the </w:t>
      </w:r>
      <w:r w:rsidR="00F8391B">
        <w:t>4</w:t>
      </w:r>
      <w:r>
        <w:t xml:space="preserve"> years from commencement than </w:t>
      </w:r>
      <w:r w:rsidR="00160A58">
        <w:t>participants fro</w:t>
      </w:r>
      <w:r>
        <w:t>m the comparison group.</w:t>
      </w:r>
    </w:p>
    <w:p w14:paraId="3343CB41" w14:textId="24CEAD5B" w:rsidR="005B4FD6" w:rsidRPr="001431BC" w:rsidRDefault="00A72F64" w:rsidP="005B4FD6">
      <w:pPr>
        <w:pStyle w:val="Heading3"/>
        <w:numPr>
          <w:ilvl w:val="0"/>
          <w:numId w:val="0"/>
        </w:numPr>
      </w:pPr>
      <w:bookmarkStart w:id="30" w:name="_Toc132650427"/>
      <w:bookmarkStart w:id="31" w:name="_Toc106711793"/>
      <w:bookmarkStart w:id="32" w:name="_Toc146033450"/>
      <w:bookmarkStart w:id="33" w:name="_Toc106711796"/>
      <w:r>
        <w:t>To what extent i</w:t>
      </w:r>
      <w:r w:rsidR="005B4FD6" w:rsidRPr="001431BC">
        <w:t>s TtW achieving the intended longer-term (3</w:t>
      </w:r>
      <w:r w:rsidR="002158FC">
        <w:t xml:space="preserve"> to </w:t>
      </w:r>
      <w:r w:rsidR="005B4FD6" w:rsidRPr="001431BC">
        <w:t xml:space="preserve">4 year) objective of increased employment and labour market engagement and reduced dependence on </w:t>
      </w:r>
      <w:r w:rsidR="00BA4228">
        <w:t>i</w:t>
      </w:r>
      <w:r w:rsidR="005B4FD6" w:rsidRPr="001431BC">
        <w:t xml:space="preserve">ncome </w:t>
      </w:r>
      <w:r w:rsidR="00BA4228">
        <w:t>s</w:t>
      </w:r>
      <w:r w:rsidR="005B4FD6" w:rsidRPr="001431BC">
        <w:t>upport for young people?</w:t>
      </w:r>
      <w:bookmarkEnd w:id="30"/>
      <w:bookmarkEnd w:id="31"/>
      <w:bookmarkEnd w:id="32"/>
    </w:p>
    <w:p w14:paraId="4AD945D1" w14:textId="7880381B" w:rsidR="005B4FD6" w:rsidRPr="00065ABF" w:rsidRDefault="00384DAC" w:rsidP="005B4FD6">
      <w:r>
        <w:t>In the longer term (3 and 4 years from commencement in the service) p</w:t>
      </w:r>
      <w:r w:rsidR="005B4FD6" w:rsidRPr="00065ABF">
        <w:t xml:space="preserve">articipation in TtW resulted in </w:t>
      </w:r>
      <w:r w:rsidR="005B4FD6">
        <w:t xml:space="preserve">participants achieving the same degree of </w:t>
      </w:r>
      <w:r w:rsidR="005B4FD6" w:rsidRPr="00065ABF">
        <w:t xml:space="preserve">employment, labour market attachment </w:t>
      </w:r>
      <w:r w:rsidR="005B4FD6">
        <w:t xml:space="preserve">(LMA) </w:t>
      </w:r>
      <w:r w:rsidR="005B4FD6" w:rsidRPr="00065ABF">
        <w:t xml:space="preserve">and reduced income support </w:t>
      </w:r>
      <w:r w:rsidR="005B4FD6">
        <w:t>reliance</w:t>
      </w:r>
      <w:r w:rsidR="005B1DB0">
        <w:rPr>
          <w:rStyle w:val="FootnoteReference"/>
        </w:rPr>
        <w:footnoteReference w:id="9"/>
      </w:r>
      <w:r w:rsidR="005B4FD6" w:rsidRPr="00065ABF">
        <w:t xml:space="preserve"> </w:t>
      </w:r>
      <w:r w:rsidR="005B4FD6">
        <w:t>as</w:t>
      </w:r>
      <w:r w:rsidR="005B4FD6" w:rsidRPr="00065ABF">
        <w:t xml:space="preserve"> the matched comparison group</w:t>
      </w:r>
      <w:r w:rsidR="00A02B89">
        <w:t>.</w:t>
      </w:r>
      <w:r w:rsidR="005B1DB0">
        <w:rPr>
          <w:rStyle w:val="FootnoteReference"/>
        </w:rPr>
        <w:footnoteReference w:id="10"/>
      </w:r>
      <w:r w:rsidR="005B4FD6">
        <w:t xml:space="preserve"> </w:t>
      </w:r>
      <w:r w:rsidR="005B4FD6" w:rsidRPr="00065ABF">
        <w:t xml:space="preserve">Thirty-six months after commencement, approximately </w:t>
      </w:r>
      <w:r w:rsidR="00BA4228">
        <w:t>2</w:t>
      </w:r>
      <w:r w:rsidR="00BA4228" w:rsidRPr="00065ABF">
        <w:t xml:space="preserve"> </w:t>
      </w:r>
      <w:r w:rsidR="005B4FD6" w:rsidRPr="00065ABF">
        <w:t xml:space="preserve">in </w:t>
      </w:r>
      <w:r w:rsidR="00BA4228">
        <w:t>5</w:t>
      </w:r>
      <w:r w:rsidR="005B4FD6" w:rsidRPr="00065ABF">
        <w:t xml:space="preserve"> (39%) of the participants from both TtW and the comparison group were in employment and just over half (56%) ha</w:t>
      </w:r>
      <w:r w:rsidR="005B4FD6">
        <w:t>d</w:t>
      </w:r>
      <w:r w:rsidR="005B4FD6" w:rsidRPr="00065ABF">
        <w:t xml:space="preserve"> </w:t>
      </w:r>
      <w:r w:rsidR="005B4FD6">
        <w:t xml:space="preserve">increased their </w:t>
      </w:r>
      <w:r w:rsidR="005B4FD6" w:rsidRPr="00065ABF">
        <w:t>LMA</w:t>
      </w:r>
      <w:r w:rsidR="005B4FD6">
        <w:t xml:space="preserve"> with a corresponding reduced reliance on income support</w:t>
      </w:r>
      <w:r w:rsidR="005B4FD6" w:rsidRPr="00065ABF">
        <w:t xml:space="preserve">. The COVID-19 pandemic (which began to affect </w:t>
      </w:r>
      <w:r w:rsidR="005B4FD6">
        <w:t xml:space="preserve">some </w:t>
      </w:r>
      <w:r w:rsidR="005B4FD6" w:rsidRPr="00065ABF">
        <w:t xml:space="preserve">participants 36 </w:t>
      </w:r>
      <w:r w:rsidR="005B4FD6">
        <w:t xml:space="preserve">months </w:t>
      </w:r>
      <w:r w:rsidR="005B4FD6" w:rsidRPr="00065ABF">
        <w:t xml:space="preserve">from commencement) pushed participants from both TtW and </w:t>
      </w:r>
      <w:r w:rsidR="00961F0A">
        <w:t>the comparison group</w:t>
      </w:r>
      <w:r w:rsidR="005B4FD6" w:rsidRPr="00065ABF">
        <w:t xml:space="preserve"> out of the labour market and back on to income support.</w:t>
      </w:r>
    </w:p>
    <w:p w14:paraId="0C584E87" w14:textId="7A2F65A3" w:rsidR="005B4FD6" w:rsidRDefault="005B4FD6" w:rsidP="005B4FD6">
      <w:r w:rsidRPr="004E0B64">
        <w:t xml:space="preserve">Similarly, </w:t>
      </w:r>
      <w:r w:rsidR="002F4F6C" w:rsidRPr="004E0B64">
        <w:t xml:space="preserve">over the longer term (24, 36 and 48 months), </w:t>
      </w:r>
      <w:r w:rsidRPr="004E0B64">
        <w:t xml:space="preserve">TtW </w:t>
      </w:r>
      <w:r w:rsidR="006A4095" w:rsidRPr="004E0B64">
        <w:t xml:space="preserve">participants </w:t>
      </w:r>
      <w:r w:rsidR="002E57E8" w:rsidRPr="004E0B64">
        <w:t>from different equity groups</w:t>
      </w:r>
      <w:r w:rsidR="002E57E8" w:rsidRPr="004E0B64">
        <w:rPr>
          <w:rStyle w:val="FootnoteReference"/>
        </w:rPr>
        <w:footnoteReference w:id="11"/>
      </w:r>
      <w:r w:rsidR="002E57E8" w:rsidRPr="004E0B64">
        <w:t xml:space="preserve"> were</w:t>
      </w:r>
      <w:r w:rsidRPr="004E0B64">
        <w:t xml:space="preserve"> no more, or</w:t>
      </w:r>
      <w:r w:rsidR="00A02B89">
        <w:t xml:space="preserve"> </w:t>
      </w:r>
      <w:r w:rsidR="00FB1AD9">
        <w:t>no</w:t>
      </w:r>
      <w:r w:rsidRPr="004E0B64">
        <w:t xml:space="preserve"> less, </w:t>
      </w:r>
      <w:r w:rsidR="006A4095" w:rsidRPr="004E0B64">
        <w:t xml:space="preserve">likely than </w:t>
      </w:r>
      <w:r w:rsidR="002F4F6C" w:rsidRPr="004E0B64">
        <w:t xml:space="preserve">similar </w:t>
      </w:r>
      <w:r w:rsidR="002E57E8" w:rsidRPr="004E0B64">
        <w:t>participants in the comparison group</w:t>
      </w:r>
      <w:r w:rsidRPr="004E0B64">
        <w:t xml:space="preserve"> </w:t>
      </w:r>
      <w:r w:rsidR="002E57E8" w:rsidRPr="004E0B64">
        <w:t>to be</w:t>
      </w:r>
      <w:r w:rsidRPr="004E0B64">
        <w:t xml:space="preserve"> employ</w:t>
      </w:r>
      <w:r w:rsidR="002E57E8" w:rsidRPr="004E0B64">
        <w:t>ed or have increased L</w:t>
      </w:r>
      <w:r w:rsidR="004E0B64" w:rsidRPr="004E0B64">
        <w:t>MA</w:t>
      </w:r>
      <w:r w:rsidRPr="004E0B64">
        <w:t>.</w:t>
      </w:r>
    </w:p>
    <w:p w14:paraId="5A2AFF89" w14:textId="075B0937" w:rsidR="00A13363" w:rsidRDefault="00E93444" w:rsidP="00E93444">
      <w:r>
        <w:lastRenderedPageBreak/>
        <w:t>It appears that while only a small proportion of participants from TtW or the comparison group undertook full</w:t>
      </w:r>
      <w:r w:rsidR="003A0923">
        <w:t>-</w:t>
      </w:r>
      <w:r>
        <w:t xml:space="preserve">time study or a full-time apprenticeship within </w:t>
      </w:r>
      <w:r w:rsidR="00FF4D17">
        <w:t xml:space="preserve">4 </w:t>
      </w:r>
      <w:r>
        <w:t>years from commencement</w:t>
      </w:r>
      <w:r w:rsidR="00A02B89">
        <w:t>,</w:t>
      </w:r>
      <w:r>
        <w:rPr>
          <w:rStyle w:val="FootnoteReference"/>
        </w:rPr>
        <w:footnoteReference w:id="12"/>
      </w:r>
      <w:r>
        <w:t xml:space="preserve"> </w:t>
      </w:r>
      <w:r w:rsidR="00A02B89">
        <w:t xml:space="preserve">a </w:t>
      </w:r>
      <w:r>
        <w:t xml:space="preserve">slightly </w:t>
      </w:r>
      <w:r w:rsidR="00A02B89">
        <w:t xml:space="preserve">lower proportion of </w:t>
      </w:r>
      <w:r>
        <w:t>TtW participants took this pathway</w:t>
      </w:r>
      <w:r w:rsidR="00FF4D17">
        <w:t>.</w:t>
      </w:r>
      <w:r>
        <w:t xml:space="preserve"> </w:t>
      </w:r>
      <w:r w:rsidR="00FF4D17">
        <w:t>F</w:t>
      </w:r>
      <w:r>
        <w:t>or example, at 6 months</w:t>
      </w:r>
      <w:r w:rsidR="00A02B89">
        <w:t>,</w:t>
      </w:r>
      <w:r>
        <w:t xml:space="preserve"> 4.5% of </w:t>
      </w:r>
      <w:r w:rsidR="00A02B89">
        <w:t xml:space="preserve">the </w:t>
      </w:r>
      <w:r>
        <w:t>TtW</w:t>
      </w:r>
      <w:r w:rsidR="00A02B89">
        <w:t xml:space="preserve"> group</w:t>
      </w:r>
      <w:r>
        <w:t xml:space="preserve"> and 8.4% of the comparison group were receiving a study</w:t>
      </w:r>
      <w:r w:rsidR="00A02B89">
        <w:t>-</w:t>
      </w:r>
      <w:r>
        <w:t>related income support payment</w:t>
      </w:r>
      <w:r w:rsidR="00FF4D17">
        <w:t>. Th</w:t>
      </w:r>
      <w:r>
        <w:t>is dropped to 3.1% of TtW participants and 5.5% of the comparison group at 36 months.</w:t>
      </w:r>
    </w:p>
    <w:p w14:paraId="48A6C447" w14:textId="4A7D4524" w:rsidR="00E93444" w:rsidRDefault="00E93444" w:rsidP="00E93444">
      <w:r>
        <w:t xml:space="preserve">TtW participants appear to have a slightly higher rate of </w:t>
      </w:r>
      <w:r w:rsidR="00F8391B">
        <w:t>‘</w:t>
      </w:r>
      <w:r>
        <w:t>sticking</w:t>
      </w:r>
      <w:r w:rsidR="00F8391B">
        <w:t>’</w:t>
      </w:r>
      <w:r>
        <w:t xml:space="preserve"> with their study than participants</w:t>
      </w:r>
      <w:r w:rsidR="00D41004">
        <w:t xml:space="preserve"> from the comparison group</w:t>
      </w:r>
      <w:r>
        <w:t xml:space="preserve">, with the proportion of participants on a study payment remaining relatively steady from 6 to 24 months, while the proportion of </w:t>
      </w:r>
      <w:r w:rsidR="00D41004">
        <w:t>comparison group</w:t>
      </w:r>
      <w:r>
        <w:t xml:space="preserve"> participants shows a steady decline after the highest uptake</w:t>
      </w:r>
      <w:r w:rsidR="00966A87">
        <w:t xml:space="preserve"> level</w:t>
      </w:r>
      <w:r>
        <w:t xml:space="preserve"> by month 6.</w:t>
      </w:r>
    </w:p>
    <w:p w14:paraId="4402B9BE" w14:textId="03F5E50A" w:rsidR="005B4FD6" w:rsidRPr="00C9255C" w:rsidRDefault="005B4FD6" w:rsidP="005B4FD6">
      <w:pPr>
        <w:pStyle w:val="Heading3"/>
        <w:numPr>
          <w:ilvl w:val="0"/>
          <w:numId w:val="0"/>
        </w:numPr>
      </w:pPr>
      <w:bookmarkStart w:id="34" w:name="_Toc132650428"/>
      <w:bookmarkStart w:id="35" w:name="_Toc146033451"/>
      <w:r w:rsidRPr="00C9255C">
        <w:t xml:space="preserve">What impact did extending the maximum duration of service </w:t>
      </w:r>
      <w:r w:rsidR="00D41004">
        <w:t xml:space="preserve">in TtW </w:t>
      </w:r>
      <w:r w:rsidRPr="00C9255C">
        <w:t>from 12 to 18 months have on participant outcomes?</w:t>
      </w:r>
      <w:bookmarkEnd w:id="34"/>
      <w:bookmarkEnd w:id="35"/>
    </w:p>
    <w:p w14:paraId="442A8EA4" w14:textId="42D25ED4" w:rsidR="00C313D2" w:rsidRDefault="001A38C9" w:rsidP="005B4FD6">
      <w:bookmarkStart w:id="36" w:name="_Hlk146185150"/>
      <w:r w:rsidRPr="001A38C9">
        <w:t>Increasing the maximum duration of service from 12 to 18 months more than doubled the proportion of participants who remained in the program for over 12 months (from 23.4%</w:t>
      </w:r>
      <w:r w:rsidRPr="001A38C9">
        <w:rPr>
          <w:rStyle w:val="FootnoteReference"/>
        </w:rPr>
        <w:footnoteReference w:id="13"/>
      </w:r>
      <w:r w:rsidRPr="001A38C9">
        <w:t xml:space="preserve"> to 49.7%). </w:t>
      </w:r>
      <w:bookmarkEnd w:id="36"/>
      <w:r w:rsidR="005B4FD6" w:rsidRPr="001A38C9">
        <w:t>A similar proportion of participants remained in the program for longer than the maximum time allowed both before and after the program duration was extended (23.4% and 23.0% respectively).</w:t>
      </w:r>
    </w:p>
    <w:p w14:paraId="379C8CF5" w14:textId="38D60424" w:rsidR="005B4FD6" w:rsidRDefault="00F44F8E" w:rsidP="005B4FD6">
      <w:bookmarkStart w:id="37" w:name="_Hlk146185198"/>
      <w:bookmarkStart w:id="38" w:name="_Hlk146185309"/>
      <w:r>
        <w:t xml:space="preserve">It is worth noting that </w:t>
      </w:r>
      <w:bookmarkEnd w:id="37"/>
      <w:r>
        <w:t>the level of labour market disadvantage</w:t>
      </w:r>
      <w:r w:rsidR="00C313D2">
        <w:rPr>
          <w:rStyle w:val="FootnoteReference"/>
        </w:rPr>
        <w:footnoteReference w:id="14"/>
      </w:r>
      <w:r>
        <w:t xml:space="preserve"> experienced by a participant </w:t>
      </w:r>
      <w:r w:rsidR="00C313D2">
        <w:t>was not related to</w:t>
      </w:r>
      <w:r>
        <w:t xml:space="preserve"> the likelihood that they would continue for over 12 months </w:t>
      </w:r>
      <w:r w:rsidR="00C313D2">
        <w:t xml:space="preserve">when the maximum duration of service increased to 18 months </w:t>
      </w:r>
      <w:bookmarkEnd w:id="38"/>
      <w:r>
        <w:t xml:space="preserve">– participants were as likely to </w:t>
      </w:r>
      <w:r w:rsidR="00C313D2">
        <w:t>continue for over 12 months regardless of their level of labour market disadvantage. However, those staying for over the maximum service time were more likely to have higher labour market disadvantage both before and after the change in maximum duration.</w:t>
      </w:r>
    </w:p>
    <w:p w14:paraId="0BD8722B" w14:textId="5C61F62F" w:rsidR="005B4FD6" w:rsidRDefault="005B4FD6" w:rsidP="005B4FD6">
      <w:bookmarkStart w:id="39" w:name="_Hlk146185890"/>
      <w:r w:rsidRPr="001E13B6">
        <w:t>Not surprisingly, extending the duration of the program led to an increase in the total number of outcomes being achieved by participants</w:t>
      </w:r>
      <w:bookmarkEnd w:id="39"/>
      <w:r w:rsidR="00A02B89">
        <w:t>.</w:t>
      </w:r>
      <w:r w:rsidR="00C313D2" w:rsidRPr="001E13B6">
        <w:rPr>
          <w:rStyle w:val="FootnoteReference"/>
        </w:rPr>
        <w:footnoteReference w:id="15"/>
      </w:r>
      <w:r w:rsidR="00F44F8E" w:rsidRPr="001E13B6">
        <w:t xml:space="preserve"> </w:t>
      </w:r>
      <w:bookmarkStart w:id="40" w:name="_Hlk146185397"/>
      <w:r w:rsidR="001E13B6" w:rsidRPr="001E13B6">
        <w:t>While there was a</w:t>
      </w:r>
      <w:r w:rsidR="007B644C">
        <w:t xml:space="preserve"> small</w:t>
      </w:r>
      <w:r w:rsidR="001E13B6" w:rsidRPr="001E13B6">
        <w:t xml:space="preserve"> increase in the </w:t>
      </w:r>
      <w:r w:rsidR="00EF18C0">
        <w:t>proportion</w:t>
      </w:r>
      <w:r w:rsidR="001E13B6" w:rsidRPr="001E13B6">
        <w:t xml:space="preserve"> of participants achieving at least one outcome</w:t>
      </w:r>
      <w:r w:rsidR="00A02B89">
        <w:t>,</w:t>
      </w:r>
      <w:r w:rsidR="001E13B6">
        <w:rPr>
          <w:rStyle w:val="FootnoteReference"/>
        </w:rPr>
        <w:footnoteReference w:id="16"/>
      </w:r>
      <w:r w:rsidR="001E13B6" w:rsidRPr="001E13B6">
        <w:t xml:space="preserve"> the majority (78%) of the increase in outcomes by MD18 participants </w:t>
      </w:r>
      <w:r w:rsidR="00A02B89">
        <w:t>comprised</w:t>
      </w:r>
      <w:r w:rsidR="00A02B89" w:rsidRPr="001E13B6">
        <w:t xml:space="preserve"> </w:t>
      </w:r>
      <w:r w:rsidR="001E13B6" w:rsidRPr="001E13B6">
        <w:t xml:space="preserve">extra outcomes achieved by participants who had already achieved an outcome. </w:t>
      </w:r>
      <w:r w:rsidRPr="001E13B6">
        <w:t xml:space="preserve">Employment outcomes made up the majority of all outcomes </w:t>
      </w:r>
      <w:r w:rsidR="00E06517">
        <w:t>achieved</w:t>
      </w:r>
      <w:r w:rsidRPr="001E13B6">
        <w:t xml:space="preserve"> by participants from both cohorts (MD18</w:t>
      </w:r>
      <w:r w:rsidR="00A02B89">
        <w:t>,</w:t>
      </w:r>
      <w:r w:rsidR="00F8391B">
        <w:t xml:space="preserve"> </w:t>
      </w:r>
      <w:r w:rsidRPr="001E13B6">
        <w:t>84.7%</w:t>
      </w:r>
      <w:r w:rsidR="00A02B89">
        <w:t>;</w:t>
      </w:r>
      <w:r w:rsidRPr="001E13B6">
        <w:t xml:space="preserve"> MD12</w:t>
      </w:r>
      <w:r w:rsidR="00A02B89">
        <w:t>,</w:t>
      </w:r>
      <w:r w:rsidR="00F8391B">
        <w:t xml:space="preserve"> </w:t>
      </w:r>
      <w:r w:rsidRPr="001E13B6">
        <w:t xml:space="preserve">77.6%). </w:t>
      </w:r>
      <w:r w:rsidR="001E13B6">
        <w:t xml:space="preserve">The proportion of employment-related outcomes </w:t>
      </w:r>
      <w:r w:rsidR="001E13B6">
        <w:lastRenderedPageBreak/>
        <w:t>was 7.1 percentage points higher for MD18 participants compared to MD12 participants, which was largely a result of MD18 participants achieving more 12-week employment outcomes.</w:t>
      </w:r>
    </w:p>
    <w:bookmarkEnd w:id="40"/>
    <w:p w14:paraId="6DCCD8B4" w14:textId="1B8CC24F" w:rsidR="005B4FD6" w:rsidRPr="00F868D6" w:rsidRDefault="003C1D07" w:rsidP="005B4FD6">
      <w:r w:rsidRPr="00EF18C0">
        <w:t>Providers believed</w:t>
      </w:r>
      <w:r w:rsidR="005B4FD6" w:rsidRPr="00EF18C0">
        <w:t xml:space="preserve"> that there were </w:t>
      </w:r>
      <w:r w:rsidR="00F8391B">
        <w:t>2</w:t>
      </w:r>
      <w:r w:rsidR="005B4FD6" w:rsidRPr="00EF18C0">
        <w:t xml:space="preserve"> main groups who benefited from the extension in program duration: participants who had significant non-vocational barriers that needed addressing before </w:t>
      </w:r>
      <w:r w:rsidR="00A02B89">
        <w:t>they</w:t>
      </w:r>
      <w:r w:rsidR="00A02B89" w:rsidRPr="00EF18C0">
        <w:t xml:space="preserve"> </w:t>
      </w:r>
      <w:r w:rsidR="005B4FD6" w:rsidRPr="00EF18C0">
        <w:t>could engage with work, and those who had undertaken lengthier training courses or study and would benefit from further engagement with the program to translate their new skills into employment. While providers felt that extending the program had enabled more employment and education outcomes to be obtained, they also emphasised the broader benefit of the program on participants, including helping participants to work towards longer-term goals, and enhancing their human capabilities</w:t>
      </w:r>
      <w:r w:rsidR="001E13B6" w:rsidRPr="00EF18C0">
        <w:t xml:space="preserve"> (outcomes tha</w:t>
      </w:r>
      <w:r w:rsidR="00447A3D" w:rsidRPr="00EF18C0">
        <w:t xml:space="preserve">t </w:t>
      </w:r>
      <w:r w:rsidR="00A02B89">
        <w:t>could not</w:t>
      </w:r>
      <w:r w:rsidR="00447A3D" w:rsidRPr="00EF18C0">
        <w:t xml:space="preserve"> be quantified in this analysis)</w:t>
      </w:r>
      <w:r w:rsidR="005B4FD6" w:rsidRPr="00EF18C0">
        <w:t>.</w:t>
      </w:r>
    </w:p>
    <w:p w14:paraId="6397DC8C" w14:textId="35B7A464" w:rsidR="003B3C7E" w:rsidRPr="007B09C8" w:rsidRDefault="00CE41A5" w:rsidP="00D41004">
      <w:pPr>
        <w:pStyle w:val="Heading3"/>
        <w:numPr>
          <w:ilvl w:val="0"/>
          <w:numId w:val="0"/>
        </w:numPr>
      </w:pPr>
      <w:bookmarkStart w:id="42" w:name="_Toc132650429"/>
      <w:bookmarkStart w:id="43" w:name="_Toc146033452"/>
      <w:bookmarkStart w:id="44" w:name="_Hlk146185431"/>
      <w:r w:rsidRPr="001431BC">
        <w:t>Does TtW offer value for money?</w:t>
      </w:r>
      <w:bookmarkEnd w:id="33"/>
      <w:bookmarkEnd w:id="42"/>
      <w:bookmarkEnd w:id="43"/>
    </w:p>
    <w:p w14:paraId="43BE43FB" w14:textId="2B20CF23" w:rsidR="004B7F08" w:rsidRDefault="005B6933" w:rsidP="004B7F08">
      <w:bookmarkStart w:id="45" w:name="_Hlk146190279"/>
      <w:bookmarkEnd w:id="44"/>
      <w:r>
        <w:t xml:space="preserve">Exploratory research was undertaken to examine the value for money offered by TtW. </w:t>
      </w:r>
      <w:r w:rsidR="001F19E2">
        <w:t>While there</w:t>
      </w:r>
      <w:r w:rsidR="001F19E2" w:rsidRPr="00122A56">
        <w:t xml:space="preserve"> </w:t>
      </w:r>
      <w:r w:rsidR="00724CF8">
        <w:t>were</w:t>
      </w:r>
      <w:r w:rsidR="00724CF8" w:rsidRPr="00122A56">
        <w:t xml:space="preserve"> </w:t>
      </w:r>
      <w:r w:rsidR="004F4ABF" w:rsidRPr="00122A56">
        <w:t>several</w:t>
      </w:r>
      <w:r w:rsidR="001F19E2" w:rsidRPr="00122A56">
        <w:t xml:space="preserve"> </w:t>
      </w:r>
      <w:r w:rsidR="00CB6442">
        <w:t>limitations</w:t>
      </w:r>
      <w:r w:rsidR="00CB6442" w:rsidRPr="00122A56">
        <w:t xml:space="preserve"> </w:t>
      </w:r>
      <w:r w:rsidR="001F19E2" w:rsidRPr="00122A56">
        <w:t>associated with this analysis</w:t>
      </w:r>
      <w:r w:rsidR="00280E57">
        <w:t>, u</w:t>
      </w:r>
      <w:r w:rsidR="00EB2996">
        <w:t xml:space="preserve">sing values for the costs and benefits that could be monetised </w:t>
      </w:r>
      <w:r w:rsidR="00942131">
        <w:t xml:space="preserve">it </w:t>
      </w:r>
      <w:r w:rsidR="00724CF8">
        <w:t xml:space="preserve">was </w:t>
      </w:r>
      <w:r w:rsidR="00942131">
        <w:t xml:space="preserve">estimated </w:t>
      </w:r>
      <w:r w:rsidR="00280E57">
        <w:t xml:space="preserve">that </w:t>
      </w:r>
      <w:r w:rsidR="00942131">
        <w:t xml:space="preserve">every </w:t>
      </w:r>
      <w:r w:rsidR="00C73818">
        <w:t xml:space="preserve">additional </w:t>
      </w:r>
      <w:r w:rsidR="00942131">
        <w:t xml:space="preserve">dollar spent on TtW </w:t>
      </w:r>
      <w:r w:rsidR="00E56D90">
        <w:t xml:space="preserve">(in addition to what would have been spent on a participant if they were in jobactive) </w:t>
      </w:r>
      <w:r w:rsidR="00942131">
        <w:t xml:space="preserve">has a value of </w:t>
      </w:r>
      <w:r w:rsidR="00942131" w:rsidRPr="00D02936">
        <w:t>between</w:t>
      </w:r>
      <w:r w:rsidR="00B73504" w:rsidRPr="00D02936">
        <w:t xml:space="preserve"> $</w:t>
      </w:r>
      <w:r w:rsidR="00D02936" w:rsidRPr="00CD7319">
        <w:t>1</w:t>
      </w:r>
      <w:r w:rsidR="00B73504" w:rsidRPr="00D02936">
        <w:t xml:space="preserve"> and</w:t>
      </w:r>
      <w:r w:rsidR="00942131" w:rsidRPr="00D02936">
        <w:t xml:space="preserve"> $</w:t>
      </w:r>
      <w:r w:rsidR="00D02936" w:rsidRPr="00D02936">
        <w:t>6</w:t>
      </w:r>
      <w:r w:rsidR="00D02936">
        <w:t xml:space="preserve"> over a 12</w:t>
      </w:r>
      <w:r w:rsidR="0034125E">
        <w:t>-</w:t>
      </w:r>
      <w:r w:rsidR="00D02936">
        <w:t>month period</w:t>
      </w:r>
      <w:r w:rsidR="00942131">
        <w:t xml:space="preserve">. </w:t>
      </w:r>
      <w:r w:rsidR="004F4ABF">
        <w:t xml:space="preserve">Due to data limitations the analysis underestimated the value of benefits achieved by TtW related to reduced incarceration of participants. </w:t>
      </w:r>
      <w:r w:rsidR="00296048">
        <w:t>T</w:t>
      </w:r>
      <w:r w:rsidR="00942131" w:rsidRPr="00122A56">
        <w:t xml:space="preserve">he value placed on </w:t>
      </w:r>
      <w:r w:rsidR="00CD1DEE">
        <w:t xml:space="preserve">changes in </w:t>
      </w:r>
      <w:r w:rsidR="00F70D2A">
        <w:t xml:space="preserve">human capabilities and </w:t>
      </w:r>
      <w:r w:rsidR="00942131" w:rsidRPr="00122A56">
        <w:t xml:space="preserve">wellbeing </w:t>
      </w:r>
      <w:r w:rsidR="00CD1DEE">
        <w:t xml:space="preserve">attributable to TtW </w:t>
      </w:r>
      <w:r w:rsidR="003D03FA">
        <w:t>was presented as a range, and this proved to be</w:t>
      </w:r>
      <w:r w:rsidR="00942131" w:rsidRPr="00122A56">
        <w:t xml:space="preserve"> </w:t>
      </w:r>
      <w:r w:rsidR="004F4ABF">
        <w:t>a</w:t>
      </w:r>
      <w:r w:rsidR="00942131" w:rsidRPr="00122A56">
        <w:t xml:space="preserve"> determining factor </w:t>
      </w:r>
      <w:r w:rsidR="003D03FA">
        <w:t>regarding</w:t>
      </w:r>
      <w:r w:rsidR="00942131" w:rsidRPr="00122A56">
        <w:t xml:space="preserve"> whether TtW offers value for money.</w:t>
      </w:r>
      <w:bookmarkEnd w:id="45"/>
    </w:p>
    <w:p w14:paraId="3DD89EF1" w14:textId="528A90A3" w:rsidR="00DA4921" w:rsidRDefault="00DA4921" w:rsidP="00D41004">
      <w:pPr>
        <w:pStyle w:val="Heading2"/>
        <w:numPr>
          <w:ilvl w:val="0"/>
          <w:numId w:val="0"/>
        </w:numPr>
      </w:pPr>
      <w:bookmarkStart w:id="46" w:name="_Toc132650430"/>
      <w:bookmarkStart w:id="47" w:name="_Toc146033453"/>
      <w:r>
        <w:t>Conclusion</w:t>
      </w:r>
      <w:bookmarkEnd w:id="46"/>
      <w:bookmarkEnd w:id="47"/>
    </w:p>
    <w:p w14:paraId="6808AAF6" w14:textId="02071BA2" w:rsidR="00C20419" w:rsidRDefault="5855F546" w:rsidP="00C20419">
      <w:bookmarkStart w:id="48" w:name="_Hlk146186127"/>
      <w:r>
        <w:t>Moving from education to work is a key phase in a young person</w:t>
      </w:r>
      <w:r w:rsidR="00F8391B">
        <w:t>’</w:t>
      </w:r>
      <w:r>
        <w:t xml:space="preserve">s life and is undertaken during a period when young people are experiencing rapid physical, biological and psychological changes, as well as changes in their social and economic circumstances as they move into </w:t>
      </w:r>
      <w:r w:rsidRPr="00754FAF">
        <w:t>adulthood. A young person</w:t>
      </w:r>
      <w:r w:rsidR="00F8391B">
        <w:t>’</w:t>
      </w:r>
      <w:r w:rsidRPr="00754FAF">
        <w:t xml:space="preserve">s experience during this time can influence their work choices </w:t>
      </w:r>
      <w:r w:rsidR="00754FAF" w:rsidRPr="00754FAF">
        <w:t>and options,</w:t>
      </w:r>
      <w:r w:rsidRPr="00754FAF">
        <w:t xml:space="preserve"> </w:t>
      </w:r>
      <w:r w:rsidR="00754FAF" w:rsidRPr="00754FAF">
        <w:t xml:space="preserve">their mental health and general wellbeing and </w:t>
      </w:r>
      <w:r w:rsidR="00C73818" w:rsidRPr="00754FAF">
        <w:t>the</w:t>
      </w:r>
      <w:r w:rsidR="00966A87" w:rsidRPr="00754FAF">
        <w:t>ir ability to contribute more broadly to society</w:t>
      </w:r>
      <w:r w:rsidRPr="00754FAF">
        <w:t>.</w:t>
      </w:r>
    </w:p>
    <w:p w14:paraId="2F93A112" w14:textId="65BBBB8A" w:rsidR="00C20419" w:rsidRDefault="00212BCA" w:rsidP="00C20419">
      <w:r>
        <w:t>TtW target</w:t>
      </w:r>
      <w:r w:rsidR="0079703C">
        <w:t>s</w:t>
      </w:r>
      <w:r>
        <w:t xml:space="preserve"> young people who have not completed </w:t>
      </w:r>
      <w:r w:rsidR="00D72C75">
        <w:t>Y</w:t>
      </w:r>
      <w:r>
        <w:t>ear 12, are disengaged from work or education and/or are Aboriginal or Torres Strait islander. By design, the</w:t>
      </w:r>
      <w:r w:rsidR="00C20419">
        <w:t xml:space="preserve"> TtW cohort </w:t>
      </w:r>
      <w:r>
        <w:t>have very low labour market competitiveness, facing</w:t>
      </w:r>
      <w:r w:rsidR="00C20419">
        <w:t xml:space="preserve"> both vocational and non-vocational barriers </w:t>
      </w:r>
      <w:r>
        <w:t xml:space="preserve">in their </w:t>
      </w:r>
      <w:r w:rsidR="00C20419">
        <w:t xml:space="preserve">transition from school to work. </w:t>
      </w:r>
      <w:r w:rsidR="00C73818">
        <w:t xml:space="preserve">Whether by </w:t>
      </w:r>
      <w:r w:rsidR="00D424BD">
        <w:t xml:space="preserve">accident or </w:t>
      </w:r>
      <w:r w:rsidR="00C73818">
        <w:t xml:space="preserve">design, </w:t>
      </w:r>
      <w:r w:rsidR="00C20419">
        <w:t xml:space="preserve">TtW uses a capability approach to build the skills and attitude </w:t>
      </w:r>
      <w:r w:rsidR="004F4ABF">
        <w:t>participants</w:t>
      </w:r>
      <w:r w:rsidR="00C20419">
        <w:t xml:space="preserve"> need </w:t>
      </w:r>
      <w:r w:rsidR="004F7225">
        <w:t>in their transition</w:t>
      </w:r>
      <w:r w:rsidR="00C20419">
        <w:t xml:space="preserve"> to </w:t>
      </w:r>
      <w:r w:rsidR="00C20419" w:rsidRPr="002E048D">
        <w:t>work.</w:t>
      </w:r>
    </w:p>
    <w:p w14:paraId="38F9BFBC" w14:textId="04173E8E" w:rsidR="0079703C" w:rsidRPr="00956075" w:rsidRDefault="0079703C" w:rsidP="00C20419">
      <w:r>
        <w:t>There is strong evidence that</w:t>
      </w:r>
      <w:r w:rsidR="003E3C0F">
        <w:t>, for this highly disadvantaged group,</w:t>
      </w:r>
      <w:r>
        <w:t xml:space="preserve"> the TtW program has a positive impact on building participants</w:t>
      </w:r>
      <w:r w:rsidR="00F8391B">
        <w:t>’</w:t>
      </w:r>
      <w:r>
        <w:t xml:space="preserve"> human capabilities and </w:t>
      </w:r>
      <w:r w:rsidR="003E3C0F">
        <w:t xml:space="preserve">adult life skills, and </w:t>
      </w:r>
      <w:r>
        <w:t>increasing their wellbeing. These human capabilities are fundamental to participants</w:t>
      </w:r>
      <w:r w:rsidR="00F8391B">
        <w:t>’</w:t>
      </w:r>
      <w:r>
        <w:t xml:space="preserve"> engagement with employment services, education and employment and</w:t>
      </w:r>
      <w:r w:rsidR="00A02B89">
        <w:t xml:space="preserve"> –</w:t>
      </w:r>
      <w:r>
        <w:t xml:space="preserve"> together with improved wellbeing and reduced recidivism</w:t>
      </w:r>
      <w:r w:rsidR="00A02B89">
        <w:t xml:space="preserve"> –</w:t>
      </w:r>
      <w:r>
        <w:t xml:space="preserve"> they represent a significant social value and return on investment. </w:t>
      </w:r>
      <w:r w:rsidR="00EE6D58">
        <w:t>The</w:t>
      </w:r>
      <w:r w:rsidR="002D52D0">
        <w:t xml:space="preserve">re is also evidence that </w:t>
      </w:r>
      <w:r w:rsidR="00EE6D58">
        <w:t xml:space="preserve">TtW is as effective as the mainstream employment program </w:t>
      </w:r>
      <w:r w:rsidR="00D424BD">
        <w:t xml:space="preserve">(which had a strong compliance regime) </w:t>
      </w:r>
      <w:r w:rsidR="00EE6D58">
        <w:t>at supporting disadvantaged young people to engage in employment and reduce their income support reliance in the medium term (</w:t>
      </w:r>
      <w:r w:rsidR="00AC24C4">
        <w:t xml:space="preserve">3 </w:t>
      </w:r>
      <w:r w:rsidR="00EE6D58">
        <w:t xml:space="preserve">to </w:t>
      </w:r>
      <w:r w:rsidR="00AC24C4">
        <w:t>4</w:t>
      </w:r>
      <w:r w:rsidR="00EE6D58">
        <w:t xml:space="preserve"> </w:t>
      </w:r>
      <w:r w:rsidR="00EE6D58" w:rsidRPr="00956075">
        <w:t>years).</w:t>
      </w:r>
    </w:p>
    <w:p w14:paraId="4D96F320" w14:textId="211CA698" w:rsidR="00C20419" w:rsidRPr="00956075" w:rsidRDefault="008B35F5" w:rsidP="00C20419">
      <w:r w:rsidRPr="00956075">
        <w:t>These outcomes demonstrate that the TtW model services young people who are at risk of long-term employment</w:t>
      </w:r>
      <w:r w:rsidR="0034125E">
        <w:t xml:space="preserve"> </w:t>
      </w:r>
      <w:r w:rsidR="00D424BD">
        <w:t xml:space="preserve">in a more holistic way </w:t>
      </w:r>
      <w:r w:rsidR="00754FAF">
        <w:t>tha</w:t>
      </w:r>
      <w:r w:rsidR="00A02B89">
        <w:t>n</w:t>
      </w:r>
      <w:r w:rsidR="00754FAF">
        <w:t xml:space="preserve"> the mainstream employment program </w:t>
      </w:r>
      <w:r w:rsidR="0034125E">
        <w:t xml:space="preserve">and offers </w:t>
      </w:r>
      <w:r w:rsidR="0034125E">
        <w:lastRenderedPageBreak/>
        <w:t>value for money</w:t>
      </w:r>
      <w:r w:rsidR="00447A3D" w:rsidRPr="00956075">
        <w:t xml:space="preserve">. </w:t>
      </w:r>
      <w:r w:rsidR="0034125E">
        <w:t>The research</w:t>
      </w:r>
      <w:r w:rsidR="00EE6D58" w:rsidRPr="00956075">
        <w:t xml:space="preserve"> </w:t>
      </w:r>
      <w:r w:rsidR="5855F546" w:rsidRPr="00956075">
        <w:t xml:space="preserve">provides more evidence that it takes time for young people experiencing </w:t>
      </w:r>
      <w:r w:rsidR="00CB6442" w:rsidRPr="00956075">
        <w:t xml:space="preserve">vocational and non-vocational </w:t>
      </w:r>
      <w:r w:rsidR="5855F546" w:rsidRPr="00956075">
        <w:t xml:space="preserve">barriers to employment to build the skills and personal capabilities they need to move into sustainable work. </w:t>
      </w:r>
      <w:r w:rsidR="00447A3D" w:rsidRPr="00956075">
        <w:t xml:space="preserve">It also </w:t>
      </w:r>
      <w:r w:rsidR="00956075" w:rsidRPr="00956075">
        <w:t xml:space="preserve">acknowledges the interconnectedness of employment services with other support services, and </w:t>
      </w:r>
      <w:r w:rsidR="00447A3D" w:rsidRPr="00956075">
        <w:t>indicates that these highly disadvantaged young people face structural barriers to achieving sustainable employment in the longer term.</w:t>
      </w:r>
    </w:p>
    <w:p w14:paraId="24A6B6A7" w14:textId="20D2BC7D" w:rsidR="00091059" w:rsidRDefault="008B35F5" w:rsidP="005B0984">
      <w:r w:rsidRPr="00956075">
        <w:t>The extent to which the development of human capability might lead to a future reduction in</w:t>
      </w:r>
      <w:r>
        <w:t xml:space="preserve"> lifetime welfare dependency and intergenerational </w:t>
      </w:r>
      <w:r w:rsidR="00D424BD">
        <w:t xml:space="preserve">disadvantage </w:t>
      </w:r>
      <w:r>
        <w:t>needs to be the subject of future longitudinal studies.</w:t>
      </w:r>
    </w:p>
    <w:bookmarkEnd w:id="48"/>
    <w:p w14:paraId="00C916B0" w14:textId="0ECDB225" w:rsidR="00091059" w:rsidRPr="00091059" w:rsidRDefault="00091059" w:rsidP="00BB5352">
      <w:pPr>
        <w:pStyle w:val="Heading1"/>
        <w:numPr>
          <w:ilvl w:val="0"/>
          <w:numId w:val="0"/>
        </w:numPr>
      </w:pPr>
      <w:r>
        <w:br w:type="column"/>
      </w:r>
      <w:bookmarkStart w:id="49" w:name="_Toc72481781"/>
      <w:bookmarkStart w:id="50" w:name="_Toc146033454"/>
      <w:r w:rsidRPr="00091059">
        <w:lastRenderedPageBreak/>
        <w:t>Departmental response to the Transition to Work Supplementary Evaluation Report</w:t>
      </w:r>
      <w:bookmarkEnd w:id="49"/>
      <w:r w:rsidRPr="00091059">
        <w:t xml:space="preserve"> (2022)</w:t>
      </w:r>
      <w:bookmarkEnd w:id="50"/>
    </w:p>
    <w:p w14:paraId="3D781D1A" w14:textId="77777777" w:rsidR="00091059" w:rsidRPr="00034F5E" w:rsidRDefault="00091059" w:rsidP="00091059">
      <w:pPr>
        <w:pStyle w:val="Heading2"/>
        <w:numPr>
          <w:ilvl w:val="0"/>
          <w:numId w:val="0"/>
        </w:numPr>
      </w:pPr>
      <w:bookmarkStart w:id="51" w:name="_Toc146033455"/>
      <w:r>
        <w:t>Transition to Work context</w:t>
      </w:r>
      <w:bookmarkEnd w:id="51"/>
    </w:p>
    <w:p w14:paraId="44014D02" w14:textId="77777777" w:rsidR="00091059" w:rsidRDefault="00091059" w:rsidP="00091059">
      <w:pPr>
        <w:shd w:val="clear" w:color="auto" w:fill="FFFFFF"/>
        <w:spacing w:after="120"/>
        <w:rPr>
          <w:rFonts w:cstheme="minorHAnsi"/>
        </w:rPr>
      </w:pPr>
      <w:r w:rsidRPr="00E575D9">
        <w:rPr>
          <w:rFonts w:cstheme="minorHAnsi"/>
        </w:rPr>
        <w:t>Transition to Work</w:t>
      </w:r>
      <w:r>
        <w:rPr>
          <w:rFonts w:cstheme="minorHAnsi"/>
        </w:rPr>
        <w:t xml:space="preserve"> (TtW)</w:t>
      </w:r>
      <w:r w:rsidRPr="00E575D9">
        <w:rPr>
          <w:rFonts w:cstheme="minorHAnsi"/>
        </w:rPr>
        <w:t xml:space="preserve"> is </w:t>
      </w:r>
      <w:r>
        <w:rPr>
          <w:rFonts w:cstheme="minorHAnsi"/>
        </w:rPr>
        <w:t>the</w:t>
      </w:r>
      <w:r w:rsidRPr="00E575D9">
        <w:rPr>
          <w:rFonts w:cstheme="minorHAnsi"/>
        </w:rPr>
        <w:t xml:space="preserve"> youth</w:t>
      </w:r>
      <w:r>
        <w:rPr>
          <w:rFonts w:cstheme="minorHAnsi"/>
        </w:rPr>
        <w:t>-</w:t>
      </w:r>
      <w:r w:rsidRPr="00E575D9">
        <w:rPr>
          <w:rFonts w:cstheme="minorHAnsi"/>
        </w:rPr>
        <w:t xml:space="preserve">focused pre-employment service that operates alongside the </w:t>
      </w:r>
      <w:r>
        <w:rPr>
          <w:rFonts w:cstheme="minorHAnsi"/>
        </w:rPr>
        <w:t>Australian Government’s</w:t>
      </w:r>
      <w:r w:rsidRPr="00E575D9">
        <w:rPr>
          <w:rFonts w:cstheme="minorHAnsi"/>
        </w:rPr>
        <w:t xml:space="preserve"> mainstream employment service. It targets early school leavers and young people who are at heightened risk of not making a successful transition from education into work. </w:t>
      </w:r>
    </w:p>
    <w:p w14:paraId="00F40D83" w14:textId="77777777" w:rsidR="00091059" w:rsidRPr="00645D7C" w:rsidRDefault="00091059" w:rsidP="00091059">
      <w:pPr>
        <w:shd w:val="clear" w:color="auto" w:fill="FFFFFF"/>
        <w:spacing w:after="120"/>
        <w:rPr>
          <w:rFonts w:eastAsia="Times New Roman" w:cstheme="minorHAnsi"/>
          <w:color w:val="000000"/>
          <w:lang w:eastAsia="en-AU"/>
        </w:rPr>
      </w:pPr>
      <w:r w:rsidRPr="00645D7C">
        <w:rPr>
          <w:rFonts w:eastAsia="Times New Roman" w:cstheme="minorHAnsi"/>
          <w:color w:val="000000"/>
          <w:lang w:eastAsia="en-AU"/>
        </w:rPr>
        <w:t xml:space="preserve">Participants </w:t>
      </w:r>
      <w:r>
        <w:rPr>
          <w:rFonts w:eastAsia="Times New Roman" w:cstheme="minorHAnsi"/>
          <w:color w:val="000000"/>
          <w:lang w:eastAsia="en-AU"/>
        </w:rPr>
        <w:t xml:space="preserve">in TtW (now Workforce Australia – Transition to Work) </w:t>
      </w:r>
      <w:r w:rsidRPr="00645D7C">
        <w:rPr>
          <w:rFonts w:eastAsia="Times New Roman" w:cstheme="minorHAnsi"/>
          <w:color w:val="000000"/>
          <w:lang w:eastAsia="en-AU"/>
        </w:rPr>
        <w:t>receive intensive support from youth-specialist providers to finish their education, connect with further education or training, develop skills to get a job, address obstacles to employment</w:t>
      </w:r>
      <w:r>
        <w:rPr>
          <w:rFonts w:eastAsia="Times New Roman" w:cstheme="minorHAnsi"/>
          <w:color w:val="000000"/>
          <w:lang w:eastAsia="en-AU"/>
        </w:rPr>
        <w:t>,</w:t>
      </w:r>
      <w:r w:rsidRPr="00645D7C">
        <w:rPr>
          <w:rFonts w:eastAsia="Times New Roman" w:cstheme="minorHAnsi"/>
          <w:color w:val="000000"/>
          <w:lang w:eastAsia="en-AU"/>
        </w:rPr>
        <w:t xml:space="preserve"> and connect with community organisations and other government agencies to access support.</w:t>
      </w:r>
      <w:r>
        <w:rPr>
          <w:rFonts w:eastAsia="Times New Roman" w:cstheme="minorHAnsi"/>
          <w:color w:val="000000"/>
          <w:lang w:eastAsia="en-AU"/>
        </w:rPr>
        <w:t xml:space="preserve"> </w:t>
      </w:r>
    </w:p>
    <w:p w14:paraId="2DB70E84" w14:textId="77777777" w:rsidR="00091059" w:rsidRPr="00E1246D" w:rsidRDefault="00091059" w:rsidP="00091059">
      <w:pPr>
        <w:spacing w:after="120"/>
        <w:rPr>
          <w:rFonts w:cstheme="minorHAnsi"/>
          <w:noProof/>
        </w:rPr>
      </w:pPr>
      <w:r>
        <w:rPr>
          <w:rFonts w:cstheme="minorHAnsi"/>
          <w:noProof/>
        </w:rPr>
        <w:t>TtW</w:t>
      </w:r>
      <w:r w:rsidRPr="00E575D9">
        <w:rPr>
          <w:rFonts w:cstheme="minorHAnsi"/>
          <w:noProof/>
        </w:rPr>
        <w:t xml:space="preserve"> providers address participants’ needs through a holistic and personalised approach that assesses and builds their</w:t>
      </w:r>
      <w:r w:rsidRPr="00E575D9" w:rsidDel="00E47378">
        <w:rPr>
          <w:rFonts w:cstheme="minorHAnsi"/>
          <w:noProof/>
        </w:rPr>
        <w:t xml:space="preserve"> </w:t>
      </w:r>
      <w:r w:rsidRPr="00E575D9">
        <w:rPr>
          <w:rFonts w:cstheme="minorHAnsi"/>
          <w:noProof/>
        </w:rPr>
        <w:t xml:space="preserve">human </w:t>
      </w:r>
      <w:r w:rsidRPr="00E575D9" w:rsidDel="00E47378">
        <w:rPr>
          <w:rFonts w:cstheme="minorHAnsi"/>
          <w:noProof/>
        </w:rPr>
        <w:t>capability</w:t>
      </w:r>
      <w:r w:rsidRPr="00E575D9">
        <w:rPr>
          <w:rFonts w:cstheme="minorHAnsi"/>
          <w:noProof/>
        </w:rPr>
        <w:t>. The service was designed to ensure providers work alongside disengaged and disadvantaged young people, establishing trust with them and enlisting them as an agent of their own change.</w:t>
      </w:r>
      <w:r>
        <w:rPr>
          <w:rFonts w:cstheme="minorHAnsi"/>
          <w:noProof/>
        </w:rPr>
        <w:t xml:space="preserve"> </w:t>
      </w:r>
    </w:p>
    <w:p w14:paraId="62B4B312" w14:textId="77777777" w:rsidR="00091059" w:rsidRPr="000B6024" w:rsidRDefault="00091059" w:rsidP="00091059">
      <w:pPr>
        <w:pStyle w:val="Heading2"/>
        <w:numPr>
          <w:ilvl w:val="0"/>
          <w:numId w:val="0"/>
        </w:numPr>
      </w:pPr>
      <w:bookmarkStart w:id="52" w:name="_Toc146033456"/>
      <w:r>
        <w:t>Design principles and continuous improvement</w:t>
      </w:r>
      <w:bookmarkEnd w:id="52"/>
    </w:p>
    <w:p w14:paraId="4946AC11" w14:textId="77777777" w:rsidR="00091059" w:rsidRPr="00AB4C97" w:rsidRDefault="00091059" w:rsidP="00091059">
      <w:pPr>
        <w:shd w:val="clear" w:color="auto" w:fill="FFFFFF"/>
        <w:spacing w:after="120"/>
        <w:rPr>
          <w:rFonts w:eastAsia="Times New Roman" w:cstheme="minorHAnsi"/>
          <w:color w:val="000000"/>
          <w:lang w:eastAsia="en-AU"/>
        </w:rPr>
      </w:pPr>
      <w:r>
        <w:rPr>
          <w:rFonts w:cstheme="minorHAnsi"/>
          <w:noProof/>
        </w:rPr>
        <w:t>T</w:t>
      </w:r>
      <w:r w:rsidRPr="00E575D9">
        <w:rPr>
          <w:rFonts w:cstheme="minorHAnsi"/>
          <w:noProof/>
        </w:rPr>
        <w:t xml:space="preserve">he </w:t>
      </w:r>
      <w:r>
        <w:rPr>
          <w:rFonts w:cstheme="minorHAnsi"/>
          <w:noProof/>
        </w:rPr>
        <w:t xml:space="preserve">TtW </w:t>
      </w:r>
      <w:r w:rsidRPr="00E575D9">
        <w:rPr>
          <w:rFonts w:cstheme="minorHAnsi"/>
          <w:noProof/>
        </w:rPr>
        <w:t xml:space="preserve">service is designed </w:t>
      </w:r>
      <w:r w:rsidRPr="00E575D9">
        <w:rPr>
          <w:rFonts w:cstheme="minorHAnsi"/>
        </w:rPr>
        <w:t xml:space="preserve">to empower </w:t>
      </w:r>
      <w:r>
        <w:rPr>
          <w:rFonts w:cstheme="minorHAnsi"/>
        </w:rPr>
        <w:t>p</w:t>
      </w:r>
      <w:r w:rsidRPr="00E575D9">
        <w:rPr>
          <w:rFonts w:cstheme="minorHAnsi"/>
        </w:rPr>
        <w:t xml:space="preserve">articipants to make successful transitions to employment and contribute to the economic, social and cultural life of Australia. </w:t>
      </w:r>
      <w:r>
        <w:rPr>
          <w:rFonts w:eastAsia="Times New Roman" w:cstheme="minorHAnsi"/>
          <w:color w:val="000000"/>
          <w:lang w:eastAsia="en-AU"/>
        </w:rPr>
        <w:t>P</w:t>
      </w:r>
      <w:r w:rsidRPr="00AB4C97">
        <w:rPr>
          <w:rFonts w:eastAsia="Times New Roman" w:cstheme="minorHAnsi"/>
          <w:color w:val="000000"/>
          <w:lang w:eastAsia="en-AU"/>
        </w:rPr>
        <w:t>roviders deliver services that build the human capability of young people by assisting them to:</w:t>
      </w:r>
    </w:p>
    <w:p w14:paraId="3743E756" w14:textId="77777777" w:rsidR="00091059" w:rsidRPr="00456C86" w:rsidRDefault="00091059" w:rsidP="006A7F40">
      <w:pPr>
        <w:pStyle w:val="ListBullet"/>
      </w:pPr>
      <w:r w:rsidRPr="00456C86">
        <w:t>manage vocational and non-vocational obstacles to employment and education</w:t>
      </w:r>
    </w:p>
    <w:p w14:paraId="430E9BF1" w14:textId="77777777" w:rsidR="00091059" w:rsidRPr="00456C86" w:rsidRDefault="00091059" w:rsidP="006A7F40">
      <w:pPr>
        <w:pStyle w:val="ListBullet"/>
      </w:pPr>
      <w:r w:rsidRPr="00456C86">
        <w:t>gain and retain sustainable employment – including apprenticeships or traineeships</w:t>
      </w:r>
    </w:p>
    <w:p w14:paraId="22815441" w14:textId="77777777" w:rsidR="00091059" w:rsidRPr="00456C86" w:rsidRDefault="00091059" w:rsidP="006A7F40">
      <w:pPr>
        <w:pStyle w:val="ListBullet"/>
      </w:pPr>
      <w:r w:rsidRPr="00456C86">
        <w:t>engage in targeted education/training to improve long-term employment prospects</w:t>
      </w:r>
    </w:p>
    <w:p w14:paraId="568A0413" w14:textId="77777777" w:rsidR="00091059" w:rsidRPr="00456C86" w:rsidRDefault="00091059" w:rsidP="006A7F40">
      <w:pPr>
        <w:pStyle w:val="ListBullet"/>
      </w:pPr>
      <w:r w:rsidRPr="00456C86">
        <w:t>develop and enhance employability skills and work readiness</w:t>
      </w:r>
    </w:p>
    <w:p w14:paraId="07CB2B2A" w14:textId="77777777" w:rsidR="00091059" w:rsidRPr="00456C86" w:rsidRDefault="00091059" w:rsidP="006A7F40">
      <w:pPr>
        <w:pStyle w:val="ListBullet"/>
      </w:pPr>
      <w:r w:rsidRPr="00456C86">
        <w:t>identify and explore career options</w:t>
      </w:r>
    </w:p>
    <w:p w14:paraId="1843B111" w14:textId="77777777" w:rsidR="00091059" w:rsidRPr="00456C86" w:rsidRDefault="00091059" w:rsidP="006A7F40">
      <w:pPr>
        <w:pStyle w:val="ListBullet"/>
      </w:pPr>
      <w:r w:rsidRPr="00456C86">
        <w:t>recognise and address identified mental ill-health concerns</w:t>
      </w:r>
    </w:p>
    <w:p w14:paraId="77ECA599" w14:textId="77777777" w:rsidR="00091059" w:rsidRPr="00456C86" w:rsidRDefault="00091059" w:rsidP="006A7F40">
      <w:pPr>
        <w:pStyle w:val="ListBullet"/>
      </w:pPr>
      <w:r w:rsidRPr="00456C86">
        <w:t>connect with local community support services</w:t>
      </w:r>
    </w:p>
    <w:p w14:paraId="4C99E946" w14:textId="77777777" w:rsidR="00091059" w:rsidRPr="00456C86" w:rsidRDefault="00091059" w:rsidP="006A7F40">
      <w:pPr>
        <w:pStyle w:val="ListBullet"/>
      </w:pPr>
      <w:r w:rsidRPr="00456C86">
        <w:t>make informed decisions about pathways to employment and education.</w:t>
      </w:r>
    </w:p>
    <w:p w14:paraId="479704A9" w14:textId="77777777" w:rsidR="00091059" w:rsidRPr="00E575D9" w:rsidRDefault="00091059" w:rsidP="00091059">
      <w:pPr>
        <w:spacing w:after="120"/>
        <w:rPr>
          <w:rFonts w:cstheme="minorHAnsi"/>
          <w:noProof/>
        </w:rPr>
      </w:pPr>
      <w:r w:rsidRPr="00E575D9">
        <w:rPr>
          <w:rFonts w:cstheme="minorHAnsi"/>
          <w:noProof/>
        </w:rPr>
        <w:t xml:space="preserve">The core elements which made Transition to Work successful and trusted by the community </w:t>
      </w:r>
      <w:r>
        <w:rPr>
          <w:rFonts w:cstheme="minorHAnsi"/>
          <w:noProof/>
        </w:rPr>
        <w:t xml:space="preserve">during the previous contract (2016–2022) and the evaluation period </w:t>
      </w:r>
      <w:r w:rsidRPr="00E575D9">
        <w:rPr>
          <w:rFonts w:cstheme="minorHAnsi"/>
          <w:noProof/>
        </w:rPr>
        <w:t>have been maintained in the current contract (</w:t>
      </w:r>
      <w:r>
        <w:rPr>
          <w:rFonts w:cstheme="minorHAnsi"/>
          <w:noProof/>
        </w:rPr>
        <w:t>Workforce Australia – Transition to Work</w:t>
      </w:r>
      <w:r w:rsidRPr="00E575D9">
        <w:rPr>
          <w:rFonts w:cstheme="minorHAnsi"/>
          <w:noProof/>
        </w:rPr>
        <w:t xml:space="preserve"> 2022</w:t>
      </w:r>
      <w:r>
        <w:rPr>
          <w:rFonts w:cstheme="minorHAnsi"/>
          <w:noProof/>
        </w:rPr>
        <w:t>–20</w:t>
      </w:r>
      <w:r w:rsidRPr="00E575D9">
        <w:rPr>
          <w:rFonts w:cstheme="minorHAnsi"/>
          <w:noProof/>
        </w:rPr>
        <w:t xml:space="preserve">27). These elements include: </w:t>
      </w:r>
    </w:p>
    <w:p w14:paraId="079AA642" w14:textId="77777777" w:rsidR="00091059" w:rsidRPr="00E575D9" w:rsidRDefault="00091059" w:rsidP="006A7F40">
      <w:pPr>
        <w:pStyle w:val="ListBullet"/>
        <w:rPr>
          <w:noProof/>
        </w:rPr>
      </w:pPr>
      <w:r w:rsidRPr="00E575D9">
        <w:rPr>
          <w:noProof/>
        </w:rPr>
        <w:t>flexible service delivery, empowering providers to deliver tailored supports to</w:t>
      </w:r>
      <w:r>
        <w:rPr>
          <w:noProof/>
        </w:rPr>
        <w:t xml:space="preserve"> address</w:t>
      </w:r>
      <w:r w:rsidRPr="00E575D9">
        <w:rPr>
          <w:noProof/>
        </w:rPr>
        <w:t xml:space="preserve"> participants’ needs </w:t>
      </w:r>
    </w:p>
    <w:p w14:paraId="52E8E3CE" w14:textId="3692EA6D" w:rsidR="00091059" w:rsidRPr="00E575D9" w:rsidRDefault="00091059" w:rsidP="006A7F40">
      <w:pPr>
        <w:pStyle w:val="ListBullet"/>
        <w:rPr>
          <w:noProof/>
        </w:rPr>
      </w:pPr>
      <w:r w:rsidRPr="00E575D9">
        <w:rPr>
          <w:noProof/>
        </w:rPr>
        <w:t>an equal focus on employment and education</w:t>
      </w:r>
    </w:p>
    <w:p w14:paraId="4B7827A8" w14:textId="3D38229A" w:rsidR="00091059" w:rsidRDefault="00091059" w:rsidP="006A7F40">
      <w:pPr>
        <w:pStyle w:val="ListBullet"/>
        <w:rPr>
          <w:noProof/>
        </w:rPr>
      </w:pPr>
      <w:r w:rsidRPr="00E575D9">
        <w:rPr>
          <w:noProof/>
        </w:rPr>
        <w:t>a non</w:t>
      </w:r>
      <w:r>
        <w:rPr>
          <w:noProof/>
        </w:rPr>
        <w:t>-</w:t>
      </w:r>
      <w:r w:rsidRPr="00E575D9">
        <w:rPr>
          <w:noProof/>
        </w:rPr>
        <w:t>competitive service delivery environm</w:t>
      </w:r>
      <w:r>
        <w:rPr>
          <w:noProof/>
        </w:rPr>
        <w:t>e</w:t>
      </w:r>
      <w:r w:rsidRPr="00E575D9">
        <w:rPr>
          <w:noProof/>
        </w:rPr>
        <w:t>nt, supporting providers to collaborate with each other and build strong community relationships</w:t>
      </w:r>
    </w:p>
    <w:p w14:paraId="5B963F5B" w14:textId="2D9440F8" w:rsidR="00091059" w:rsidRDefault="00091059" w:rsidP="006A7F40">
      <w:pPr>
        <w:pStyle w:val="ListBullet"/>
        <w:rPr>
          <w:noProof/>
        </w:rPr>
      </w:pPr>
      <w:r>
        <w:rPr>
          <w:noProof/>
        </w:rPr>
        <w:t>access for disengaged young people not in receipt of income support.</w:t>
      </w:r>
    </w:p>
    <w:p w14:paraId="2E097268" w14:textId="6CB6A989" w:rsidR="00091059" w:rsidRDefault="00091059" w:rsidP="00091059">
      <w:pPr>
        <w:spacing w:after="120"/>
        <w:rPr>
          <w:noProof/>
        </w:rPr>
      </w:pPr>
      <w:r>
        <w:rPr>
          <w:noProof/>
        </w:rPr>
        <w:t xml:space="preserve">Program enhancements from July 2022 have seen eligibility for the service expanded to include a greater number of young people who are experiencing complex non-vocational barriers, as well as more robust participant engagement and provider performance frameworks. These changes were </w:t>
      </w:r>
      <w:r>
        <w:rPr>
          <w:noProof/>
        </w:rPr>
        <w:lastRenderedPageBreak/>
        <w:t>informed by program monitoring and evaluations, as well as stakeholder feedback. The impacts of these changes are yet to be evaluated.</w:t>
      </w:r>
    </w:p>
    <w:p w14:paraId="3B76CC49" w14:textId="2B8D2776" w:rsidR="00091059" w:rsidRDefault="00091059" w:rsidP="00091059">
      <w:pPr>
        <w:pStyle w:val="Heading2"/>
        <w:numPr>
          <w:ilvl w:val="0"/>
          <w:numId w:val="0"/>
        </w:numPr>
      </w:pPr>
      <w:bookmarkStart w:id="53" w:name="_Toc146033457"/>
      <w:r>
        <w:t>Supplementary evaluation findings</w:t>
      </w:r>
      <w:bookmarkEnd w:id="53"/>
    </w:p>
    <w:p w14:paraId="5787D174" w14:textId="612FAAA3" w:rsidR="00091059" w:rsidRPr="00AB4C97" w:rsidRDefault="00091059" w:rsidP="00091059">
      <w:pPr>
        <w:keepLines/>
        <w:spacing w:after="120"/>
        <w:rPr>
          <w:noProof/>
        </w:rPr>
      </w:pPr>
      <w:r>
        <w:rPr>
          <w:noProof/>
        </w:rPr>
        <w:t>T</w:t>
      </w:r>
      <w:r w:rsidRPr="00020D72">
        <w:rPr>
          <w:noProof/>
        </w:rPr>
        <w:t>his supplentary evaluation builds on the findings</w:t>
      </w:r>
      <w:r w:rsidRPr="00020D72">
        <w:t xml:space="preserve"> of the</w:t>
      </w:r>
      <w:r w:rsidRPr="00020D72">
        <w:rPr>
          <w:noProof/>
        </w:rPr>
        <w:t xml:space="preserve"> </w:t>
      </w:r>
      <w:r w:rsidRPr="00020D72">
        <w:t xml:space="preserve">Transition to Work Final Evaluation Report </w:t>
      </w:r>
      <w:r>
        <w:t>(</w:t>
      </w:r>
      <w:r w:rsidRPr="00020D72">
        <w:t>2021</w:t>
      </w:r>
      <w:r>
        <w:t xml:space="preserve">). </w:t>
      </w:r>
      <w:r w:rsidRPr="00AB4C97">
        <w:rPr>
          <w:noProof/>
        </w:rPr>
        <w:t xml:space="preserve">The </w:t>
      </w:r>
      <w:r>
        <w:rPr>
          <w:noProof/>
        </w:rPr>
        <w:t>d</w:t>
      </w:r>
      <w:r w:rsidRPr="00AB4C97">
        <w:rPr>
          <w:noProof/>
        </w:rPr>
        <w:t xml:space="preserve">epartment </w:t>
      </w:r>
      <w:r>
        <w:rPr>
          <w:noProof/>
        </w:rPr>
        <w:t xml:space="preserve">welcomes the findings of this report and </w:t>
      </w:r>
      <w:r w:rsidRPr="00AB4C97">
        <w:rPr>
          <w:noProof/>
        </w:rPr>
        <w:t xml:space="preserve">acknowledges that </w:t>
      </w:r>
      <w:r>
        <w:rPr>
          <w:noProof/>
        </w:rPr>
        <w:t xml:space="preserve">it </w:t>
      </w:r>
      <w:r w:rsidRPr="00AB4C97">
        <w:t xml:space="preserve">provides further valuable insights into the impact of the service. The findings of this report will </w:t>
      </w:r>
      <w:r w:rsidRPr="00AB4C97">
        <w:rPr>
          <w:noProof/>
        </w:rPr>
        <w:t xml:space="preserve">inform continued development and iteration of </w:t>
      </w:r>
      <w:r>
        <w:rPr>
          <w:noProof/>
        </w:rPr>
        <w:t>g</w:t>
      </w:r>
      <w:r w:rsidRPr="00AB4C97">
        <w:rPr>
          <w:noProof/>
        </w:rPr>
        <w:t>overnment employment programs.</w:t>
      </w:r>
    </w:p>
    <w:p w14:paraId="107B2D2E" w14:textId="7E6C5DAB" w:rsidR="00091059" w:rsidRDefault="00091059" w:rsidP="00091059">
      <w:pPr>
        <w:spacing w:after="120"/>
      </w:pPr>
      <w:r w:rsidRPr="00563D1F">
        <w:t xml:space="preserve">The supplementary evaluation asked </w:t>
      </w:r>
      <w:r>
        <w:t>4</w:t>
      </w:r>
      <w:r w:rsidRPr="00563D1F">
        <w:t xml:space="preserve"> key questions, the high-level findings </w:t>
      </w:r>
      <w:r>
        <w:t>on</w:t>
      </w:r>
      <w:r w:rsidRPr="00563D1F">
        <w:t xml:space="preserve"> which </w:t>
      </w:r>
      <w:r>
        <w:t>are set out</w:t>
      </w:r>
      <w:r w:rsidRPr="00563D1F">
        <w:t xml:space="preserve"> </w:t>
      </w:r>
      <w:r>
        <w:t xml:space="preserve">in </w:t>
      </w:r>
      <w:r>
        <w:fldChar w:fldCharType="begin"/>
      </w:r>
      <w:r>
        <w:instrText xml:space="preserve"> REF _Ref145944623 \h </w:instrText>
      </w:r>
      <w:r>
        <w:fldChar w:fldCharType="separate"/>
      </w:r>
      <w:r w:rsidR="00180E14">
        <w:t xml:space="preserve">Table </w:t>
      </w:r>
      <w:r w:rsidR="00180E14">
        <w:rPr>
          <w:noProof/>
        </w:rPr>
        <w:t>I</w:t>
      </w:r>
      <w:r>
        <w:fldChar w:fldCharType="end"/>
      </w:r>
      <w:r w:rsidRPr="00563D1F">
        <w:t>.</w:t>
      </w:r>
    </w:p>
    <w:p w14:paraId="6080EF9D" w14:textId="5708CF25" w:rsidR="00091059" w:rsidRPr="00BB272D" w:rsidRDefault="00091059" w:rsidP="00091059">
      <w:pPr>
        <w:pStyle w:val="Caption"/>
      </w:pPr>
      <w:bookmarkStart w:id="54" w:name="_Ref145944623"/>
      <w:r>
        <w:t xml:space="preserve">Table </w:t>
      </w:r>
      <w:r w:rsidR="00F37ED3">
        <w:fldChar w:fldCharType="begin"/>
      </w:r>
      <w:r w:rsidR="00F37ED3">
        <w:instrText xml:space="preserve"> SEQ Table \* ROMAN </w:instrText>
      </w:r>
      <w:r w:rsidR="00F37ED3">
        <w:fldChar w:fldCharType="separate"/>
      </w:r>
      <w:r w:rsidR="00180E14">
        <w:rPr>
          <w:noProof/>
        </w:rPr>
        <w:t>I</w:t>
      </w:r>
      <w:r w:rsidR="00F37ED3">
        <w:rPr>
          <w:noProof/>
        </w:rPr>
        <w:fldChar w:fldCharType="end"/>
      </w:r>
      <w:bookmarkEnd w:id="54"/>
      <w:r>
        <w:t>: Evaluation questions and high-level findings</w:t>
      </w:r>
    </w:p>
    <w:tbl>
      <w:tblPr>
        <w:tblStyle w:val="TableGrid"/>
        <w:tblW w:w="9080" w:type="dxa"/>
        <w:tblLayout w:type="fixed"/>
        <w:tblLook w:val="0680" w:firstRow="0" w:lastRow="0" w:firstColumn="1" w:lastColumn="0" w:noHBand="1" w:noVBand="1"/>
      </w:tblPr>
      <w:tblGrid>
        <w:gridCol w:w="2830"/>
        <w:gridCol w:w="6250"/>
      </w:tblGrid>
      <w:tr w:rsidR="00091059" w14:paraId="3A6CDD48" w14:textId="77777777" w:rsidTr="00CA3BAF">
        <w:trPr>
          <w:trHeight w:val="393"/>
          <w:tblHeader/>
        </w:trPr>
        <w:tc>
          <w:tcPr>
            <w:tcW w:w="2830" w:type="dxa"/>
            <w:shd w:val="clear" w:color="auto" w:fill="F9C0A6" w:themeFill="accent2" w:themeFillTint="66"/>
          </w:tcPr>
          <w:p w14:paraId="4D7532D3" w14:textId="77777777" w:rsidR="00091059" w:rsidRPr="00AB4C97" w:rsidRDefault="00091059" w:rsidP="00F0271F">
            <w:pPr>
              <w:spacing w:before="120" w:after="120"/>
              <w:rPr>
                <w:b/>
                <w:bCs/>
                <w:noProof/>
              </w:rPr>
            </w:pPr>
            <w:r>
              <w:rPr>
                <w:b/>
                <w:bCs/>
                <w:noProof/>
              </w:rPr>
              <w:t>Evaluation q</w:t>
            </w:r>
            <w:r w:rsidRPr="00AB4C97">
              <w:rPr>
                <w:b/>
                <w:bCs/>
                <w:noProof/>
              </w:rPr>
              <w:t xml:space="preserve">uestion </w:t>
            </w:r>
          </w:p>
        </w:tc>
        <w:tc>
          <w:tcPr>
            <w:tcW w:w="6250" w:type="dxa"/>
            <w:shd w:val="clear" w:color="auto" w:fill="F9C0A6" w:themeFill="accent2" w:themeFillTint="66"/>
          </w:tcPr>
          <w:p w14:paraId="242BABDC" w14:textId="77777777" w:rsidR="00091059" w:rsidRPr="00AB4C97" w:rsidRDefault="00091059" w:rsidP="00F0271F">
            <w:pPr>
              <w:spacing w:before="120" w:after="120"/>
              <w:rPr>
                <w:b/>
                <w:bCs/>
                <w:noProof/>
              </w:rPr>
            </w:pPr>
            <w:r w:rsidRPr="00AB4C97">
              <w:rPr>
                <w:b/>
                <w:bCs/>
                <w:noProof/>
              </w:rPr>
              <w:t xml:space="preserve">Key finding and departmental response </w:t>
            </w:r>
          </w:p>
        </w:tc>
      </w:tr>
      <w:tr w:rsidR="00091059" w14:paraId="4D3038BC" w14:textId="77777777" w:rsidTr="00CA3BAF">
        <w:trPr>
          <w:trHeight w:val="518"/>
        </w:trPr>
        <w:tc>
          <w:tcPr>
            <w:tcW w:w="2830" w:type="dxa"/>
          </w:tcPr>
          <w:p w14:paraId="7D71DC22" w14:textId="77777777" w:rsidR="00091059" w:rsidRPr="00091059" w:rsidRDefault="00091059" w:rsidP="00091059">
            <w:pPr>
              <w:pStyle w:val="Heading3"/>
              <w:keepNext w:val="0"/>
              <w:numPr>
                <w:ilvl w:val="0"/>
                <w:numId w:val="0"/>
              </w:numPr>
              <w:spacing w:before="120" w:after="120"/>
              <w:rPr>
                <w:rFonts w:asciiTheme="majorHAnsi" w:eastAsiaTheme="minorHAnsi" w:hAnsiTheme="majorHAnsi" w:cstheme="majorHAnsi"/>
                <w:noProof/>
                <w:color w:val="auto"/>
                <w:sz w:val="24"/>
              </w:rPr>
            </w:pPr>
            <w:bookmarkStart w:id="55" w:name="_Toc146033458"/>
            <w:r w:rsidRPr="00091059">
              <w:rPr>
                <w:rFonts w:asciiTheme="majorHAnsi" w:eastAsiaTheme="minorHAnsi" w:hAnsiTheme="majorHAnsi" w:cstheme="majorHAnsi"/>
                <w:noProof/>
                <w:color w:val="auto"/>
                <w:sz w:val="24"/>
              </w:rPr>
              <w:t>How has participation in Transition to Work impacted human capabilities of participants?</w:t>
            </w:r>
            <w:bookmarkEnd w:id="55"/>
          </w:p>
          <w:p w14:paraId="14170169" w14:textId="77777777" w:rsidR="00091059" w:rsidRDefault="00091059" w:rsidP="00F0271F">
            <w:pPr>
              <w:spacing w:before="120" w:after="120"/>
              <w:rPr>
                <w:noProof/>
              </w:rPr>
            </w:pPr>
          </w:p>
        </w:tc>
        <w:tc>
          <w:tcPr>
            <w:tcW w:w="6250" w:type="dxa"/>
          </w:tcPr>
          <w:p w14:paraId="519DD2C3" w14:textId="77777777" w:rsidR="00091059" w:rsidRPr="001B55EE" w:rsidRDefault="00091059" w:rsidP="00F0271F">
            <w:pPr>
              <w:spacing w:before="120" w:after="120"/>
              <w:rPr>
                <w:b/>
                <w:bCs/>
                <w:i/>
                <w:iCs/>
              </w:rPr>
            </w:pPr>
            <w:r>
              <w:rPr>
                <w:b/>
                <w:bCs/>
                <w:i/>
                <w:iCs/>
              </w:rPr>
              <w:t>Finding: T</w:t>
            </w:r>
            <w:r w:rsidRPr="001B55EE">
              <w:rPr>
                <w:b/>
                <w:bCs/>
                <w:i/>
                <w:iCs/>
              </w:rPr>
              <w:t xml:space="preserve">he </w:t>
            </w:r>
            <w:r>
              <w:rPr>
                <w:b/>
                <w:bCs/>
                <w:i/>
                <w:iCs/>
              </w:rPr>
              <w:t>Transition to Work</w:t>
            </w:r>
            <w:r w:rsidRPr="001B55EE">
              <w:rPr>
                <w:b/>
                <w:bCs/>
                <w:i/>
                <w:iCs/>
              </w:rPr>
              <w:t xml:space="preserve"> program has a positive impact on building human capabilities and increasing wellbeing of most participants. </w:t>
            </w:r>
          </w:p>
          <w:p w14:paraId="2EAB76D5" w14:textId="77777777" w:rsidR="00091059" w:rsidRDefault="00091059" w:rsidP="00F0271F">
            <w:pPr>
              <w:spacing w:after="120"/>
              <w:rPr>
                <w:noProof/>
              </w:rPr>
            </w:pPr>
            <w:r>
              <w:rPr>
                <w:noProof/>
              </w:rPr>
              <w:t xml:space="preserve">The department welcomes this finding. As the report states, participation in TtW can have a very meaningful impact on young people’s lives, resulting in their becoming more resilient, motivated to apply for work, and capable of sustaining work and choosing successful employment pathways. </w:t>
            </w:r>
          </w:p>
          <w:p w14:paraId="02FA83C1" w14:textId="77777777" w:rsidR="00091059" w:rsidRDefault="00091059" w:rsidP="00F0271F">
            <w:pPr>
              <w:spacing w:after="120"/>
              <w:rPr>
                <w:noProof/>
              </w:rPr>
            </w:pPr>
            <w:r>
              <w:rPr>
                <w:noProof/>
              </w:rPr>
              <w:t>T</w:t>
            </w:r>
            <w:r>
              <w:t xml:space="preserve">his finding adds to the growing body of evidence that </w:t>
            </w:r>
            <w:r>
              <w:rPr>
                <w:noProof/>
              </w:rPr>
              <w:t xml:space="preserve">investment in </w:t>
            </w:r>
            <w:r w:rsidRPr="001B55EE">
              <w:rPr>
                <w:noProof/>
              </w:rPr>
              <w:t>early intervention for young people</w:t>
            </w:r>
            <w:r>
              <w:rPr>
                <w:noProof/>
              </w:rPr>
              <w:t xml:space="preserve"> is key in producing</w:t>
            </w:r>
            <w:r w:rsidRPr="001B55EE">
              <w:rPr>
                <w:noProof/>
              </w:rPr>
              <w:t xml:space="preserve"> better </w:t>
            </w:r>
            <w:r>
              <w:rPr>
                <w:noProof/>
              </w:rPr>
              <w:t>o</w:t>
            </w:r>
            <w:r w:rsidRPr="001B55EE">
              <w:rPr>
                <w:noProof/>
              </w:rPr>
              <w:t>utcomes for individual</w:t>
            </w:r>
            <w:r>
              <w:rPr>
                <w:noProof/>
              </w:rPr>
              <w:t>s</w:t>
            </w:r>
            <w:r w:rsidRPr="001B55EE">
              <w:rPr>
                <w:noProof/>
              </w:rPr>
              <w:t>, the community and the economy.</w:t>
            </w:r>
            <w:r>
              <w:rPr>
                <w:noProof/>
              </w:rPr>
              <w:t xml:space="preserve"> Further, this finding emphasises the importance of core program design features that make TtW successful. </w:t>
            </w:r>
          </w:p>
          <w:p w14:paraId="5F9D2355" w14:textId="77777777" w:rsidR="00091059" w:rsidRDefault="00091059" w:rsidP="00F0271F">
            <w:pPr>
              <w:spacing w:after="120"/>
              <w:rPr>
                <w:noProof/>
              </w:rPr>
            </w:pPr>
            <w:r>
              <w:rPr>
                <w:noProof/>
              </w:rPr>
              <w:t xml:space="preserve">The department acknowledges that not all participants experienced the same positive impact as their counterparts. The department will continue to work with providers to support the delivery of a holistic and personalised service for all participants – one which helps build human capabilities and sets participants up to succeed. </w:t>
            </w:r>
          </w:p>
          <w:p w14:paraId="2A6151C5" w14:textId="77777777" w:rsidR="00091059" w:rsidRDefault="00091059" w:rsidP="00F0271F">
            <w:pPr>
              <w:spacing w:after="120"/>
              <w:rPr>
                <w:noProof/>
              </w:rPr>
            </w:pPr>
            <w:r>
              <w:rPr>
                <w:noProof/>
              </w:rPr>
              <w:t xml:space="preserve">Under the new Transition to Work Performance and Quality Framework the department has implemented an active servicing measure to ensure that providers are not only engaging with their participants regularly but also engaging them in activities. This performance measure is intended to increase participant-provider connection and ensure participants are engaged and being actively supported by their provider to progress towards their goals. </w:t>
            </w:r>
          </w:p>
          <w:p w14:paraId="728AAD88" w14:textId="77777777" w:rsidR="00091059" w:rsidRDefault="00091059" w:rsidP="00F0271F">
            <w:pPr>
              <w:spacing w:after="120"/>
              <w:rPr>
                <w:noProof/>
              </w:rPr>
            </w:pPr>
            <w:r>
              <w:rPr>
                <w:noProof/>
              </w:rPr>
              <w:t xml:space="preserve">The department will continue to look for opportunities to share information with providers to help them improve service delivery </w:t>
            </w:r>
            <w:r>
              <w:rPr>
                <w:noProof/>
              </w:rPr>
              <w:lastRenderedPageBreak/>
              <w:t xml:space="preserve">and minimise the number of participants who do not receive the support they need. </w:t>
            </w:r>
          </w:p>
        </w:tc>
      </w:tr>
      <w:tr w:rsidR="00091059" w14:paraId="7C9CBD6E" w14:textId="77777777" w:rsidTr="00CA3BAF">
        <w:trPr>
          <w:trHeight w:val="533"/>
        </w:trPr>
        <w:tc>
          <w:tcPr>
            <w:tcW w:w="2830" w:type="dxa"/>
          </w:tcPr>
          <w:p w14:paraId="4DFD67BA" w14:textId="77777777" w:rsidR="00091059" w:rsidRPr="00091059" w:rsidRDefault="00091059" w:rsidP="00091059">
            <w:pPr>
              <w:pStyle w:val="Heading3"/>
              <w:keepNext w:val="0"/>
              <w:numPr>
                <w:ilvl w:val="0"/>
                <w:numId w:val="0"/>
              </w:numPr>
              <w:spacing w:before="120" w:after="120"/>
              <w:ind w:left="22"/>
              <w:rPr>
                <w:rFonts w:asciiTheme="majorHAnsi" w:eastAsiaTheme="minorHAnsi" w:hAnsiTheme="majorHAnsi" w:cstheme="majorHAnsi"/>
                <w:color w:val="auto"/>
                <w:sz w:val="24"/>
              </w:rPr>
            </w:pPr>
            <w:bookmarkStart w:id="56" w:name="_Toc146033459"/>
            <w:r w:rsidRPr="00091059">
              <w:rPr>
                <w:rFonts w:asciiTheme="majorHAnsi" w:eastAsiaTheme="minorHAnsi" w:hAnsiTheme="majorHAnsi" w:cstheme="majorHAnsi"/>
                <w:color w:val="auto"/>
                <w:sz w:val="24"/>
              </w:rPr>
              <w:lastRenderedPageBreak/>
              <w:t>What impact has Transition to Work had on participants’ contact with the criminal justice system?</w:t>
            </w:r>
            <w:bookmarkEnd w:id="56"/>
          </w:p>
          <w:p w14:paraId="0D8125D6" w14:textId="77777777" w:rsidR="00091059" w:rsidRDefault="00091059" w:rsidP="00F0271F">
            <w:pPr>
              <w:spacing w:before="120" w:after="120"/>
              <w:rPr>
                <w:noProof/>
              </w:rPr>
            </w:pPr>
          </w:p>
        </w:tc>
        <w:tc>
          <w:tcPr>
            <w:tcW w:w="6250" w:type="dxa"/>
          </w:tcPr>
          <w:p w14:paraId="2E953F5C" w14:textId="77777777" w:rsidR="00091059" w:rsidRDefault="00091059" w:rsidP="00F0271F">
            <w:pPr>
              <w:spacing w:after="120"/>
              <w:rPr>
                <w:b/>
                <w:bCs/>
                <w:i/>
                <w:iCs/>
              </w:rPr>
            </w:pPr>
            <w:r>
              <w:rPr>
                <w:b/>
                <w:bCs/>
                <w:i/>
                <w:iCs/>
              </w:rPr>
              <w:t>Finding: Transition to Work</w:t>
            </w:r>
            <w:r w:rsidRPr="001B55EE">
              <w:rPr>
                <w:b/>
                <w:bCs/>
                <w:i/>
                <w:iCs/>
              </w:rPr>
              <w:t xml:space="preserve"> was shown to reduc</w:t>
            </w:r>
            <w:r>
              <w:rPr>
                <w:b/>
                <w:bCs/>
                <w:i/>
                <w:iCs/>
              </w:rPr>
              <w:t>e</w:t>
            </w:r>
            <w:r w:rsidRPr="001B55EE">
              <w:rPr>
                <w:b/>
                <w:bCs/>
                <w:i/>
                <w:iCs/>
              </w:rPr>
              <w:t xml:space="preserve"> reoffending.</w:t>
            </w:r>
            <w:r>
              <w:rPr>
                <w:b/>
                <w:bCs/>
                <w:i/>
                <w:iCs/>
              </w:rPr>
              <w:t xml:space="preserve"> Transition to Work</w:t>
            </w:r>
            <w:r w:rsidRPr="001B55EE">
              <w:rPr>
                <w:b/>
                <w:bCs/>
                <w:i/>
                <w:iCs/>
              </w:rPr>
              <w:t xml:space="preserve"> was also more effective than the comparison program at supporting Aboriginal and/or Torres Strait Islander participants to avoid contact with the criminal justice system.</w:t>
            </w:r>
            <w:r>
              <w:rPr>
                <w:b/>
                <w:bCs/>
                <w:i/>
                <w:iCs/>
              </w:rPr>
              <w:t xml:space="preserve"> </w:t>
            </w:r>
          </w:p>
          <w:p w14:paraId="2EAC843D" w14:textId="77777777" w:rsidR="00091059" w:rsidRDefault="00091059" w:rsidP="00F0271F">
            <w:pPr>
              <w:spacing w:after="120"/>
            </w:pPr>
            <w:r>
              <w:t xml:space="preserve">While </w:t>
            </w:r>
            <w:r w:rsidRPr="002424B8">
              <w:t xml:space="preserve">reducing recidivism was not an explicit aim of </w:t>
            </w:r>
            <w:r>
              <w:t>TtW</w:t>
            </w:r>
            <w:r w:rsidRPr="002424B8">
              <w:t xml:space="preserve">, the department welcomes the finding </w:t>
            </w:r>
            <w:r>
              <w:t>as</w:t>
            </w:r>
            <w:r w:rsidRPr="002424B8">
              <w:t xml:space="preserve"> an incidental positive impact of the service. It is noted that these findings are likely linked to the positive impact the service has on participant human capability development</w:t>
            </w:r>
            <w:r>
              <w:t xml:space="preserve"> more generally. As participants are supported to work through their non-vocational barriers, they are more likely to overcome or manage issues that would have contributed to contact with the criminal justice system. It is encouraging that TtW is empowering young people to forge (new) pathways that limit their risk of (re)offending. </w:t>
            </w:r>
          </w:p>
          <w:p w14:paraId="2B59ED81" w14:textId="77777777" w:rsidR="00091059" w:rsidRPr="00AB4C97" w:rsidRDefault="00091059" w:rsidP="00F0271F">
            <w:pPr>
              <w:spacing w:after="120"/>
            </w:pPr>
            <w:r>
              <w:t xml:space="preserve">The finding further confirms that investment in early intervention for young people, as well as the service’s flexible delivery model and focus on holistic, personalised support, results in long-term positive impact for participants and their communities. </w:t>
            </w:r>
          </w:p>
          <w:p w14:paraId="33F9436F" w14:textId="77777777" w:rsidR="00091059" w:rsidRDefault="00091059" w:rsidP="00F0271F">
            <w:pPr>
              <w:spacing w:after="120"/>
              <w:rPr>
                <w:noProof/>
              </w:rPr>
            </w:pPr>
            <w:r>
              <w:rPr>
                <w:noProof/>
              </w:rPr>
              <w:t>The department will continue to look for opportunities to support young people who have encountered the criminal justice system to make positive changes in their lives.</w:t>
            </w:r>
          </w:p>
        </w:tc>
      </w:tr>
      <w:tr w:rsidR="00091059" w14:paraId="3F359227" w14:textId="77777777" w:rsidTr="00CA3BAF">
        <w:trPr>
          <w:trHeight w:val="518"/>
        </w:trPr>
        <w:tc>
          <w:tcPr>
            <w:tcW w:w="2830" w:type="dxa"/>
          </w:tcPr>
          <w:p w14:paraId="241C2970" w14:textId="77777777" w:rsidR="00091059" w:rsidRPr="00091059" w:rsidRDefault="00091059" w:rsidP="00091059">
            <w:pPr>
              <w:pStyle w:val="Heading3"/>
              <w:keepNext w:val="0"/>
              <w:numPr>
                <w:ilvl w:val="0"/>
                <w:numId w:val="0"/>
              </w:numPr>
              <w:spacing w:before="120" w:after="120"/>
              <w:ind w:left="22"/>
              <w:rPr>
                <w:rFonts w:asciiTheme="majorHAnsi" w:eastAsiaTheme="minorHAnsi" w:hAnsiTheme="majorHAnsi" w:cstheme="majorHAnsi"/>
                <w:color w:val="auto"/>
                <w:sz w:val="24"/>
              </w:rPr>
            </w:pPr>
            <w:bookmarkStart w:id="57" w:name="_Toc146033460"/>
            <w:r w:rsidRPr="00091059">
              <w:rPr>
                <w:rFonts w:asciiTheme="majorHAnsi" w:eastAsiaTheme="minorHAnsi" w:hAnsiTheme="majorHAnsi" w:cstheme="majorHAnsi"/>
                <w:color w:val="auto"/>
                <w:sz w:val="24"/>
              </w:rPr>
              <w:t>Is Transition to Work achieving the intended longer-term (3 to 4 year) objective of increased employment and labour market engagement and reduced dependence on income support for young people?</w:t>
            </w:r>
            <w:bookmarkEnd w:id="57"/>
          </w:p>
          <w:p w14:paraId="676E668E" w14:textId="77777777" w:rsidR="00091059" w:rsidRDefault="00091059" w:rsidP="00F0271F">
            <w:pPr>
              <w:spacing w:before="120" w:after="120"/>
              <w:rPr>
                <w:noProof/>
              </w:rPr>
            </w:pPr>
          </w:p>
        </w:tc>
        <w:tc>
          <w:tcPr>
            <w:tcW w:w="6250" w:type="dxa"/>
          </w:tcPr>
          <w:p w14:paraId="1161509F" w14:textId="77777777" w:rsidR="00091059" w:rsidRDefault="00091059" w:rsidP="00F0271F">
            <w:pPr>
              <w:spacing w:before="120" w:after="120"/>
              <w:rPr>
                <w:b/>
                <w:bCs/>
                <w:i/>
                <w:iCs/>
              </w:rPr>
            </w:pPr>
            <w:r>
              <w:rPr>
                <w:b/>
                <w:bCs/>
                <w:i/>
                <w:iCs/>
              </w:rPr>
              <w:t>Finding: P</w:t>
            </w:r>
            <w:r w:rsidRPr="00586A9C">
              <w:rPr>
                <w:b/>
                <w:bCs/>
                <w:i/>
                <w:iCs/>
              </w:rPr>
              <w:t xml:space="preserve">articipation in </w:t>
            </w:r>
            <w:r>
              <w:rPr>
                <w:b/>
                <w:bCs/>
                <w:i/>
                <w:iCs/>
              </w:rPr>
              <w:t>Transition to Work</w:t>
            </w:r>
            <w:r w:rsidRPr="00586A9C">
              <w:rPr>
                <w:b/>
                <w:bCs/>
                <w:i/>
                <w:iCs/>
              </w:rPr>
              <w:t xml:space="preserve"> </w:t>
            </w:r>
            <w:r>
              <w:rPr>
                <w:b/>
                <w:bCs/>
                <w:i/>
                <w:iCs/>
              </w:rPr>
              <w:t>i</w:t>
            </w:r>
            <w:r w:rsidRPr="00586A9C">
              <w:rPr>
                <w:b/>
                <w:bCs/>
                <w:i/>
                <w:iCs/>
              </w:rPr>
              <w:t xml:space="preserve">n the longer term (3 </w:t>
            </w:r>
            <w:r>
              <w:rPr>
                <w:b/>
                <w:bCs/>
                <w:i/>
                <w:iCs/>
              </w:rPr>
              <w:t>to</w:t>
            </w:r>
            <w:r w:rsidRPr="00586A9C">
              <w:rPr>
                <w:b/>
                <w:bCs/>
                <w:i/>
                <w:iCs/>
              </w:rPr>
              <w:t xml:space="preserve"> 4 years from commencement in the service) resulted in participants achieving the same degree of employment, labour market attachment</w:t>
            </w:r>
            <w:r>
              <w:rPr>
                <w:b/>
                <w:bCs/>
                <w:i/>
                <w:iCs/>
              </w:rPr>
              <w:t xml:space="preserve"> </w:t>
            </w:r>
            <w:r w:rsidRPr="00586A9C">
              <w:rPr>
                <w:b/>
                <w:bCs/>
                <w:i/>
                <w:iCs/>
              </w:rPr>
              <w:t>and reduced income support reliance as the matched jobactive comparison group.</w:t>
            </w:r>
          </w:p>
          <w:p w14:paraId="5D5EA0FA" w14:textId="77777777" w:rsidR="00091059" w:rsidRDefault="00091059" w:rsidP="00F0271F">
            <w:pPr>
              <w:spacing w:after="120"/>
              <w:rPr>
                <w:noProof/>
              </w:rPr>
            </w:pPr>
            <w:r>
              <w:rPr>
                <w:noProof/>
              </w:rPr>
              <w:t xml:space="preserve">This evaluation finding demonstrates that the TtW model, with elements supporting human capability building and less of a ‘work-first’ focus than mainstream services, </w:t>
            </w:r>
            <w:r w:rsidRPr="00312913">
              <w:rPr>
                <w:noProof/>
              </w:rPr>
              <w:t>is valid for disadvantaged young people who choose to engage in this type of service</w:t>
            </w:r>
            <w:r>
              <w:rPr>
                <w:noProof/>
              </w:rPr>
              <w:t xml:space="preserve">. </w:t>
            </w:r>
          </w:p>
          <w:p w14:paraId="12528006" w14:textId="77777777" w:rsidR="00091059" w:rsidRDefault="00091059" w:rsidP="00F0271F">
            <w:pPr>
              <w:spacing w:after="120"/>
            </w:pPr>
            <w:r>
              <w:t xml:space="preserve">It is noted that TtW participants showed slightly less labour market attachment and income support exits than the comparison group in the first 24 months following commencement in service. This is likely due to the service focusing on pre-employment, developing skills and reducing non-vocational barriers of participants to increase their employability. </w:t>
            </w:r>
          </w:p>
          <w:p w14:paraId="02061A8F" w14:textId="77777777" w:rsidR="00091059" w:rsidRDefault="00091059" w:rsidP="00F0271F">
            <w:pPr>
              <w:spacing w:after="120"/>
              <w:rPr>
                <w:noProof/>
              </w:rPr>
            </w:pPr>
            <w:r>
              <w:lastRenderedPageBreak/>
              <w:t xml:space="preserve">This finding should be considered alongside other evaluation findings regarding the additional positive impacts and value of the TtW service. </w:t>
            </w:r>
          </w:p>
        </w:tc>
      </w:tr>
      <w:tr w:rsidR="00091059" w14:paraId="3543E460" w14:textId="77777777" w:rsidTr="00CA3BAF">
        <w:trPr>
          <w:trHeight w:val="518"/>
        </w:trPr>
        <w:tc>
          <w:tcPr>
            <w:tcW w:w="2830" w:type="dxa"/>
          </w:tcPr>
          <w:p w14:paraId="0534B079" w14:textId="77777777" w:rsidR="00091059" w:rsidRPr="00091059" w:rsidRDefault="00091059" w:rsidP="00091059">
            <w:pPr>
              <w:pStyle w:val="Heading3"/>
              <w:keepNext w:val="0"/>
              <w:numPr>
                <w:ilvl w:val="0"/>
                <w:numId w:val="0"/>
              </w:numPr>
              <w:spacing w:before="120" w:after="120"/>
              <w:ind w:left="22"/>
              <w:rPr>
                <w:rFonts w:asciiTheme="majorHAnsi" w:eastAsiaTheme="minorHAnsi" w:hAnsiTheme="majorHAnsi" w:cstheme="majorHAnsi"/>
                <w:color w:val="auto"/>
                <w:sz w:val="24"/>
              </w:rPr>
            </w:pPr>
            <w:bookmarkStart w:id="58" w:name="_Toc146033461"/>
            <w:r w:rsidRPr="00091059">
              <w:rPr>
                <w:rFonts w:asciiTheme="majorHAnsi" w:eastAsiaTheme="minorHAnsi" w:hAnsiTheme="majorHAnsi" w:cstheme="majorHAnsi"/>
                <w:color w:val="auto"/>
                <w:sz w:val="24"/>
              </w:rPr>
              <w:lastRenderedPageBreak/>
              <w:t>What impact did increasing the maximum duration of service from 12 to 18 months have on participant outcomes?</w:t>
            </w:r>
            <w:bookmarkEnd w:id="58"/>
          </w:p>
          <w:p w14:paraId="5162D551" w14:textId="77777777" w:rsidR="00091059" w:rsidRDefault="00091059" w:rsidP="00F0271F">
            <w:pPr>
              <w:spacing w:before="120" w:after="120"/>
              <w:rPr>
                <w:noProof/>
              </w:rPr>
            </w:pPr>
          </w:p>
        </w:tc>
        <w:tc>
          <w:tcPr>
            <w:tcW w:w="6250" w:type="dxa"/>
          </w:tcPr>
          <w:p w14:paraId="579E6994" w14:textId="77777777" w:rsidR="00091059" w:rsidRDefault="00091059" w:rsidP="00F0271F">
            <w:pPr>
              <w:spacing w:before="120" w:after="120"/>
            </w:pPr>
            <w:r>
              <w:rPr>
                <w:b/>
                <w:bCs/>
                <w:i/>
                <w:iCs/>
              </w:rPr>
              <w:t xml:space="preserve">Finding: </w:t>
            </w:r>
            <w:r w:rsidRPr="00E16DBE">
              <w:rPr>
                <w:b/>
                <w:bCs/>
                <w:i/>
                <w:iCs/>
              </w:rPr>
              <w:t>Increasing the maximum duration of service led to a doubling of the proportion of participants who remained beyond 12</w:t>
            </w:r>
            <w:r>
              <w:rPr>
                <w:b/>
                <w:bCs/>
                <w:i/>
                <w:iCs/>
              </w:rPr>
              <w:t> </w:t>
            </w:r>
            <w:r w:rsidRPr="00E16DBE">
              <w:rPr>
                <w:b/>
                <w:bCs/>
                <w:i/>
                <w:iCs/>
              </w:rPr>
              <w:t>months and led to an increase in the total number of outcomes being achieved by participants.</w:t>
            </w:r>
            <w:r>
              <w:t xml:space="preserve"> </w:t>
            </w:r>
          </w:p>
          <w:p w14:paraId="734534D8" w14:textId="77777777" w:rsidR="00091059" w:rsidRDefault="00091059" w:rsidP="00F0271F">
            <w:pPr>
              <w:spacing w:after="120"/>
              <w:rPr>
                <w:noProof/>
              </w:rPr>
            </w:pPr>
            <w:r>
              <w:rPr>
                <w:noProof/>
              </w:rPr>
              <w:t xml:space="preserve">The department acknowledges these findings. </w:t>
            </w:r>
          </w:p>
          <w:p w14:paraId="410939C1" w14:textId="77777777" w:rsidR="00091059" w:rsidRDefault="00091059" w:rsidP="00F0271F">
            <w:pPr>
              <w:spacing w:after="120"/>
            </w:pPr>
            <w:r>
              <w:t xml:space="preserve">The maximum duration of service was extended in 2020 to provide participants continuity of services and allow providers more time to work with participants, helping them to overcome barriers and work towards achieving positive outcomes for participants. </w:t>
            </w:r>
          </w:p>
          <w:p w14:paraId="19F9818C" w14:textId="77777777" w:rsidR="00091059" w:rsidRDefault="00091059" w:rsidP="00F0271F">
            <w:pPr>
              <w:spacing w:after="120"/>
            </w:pPr>
            <w:r>
              <w:t xml:space="preserve">The department notes the finding that the proportion of participants achieving any outcome increased slightly in the MD18 cohort (increase of 1.8%). While this is a small increase, it is likely a reflection of the complexity and vast differences in participant profiles in the </w:t>
            </w:r>
            <w:r>
              <w:rPr>
                <w:noProof/>
              </w:rPr>
              <w:t xml:space="preserve">TtW </w:t>
            </w:r>
            <w:r>
              <w:t xml:space="preserve">caseloads. It further confirms how challenging it can be to progress some disadvantaged young people towards employment, due to non-vocational barriers they may be experiencing. </w:t>
            </w:r>
          </w:p>
          <w:p w14:paraId="13EBA8EF" w14:textId="77777777" w:rsidR="00091059" w:rsidRDefault="00091059" w:rsidP="00F0271F">
            <w:pPr>
              <w:spacing w:after="120"/>
            </w:pPr>
            <w:r>
              <w:t xml:space="preserve">Early findings from </w:t>
            </w:r>
            <w:r w:rsidRPr="008C7C03">
              <w:t>this</w:t>
            </w:r>
            <w:r>
              <w:t xml:space="preserve"> evaluation and the Transition to Work Final Evaluation Report 2021, along with stakeholder feedback, helped inform the design of program settings in the current Workforce Australia – Transition to Work 2022–2027 service. As noted, the expanded eligibility of the service includes a greater share of young people experiencing complex non-vocational barriers who may require more time to build the skills and capabilities needed to move into work. </w:t>
            </w:r>
          </w:p>
          <w:p w14:paraId="52BCA0D4" w14:textId="77777777" w:rsidR="00091059" w:rsidRDefault="00091059" w:rsidP="00F0271F">
            <w:pPr>
              <w:spacing w:after="120"/>
            </w:pPr>
            <w:r>
              <w:t xml:space="preserve">To support successful service delivery to all participants, the </w:t>
            </w:r>
            <w:r w:rsidRPr="006874CB">
              <w:t xml:space="preserve">maximum duration of service </w:t>
            </w:r>
            <w:r>
              <w:t>can be</w:t>
            </w:r>
            <w:r w:rsidRPr="00261384">
              <w:t xml:space="preserve"> </w:t>
            </w:r>
            <w:r>
              <w:t>extended by providers,</w:t>
            </w:r>
            <w:r w:rsidRPr="00261384">
              <w:t xml:space="preserve"> </w:t>
            </w:r>
            <w:r w:rsidRPr="006874CB">
              <w:t>from 18</w:t>
            </w:r>
            <w:r>
              <w:t> </w:t>
            </w:r>
            <w:r w:rsidRPr="006874CB">
              <w:t>months to 24</w:t>
            </w:r>
            <w:r>
              <w:t> </w:t>
            </w:r>
            <w:r w:rsidRPr="006874CB">
              <w:t>months</w:t>
            </w:r>
            <w:r>
              <w:t xml:space="preserve">, in limited circumstances. This includes circumstances where the 18-month period of service has been used to focus on addressing complex non-vocational barriers which have not allowed the provider to turn their attention to vocational support activities. </w:t>
            </w:r>
          </w:p>
          <w:p w14:paraId="2972D436" w14:textId="77777777" w:rsidR="00091059" w:rsidRDefault="00091059" w:rsidP="00F0271F">
            <w:pPr>
              <w:spacing w:after="120"/>
            </w:pPr>
            <w:r>
              <w:t xml:space="preserve">The department will continue to monitor and evaluate the impact of service duration on the effectiveness and efficiency of the TtW service. </w:t>
            </w:r>
          </w:p>
        </w:tc>
      </w:tr>
      <w:tr w:rsidR="00091059" w14:paraId="3A32ED9B" w14:textId="77777777" w:rsidTr="00CA3BAF">
        <w:trPr>
          <w:trHeight w:val="518"/>
        </w:trPr>
        <w:tc>
          <w:tcPr>
            <w:tcW w:w="2830" w:type="dxa"/>
          </w:tcPr>
          <w:p w14:paraId="089CF8AA" w14:textId="77777777" w:rsidR="00091059" w:rsidRPr="00091059" w:rsidRDefault="00091059" w:rsidP="00091059">
            <w:pPr>
              <w:pStyle w:val="Heading3"/>
              <w:keepNext w:val="0"/>
              <w:numPr>
                <w:ilvl w:val="0"/>
                <w:numId w:val="0"/>
              </w:numPr>
              <w:spacing w:before="120" w:after="120"/>
              <w:ind w:left="22"/>
              <w:rPr>
                <w:rFonts w:asciiTheme="majorHAnsi" w:eastAsiaTheme="minorHAnsi" w:hAnsiTheme="majorHAnsi" w:cstheme="majorHAnsi"/>
                <w:color w:val="auto"/>
                <w:sz w:val="24"/>
              </w:rPr>
            </w:pPr>
            <w:bookmarkStart w:id="59" w:name="_Toc146033462"/>
            <w:r w:rsidRPr="00091059">
              <w:rPr>
                <w:rFonts w:asciiTheme="majorHAnsi" w:eastAsiaTheme="minorHAnsi" w:hAnsiTheme="majorHAnsi" w:cstheme="majorHAnsi"/>
                <w:color w:val="auto"/>
                <w:sz w:val="24"/>
              </w:rPr>
              <w:lastRenderedPageBreak/>
              <w:t>Value for money – exploratory study</w:t>
            </w:r>
            <w:bookmarkEnd w:id="59"/>
          </w:p>
          <w:p w14:paraId="08FC57AB" w14:textId="77777777" w:rsidR="00091059" w:rsidRDefault="00091059" w:rsidP="00F0271F">
            <w:pPr>
              <w:spacing w:before="120" w:after="120"/>
              <w:rPr>
                <w:noProof/>
              </w:rPr>
            </w:pPr>
          </w:p>
        </w:tc>
        <w:tc>
          <w:tcPr>
            <w:tcW w:w="6250" w:type="dxa"/>
          </w:tcPr>
          <w:p w14:paraId="53BC00A7" w14:textId="77777777" w:rsidR="00091059" w:rsidRPr="00F67182" w:rsidRDefault="00091059" w:rsidP="00F0271F">
            <w:pPr>
              <w:spacing w:before="120" w:after="120"/>
              <w:rPr>
                <w:b/>
                <w:bCs/>
                <w:i/>
                <w:iCs/>
              </w:rPr>
            </w:pPr>
            <w:r w:rsidRPr="00F67182">
              <w:rPr>
                <w:b/>
                <w:bCs/>
                <w:i/>
                <w:iCs/>
              </w:rPr>
              <w:t xml:space="preserve">Finding: Every dollar spent on </w:t>
            </w:r>
            <w:r>
              <w:rPr>
                <w:b/>
                <w:bCs/>
                <w:i/>
                <w:iCs/>
              </w:rPr>
              <w:t>Transition to Work</w:t>
            </w:r>
            <w:r w:rsidRPr="00F67182">
              <w:rPr>
                <w:b/>
                <w:bCs/>
                <w:i/>
                <w:iCs/>
              </w:rPr>
              <w:t xml:space="preserve"> has a value of (at least) between $1 and $6 over a 12-month period. </w:t>
            </w:r>
          </w:p>
          <w:p w14:paraId="6E71F615" w14:textId="77777777" w:rsidR="00091059" w:rsidRDefault="00091059" w:rsidP="00F0271F">
            <w:pPr>
              <w:spacing w:after="120"/>
              <w:rPr>
                <w:noProof/>
              </w:rPr>
            </w:pPr>
            <w:r>
              <w:rPr>
                <w:noProof/>
              </w:rPr>
              <w:t>The department welcomes the finding that TtW delivered value for money, while acknowledging the complexity and debate around appropriate approaches to evaluating wellbeing.</w:t>
            </w:r>
          </w:p>
          <w:p w14:paraId="24FA87A8" w14:textId="77777777" w:rsidR="00091059" w:rsidRDefault="00091059" w:rsidP="00F0271F">
            <w:pPr>
              <w:spacing w:after="120"/>
              <w:rPr>
                <w:noProof/>
              </w:rPr>
            </w:pPr>
            <w:r>
              <w:t>The findings of this exploratory study help measure and communicate the often less immediately visible, positive impacts and value of TtW. This finding confirms that, while the service incurred higher costs per participant than jobactive while achieving similar employment and labour market attachment, there was identifiable value to participants and the broader community from this investment and an approach to youth servicing focused on the development of human capability.</w:t>
            </w:r>
          </w:p>
        </w:tc>
      </w:tr>
    </w:tbl>
    <w:p w14:paraId="4ED22847" w14:textId="77777777" w:rsidR="00091059" w:rsidRPr="00091059" w:rsidRDefault="00091059" w:rsidP="00091059">
      <w:pPr>
        <w:pStyle w:val="Heading2"/>
        <w:numPr>
          <w:ilvl w:val="0"/>
          <w:numId w:val="0"/>
        </w:numPr>
      </w:pPr>
      <w:bookmarkStart w:id="60" w:name="_Toc146033463"/>
      <w:r w:rsidRPr="00091059">
        <w:t>Conclusion</w:t>
      </w:r>
      <w:bookmarkEnd w:id="60"/>
    </w:p>
    <w:p w14:paraId="6F6004E1" w14:textId="41F36CFA" w:rsidR="00091059" w:rsidRDefault="00091059" w:rsidP="00091059">
      <w:pPr>
        <w:spacing w:after="120"/>
        <w:rPr>
          <w:rStyle w:val="ui-provider"/>
        </w:rPr>
      </w:pPr>
      <w:r>
        <w:rPr>
          <w:rStyle w:val="ui-provider"/>
        </w:rPr>
        <w:t xml:space="preserve">The findings in this report reaffirm the efficiency and effectiveness of the TtW model in supporting </w:t>
      </w:r>
      <w:r w:rsidRPr="00956075">
        <w:t>young people who are at risk of long-term employment</w:t>
      </w:r>
      <w:r>
        <w:t xml:space="preserve">. </w:t>
      </w:r>
      <w:r>
        <w:rPr>
          <w:rStyle w:val="ui-provider"/>
        </w:rPr>
        <w:t>The report notes that TtW, by design, services young people when they are undertaking a vulnerable transition from education to work – a transition that can be complemented and complicated by a variety of factors.</w:t>
      </w:r>
    </w:p>
    <w:p w14:paraId="51A82AD1" w14:textId="32A87F8C" w:rsidR="00091059" w:rsidRDefault="00091059" w:rsidP="00091059">
      <w:pPr>
        <w:spacing w:after="120"/>
        <w:rPr>
          <w:rStyle w:val="ui-provider"/>
        </w:rPr>
      </w:pPr>
      <w:r>
        <w:rPr>
          <w:rStyle w:val="ui-provider"/>
        </w:rPr>
        <w:t xml:space="preserve">TtW providers play a valuable positive role in impacting young people’s attitude, behaviour, choices and opportunities during this critical period. The department notes the positive impact TtW was found to have on </w:t>
      </w:r>
      <w:r>
        <w:t>building participants’ human capabilities and adult life skills, increasing their wellbeing and, as a mainstream employment program, supporting transitions to employment. The department welcomes this evaluation and its analysis that seeks to quantify the value (for money) of such approaches to targeted employment services.</w:t>
      </w:r>
    </w:p>
    <w:p w14:paraId="3B7F702A" w14:textId="0531F7B4" w:rsidR="00091059" w:rsidRDefault="00091059" w:rsidP="00091059">
      <w:pPr>
        <w:spacing w:before="120"/>
      </w:pPr>
      <w:r>
        <w:rPr>
          <w:rStyle w:val="ui-provider"/>
        </w:rPr>
        <w:t xml:space="preserve">The department remains committed to ensuring the TtW service is fit for purpose and is achieving the best possible outcomes. </w:t>
      </w:r>
      <w:r>
        <w:t>The findings of departmental evaluations of TtW have helped inform the design of the current Workforce Australia – Transition to Work 2022–2027. The department will continue to use the findings from evaluation activities to inform policy and program design, especially in the context of supporting youth employment.</w:t>
      </w:r>
    </w:p>
    <w:p w14:paraId="6FA4F1DC" w14:textId="7925EFCB" w:rsidR="00633D1D" w:rsidRDefault="00633D1D" w:rsidP="00633D1D">
      <w:pPr>
        <w:spacing w:before="120"/>
      </w:pPr>
      <w:r>
        <w:t>The Government has a vision for a dynamic and inclusive labour market as outlined in the Working Future: The Australian Government’s White Paper on Jobs and Opportunities (Employment White Paper). The employment services delivered by the Australian Government play a crucial role in achieving this vision. The 2024-25 Budget includes a range of improvements to the employment services system, consistent with the eight principles of employment services reform outlined in the Employment White Paper. These measures are an initial response to the immediate issues identified through the House of Representatives Select Committee on Workforce Australia Employment Services.</w:t>
      </w:r>
    </w:p>
    <w:p w14:paraId="1768A7F7" w14:textId="77777777" w:rsidR="003B7DC1" w:rsidRDefault="003B7DC1" w:rsidP="005B0984">
      <w:pPr>
        <w:sectPr w:rsidR="003B7DC1" w:rsidSect="003B7DC1">
          <w:headerReference w:type="default" r:id="rId19"/>
          <w:footerReference w:type="default" r:id="rId20"/>
          <w:pgSz w:w="11906" w:h="16838"/>
          <w:pgMar w:top="1418" w:right="1440" w:bottom="1440" w:left="1440" w:header="0" w:footer="708" w:gutter="0"/>
          <w:pgNumType w:fmt="lowerRoman"/>
          <w:cols w:space="708"/>
          <w:docGrid w:linePitch="360"/>
        </w:sectPr>
      </w:pPr>
    </w:p>
    <w:p w14:paraId="1A6C93B6" w14:textId="632FC9BE" w:rsidR="00D0172A" w:rsidRPr="00AC03CD" w:rsidRDefault="00D0172A" w:rsidP="003F3CFA">
      <w:pPr>
        <w:pStyle w:val="Heading1"/>
        <w:numPr>
          <w:ilvl w:val="0"/>
          <w:numId w:val="0"/>
        </w:numPr>
      </w:pPr>
      <w:bookmarkStart w:id="61" w:name="_Toc132209540"/>
      <w:bookmarkStart w:id="62" w:name="_Toc132209705"/>
      <w:bookmarkStart w:id="63" w:name="_Toc132209870"/>
      <w:bookmarkStart w:id="64" w:name="_Toc132649009"/>
      <w:bookmarkStart w:id="65" w:name="_Toc132650431"/>
      <w:bookmarkStart w:id="66" w:name="_Toc132650432"/>
      <w:bookmarkStart w:id="67" w:name="_Toc146033464"/>
      <w:bookmarkStart w:id="68" w:name="_Toc106711797"/>
      <w:bookmarkEnd w:id="9"/>
      <w:bookmarkEnd w:id="61"/>
      <w:bookmarkEnd w:id="62"/>
      <w:bookmarkEnd w:id="63"/>
      <w:bookmarkEnd w:id="64"/>
      <w:bookmarkEnd w:id="65"/>
      <w:r>
        <w:lastRenderedPageBreak/>
        <w:t xml:space="preserve">About this </w:t>
      </w:r>
      <w:r w:rsidR="003A0923">
        <w:t>r</w:t>
      </w:r>
      <w:r>
        <w:t>eport</w:t>
      </w:r>
      <w:bookmarkEnd w:id="66"/>
      <w:bookmarkEnd w:id="67"/>
    </w:p>
    <w:p w14:paraId="3BB67D21" w14:textId="68F85FB2" w:rsidR="00D0172A" w:rsidRDefault="22956E98" w:rsidP="00D0172A">
      <w:r>
        <w:t xml:space="preserve">This report is a supplement to the TtW Final Evaluation Report. </w:t>
      </w:r>
      <w:r w:rsidR="00B26676">
        <w:t>Research for this</w:t>
      </w:r>
      <w:r w:rsidR="002E3665">
        <w:t xml:space="preserve"> supplementary evaluation</w:t>
      </w:r>
      <w:r>
        <w:t xml:space="preserve"> was conducted approximately 4 years after the implementation of the TtW program </w:t>
      </w:r>
      <w:r w:rsidR="00326F70">
        <w:t>and</w:t>
      </w:r>
      <w:r>
        <w:t xml:space="preserve"> </w:t>
      </w:r>
      <w:r w:rsidR="00CD3A7B">
        <w:t>examine</w:t>
      </w:r>
      <w:r w:rsidR="00B26676">
        <w:t>d</w:t>
      </w:r>
      <w:r w:rsidR="0093466E">
        <w:t xml:space="preserve"> the impact of </w:t>
      </w:r>
      <w:r w:rsidR="007002A7">
        <w:t>the program</w:t>
      </w:r>
      <w:r w:rsidR="0093466E">
        <w:t>.</w:t>
      </w:r>
      <w:r w:rsidR="00595862" w:rsidRPr="00595862">
        <w:t xml:space="preserve"> </w:t>
      </w:r>
      <w:r w:rsidR="00595862">
        <w:t>In line with the stated longer-term objectives of the program, t</w:t>
      </w:r>
      <w:r w:rsidR="0093466E">
        <w:t>he longer-term impact of the program on participants</w:t>
      </w:r>
      <w:r w:rsidR="00F8391B">
        <w:t>’</w:t>
      </w:r>
      <w:r w:rsidR="0093466E">
        <w:t xml:space="preserve"> employment, labour market attachment and income support receipt </w:t>
      </w:r>
      <w:r w:rsidR="001A3638">
        <w:t>wa</w:t>
      </w:r>
      <w:r w:rsidR="0093466E">
        <w:t>s examined.</w:t>
      </w:r>
      <w:r w:rsidR="00595862">
        <w:t xml:space="preserve"> In response to findings from previous TtW evaluation research and </w:t>
      </w:r>
      <w:r w:rsidR="0093466E">
        <w:t>a</w:t>
      </w:r>
      <w:r w:rsidR="00595862">
        <w:t>cademic literature, a</w:t>
      </w:r>
      <w:r w:rsidR="0093466E">
        <w:t xml:space="preserve"> broader view of the impact of TtW </w:t>
      </w:r>
      <w:r w:rsidR="002E7C38">
        <w:t>wa</w:t>
      </w:r>
      <w:r w:rsidR="0093466E">
        <w:t>s also e</w:t>
      </w:r>
      <w:r w:rsidR="00595862">
        <w:t>xplored</w:t>
      </w:r>
      <w:r w:rsidR="007732F4">
        <w:t xml:space="preserve">, specifically </w:t>
      </w:r>
      <w:r w:rsidR="00445CA8">
        <w:t xml:space="preserve">the impact that TtW has </w:t>
      </w:r>
      <w:r w:rsidR="00326F70">
        <w:t xml:space="preserve">on </w:t>
      </w:r>
      <w:r w:rsidR="00CD3A7B">
        <w:t>participants</w:t>
      </w:r>
      <w:r w:rsidR="003A0923">
        <w:t>’</w:t>
      </w:r>
      <w:r w:rsidR="00326F70">
        <w:t xml:space="preserve"> human capabilities and participants</w:t>
      </w:r>
      <w:r w:rsidR="00F8391B">
        <w:t>’</w:t>
      </w:r>
      <w:r w:rsidR="00326F70">
        <w:t xml:space="preserve"> contact with the criminal justice system. Findings from this</w:t>
      </w:r>
      <w:r w:rsidR="007002A7">
        <w:t xml:space="preserve"> </w:t>
      </w:r>
      <w:r w:rsidR="00326F70">
        <w:t xml:space="preserve">research </w:t>
      </w:r>
      <w:r w:rsidR="007002A7">
        <w:t xml:space="preserve">on impact </w:t>
      </w:r>
      <w:r w:rsidR="00326F70">
        <w:t>feeds into an analysis of the value for money of the program. T</w:t>
      </w:r>
      <w:r>
        <w:t>he impact of chang</w:t>
      </w:r>
      <w:r w:rsidR="1F392236">
        <w:t xml:space="preserve">ing the </w:t>
      </w:r>
      <w:r>
        <w:t>maximum duration of service from 12 to 18</w:t>
      </w:r>
      <w:r w:rsidR="003A0923">
        <w:t> </w:t>
      </w:r>
      <w:r>
        <w:t>months</w:t>
      </w:r>
      <w:r w:rsidR="00326F70">
        <w:t xml:space="preserve"> </w:t>
      </w:r>
      <w:r w:rsidR="005E5641">
        <w:t>was</w:t>
      </w:r>
      <w:r w:rsidR="00326F70">
        <w:t xml:space="preserve"> also explored.</w:t>
      </w:r>
    </w:p>
    <w:p w14:paraId="641BC966" w14:textId="588F227C" w:rsidR="00736ABF" w:rsidRPr="00696D80" w:rsidRDefault="00736ABF" w:rsidP="00736ABF">
      <w:r w:rsidRPr="00CD7319">
        <w:rPr>
          <w:b/>
          <w:bCs/>
        </w:rPr>
        <w:t>Chapter 1</w:t>
      </w:r>
      <w:r w:rsidR="005B4422" w:rsidRPr="00C239FD">
        <w:t xml:space="preserve"> </w:t>
      </w:r>
      <w:r w:rsidR="00A02B89" w:rsidRPr="00C239FD">
        <w:t>presents</w:t>
      </w:r>
      <w:r w:rsidR="00A02B89">
        <w:rPr>
          <w:b/>
          <w:bCs/>
        </w:rPr>
        <w:t xml:space="preserve"> </w:t>
      </w:r>
      <w:r w:rsidRPr="00CD7319">
        <w:t>the context of the current evaluation</w:t>
      </w:r>
      <w:r w:rsidR="00A02B89">
        <w:t>,</w:t>
      </w:r>
      <w:r w:rsidRPr="00CD7319">
        <w:t xml:space="preserve"> including a brief outline of the TtW service, the macroeconomic environment and </w:t>
      </w:r>
      <w:r w:rsidR="00A02B89">
        <w:t xml:space="preserve">the </w:t>
      </w:r>
      <w:r w:rsidRPr="00CD7319">
        <w:t xml:space="preserve">policy and program context. </w:t>
      </w:r>
      <w:r>
        <w:t xml:space="preserve">The chapter includes a </w:t>
      </w:r>
      <w:r w:rsidRPr="00CD7319">
        <w:t xml:space="preserve">discussion of the pathways and challenges faced by young people making the transition from school to work and </w:t>
      </w:r>
      <w:r w:rsidRPr="0044649A">
        <w:t xml:space="preserve">presents evidence from previous evaluation research regarding </w:t>
      </w:r>
      <w:r w:rsidRPr="00CD7319">
        <w:t xml:space="preserve">the role of the TtW program in supporting disadvantaged and disengaged young people in this transition. </w:t>
      </w:r>
      <w:r w:rsidRPr="0044649A">
        <w:t>The</w:t>
      </w:r>
      <w:r w:rsidRPr="00CD7319">
        <w:t xml:space="preserve"> human capabilities framework </w:t>
      </w:r>
      <w:r w:rsidRPr="0044649A">
        <w:t>used in this supplementary evaluation is</w:t>
      </w:r>
      <w:r w:rsidRPr="00CD7319">
        <w:t xml:space="preserve"> presented.</w:t>
      </w:r>
    </w:p>
    <w:p w14:paraId="190A2F3D" w14:textId="38C8323F" w:rsidR="00736ABF" w:rsidRPr="00696D80" w:rsidRDefault="00736ABF" w:rsidP="00736ABF">
      <w:r>
        <w:rPr>
          <w:b/>
          <w:bCs/>
        </w:rPr>
        <w:t>Chapter</w:t>
      </w:r>
      <w:r w:rsidRPr="00696D80">
        <w:rPr>
          <w:b/>
          <w:bCs/>
        </w:rPr>
        <w:t xml:space="preserve"> 2</w:t>
      </w:r>
      <w:r w:rsidR="003A0923">
        <w:rPr>
          <w:b/>
          <w:bCs/>
        </w:rPr>
        <w:t xml:space="preserve"> </w:t>
      </w:r>
      <w:r w:rsidR="00A02B89">
        <w:t xml:space="preserve">provides </w:t>
      </w:r>
      <w:r w:rsidRPr="00696D80">
        <w:t xml:space="preserve">detail about the current </w:t>
      </w:r>
      <w:r>
        <w:t xml:space="preserve">supplementary </w:t>
      </w:r>
      <w:r w:rsidRPr="00696D80">
        <w:t>evaluation</w:t>
      </w:r>
      <w:r w:rsidR="00A02B89">
        <w:t>,</w:t>
      </w:r>
      <w:r w:rsidRPr="00696D80">
        <w:t xml:space="preserve"> including outlining the </w:t>
      </w:r>
      <w:r>
        <w:t xml:space="preserve">evaluation </w:t>
      </w:r>
      <w:r w:rsidRPr="00696D80">
        <w:t xml:space="preserve">scope, </w:t>
      </w:r>
      <w:r>
        <w:t>questions, data sources</w:t>
      </w:r>
      <w:r w:rsidR="00C046E0">
        <w:t>,</w:t>
      </w:r>
      <w:r>
        <w:t xml:space="preserve"> </w:t>
      </w:r>
      <w:r w:rsidRPr="00696D80">
        <w:t xml:space="preserve">approach </w:t>
      </w:r>
      <w:r w:rsidR="00C046E0">
        <w:t>and</w:t>
      </w:r>
      <w:r w:rsidRPr="00696D80">
        <w:t xml:space="preserve"> methodology</w:t>
      </w:r>
      <w:r w:rsidR="00C046E0">
        <w:t>, and limitations</w:t>
      </w:r>
      <w:r w:rsidRPr="00696D80">
        <w:t>.</w:t>
      </w:r>
    </w:p>
    <w:p w14:paraId="09711AD4" w14:textId="1B7C2F6B" w:rsidR="00962D8F" w:rsidRDefault="00A02B89" w:rsidP="00962D8F">
      <w:r w:rsidRPr="00A02B89">
        <w:rPr>
          <w:b/>
          <w:bCs/>
        </w:rPr>
        <w:t>Chapter 3</w:t>
      </w:r>
      <w:r>
        <w:t xml:space="preserve"> examines t</w:t>
      </w:r>
      <w:r w:rsidR="00962D8F" w:rsidRPr="00A02B89">
        <w:t>he</w:t>
      </w:r>
      <w:r w:rsidR="00962D8F" w:rsidRPr="00F66B3E">
        <w:t xml:space="preserve"> extent to which the TtW program impacts participants</w:t>
      </w:r>
      <w:r w:rsidR="00F8391B">
        <w:t>’</w:t>
      </w:r>
      <w:r w:rsidR="00962D8F">
        <w:t xml:space="preserve"> human capabilities, their overall wellbeing and </w:t>
      </w:r>
      <w:r>
        <w:t xml:space="preserve">their </w:t>
      </w:r>
      <w:r w:rsidR="00962D8F">
        <w:t xml:space="preserve">satisfaction with life. </w:t>
      </w:r>
      <w:r>
        <w:t>It also explores t</w:t>
      </w:r>
      <w:r w:rsidR="00962D8F">
        <w:t>he elements of the TtW program that are associated with increasing human capability in participants.</w:t>
      </w:r>
    </w:p>
    <w:p w14:paraId="531EEEB0" w14:textId="076B7711" w:rsidR="00962D8F" w:rsidRPr="00696D80" w:rsidRDefault="00962D8F" w:rsidP="00962D8F">
      <w:r>
        <w:rPr>
          <w:b/>
          <w:bCs/>
        </w:rPr>
        <w:t>Chapter</w:t>
      </w:r>
      <w:r w:rsidRPr="00E210A8">
        <w:rPr>
          <w:b/>
          <w:bCs/>
        </w:rPr>
        <w:t xml:space="preserve"> </w:t>
      </w:r>
      <w:r>
        <w:rPr>
          <w:b/>
          <w:bCs/>
        </w:rPr>
        <w:t>4</w:t>
      </w:r>
      <w:r>
        <w:t xml:space="preserve"> </w:t>
      </w:r>
      <w:r w:rsidR="00A02B89">
        <w:t xml:space="preserve">investigates </w:t>
      </w:r>
      <w:r>
        <w:t>the impact of TtW on participants</w:t>
      </w:r>
      <w:r w:rsidR="003A0923">
        <w:t>’</w:t>
      </w:r>
      <w:r>
        <w:t xml:space="preserve"> contact with the criminal justice system over the longer term.</w:t>
      </w:r>
    </w:p>
    <w:p w14:paraId="34993640" w14:textId="28DDB738" w:rsidR="005B4FD6" w:rsidRPr="00696D80" w:rsidRDefault="00244421" w:rsidP="005B4FD6">
      <w:r w:rsidRPr="00244421">
        <w:rPr>
          <w:b/>
          <w:bCs/>
        </w:rPr>
        <w:t xml:space="preserve">Chapter </w:t>
      </w:r>
      <w:r w:rsidR="00962D8F">
        <w:rPr>
          <w:b/>
          <w:bCs/>
        </w:rPr>
        <w:t>5</w:t>
      </w:r>
      <w:r w:rsidR="003A0923">
        <w:rPr>
          <w:b/>
          <w:bCs/>
        </w:rPr>
        <w:t xml:space="preserve"> </w:t>
      </w:r>
      <w:r w:rsidR="00A02B89">
        <w:t xml:space="preserve">examines </w:t>
      </w:r>
      <w:r>
        <w:t>t</w:t>
      </w:r>
      <w:r w:rsidR="005B4FD6">
        <w:t>he extent to which TtW achieves its intended outcomes over the longer term, looking at the impact of the program on young people</w:t>
      </w:r>
      <w:r w:rsidR="00F8391B">
        <w:t>’</w:t>
      </w:r>
      <w:r w:rsidR="005B4FD6">
        <w:t>s employment</w:t>
      </w:r>
      <w:r>
        <w:t>, labour market attachment</w:t>
      </w:r>
      <w:r w:rsidR="005B4FD6">
        <w:t xml:space="preserve"> and full-time study status and their dependence on income support, including examining impacts for different demographic groups. Other longer-term trends are also described.</w:t>
      </w:r>
    </w:p>
    <w:p w14:paraId="105E5734" w14:textId="20B518D0" w:rsidR="00962D8F" w:rsidRDefault="00962D8F" w:rsidP="00962D8F">
      <w:r>
        <w:t xml:space="preserve">Increasing the maximum duration of service from 12 to 18 months, in response to previous research and provider feedback, was a notable modification to the program. </w:t>
      </w:r>
      <w:r w:rsidRPr="00986808">
        <w:t>The impact</w:t>
      </w:r>
      <w:r w:rsidRPr="00696D80">
        <w:t xml:space="preserve"> of </w:t>
      </w:r>
      <w:r>
        <w:t xml:space="preserve">increasing service duration is assessed in </w:t>
      </w:r>
      <w:r w:rsidRPr="007A5AE9">
        <w:rPr>
          <w:b/>
          <w:bCs/>
        </w:rPr>
        <w:t xml:space="preserve">Chapter </w:t>
      </w:r>
      <w:r>
        <w:rPr>
          <w:b/>
          <w:bCs/>
        </w:rPr>
        <w:t>6</w:t>
      </w:r>
      <w:r w:rsidR="00C046E0" w:rsidRPr="00C239FD">
        <w:t xml:space="preserve">. </w:t>
      </w:r>
      <w:r w:rsidR="009F1529">
        <w:t>Analysis of this c</w:t>
      </w:r>
      <w:r w:rsidRPr="009F1529">
        <w:t>hange and</w:t>
      </w:r>
      <w:r w:rsidR="009F1529">
        <w:t xml:space="preserve"> its effect on</w:t>
      </w:r>
      <w:r w:rsidRPr="009F1529">
        <w:t xml:space="preserve"> </w:t>
      </w:r>
      <w:r w:rsidR="009F1529">
        <w:t>participants’</w:t>
      </w:r>
      <w:r w:rsidR="009F1529" w:rsidRPr="009F1529">
        <w:t xml:space="preserve"> </w:t>
      </w:r>
      <w:r w:rsidRPr="009F1529">
        <w:t>employment and education outcomes</w:t>
      </w:r>
      <w:r w:rsidR="00C046E0" w:rsidRPr="009F1529">
        <w:t xml:space="preserve"> is presented</w:t>
      </w:r>
      <w:r w:rsidRPr="009F1529">
        <w:t xml:space="preserve">, </w:t>
      </w:r>
      <w:r w:rsidR="00C046E0" w:rsidRPr="009F1529">
        <w:t>along with evidence about</w:t>
      </w:r>
      <w:r w:rsidRPr="009F1529">
        <w:t xml:space="preserve"> how th</w:t>
      </w:r>
      <w:r w:rsidR="009F1529">
        <w:t>e</w:t>
      </w:r>
      <w:r w:rsidRPr="009F1529">
        <w:t xml:space="preserve"> change affected provider behaviour</w:t>
      </w:r>
      <w:r w:rsidRPr="00696D80">
        <w:t>.</w:t>
      </w:r>
      <w:r w:rsidR="00C046E0">
        <w:t xml:space="preserve"> The impact of this extension on participants</w:t>
      </w:r>
      <w:r w:rsidR="00F8391B">
        <w:t>’</w:t>
      </w:r>
      <w:r w:rsidR="00C046E0">
        <w:t xml:space="preserve"> human capabilities and wellbeing was not examined.</w:t>
      </w:r>
    </w:p>
    <w:p w14:paraId="7AE06C94" w14:textId="46B26449" w:rsidR="00736ABF" w:rsidRDefault="007002A7" w:rsidP="00736ABF">
      <w:r>
        <w:t>A</w:t>
      </w:r>
      <w:r w:rsidR="00736ABF">
        <w:t>n exploratory examination of the value for money that TtW provides is presented</w:t>
      </w:r>
      <w:r>
        <w:t xml:space="preserve"> in </w:t>
      </w:r>
      <w:r w:rsidRPr="007002A7">
        <w:rPr>
          <w:b/>
          <w:bCs/>
        </w:rPr>
        <w:t>Chapter 7</w:t>
      </w:r>
      <w:r w:rsidR="00736ABF">
        <w:t>. This value</w:t>
      </w:r>
      <w:r w:rsidR="00A02B89">
        <w:t>-</w:t>
      </w:r>
      <w:r w:rsidR="00736ABF">
        <w:t>for</w:t>
      </w:r>
      <w:r w:rsidR="00A02B89">
        <w:t>-</w:t>
      </w:r>
      <w:r w:rsidR="00736ABF">
        <w:t xml:space="preserve">money analysis is undertaken in acknowledgement that TtW is considerably more expensive than jobactive per outcome and per participant, as it offers more intensive and individualised support to participants. This chapter includes an assessment of the relative benefits and costs of TtW, valuing increased wellbeing and reduced incarceration attributable to the program and balancing this against the additional costs associated with the program relative to jobactive. This </w:t>
      </w:r>
      <w:r w:rsidR="00736ABF">
        <w:lastRenderedPageBreak/>
        <w:t>analysis is undertaken in the context of contested views on the validity and practicality of placing a monetary value on human capabilities and wellbeing</w:t>
      </w:r>
      <w:r w:rsidR="00736ABF">
        <w:rPr>
          <w:b/>
          <w:bCs/>
        </w:rPr>
        <w:t>.</w:t>
      </w:r>
    </w:p>
    <w:p w14:paraId="51466A19" w14:textId="3FF8FB22" w:rsidR="00020CE5" w:rsidRDefault="00736ABF" w:rsidP="003F3CFA">
      <w:r>
        <w:t>B</w:t>
      </w:r>
      <w:r w:rsidRPr="00E47EDB">
        <w:t>rief concluding comments</w:t>
      </w:r>
      <w:r>
        <w:t xml:space="preserve"> are presented in </w:t>
      </w:r>
      <w:r w:rsidRPr="00986808">
        <w:rPr>
          <w:b/>
          <w:bCs/>
        </w:rPr>
        <w:t>Chapter 8</w:t>
      </w:r>
      <w:r>
        <w:t>.</w:t>
      </w:r>
      <w:r w:rsidR="00020CE5">
        <w:br w:type="page"/>
      </w:r>
    </w:p>
    <w:p w14:paraId="7AED431C" w14:textId="0C19297C" w:rsidR="00992F10" w:rsidRPr="00940109" w:rsidRDefault="00334E0A" w:rsidP="00FF5DFD">
      <w:pPr>
        <w:pStyle w:val="Heading1"/>
        <w:numPr>
          <w:ilvl w:val="0"/>
          <w:numId w:val="34"/>
        </w:numPr>
      </w:pPr>
      <w:bookmarkStart w:id="69" w:name="_Toc132650433"/>
      <w:bookmarkStart w:id="70" w:name="_Toc146033465"/>
      <w:r w:rsidRPr="005B0984">
        <w:lastRenderedPageBreak/>
        <w:t>–</w:t>
      </w:r>
      <w:r w:rsidR="00AD1A8D">
        <w:t xml:space="preserve"> </w:t>
      </w:r>
      <w:r w:rsidR="00E47EDB" w:rsidRPr="00F241E2">
        <w:t>Introduction</w:t>
      </w:r>
      <w:bookmarkEnd w:id="68"/>
      <w:bookmarkEnd w:id="69"/>
      <w:bookmarkEnd w:id="70"/>
    </w:p>
    <w:p w14:paraId="1D846DE1" w14:textId="68B6E10C" w:rsidR="004A48E0" w:rsidRPr="00696D80" w:rsidRDefault="185ABA61" w:rsidP="001469EB">
      <w:pPr>
        <w:pStyle w:val="Body"/>
        <w:jc w:val="left"/>
      </w:pPr>
      <w:r>
        <w:t xml:space="preserve">This </w:t>
      </w:r>
      <w:r w:rsidR="38E4CA38">
        <w:t xml:space="preserve">report presents findings from </w:t>
      </w:r>
      <w:r w:rsidR="5ED3BDF4">
        <w:t xml:space="preserve">the </w:t>
      </w:r>
      <w:r w:rsidR="6E4DCB6A">
        <w:t>supplementary</w:t>
      </w:r>
      <w:r w:rsidR="2E8A6E50">
        <w:t xml:space="preserve"> evaluation</w:t>
      </w:r>
      <w:r w:rsidR="1B1EBADA">
        <w:t xml:space="preserve"> </w:t>
      </w:r>
      <w:r w:rsidR="6AF95B81">
        <w:t xml:space="preserve">of the </w:t>
      </w:r>
      <w:r w:rsidR="3575C8A9">
        <w:t>Transition to Work (TtW)</w:t>
      </w:r>
      <w:r w:rsidR="6AF95B81">
        <w:t xml:space="preserve"> program </w:t>
      </w:r>
      <w:r w:rsidR="1C704AE0">
        <w:t xml:space="preserve">undertaken by </w:t>
      </w:r>
      <w:r w:rsidR="7825954D">
        <w:t xml:space="preserve">the Employment </w:t>
      </w:r>
      <w:r w:rsidR="346D0D07">
        <w:t>Evaluation</w:t>
      </w:r>
      <w:r w:rsidR="7825954D">
        <w:t xml:space="preserve"> Branch in the D</w:t>
      </w:r>
      <w:r w:rsidR="38E4CA38">
        <w:t>e</w:t>
      </w:r>
      <w:r w:rsidR="7825954D">
        <w:t>partment</w:t>
      </w:r>
      <w:r w:rsidR="38E4CA38">
        <w:t xml:space="preserve"> </w:t>
      </w:r>
      <w:r w:rsidR="7825954D">
        <w:t xml:space="preserve">of </w:t>
      </w:r>
      <w:r w:rsidR="38E4CA38">
        <w:t xml:space="preserve">Employment </w:t>
      </w:r>
      <w:r w:rsidR="346D0D07">
        <w:t>and Work</w:t>
      </w:r>
      <w:r w:rsidR="007640F1">
        <w:t>place</w:t>
      </w:r>
      <w:r w:rsidR="346D0D07">
        <w:t xml:space="preserve"> Relations (</w:t>
      </w:r>
      <w:r w:rsidR="00B715C4">
        <w:t>the</w:t>
      </w:r>
      <w:r w:rsidR="00C26203">
        <w:t xml:space="preserve"> department</w:t>
      </w:r>
      <w:r w:rsidR="346D0D07">
        <w:t>)</w:t>
      </w:r>
      <w:r w:rsidR="001469EB">
        <w:t>,</w:t>
      </w:r>
      <w:r w:rsidR="002B7CC7">
        <w:t xml:space="preserve"> covering the period March 2016</w:t>
      </w:r>
      <w:r w:rsidR="003A0923">
        <w:t xml:space="preserve"> to </w:t>
      </w:r>
      <w:r w:rsidR="002B7CC7">
        <w:t>Sept</w:t>
      </w:r>
      <w:r w:rsidR="003A0923">
        <w:t>ember</w:t>
      </w:r>
      <w:r w:rsidR="002B7CC7">
        <w:t xml:space="preserve"> 2021</w:t>
      </w:r>
      <w:r w:rsidR="3575C8A9">
        <w:t>.</w:t>
      </w:r>
      <w:r w:rsidR="6775BA14">
        <w:t xml:space="preserve"> This </w:t>
      </w:r>
      <w:r w:rsidR="002272EE">
        <w:t xml:space="preserve">supplementary </w:t>
      </w:r>
      <w:r w:rsidR="00C2547F">
        <w:t xml:space="preserve">evaluation </w:t>
      </w:r>
      <w:r w:rsidR="4E25B1BF">
        <w:t>explores</w:t>
      </w:r>
      <w:r w:rsidR="6775BA14">
        <w:t xml:space="preserve"> </w:t>
      </w:r>
      <w:r w:rsidR="4E25B1BF">
        <w:t>a number of questions raised in the</w:t>
      </w:r>
      <w:r w:rsidR="0094404A">
        <w:t xml:space="preserve"> report of the</w:t>
      </w:r>
      <w:r w:rsidR="001469EB">
        <w:t xml:space="preserve"> </w:t>
      </w:r>
      <w:r w:rsidR="0094404A">
        <w:t>f</w:t>
      </w:r>
      <w:r w:rsidR="10E60FD5" w:rsidRPr="002272EE">
        <w:t>inal</w:t>
      </w:r>
      <w:r w:rsidR="10E60FD5">
        <w:t xml:space="preserve"> </w:t>
      </w:r>
      <w:r w:rsidR="0094404A">
        <w:t>e</w:t>
      </w:r>
      <w:r w:rsidR="58891B86">
        <w:t xml:space="preserve">valuation of the </w:t>
      </w:r>
      <w:r w:rsidR="3575C8A9">
        <w:t>TtW</w:t>
      </w:r>
      <w:r w:rsidR="58891B86">
        <w:t xml:space="preserve"> </w:t>
      </w:r>
      <w:r w:rsidR="003A0923">
        <w:t>p</w:t>
      </w:r>
      <w:r w:rsidR="58891B86">
        <w:t>rogram</w:t>
      </w:r>
      <w:r w:rsidR="00C26203">
        <w:t xml:space="preserve"> (</w:t>
      </w:r>
      <w:hyperlink r:id="rId21" w:anchor=":~:text=Transition%20to%20Work%20Final%20Evaluation%20Report%20The%20Department,evaluation%20of%20the%20Transition%20to%20Work%20%28TtW%29%20service." w:history="1">
        <w:r w:rsidR="00C26203" w:rsidRPr="002272EE">
          <w:rPr>
            <w:rStyle w:val="Hyperlink"/>
            <w:b/>
            <w:bCs/>
          </w:rPr>
          <w:t>DESE 2021</w:t>
        </w:r>
      </w:hyperlink>
      <w:r w:rsidR="00C26203">
        <w:t>)</w:t>
      </w:r>
      <w:r w:rsidR="4E25B1BF">
        <w:t xml:space="preserve">, examining the </w:t>
      </w:r>
      <w:r w:rsidR="00A118B3">
        <w:t xml:space="preserve">broader and </w:t>
      </w:r>
      <w:r w:rsidR="4E25B1BF">
        <w:t>longer</w:t>
      </w:r>
      <w:r w:rsidR="00D43B46">
        <w:t>-</w:t>
      </w:r>
      <w:r w:rsidR="4E25B1BF">
        <w:t>term impacts of TtW</w:t>
      </w:r>
      <w:r w:rsidR="001469EB">
        <w:t xml:space="preserve">, </w:t>
      </w:r>
      <w:r w:rsidR="002B7CC7">
        <w:t>particularly focusi</w:t>
      </w:r>
      <w:r w:rsidR="001469EB">
        <w:t>ng</w:t>
      </w:r>
      <w:r w:rsidR="002B7CC7">
        <w:t xml:space="preserve"> on</w:t>
      </w:r>
      <w:r w:rsidR="7825954D">
        <w:t xml:space="preserve"> </w:t>
      </w:r>
      <w:r w:rsidR="2DB7B342">
        <w:t>the role TtW plays in developing participants</w:t>
      </w:r>
      <w:r w:rsidR="00F8391B">
        <w:t>’</w:t>
      </w:r>
      <w:r w:rsidR="2DB7B342">
        <w:t xml:space="preserve"> human capabilities. The exploration of human capabilities is a relatively new area of analysis for the department </w:t>
      </w:r>
      <w:r w:rsidR="005E200A">
        <w:t>and the evaluation seeks to ascertain whether TtW delivers broader value to participants and society above supporting young people to move from school to work</w:t>
      </w:r>
      <w:r w:rsidR="2DB7B342">
        <w:t>.</w:t>
      </w:r>
    </w:p>
    <w:p w14:paraId="1110E45D" w14:textId="77777777" w:rsidR="00BC4934" w:rsidRPr="006E41FD" w:rsidRDefault="00BC4934" w:rsidP="006E41FD">
      <w:pPr>
        <w:pStyle w:val="Heading2"/>
      </w:pPr>
      <w:bookmarkStart w:id="71" w:name="_Toc108539042"/>
      <w:bookmarkStart w:id="72" w:name="_Toc109821800"/>
      <w:bookmarkStart w:id="73" w:name="_Toc109918282"/>
      <w:bookmarkStart w:id="74" w:name="_Toc110249093"/>
      <w:bookmarkStart w:id="75" w:name="_Toc110251134"/>
      <w:bookmarkStart w:id="76" w:name="_Toc110264530"/>
      <w:bookmarkStart w:id="77" w:name="_Toc110410708"/>
      <w:bookmarkStart w:id="78" w:name="_Toc108539043"/>
      <w:bookmarkStart w:id="79" w:name="_Toc109821801"/>
      <w:bookmarkStart w:id="80" w:name="_Toc109918283"/>
      <w:bookmarkStart w:id="81" w:name="_Toc110249094"/>
      <w:bookmarkStart w:id="82" w:name="_Toc110251135"/>
      <w:bookmarkStart w:id="83" w:name="_Toc110264531"/>
      <w:bookmarkStart w:id="84" w:name="_Toc110410709"/>
      <w:bookmarkStart w:id="85" w:name="_Toc108539044"/>
      <w:bookmarkStart w:id="86" w:name="_Toc109821802"/>
      <w:bookmarkStart w:id="87" w:name="_Toc109918284"/>
      <w:bookmarkStart w:id="88" w:name="_Toc110249095"/>
      <w:bookmarkStart w:id="89" w:name="_Toc110251136"/>
      <w:bookmarkStart w:id="90" w:name="_Toc110264532"/>
      <w:bookmarkStart w:id="91" w:name="_Toc110410710"/>
      <w:bookmarkStart w:id="92" w:name="_Toc108539045"/>
      <w:bookmarkStart w:id="93" w:name="_Toc109821803"/>
      <w:bookmarkStart w:id="94" w:name="_Toc109918285"/>
      <w:bookmarkStart w:id="95" w:name="_Toc110249096"/>
      <w:bookmarkStart w:id="96" w:name="_Toc110251137"/>
      <w:bookmarkStart w:id="97" w:name="_Toc110264533"/>
      <w:bookmarkStart w:id="98" w:name="_Toc110410711"/>
      <w:bookmarkStart w:id="99" w:name="_Toc108539046"/>
      <w:bookmarkStart w:id="100" w:name="_Toc109821804"/>
      <w:bookmarkStart w:id="101" w:name="_Toc109918286"/>
      <w:bookmarkStart w:id="102" w:name="_Toc110249097"/>
      <w:bookmarkStart w:id="103" w:name="_Toc110251138"/>
      <w:bookmarkStart w:id="104" w:name="_Toc110264534"/>
      <w:bookmarkStart w:id="105" w:name="_Toc110410712"/>
      <w:bookmarkStart w:id="106" w:name="_Toc108539047"/>
      <w:bookmarkStart w:id="107" w:name="_Toc109821805"/>
      <w:bookmarkStart w:id="108" w:name="_Toc109918287"/>
      <w:bookmarkStart w:id="109" w:name="_Toc110249098"/>
      <w:bookmarkStart w:id="110" w:name="_Toc110251139"/>
      <w:bookmarkStart w:id="111" w:name="_Toc110264535"/>
      <w:bookmarkStart w:id="112" w:name="_Toc110410713"/>
      <w:bookmarkStart w:id="113" w:name="_Toc108539048"/>
      <w:bookmarkStart w:id="114" w:name="_Toc109821806"/>
      <w:bookmarkStart w:id="115" w:name="_Toc109918288"/>
      <w:bookmarkStart w:id="116" w:name="_Toc110249099"/>
      <w:bookmarkStart w:id="117" w:name="_Toc110251140"/>
      <w:bookmarkStart w:id="118" w:name="_Toc110264536"/>
      <w:bookmarkStart w:id="119" w:name="_Toc110410714"/>
      <w:bookmarkStart w:id="120" w:name="_Toc108539049"/>
      <w:bookmarkStart w:id="121" w:name="_Toc109821807"/>
      <w:bookmarkStart w:id="122" w:name="_Toc109918289"/>
      <w:bookmarkStart w:id="123" w:name="_Toc110249100"/>
      <w:bookmarkStart w:id="124" w:name="_Toc110251141"/>
      <w:bookmarkStart w:id="125" w:name="_Toc110264537"/>
      <w:bookmarkStart w:id="126" w:name="_Toc110410715"/>
      <w:bookmarkStart w:id="127" w:name="_Toc108539050"/>
      <w:bookmarkStart w:id="128" w:name="_Toc109821808"/>
      <w:bookmarkStart w:id="129" w:name="_Toc109918290"/>
      <w:bookmarkStart w:id="130" w:name="_Toc110249101"/>
      <w:bookmarkStart w:id="131" w:name="_Toc110251142"/>
      <w:bookmarkStart w:id="132" w:name="_Toc110264538"/>
      <w:bookmarkStart w:id="133" w:name="_Toc110410716"/>
      <w:bookmarkStart w:id="134" w:name="_Toc108539051"/>
      <w:bookmarkStart w:id="135" w:name="_Toc109821809"/>
      <w:bookmarkStart w:id="136" w:name="_Toc109918291"/>
      <w:bookmarkStart w:id="137" w:name="_Toc110249102"/>
      <w:bookmarkStart w:id="138" w:name="_Toc110251143"/>
      <w:bookmarkStart w:id="139" w:name="_Toc110264539"/>
      <w:bookmarkStart w:id="140" w:name="_Toc110410717"/>
      <w:bookmarkStart w:id="141" w:name="_Toc108539052"/>
      <w:bookmarkStart w:id="142" w:name="_Toc109821810"/>
      <w:bookmarkStart w:id="143" w:name="_Toc109918292"/>
      <w:bookmarkStart w:id="144" w:name="_Toc110249103"/>
      <w:bookmarkStart w:id="145" w:name="_Toc110251144"/>
      <w:bookmarkStart w:id="146" w:name="_Toc110264540"/>
      <w:bookmarkStart w:id="147" w:name="_Toc110410718"/>
      <w:bookmarkStart w:id="148" w:name="_Toc108539053"/>
      <w:bookmarkStart w:id="149" w:name="_Toc109821811"/>
      <w:bookmarkStart w:id="150" w:name="_Toc109918293"/>
      <w:bookmarkStart w:id="151" w:name="_Toc110249104"/>
      <w:bookmarkStart w:id="152" w:name="_Toc110251145"/>
      <w:bookmarkStart w:id="153" w:name="_Toc110264541"/>
      <w:bookmarkStart w:id="154" w:name="_Toc110410719"/>
      <w:bookmarkStart w:id="155" w:name="_Toc108539054"/>
      <w:bookmarkStart w:id="156" w:name="_Toc109821812"/>
      <w:bookmarkStart w:id="157" w:name="_Toc109918294"/>
      <w:bookmarkStart w:id="158" w:name="_Toc110249105"/>
      <w:bookmarkStart w:id="159" w:name="_Toc110251146"/>
      <w:bookmarkStart w:id="160" w:name="_Toc110264542"/>
      <w:bookmarkStart w:id="161" w:name="_Toc110410720"/>
      <w:bookmarkStart w:id="162" w:name="_Toc108539055"/>
      <w:bookmarkStart w:id="163" w:name="_Toc109821813"/>
      <w:bookmarkStart w:id="164" w:name="_Toc109918295"/>
      <w:bookmarkStart w:id="165" w:name="_Toc110249106"/>
      <w:bookmarkStart w:id="166" w:name="_Toc110251147"/>
      <w:bookmarkStart w:id="167" w:name="_Toc110264543"/>
      <w:bookmarkStart w:id="168" w:name="_Toc110410721"/>
      <w:bookmarkStart w:id="169" w:name="_Toc108539056"/>
      <w:bookmarkStart w:id="170" w:name="_Toc109821814"/>
      <w:bookmarkStart w:id="171" w:name="_Toc109918296"/>
      <w:bookmarkStart w:id="172" w:name="_Toc110249107"/>
      <w:bookmarkStart w:id="173" w:name="_Toc110251148"/>
      <w:bookmarkStart w:id="174" w:name="_Toc110264544"/>
      <w:bookmarkStart w:id="175" w:name="_Toc110410722"/>
      <w:bookmarkStart w:id="176" w:name="_Toc108539057"/>
      <w:bookmarkStart w:id="177" w:name="_Toc109821815"/>
      <w:bookmarkStart w:id="178" w:name="_Toc109918297"/>
      <w:bookmarkStart w:id="179" w:name="_Toc110249108"/>
      <w:bookmarkStart w:id="180" w:name="_Toc110251149"/>
      <w:bookmarkStart w:id="181" w:name="_Toc110264545"/>
      <w:bookmarkStart w:id="182" w:name="_Toc110410723"/>
      <w:bookmarkStart w:id="183" w:name="_Toc108539058"/>
      <w:bookmarkStart w:id="184" w:name="_Toc109821816"/>
      <w:bookmarkStart w:id="185" w:name="_Toc109918298"/>
      <w:bookmarkStart w:id="186" w:name="_Toc110249109"/>
      <w:bookmarkStart w:id="187" w:name="_Toc110251150"/>
      <w:bookmarkStart w:id="188" w:name="_Toc110264546"/>
      <w:bookmarkStart w:id="189" w:name="_Toc110410724"/>
      <w:bookmarkStart w:id="190" w:name="_Toc108539059"/>
      <w:bookmarkStart w:id="191" w:name="_Toc109821817"/>
      <w:bookmarkStart w:id="192" w:name="_Toc109918299"/>
      <w:bookmarkStart w:id="193" w:name="_Toc110249110"/>
      <w:bookmarkStart w:id="194" w:name="_Toc110251151"/>
      <w:bookmarkStart w:id="195" w:name="_Toc110264547"/>
      <w:bookmarkStart w:id="196" w:name="_Toc110410725"/>
      <w:bookmarkStart w:id="197" w:name="_Toc108539060"/>
      <w:bookmarkStart w:id="198" w:name="_Toc109821818"/>
      <w:bookmarkStart w:id="199" w:name="_Toc109918300"/>
      <w:bookmarkStart w:id="200" w:name="_Toc110249111"/>
      <w:bookmarkStart w:id="201" w:name="_Toc110251152"/>
      <w:bookmarkStart w:id="202" w:name="_Toc110264548"/>
      <w:bookmarkStart w:id="203" w:name="_Toc110410726"/>
      <w:bookmarkStart w:id="204" w:name="_Toc108539061"/>
      <w:bookmarkStart w:id="205" w:name="_Toc109821819"/>
      <w:bookmarkStart w:id="206" w:name="_Toc109918301"/>
      <w:bookmarkStart w:id="207" w:name="_Toc110249112"/>
      <w:bookmarkStart w:id="208" w:name="_Toc110251153"/>
      <w:bookmarkStart w:id="209" w:name="_Toc110264549"/>
      <w:bookmarkStart w:id="210" w:name="_Toc110410727"/>
      <w:bookmarkStart w:id="211" w:name="_Toc108539062"/>
      <w:bookmarkStart w:id="212" w:name="_Toc109821820"/>
      <w:bookmarkStart w:id="213" w:name="_Toc109918302"/>
      <w:bookmarkStart w:id="214" w:name="_Toc110249113"/>
      <w:bookmarkStart w:id="215" w:name="_Toc110251154"/>
      <w:bookmarkStart w:id="216" w:name="_Toc110264550"/>
      <w:bookmarkStart w:id="217" w:name="_Toc110410728"/>
      <w:bookmarkStart w:id="218" w:name="_Toc108539063"/>
      <w:bookmarkStart w:id="219" w:name="_Toc109821821"/>
      <w:bookmarkStart w:id="220" w:name="_Toc109918303"/>
      <w:bookmarkStart w:id="221" w:name="_Toc110249114"/>
      <w:bookmarkStart w:id="222" w:name="_Toc110251155"/>
      <w:bookmarkStart w:id="223" w:name="_Toc110264551"/>
      <w:bookmarkStart w:id="224" w:name="_Toc110410729"/>
      <w:bookmarkStart w:id="225" w:name="_Toc108539064"/>
      <w:bookmarkStart w:id="226" w:name="_Toc109821822"/>
      <w:bookmarkStart w:id="227" w:name="_Toc109918304"/>
      <w:bookmarkStart w:id="228" w:name="_Toc110249115"/>
      <w:bookmarkStart w:id="229" w:name="_Toc110251156"/>
      <w:bookmarkStart w:id="230" w:name="_Toc110264552"/>
      <w:bookmarkStart w:id="231" w:name="_Toc110410730"/>
      <w:bookmarkStart w:id="232" w:name="_Toc108539065"/>
      <w:bookmarkStart w:id="233" w:name="_Toc109821823"/>
      <w:bookmarkStart w:id="234" w:name="_Toc109918305"/>
      <w:bookmarkStart w:id="235" w:name="_Toc110249116"/>
      <w:bookmarkStart w:id="236" w:name="_Toc110251157"/>
      <w:bookmarkStart w:id="237" w:name="_Toc110264553"/>
      <w:bookmarkStart w:id="238" w:name="_Toc110410731"/>
      <w:bookmarkStart w:id="239" w:name="_Toc108539066"/>
      <w:bookmarkStart w:id="240" w:name="_Toc109821824"/>
      <w:bookmarkStart w:id="241" w:name="_Toc109918306"/>
      <w:bookmarkStart w:id="242" w:name="_Toc110249117"/>
      <w:bookmarkStart w:id="243" w:name="_Toc110251158"/>
      <w:bookmarkStart w:id="244" w:name="_Toc110264554"/>
      <w:bookmarkStart w:id="245" w:name="_Toc110410732"/>
      <w:bookmarkStart w:id="246" w:name="_Toc108539067"/>
      <w:bookmarkStart w:id="247" w:name="_Toc109821825"/>
      <w:bookmarkStart w:id="248" w:name="_Toc109918307"/>
      <w:bookmarkStart w:id="249" w:name="_Toc110249118"/>
      <w:bookmarkStart w:id="250" w:name="_Toc110251159"/>
      <w:bookmarkStart w:id="251" w:name="_Toc110264555"/>
      <w:bookmarkStart w:id="252" w:name="_Toc110410733"/>
      <w:bookmarkStart w:id="253" w:name="_Toc108539068"/>
      <w:bookmarkStart w:id="254" w:name="_Toc109821826"/>
      <w:bookmarkStart w:id="255" w:name="_Toc109918308"/>
      <w:bookmarkStart w:id="256" w:name="_Toc110249119"/>
      <w:bookmarkStart w:id="257" w:name="_Toc110251160"/>
      <w:bookmarkStart w:id="258" w:name="_Toc110264556"/>
      <w:bookmarkStart w:id="259" w:name="_Toc110410734"/>
      <w:bookmarkStart w:id="260" w:name="_Toc108539069"/>
      <w:bookmarkStart w:id="261" w:name="_Toc109821827"/>
      <w:bookmarkStart w:id="262" w:name="_Toc109918309"/>
      <w:bookmarkStart w:id="263" w:name="_Toc110249120"/>
      <w:bookmarkStart w:id="264" w:name="_Toc110251161"/>
      <w:bookmarkStart w:id="265" w:name="_Toc110264557"/>
      <w:bookmarkStart w:id="266" w:name="_Toc110410735"/>
      <w:bookmarkStart w:id="267" w:name="_Toc108539070"/>
      <w:bookmarkStart w:id="268" w:name="_Toc109821828"/>
      <w:bookmarkStart w:id="269" w:name="_Toc109918310"/>
      <w:bookmarkStart w:id="270" w:name="_Toc110249121"/>
      <w:bookmarkStart w:id="271" w:name="_Toc110251162"/>
      <w:bookmarkStart w:id="272" w:name="_Toc110264558"/>
      <w:bookmarkStart w:id="273" w:name="_Toc110410736"/>
      <w:bookmarkStart w:id="274" w:name="_Toc108539071"/>
      <w:bookmarkStart w:id="275" w:name="_Toc109821829"/>
      <w:bookmarkStart w:id="276" w:name="_Toc109918311"/>
      <w:bookmarkStart w:id="277" w:name="_Toc110249122"/>
      <w:bookmarkStart w:id="278" w:name="_Toc110251163"/>
      <w:bookmarkStart w:id="279" w:name="_Toc110264559"/>
      <w:bookmarkStart w:id="280" w:name="_Toc110410737"/>
      <w:bookmarkStart w:id="281" w:name="_Toc108539072"/>
      <w:bookmarkStart w:id="282" w:name="_Toc109821830"/>
      <w:bookmarkStart w:id="283" w:name="_Toc109918312"/>
      <w:bookmarkStart w:id="284" w:name="_Toc110249123"/>
      <w:bookmarkStart w:id="285" w:name="_Toc110251164"/>
      <w:bookmarkStart w:id="286" w:name="_Toc110264560"/>
      <w:bookmarkStart w:id="287" w:name="_Toc110410738"/>
      <w:bookmarkStart w:id="288" w:name="_Toc108539073"/>
      <w:bookmarkStart w:id="289" w:name="_Toc109821831"/>
      <w:bookmarkStart w:id="290" w:name="_Toc109918313"/>
      <w:bookmarkStart w:id="291" w:name="_Toc110249124"/>
      <w:bookmarkStart w:id="292" w:name="_Toc110251165"/>
      <w:bookmarkStart w:id="293" w:name="_Toc110264561"/>
      <w:bookmarkStart w:id="294" w:name="_Toc110410739"/>
      <w:bookmarkStart w:id="295" w:name="_Toc108539074"/>
      <w:bookmarkStart w:id="296" w:name="_Toc109821832"/>
      <w:bookmarkStart w:id="297" w:name="_Toc109918314"/>
      <w:bookmarkStart w:id="298" w:name="_Toc110249125"/>
      <w:bookmarkStart w:id="299" w:name="_Toc110251166"/>
      <w:bookmarkStart w:id="300" w:name="_Toc110264562"/>
      <w:bookmarkStart w:id="301" w:name="_Toc110410740"/>
      <w:bookmarkStart w:id="302" w:name="_Toc108539075"/>
      <w:bookmarkStart w:id="303" w:name="_Toc109821833"/>
      <w:bookmarkStart w:id="304" w:name="_Toc109918315"/>
      <w:bookmarkStart w:id="305" w:name="_Toc110249126"/>
      <w:bookmarkStart w:id="306" w:name="_Toc110251167"/>
      <w:bookmarkStart w:id="307" w:name="_Toc110264563"/>
      <w:bookmarkStart w:id="308" w:name="_Toc110410741"/>
      <w:bookmarkStart w:id="309" w:name="_Toc108539076"/>
      <w:bookmarkStart w:id="310" w:name="_Toc109821834"/>
      <w:bookmarkStart w:id="311" w:name="_Toc109918316"/>
      <w:bookmarkStart w:id="312" w:name="_Toc110249127"/>
      <w:bookmarkStart w:id="313" w:name="_Toc110251168"/>
      <w:bookmarkStart w:id="314" w:name="_Toc110264564"/>
      <w:bookmarkStart w:id="315" w:name="_Toc110410742"/>
      <w:bookmarkStart w:id="316" w:name="_Toc108539077"/>
      <w:bookmarkStart w:id="317" w:name="_Toc109821835"/>
      <w:bookmarkStart w:id="318" w:name="_Toc109918317"/>
      <w:bookmarkStart w:id="319" w:name="_Toc110249128"/>
      <w:bookmarkStart w:id="320" w:name="_Toc110251169"/>
      <w:bookmarkStart w:id="321" w:name="_Toc110264565"/>
      <w:bookmarkStart w:id="322" w:name="_Toc110410743"/>
      <w:bookmarkStart w:id="323" w:name="_Toc108539078"/>
      <w:bookmarkStart w:id="324" w:name="_Toc109821836"/>
      <w:bookmarkStart w:id="325" w:name="_Toc109918318"/>
      <w:bookmarkStart w:id="326" w:name="_Toc110249129"/>
      <w:bookmarkStart w:id="327" w:name="_Toc110251170"/>
      <w:bookmarkStart w:id="328" w:name="_Toc110264566"/>
      <w:bookmarkStart w:id="329" w:name="_Toc110410744"/>
      <w:bookmarkStart w:id="330" w:name="_Toc108539079"/>
      <w:bookmarkStart w:id="331" w:name="_Toc109821837"/>
      <w:bookmarkStart w:id="332" w:name="_Toc109918319"/>
      <w:bookmarkStart w:id="333" w:name="_Toc110249130"/>
      <w:bookmarkStart w:id="334" w:name="_Toc110251171"/>
      <w:bookmarkStart w:id="335" w:name="_Toc110264567"/>
      <w:bookmarkStart w:id="336" w:name="_Toc110410745"/>
      <w:bookmarkStart w:id="337" w:name="_Toc108539080"/>
      <w:bookmarkStart w:id="338" w:name="_Toc109821838"/>
      <w:bookmarkStart w:id="339" w:name="_Toc109918320"/>
      <w:bookmarkStart w:id="340" w:name="_Toc110249131"/>
      <w:bookmarkStart w:id="341" w:name="_Toc110251172"/>
      <w:bookmarkStart w:id="342" w:name="_Toc110264568"/>
      <w:bookmarkStart w:id="343" w:name="_Toc110410746"/>
      <w:bookmarkStart w:id="344" w:name="_Toc108539081"/>
      <w:bookmarkStart w:id="345" w:name="_Toc109821839"/>
      <w:bookmarkStart w:id="346" w:name="_Toc109918321"/>
      <w:bookmarkStart w:id="347" w:name="_Toc110249132"/>
      <w:bookmarkStart w:id="348" w:name="_Toc110251173"/>
      <w:bookmarkStart w:id="349" w:name="_Toc110264569"/>
      <w:bookmarkStart w:id="350" w:name="_Toc110410747"/>
      <w:bookmarkStart w:id="351" w:name="_Toc108539082"/>
      <w:bookmarkStart w:id="352" w:name="_Toc109821840"/>
      <w:bookmarkStart w:id="353" w:name="_Toc109918322"/>
      <w:bookmarkStart w:id="354" w:name="_Toc110249133"/>
      <w:bookmarkStart w:id="355" w:name="_Toc110251174"/>
      <w:bookmarkStart w:id="356" w:name="_Toc110264570"/>
      <w:bookmarkStart w:id="357" w:name="_Toc110410748"/>
      <w:bookmarkStart w:id="358" w:name="_Toc108539083"/>
      <w:bookmarkStart w:id="359" w:name="_Toc109821841"/>
      <w:bookmarkStart w:id="360" w:name="_Toc109918323"/>
      <w:bookmarkStart w:id="361" w:name="_Toc110249134"/>
      <w:bookmarkStart w:id="362" w:name="_Toc110251175"/>
      <w:bookmarkStart w:id="363" w:name="_Toc110264571"/>
      <w:bookmarkStart w:id="364" w:name="_Toc110410749"/>
      <w:bookmarkStart w:id="365" w:name="_Toc108539084"/>
      <w:bookmarkStart w:id="366" w:name="_Toc109821842"/>
      <w:bookmarkStart w:id="367" w:name="_Toc109918324"/>
      <w:bookmarkStart w:id="368" w:name="_Toc110249135"/>
      <w:bookmarkStart w:id="369" w:name="_Toc110251176"/>
      <w:bookmarkStart w:id="370" w:name="_Toc110264572"/>
      <w:bookmarkStart w:id="371" w:name="_Toc110410750"/>
      <w:bookmarkStart w:id="372" w:name="_Toc108539085"/>
      <w:bookmarkStart w:id="373" w:name="_Toc109821843"/>
      <w:bookmarkStart w:id="374" w:name="_Toc109918325"/>
      <w:bookmarkStart w:id="375" w:name="_Toc110249136"/>
      <w:bookmarkStart w:id="376" w:name="_Toc110251177"/>
      <w:bookmarkStart w:id="377" w:name="_Toc110264573"/>
      <w:bookmarkStart w:id="378" w:name="_Toc110410751"/>
      <w:bookmarkStart w:id="379" w:name="_Toc108539086"/>
      <w:bookmarkStart w:id="380" w:name="_Toc109821844"/>
      <w:bookmarkStart w:id="381" w:name="_Toc109918326"/>
      <w:bookmarkStart w:id="382" w:name="_Toc110249137"/>
      <w:bookmarkStart w:id="383" w:name="_Toc110251178"/>
      <w:bookmarkStart w:id="384" w:name="_Toc110264574"/>
      <w:bookmarkStart w:id="385" w:name="_Toc110410752"/>
      <w:bookmarkStart w:id="386" w:name="_Toc108539087"/>
      <w:bookmarkStart w:id="387" w:name="_Toc109821845"/>
      <w:bookmarkStart w:id="388" w:name="_Toc109918327"/>
      <w:bookmarkStart w:id="389" w:name="_Toc110249138"/>
      <w:bookmarkStart w:id="390" w:name="_Toc110251179"/>
      <w:bookmarkStart w:id="391" w:name="_Toc110264575"/>
      <w:bookmarkStart w:id="392" w:name="_Toc110410753"/>
      <w:bookmarkStart w:id="393" w:name="_Toc108539088"/>
      <w:bookmarkStart w:id="394" w:name="_Toc109821846"/>
      <w:bookmarkStart w:id="395" w:name="_Toc109918328"/>
      <w:bookmarkStart w:id="396" w:name="_Toc110249139"/>
      <w:bookmarkStart w:id="397" w:name="_Toc110251180"/>
      <w:bookmarkStart w:id="398" w:name="_Toc110264576"/>
      <w:bookmarkStart w:id="399" w:name="_Toc110410754"/>
      <w:bookmarkStart w:id="400" w:name="_Toc108539089"/>
      <w:bookmarkStart w:id="401" w:name="_Toc109821847"/>
      <w:bookmarkStart w:id="402" w:name="_Toc109918329"/>
      <w:bookmarkStart w:id="403" w:name="_Toc110249140"/>
      <w:bookmarkStart w:id="404" w:name="_Toc110251181"/>
      <w:bookmarkStart w:id="405" w:name="_Toc110264577"/>
      <w:bookmarkStart w:id="406" w:name="_Toc110410755"/>
      <w:bookmarkStart w:id="407" w:name="_Toc108539090"/>
      <w:bookmarkStart w:id="408" w:name="_Toc109821848"/>
      <w:bookmarkStart w:id="409" w:name="_Toc109918330"/>
      <w:bookmarkStart w:id="410" w:name="_Toc110249141"/>
      <w:bookmarkStart w:id="411" w:name="_Toc110251182"/>
      <w:bookmarkStart w:id="412" w:name="_Toc110264578"/>
      <w:bookmarkStart w:id="413" w:name="_Toc110410756"/>
      <w:bookmarkStart w:id="414" w:name="_Toc108539091"/>
      <w:bookmarkStart w:id="415" w:name="_Toc109821849"/>
      <w:bookmarkStart w:id="416" w:name="_Toc109918331"/>
      <w:bookmarkStart w:id="417" w:name="_Toc110249142"/>
      <w:bookmarkStart w:id="418" w:name="_Toc110251183"/>
      <w:bookmarkStart w:id="419" w:name="_Toc110264579"/>
      <w:bookmarkStart w:id="420" w:name="_Toc110410757"/>
      <w:bookmarkStart w:id="421" w:name="_Toc108539092"/>
      <w:bookmarkStart w:id="422" w:name="_Toc109821850"/>
      <w:bookmarkStart w:id="423" w:name="_Toc109918332"/>
      <w:bookmarkStart w:id="424" w:name="_Toc110249143"/>
      <w:bookmarkStart w:id="425" w:name="_Toc110251184"/>
      <w:bookmarkStart w:id="426" w:name="_Toc110264580"/>
      <w:bookmarkStart w:id="427" w:name="_Toc110410758"/>
      <w:bookmarkStart w:id="428" w:name="_Toc108539093"/>
      <w:bookmarkStart w:id="429" w:name="_Toc109821851"/>
      <w:bookmarkStart w:id="430" w:name="_Toc109918333"/>
      <w:bookmarkStart w:id="431" w:name="_Toc110249144"/>
      <w:bookmarkStart w:id="432" w:name="_Toc110251185"/>
      <w:bookmarkStart w:id="433" w:name="_Toc110264581"/>
      <w:bookmarkStart w:id="434" w:name="_Toc110410759"/>
      <w:bookmarkStart w:id="435" w:name="_Toc132650434"/>
      <w:bookmarkStart w:id="436" w:name="_Toc146033466"/>
      <w:bookmarkStart w:id="437" w:name="_Toc106711804"/>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Pr="006E41FD">
        <w:t>The TtW service</w:t>
      </w:r>
      <w:bookmarkEnd w:id="435"/>
      <w:bookmarkEnd w:id="436"/>
    </w:p>
    <w:p w14:paraId="50158CFD" w14:textId="0633EA1A" w:rsidR="00BC4934" w:rsidRDefault="00BC4934" w:rsidP="00BC4934">
      <w:r w:rsidRPr="00E3682D">
        <w:t>TtW</w:t>
      </w:r>
      <w:r>
        <w:t xml:space="preserve"> supports </w:t>
      </w:r>
      <w:r w:rsidRPr="00542ED1">
        <w:t xml:space="preserve">disadvantaged youth between the ages of 15 </w:t>
      </w:r>
      <w:r w:rsidR="003A0923">
        <w:t>and</w:t>
      </w:r>
      <w:r w:rsidRPr="00542ED1">
        <w:t xml:space="preserve"> 24 who are at high risk of </w:t>
      </w:r>
      <w:r w:rsidR="003F7818">
        <w:t>long-term</w:t>
      </w:r>
      <w:r w:rsidRPr="00542ED1">
        <w:t xml:space="preserve"> unemployment</w:t>
      </w:r>
      <w:r>
        <w:t>,</w:t>
      </w:r>
      <w:r w:rsidRPr="00D42117">
        <w:rPr>
          <w:rFonts w:eastAsiaTheme="minorEastAsia" w:hAnsi="Calibri"/>
          <w:color w:val="000000" w:themeColor="text1"/>
          <w:kern w:val="24"/>
          <w:sz w:val="20"/>
          <w:szCs w:val="20"/>
        </w:rPr>
        <w:t xml:space="preserve"> </w:t>
      </w:r>
      <w:r w:rsidRPr="002A4286">
        <w:rPr>
          <w:rFonts w:eastAsiaTheme="minorEastAsia" w:hAnsi="Calibri"/>
          <w:color w:val="000000" w:themeColor="text1"/>
          <w:kern w:val="24"/>
        </w:rPr>
        <w:t xml:space="preserve">with a focus on </w:t>
      </w:r>
      <w:r w:rsidRPr="00D42117">
        <w:t>early school leavers</w:t>
      </w:r>
      <w:r w:rsidR="00DA587E">
        <w:t>,</w:t>
      </w:r>
      <w:r>
        <w:t xml:space="preserve"> Aboriginal and/or Torres Strait Islander</w:t>
      </w:r>
      <w:r w:rsidRPr="00D42117">
        <w:t xml:space="preserve"> </w:t>
      </w:r>
      <w:r>
        <w:t>young people,</w:t>
      </w:r>
      <w:r w:rsidRPr="00D42117">
        <w:t xml:space="preserve"> </w:t>
      </w:r>
      <w:r w:rsidR="00DA587E">
        <w:t xml:space="preserve">and </w:t>
      </w:r>
      <w:r>
        <w:t xml:space="preserve">young people who are </w:t>
      </w:r>
      <w:r w:rsidRPr="00D42117">
        <w:t xml:space="preserve">disengaged </w:t>
      </w:r>
      <w:r>
        <w:t xml:space="preserve">from education and work. </w:t>
      </w:r>
      <w:r w:rsidRPr="0078185B">
        <w:t xml:space="preserve">The TtW service </w:t>
      </w:r>
      <w:r>
        <w:t>is designed to</w:t>
      </w:r>
      <w:r w:rsidRPr="0078185B">
        <w:t xml:space="preserve"> provide intensive pre-employment support to improve </w:t>
      </w:r>
      <w:r>
        <w:t xml:space="preserve">the </w:t>
      </w:r>
      <w:r w:rsidRPr="009F1529">
        <w:t>work</w:t>
      </w:r>
      <w:r w:rsidR="009F1529">
        <w:t xml:space="preserve"> </w:t>
      </w:r>
      <w:r w:rsidRPr="009F1529">
        <w:t>readiness</w:t>
      </w:r>
      <w:r w:rsidRPr="0078185B">
        <w:t xml:space="preserve"> of </w:t>
      </w:r>
      <w:r>
        <w:t xml:space="preserve">participants, </w:t>
      </w:r>
      <w:r w:rsidR="00CA060E">
        <w:t>focusing on</w:t>
      </w:r>
      <w:r>
        <w:t xml:space="preserve"> suppor</w:t>
      </w:r>
      <w:r w:rsidR="00CA060E">
        <w:t>t</w:t>
      </w:r>
      <w:r>
        <w:t xml:space="preserve"> to complete education or training and gain work experience, i</w:t>
      </w:r>
      <w:r w:rsidRPr="0078185B">
        <w:t>ncluding apprenticeships and traineeships</w:t>
      </w:r>
      <w:r>
        <w:t>.</w:t>
      </w:r>
      <w:r w:rsidRPr="0078185B">
        <w:t xml:space="preserve"> </w:t>
      </w:r>
      <w:r>
        <w:t xml:space="preserve">While the longer-term goal of </w:t>
      </w:r>
      <w:r w:rsidRPr="00FE52A5">
        <w:t xml:space="preserve">TtW is to </w:t>
      </w:r>
      <w:r w:rsidRPr="001B0407">
        <w:t>increase participants</w:t>
      </w:r>
      <w:r w:rsidR="00F8391B">
        <w:t>’</w:t>
      </w:r>
      <w:r w:rsidRPr="001B0407">
        <w:t xml:space="preserve"> employment</w:t>
      </w:r>
      <w:r>
        <w:t xml:space="preserve"> and </w:t>
      </w:r>
      <w:r w:rsidRPr="001B0407">
        <w:t xml:space="preserve">labour market engagement and reduce </w:t>
      </w:r>
      <w:r>
        <w:t xml:space="preserve">their </w:t>
      </w:r>
      <w:r w:rsidRPr="001B0407">
        <w:t xml:space="preserve">dependence on </w:t>
      </w:r>
      <w:r>
        <w:t>i</w:t>
      </w:r>
      <w:r w:rsidRPr="001B0407">
        <w:t xml:space="preserve">ncome </w:t>
      </w:r>
      <w:r>
        <w:t>s</w:t>
      </w:r>
      <w:r w:rsidRPr="001B0407">
        <w:t>upport</w:t>
      </w:r>
      <w:r>
        <w:t>, t</w:t>
      </w:r>
      <w:r w:rsidRPr="0078185B">
        <w:t xml:space="preserve">his service differs from </w:t>
      </w:r>
      <w:r>
        <w:t>the jobactive</w:t>
      </w:r>
      <w:r w:rsidR="00CF0078">
        <w:rPr>
          <w:rStyle w:val="FootnoteReference"/>
        </w:rPr>
        <w:footnoteReference w:id="17"/>
      </w:r>
      <w:r w:rsidRPr="0078185B">
        <w:t xml:space="preserve"> </w:t>
      </w:r>
      <w:r>
        <w:t xml:space="preserve">program </w:t>
      </w:r>
      <w:r w:rsidRPr="0078185B">
        <w:t xml:space="preserve">as it provides more intensive support that is targeted </w:t>
      </w:r>
      <w:r>
        <w:t>at improving participants</w:t>
      </w:r>
      <w:r w:rsidR="00F8391B">
        <w:t>’</w:t>
      </w:r>
      <w:r>
        <w:t xml:space="preserve"> work</w:t>
      </w:r>
      <w:r w:rsidR="009F1529">
        <w:t xml:space="preserve"> </w:t>
      </w:r>
      <w:r>
        <w:t>readiness</w:t>
      </w:r>
      <w:r w:rsidR="002272EE">
        <w:t xml:space="preserve"> rather than employment outcomes</w:t>
      </w:r>
      <w:r w:rsidR="0091011B">
        <w:t>,</w:t>
      </w:r>
      <w:r w:rsidR="002272EE">
        <w:t xml:space="preserve"> which was the focus of jobactive</w:t>
      </w:r>
      <w:r>
        <w:t>. The TtW Final Evaluation Report (</w:t>
      </w:r>
      <w:r w:rsidRPr="009E15A0">
        <w:rPr>
          <w:b/>
          <w:bCs/>
        </w:rPr>
        <w:t>DESE 2021</w:t>
      </w:r>
      <w:r>
        <w:t>) provides a more detailed description of the TtW program</w:t>
      </w:r>
      <w:r w:rsidRPr="0078185B">
        <w:t>.</w:t>
      </w:r>
    </w:p>
    <w:p w14:paraId="65CEB181" w14:textId="656F7DE0" w:rsidR="00BC4934" w:rsidRPr="00C9255C" w:rsidRDefault="00BC4934" w:rsidP="004E0B64">
      <w:pPr>
        <w:pStyle w:val="Heading3"/>
        <w:ind w:left="0"/>
      </w:pPr>
      <w:bookmarkStart w:id="438" w:name="_Toc132650435"/>
      <w:bookmarkStart w:id="439" w:name="_Toc146033467"/>
      <w:r w:rsidRPr="00C9255C">
        <w:t xml:space="preserve">Eligible </w:t>
      </w:r>
      <w:r w:rsidR="0091011B">
        <w:t>g</w:t>
      </w:r>
      <w:r w:rsidRPr="00C9255C">
        <w:t>roups</w:t>
      </w:r>
      <w:bookmarkEnd w:id="438"/>
      <w:bookmarkEnd w:id="439"/>
    </w:p>
    <w:p w14:paraId="457C9BC6" w14:textId="31C6DCD7" w:rsidR="00BC4934" w:rsidRPr="00DC4A78" w:rsidRDefault="00BC4934" w:rsidP="00BC4934">
      <w:r>
        <w:t xml:space="preserve">Three groups are specifically targeted for support within TtW: </w:t>
      </w:r>
      <w:r w:rsidRPr="00CA710D">
        <w:t xml:space="preserve">early school leavers referred from </w:t>
      </w:r>
      <w:r>
        <w:t>Services Australia,</w:t>
      </w:r>
      <w:r w:rsidRPr="00CA710D">
        <w:t xml:space="preserve"> young people </w:t>
      </w:r>
      <w:r>
        <w:t>who are disengaged from study or work</w:t>
      </w:r>
      <w:r w:rsidR="0091011B">
        <w:t>,</w:t>
      </w:r>
      <w:r>
        <w:t xml:space="preserve"> </w:t>
      </w:r>
      <w:r w:rsidRPr="00CA710D">
        <w:t xml:space="preserve">and jobactive </w:t>
      </w:r>
      <w:r>
        <w:t>S</w:t>
      </w:r>
      <w:r w:rsidRPr="00CA710D">
        <w:t>tream C referrals</w:t>
      </w:r>
      <w:r>
        <w:t xml:space="preserve"> who their provider </w:t>
      </w:r>
      <w:r w:rsidR="00E4522D">
        <w:t xml:space="preserve">has assessed as </w:t>
      </w:r>
      <w:r w:rsidR="001469EB">
        <w:t xml:space="preserve">capable of </w:t>
      </w:r>
      <w:r w:rsidR="00E4522D">
        <w:t>benefit</w:t>
      </w:r>
      <w:r w:rsidR="001469EB">
        <w:t>ing</w:t>
      </w:r>
      <w:r>
        <w:t xml:space="preserve"> from the support offered by TtW.</w:t>
      </w:r>
      <w:r w:rsidRPr="00CA710D">
        <w:t xml:space="preserve"> </w:t>
      </w:r>
      <w:r>
        <w:t>Aboriginal and/or Torres Strait Islander young people</w:t>
      </w:r>
      <w:r w:rsidRPr="00DC4A78">
        <w:t xml:space="preserve"> </w:t>
      </w:r>
      <w:r>
        <w:t xml:space="preserve">are also a TtW target group. </w:t>
      </w:r>
      <w:r w:rsidRPr="00DC4A78">
        <w:t xml:space="preserve">The eligibility requirements </w:t>
      </w:r>
      <w:r>
        <w:t xml:space="preserve">for TtW at the outset of the program are outlined in </w:t>
      </w:r>
      <w:r w:rsidR="00730651">
        <w:fldChar w:fldCharType="begin"/>
      </w:r>
      <w:r w:rsidR="00730651">
        <w:instrText xml:space="preserve"> REF _Ref110345584 \h  \* MERGEFORMAT </w:instrText>
      </w:r>
      <w:r w:rsidR="00730651">
        <w:fldChar w:fldCharType="separate"/>
      </w:r>
      <w:r w:rsidR="00180E14" w:rsidRPr="00180E14">
        <w:rPr>
          <w:b/>
          <w:bCs/>
        </w:rPr>
        <w:t>Table</w:t>
      </w:r>
      <w:r w:rsidR="00180E14">
        <w:t xml:space="preserve"> </w:t>
      </w:r>
      <w:r w:rsidR="00180E14" w:rsidRPr="00180E14">
        <w:rPr>
          <w:b/>
          <w:bCs/>
          <w:noProof/>
        </w:rPr>
        <w:t>2</w:t>
      </w:r>
      <w:r w:rsidR="00730651">
        <w:fldChar w:fldCharType="end"/>
      </w:r>
      <w:r w:rsidR="00341B08">
        <w:t xml:space="preserve"> and </w:t>
      </w:r>
      <w:r w:rsidR="00341B08" w:rsidRPr="006B5998">
        <w:rPr>
          <w:b/>
          <w:bCs/>
        </w:rPr>
        <w:fldChar w:fldCharType="begin"/>
      </w:r>
      <w:r w:rsidR="00341B08" w:rsidRPr="006B5998">
        <w:rPr>
          <w:b/>
          <w:bCs/>
        </w:rPr>
        <w:instrText xml:space="preserve"> REF _Ref134778601 \h </w:instrText>
      </w:r>
      <w:r w:rsidR="006B5998">
        <w:rPr>
          <w:b/>
          <w:bCs/>
        </w:rPr>
        <w:instrText xml:space="preserve"> \* MERGEFORMAT </w:instrText>
      </w:r>
      <w:r w:rsidR="00341B08" w:rsidRPr="006B5998">
        <w:rPr>
          <w:b/>
          <w:bCs/>
        </w:rPr>
      </w:r>
      <w:r w:rsidR="00341B08" w:rsidRPr="006B5998">
        <w:rPr>
          <w:b/>
          <w:bCs/>
        </w:rPr>
        <w:fldChar w:fldCharType="separate"/>
      </w:r>
      <w:r w:rsidR="00180E14" w:rsidRPr="00180E14">
        <w:rPr>
          <w:b/>
          <w:bCs/>
        </w:rPr>
        <w:t xml:space="preserve">Table </w:t>
      </w:r>
      <w:r w:rsidR="00180E14" w:rsidRPr="00180E14">
        <w:rPr>
          <w:b/>
          <w:bCs/>
          <w:noProof/>
        </w:rPr>
        <w:t>3</w:t>
      </w:r>
      <w:r w:rsidR="00341B08" w:rsidRPr="006B5998">
        <w:rPr>
          <w:b/>
          <w:bCs/>
        </w:rPr>
        <w:fldChar w:fldCharType="end"/>
      </w:r>
      <w:r w:rsidRPr="00C239FD">
        <w:t>.</w:t>
      </w:r>
      <w:r>
        <w:rPr>
          <w:b/>
          <w:bCs/>
        </w:rPr>
        <w:t xml:space="preserve"> </w:t>
      </w:r>
      <w:r w:rsidR="00C046E0">
        <w:t>C</w:t>
      </w:r>
      <w:r w:rsidRPr="001B0407">
        <w:t>hanges have been made to the program</w:t>
      </w:r>
      <w:r>
        <w:t xml:space="preserve"> over </w:t>
      </w:r>
      <w:r w:rsidR="005E200A">
        <w:t>ti</w:t>
      </w:r>
      <w:r>
        <w:t xml:space="preserve">me </w:t>
      </w:r>
      <w:r w:rsidR="00736ABF">
        <w:t>aimed at improving</w:t>
      </w:r>
      <w:r>
        <w:t xml:space="preserve"> its effectiveness. These are also identified in the table.</w:t>
      </w:r>
    </w:p>
    <w:p w14:paraId="5870C2B6" w14:textId="713CF9AA" w:rsidR="00BC4934" w:rsidRDefault="00BC4934" w:rsidP="001469EB">
      <w:pPr>
        <w:pStyle w:val="Caption"/>
        <w:keepNext/>
        <w:pageBreakBefore/>
      </w:pPr>
      <w:bookmarkStart w:id="440" w:name="_Ref110345584"/>
      <w:bookmarkStart w:id="441" w:name="_Toc132647779"/>
      <w:bookmarkStart w:id="442" w:name="_Toc145877291"/>
      <w:r>
        <w:lastRenderedPageBreak/>
        <w:t xml:space="preserve">Table </w:t>
      </w:r>
      <w:r>
        <w:fldChar w:fldCharType="begin"/>
      </w:r>
      <w:r>
        <w:instrText>SEQ Table \* ARABIC</w:instrText>
      </w:r>
      <w:r>
        <w:fldChar w:fldCharType="separate"/>
      </w:r>
      <w:r w:rsidR="00180E14">
        <w:rPr>
          <w:noProof/>
        </w:rPr>
        <w:t>2</w:t>
      </w:r>
      <w:r>
        <w:fldChar w:fldCharType="end"/>
      </w:r>
      <w:bookmarkEnd w:id="440"/>
      <w:r>
        <w:t xml:space="preserve">: </w:t>
      </w:r>
      <w:r w:rsidR="009251AF">
        <w:t>Initial e</w:t>
      </w:r>
      <w:r w:rsidRPr="0074375D">
        <w:t xml:space="preserve">ligibility requirements for TtW, and changes to eligibility requirements throughout the study </w:t>
      </w:r>
      <w:r w:rsidR="00AE0BB6" w:rsidRPr="00817E27">
        <w:t>period</w:t>
      </w:r>
      <w:bookmarkEnd w:id="441"/>
      <w:bookmarkEnd w:id="442"/>
    </w:p>
    <w:tbl>
      <w:tblPr>
        <w:tblStyle w:val="TtWReportTableTemplate2"/>
        <w:tblW w:w="0" w:type="auto"/>
        <w:tblLook w:val="04A0" w:firstRow="1" w:lastRow="0" w:firstColumn="1" w:lastColumn="0" w:noHBand="0" w:noVBand="1"/>
      </w:tblPr>
      <w:tblGrid>
        <w:gridCol w:w="4678"/>
        <w:gridCol w:w="4192"/>
      </w:tblGrid>
      <w:tr w:rsidR="009251AF" w:rsidRPr="00633F11" w14:paraId="17BE14AA" w14:textId="77777777" w:rsidTr="009251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8" w:type="dxa"/>
            <w:shd w:val="clear" w:color="auto" w:fill="5D7A38"/>
          </w:tcPr>
          <w:p w14:paraId="0A68A990" w14:textId="00A0AA2C" w:rsidR="009251AF" w:rsidRPr="00633F11" w:rsidRDefault="009251AF" w:rsidP="00A245F6">
            <w:pPr>
              <w:rPr>
                <w:rFonts w:cstheme="minorHAnsi"/>
                <w:szCs w:val="20"/>
              </w:rPr>
            </w:pPr>
            <w:r>
              <w:t>Overarching</w:t>
            </w:r>
            <w:r w:rsidRPr="001469EB">
              <w:t xml:space="preserve"> eligibility criteria</w:t>
            </w:r>
          </w:p>
        </w:tc>
        <w:tc>
          <w:tcPr>
            <w:tcW w:w="4192" w:type="dxa"/>
            <w:shd w:val="clear" w:color="auto" w:fill="5D7A38"/>
          </w:tcPr>
          <w:p w14:paraId="6C3DBE65" w14:textId="013CF663" w:rsidR="009251AF" w:rsidRPr="00633F11" w:rsidRDefault="009251AF" w:rsidP="00A245F6">
            <w:pPr>
              <w:cnfStyle w:val="100000000000" w:firstRow="1" w:lastRow="0" w:firstColumn="0" w:lastColumn="0" w:oddVBand="0" w:evenVBand="0" w:oddHBand="0" w:evenHBand="0" w:firstRowFirstColumn="0" w:firstRowLastColumn="0" w:lastRowFirstColumn="0" w:lastRowLastColumn="0"/>
              <w:rPr>
                <w:rFonts w:cstheme="minorHAnsi"/>
                <w:szCs w:val="20"/>
              </w:rPr>
            </w:pPr>
            <w:r w:rsidRPr="001469EB">
              <w:t>Program changes</w:t>
            </w:r>
            <w:r w:rsidRPr="005A6D39">
              <w:rPr>
                <w:rFonts w:cstheme="minorHAnsi"/>
                <w:szCs w:val="20"/>
                <w:vertAlign w:val="superscript"/>
              </w:rPr>
              <w:t>1</w:t>
            </w:r>
          </w:p>
        </w:tc>
      </w:tr>
      <w:tr w:rsidR="009251AF" w14:paraId="19DC43A4"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592BF975" w14:textId="77777777" w:rsidR="009251AF" w:rsidRPr="00CA060E" w:rsidRDefault="009251AF" w:rsidP="009251AF">
            <w:pPr>
              <w:spacing w:after="0" w:line="240" w:lineRule="atLeast"/>
              <w:contextualSpacing/>
              <w:rPr>
                <w:rFonts w:cstheme="minorHAnsi"/>
                <w:b w:val="0"/>
                <w:bCs/>
                <w:szCs w:val="20"/>
              </w:rPr>
            </w:pPr>
            <w:r w:rsidRPr="00CA060E">
              <w:rPr>
                <w:rFonts w:cstheme="minorHAnsi"/>
                <w:b w:val="0"/>
                <w:bCs/>
                <w:szCs w:val="20"/>
              </w:rPr>
              <w:t xml:space="preserve">Young person to: </w:t>
            </w:r>
          </w:p>
          <w:p w14:paraId="070DD77F" w14:textId="4B50D3F4" w:rsidR="009251AF" w:rsidRPr="00CA060E" w:rsidRDefault="009251AF" w:rsidP="00456C86">
            <w:pPr>
              <w:pStyle w:val="ListBullet"/>
              <w:numPr>
                <w:ilvl w:val="0"/>
                <w:numId w:val="26"/>
              </w:numPr>
            </w:pPr>
            <w:r w:rsidRPr="00CA060E">
              <w:t>be aged 15–21 years on commencement in the service</w:t>
            </w:r>
            <w:r w:rsidR="00F8391B">
              <w:t xml:space="preserve"> </w:t>
            </w:r>
          </w:p>
          <w:p w14:paraId="3910DC62" w14:textId="77777777" w:rsidR="009251AF" w:rsidRPr="00CA060E" w:rsidRDefault="009251AF" w:rsidP="00456C86">
            <w:pPr>
              <w:pStyle w:val="ListBullet"/>
              <w:numPr>
                <w:ilvl w:val="0"/>
                <w:numId w:val="26"/>
              </w:numPr>
            </w:pPr>
            <w:r w:rsidRPr="00CA060E">
              <w:t>be an Australian citizen or the holder of a permanent visa or</w:t>
            </w:r>
          </w:p>
          <w:p w14:paraId="56E36CBF" w14:textId="77777777" w:rsidR="009251AF" w:rsidRPr="00CA060E" w:rsidRDefault="009251AF" w:rsidP="00456C86">
            <w:pPr>
              <w:pStyle w:val="ListBullet"/>
              <w:numPr>
                <w:ilvl w:val="0"/>
                <w:numId w:val="26"/>
              </w:numPr>
            </w:pPr>
            <w:r w:rsidRPr="00CA060E">
              <w:t>New Zealand Special Category Visa (protected or non-protected) or</w:t>
            </w:r>
          </w:p>
          <w:p w14:paraId="6DCFD0B9" w14:textId="77777777" w:rsidR="009251AF" w:rsidRPr="00CA060E" w:rsidRDefault="009251AF" w:rsidP="00456C86">
            <w:pPr>
              <w:pStyle w:val="ListBullet"/>
              <w:numPr>
                <w:ilvl w:val="0"/>
                <w:numId w:val="26"/>
              </w:numPr>
            </w:pPr>
            <w:r w:rsidRPr="00CA060E">
              <w:t>nominated visa (including Temporary Protection Visa or Safe Haven Visa).</w:t>
            </w:r>
          </w:p>
          <w:p w14:paraId="722B8DDA" w14:textId="58873447" w:rsidR="009251AF" w:rsidRDefault="009251AF" w:rsidP="009251AF">
            <w:r w:rsidRPr="00CA060E">
              <w:rPr>
                <w:rFonts w:cstheme="minorHAnsi"/>
                <w:b w:val="0"/>
                <w:bCs/>
                <w:szCs w:val="20"/>
              </w:rPr>
              <w:t>Participants must live in a postcode where the TtW service is delivered.</w:t>
            </w:r>
          </w:p>
        </w:tc>
        <w:tc>
          <w:tcPr>
            <w:tcW w:w="4192" w:type="dxa"/>
          </w:tcPr>
          <w:p w14:paraId="5A6ABE89" w14:textId="0AE11ADF" w:rsidR="009251AF" w:rsidRPr="00F975E8" w:rsidRDefault="009251AF" w:rsidP="009251AF">
            <w:pPr>
              <w:pStyle w:val="TableFormat"/>
              <w:spacing w:after="0"/>
              <w:cnfStyle w:val="000000100000" w:firstRow="0" w:lastRow="0" w:firstColumn="0" w:lastColumn="0" w:oddVBand="0" w:evenVBand="0" w:oddHBand="1" w:evenHBand="0" w:firstRowFirstColumn="0" w:firstRowLastColumn="0" w:lastRowFirstColumn="0" w:lastRowLastColumn="0"/>
            </w:pPr>
            <w:r w:rsidRPr="00F975E8">
              <w:t>From 1 January 2020 eligibility age was expanded from 21 years to 24 years</w:t>
            </w:r>
            <w:r w:rsidR="0091011B">
              <w:t>.</w:t>
            </w:r>
          </w:p>
          <w:p w14:paraId="11D0FF3B" w14:textId="671936A8" w:rsidR="009251AF" w:rsidRDefault="009251AF" w:rsidP="009251AF">
            <w:pPr>
              <w:spacing w:after="0"/>
              <w:cnfStyle w:val="000000100000" w:firstRow="0" w:lastRow="0" w:firstColumn="0" w:lastColumn="0" w:oddVBand="0" w:evenVBand="0" w:oddHBand="1" w:evenHBand="0" w:firstRowFirstColumn="0" w:firstRowLastColumn="0" w:lastRowFirstColumn="0" w:lastRowLastColumn="0"/>
            </w:pPr>
            <w:r w:rsidRPr="00F975E8">
              <w:t xml:space="preserve">From 1 July 2020, the maximum length of time that </w:t>
            </w:r>
            <w:r>
              <w:rPr>
                <w:rFonts w:cstheme="minorHAnsi"/>
                <w:szCs w:val="20"/>
              </w:rPr>
              <w:t>participants could</w:t>
            </w:r>
            <w:r w:rsidRPr="00F975E8">
              <w:t xml:space="preserve"> access services was extended from 12 months</w:t>
            </w:r>
            <w:r>
              <w:rPr>
                <w:rFonts w:cstheme="minorHAnsi"/>
                <w:szCs w:val="20"/>
              </w:rPr>
              <w:t xml:space="preserve"> to 18 months</w:t>
            </w:r>
            <w:r w:rsidR="0091011B">
              <w:rPr>
                <w:rFonts w:cstheme="minorHAnsi"/>
                <w:szCs w:val="20"/>
              </w:rPr>
              <w:t>.</w:t>
            </w:r>
          </w:p>
        </w:tc>
      </w:tr>
    </w:tbl>
    <w:p w14:paraId="2BD27699" w14:textId="53D834C4" w:rsidR="00341B08" w:rsidRDefault="00341B08" w:rsidP="00341B08">
      <w:pPr>
        <w:pStyle w:val="Caption"/>
        <w:keepNext/>
      </w:pPr>
      <w:bookmarkStart w:id="443" w:name="_Ref134778601"/>
      <w:bookmarkStart w:id="444" w:name="_Ref134778592"/>
      <w:bookmarkStart w:id="445" w:name="_Toc145877292"/>
      <w:r>
        <w:t xml:space="preserve">Table </w:t>
      </w:r>
      <w:r w:rsidR="00BE71D4">
        <w:fldChar w:fldCharType="begin"/>
      </w:r>
      <w:r w:rsidR="00BE71D4">
        <w:instrText xml:space="preserve"> SEQ Table \* ARABIC </w:instrText>
      </w:r>
      <w:r w:rsidR="00BE71D4">
        <w:fldChar w:fldCharType="separate"/>
      </w:r>
      <w:r w:rsidR="00180E14">
        <w:rPr>
          <w:noProof/>
        </w:rPr>
        <w:t>3</w:t>
      </w:r>
      <w:r w:rsidR="00BE71D4">
        <w:rPr>
          <w:noProof/>
        </w:rPr>
        <w:fldChar w:fldCharType="end"/>
      </w:r>
      <w:bookmarkEnd w:id="443"/>
      <w:r>
        <w:t xml:space="preserve">: </w:t>
      </w:r>
      <w:r w:rsidR="006B5998">
        <w:t>Initial a</w:t>
      </w:r>
      <w:r>
        <w:t>dditional eligibility requirements</w:t>
      </w:r>
      <w:r w:rsidR="006B5998">
        <w:t xml:space="preserve"> for TtW</w:t>
      </w:r>
      <w:r>
        <w:t xml:space="preserve">, and </w:t>
      </w:r>
      <w:r w:rsidRPr="0074375D">
        <w:t xml:space="preserve">changes to eligibility requirements throughout the study </w:t>
      </w:r>
      <w:r w:rsidRPr="00817E27">
        <w:t>period</w:t>
      </w:r>
      <w:bookmarkEnd w:id="444"/>
      <w:bookmarkEnd w:id="445"/>
    </w:p>
    <w:tbl>
      <w:tblPr>
        <w:tblStyle w:val="TtWReportTableTemplate2"/>
        <w:tblW w:w="0" w:type="auto"/>
        <w:tblLook w:val="04A0" w:firstRow="1" w:lastRow="0" w:firstColumn="1" w:lastColumn="0" w:noHBand="0" w:noVBand="1"/>
      </w:tblPr>
      <w:tblGrid>
        <w:gridCol w:w="4678"/>
        <w:gridCol w:w="4192"/>
      </w:tblGrid>
      <w:tr w:rsidR="009251AF" w:rsidRPr="00633F11" w14:paraId="1D85605C" w14:textId="77777777" w:rsidTr="009251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8" w:type="dxa"/>
            <w:shd w:val="clear" w:color="auto" w:fill="5D7A38"/>
          </w:tcPr>
          <w:p w14:paraId="5CB06DC5" w14:textId="1AC4D8AF" w:rsidR="009251AF" w:rsidRPr="00633F11" w:rsidRDefault="009251AF" w:rsidP="00A245F6">
            <w:pPr>
              <w:rPr>
                <w:rFonts w:cstheme="minorHAnsi"/>
                <w:szCs w:val="20"/>
              </w:rPr>
            </w:pPr>
            <w:r>
              <w:rPr>
                <w:rFonts w:cstheme="minorHAnsi"/>
                <w:szCs w:val="20"/>
              </w:rPr>
              <w:t xml:space="preserve">Additional eligibility requirements for the 3 different TtW </w:t>
            </w:r>
            <w:r w:rsidR="0091011B">
              <w:rPr>
                <w:rFonts w:cstheme="minorHAnsi"/>
                <w:szCs w:val="20"/>
              </w:rPr>
              <w:t>g</w:t>
            </w:r>
            <w:r>
              <w:rPr>
                <w:rFonts w:cstheme="minorHAnsi"/>
                <w:szCs w:val="20"/>
              </w:rPr>
              <w:t>roups</w:t>
            </w:r>
          </w:p>
        </w:tc>
        <w:tc>
          <w:tcPr>
            <w:tcW w:w="4192" w:type="dxa"/>
            <w:shd w:val="clear" w:color="auto" w:fill="5D7A38"/>
          </w:tcPr>
          <w:p w14:paraId="776FF7E1" w14:textId="21463333" w:rsidR="009251AF" w:rsidRPr="00633F11" w:rsidRDefault="009251AF" w:rsidP="00A245F6">
            <w:pPr>
              <w:cnfStyle w:val="100000000000" w:firstRow="1" w:lastRow="0" w:firstColumn="0" w:lastColumn="0" w:oddVBand="0" w:evenVBand="0" w:oddHBand="0" w:evenHBand="0" w:firstRowFirstColumn="0" w:firstRowLastColumn="0" w:lastRowFirstColumn="0" w:lastRowLastColumn="0"/>
              <w:rPr>
                <w:rFonts w:cstheme="minorHAnsi"/>
                <w:szCs w:val="20"/>
              </w:rPr>
            </w:pPr>
            <w:r w:rsidRPr="001469EB">
              <w:t>Program changes</w:t>
            </w:r>
            <w:r>
              <w:rPr>
                <w:rFonts w:cstheme="minorHAnsi"/>
                <w:szCs w:val="20"/>
              </w:rPr>
              <w:t xml:space="preserve"> </w:t>
            </w:r>
          </w:p>
        </w:tc>
      </w:tr>
      <w:tr w:rsidR="009251AF" w14:paraId="26B220DF"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2349F8D" w14:textId="3F6C40A3" w:rsidR="009251AF" w:rsidRPr="00CA060E" w:rsidRDefault="009251AF" w:rsidP="00A245F6">
            <w:pPr>
              <w:spacing w:after="0" w:line="240" w:lineRule="atLeast"/>
              <w:contextualSpacing/>
              <w:rPr>
                <w:rFonts w:cstheme="minorHAnsi"/>
                <w:b w:val="0"/>
                <w:bCs/>
                <w:szCs w:val="20"/>
              </w:rPr>
            </w:pPr>
            <w:r w:rsidRPr="00CA060E">
              <w:rPr>
                <w:rFonts w:cstheme="minorHAnsi"/>
                <w:b w:val="0"/>
                <w:bCs/>
                <w:szCs w:val="20"/>
              </w:rPr>
              <w:t xml:space="preserve">Group </w:t>
            </w:r>
            <w:r w:rsidR="0091011B">
              <w:rPr>
                <w:rFonts w:cstheme="minorHAnsi"/>
                <w:b w:val="0"/>
                <w:bCs/>
                <w:szCs w:val="20"/>
              </w:rPr>
              <w:t>1</w:t>
            </w:r>
            <w:r w:rsidRPr="00CA060E">
              <w:rPr>
                <w:rFonts w:cstheme="minorHAnsi"/>
                <w:b w:val="0"/>
                <w:bCs/>
                <w:szCs w:val="20"/>
              </w:rPr>
              <w:t xml:space="preserve"> – early school leavers referred from Services Australia. These are young people who: </w:t>
            </w:r>
          </w:p>
          <w:p w14:paraId="07D99BF9" w14:textId="78467B83" w:rsidR="009251AF" w:rsidRPr="00CA060E" w:rsidRDefault="0091011B" w:rsidP="00456C86">
            <w:pPr>
              <w:pStyle w:val="ListBullet"/>
              <w:numPr>
                <w:ilvl w:val="0"/>
                <w:numId w:val="26"/>
              </w:numPr>
            </w:pPr>
            <w:r>
              <w:t>h</w:t>
            </w:r>
            <w:r w:rsidR="009251AF" w:rsidRPr="00CA060E">
              <w:t>ave not been awarded a Year 12 certificate or a Certificate III</w:t>
            </w:r>
          </w:p>
          <w:p w14:paraId="42415854" w14:textId="16F0FA87" w:rsidR="009251AF" w:rsidRPr="00CA060E" w:rsidRDefault="0091011B" w:rsidP="00456C86">
            <w:pPr>
              <w:pStyle w:val="ListBullet"/>
              <w:numPr>
                <w:ilvl w:val="0"/>
                <w:numId w:val="26"/>
              </w:numPr>
            </w:pPr>
            <w:r>
              <w:t>a</w:t>
            </w:r>
            <w:r w:rsidR="009251AF" w:rsidRPr="00CA060E">
              <w:t>re receiving Youth Allowance (</w:t>
            </w:r>
            <w:r>
              <w:t>O</w:t>
            </w:r>
            <w:r w:rsidR="009251AF" w:rsidRPr="00CA060E">
              <w:t xml:space="preserve">ther) or any other activity tested </w:t>
            </w:r>
            <w:r>
              <w:t>i</w:t>
            </w:r>
            <w:r w:rsidR="009251AF" w:rsidRPr="00CA060E">
              <w:t xml:space="preserve">ncome </w:t>
            </w:r>
            <w:r>
              <w:t>s</w:t>
            </w:r>
            <w:r w:rsidR="009251AF" w:rsidRPr="00CA060E">
              <w:t xml:space="preserve">upport (IS) </w:t>
            </w:r>
            <w:r>
              <w:t>p</w:t>
            </w:r>
            <w:r w:rsidR="009251AF" w:rsidRPr="00CA060E">
              <w:t>ayment</w:t>
            </w:r>
          </w:p>
          <w:p w14:paraId="5FE6632F" w14:textId="35C7C95C" w:rsidR="009251AF" w:rsidRDefault="0091011B" w:rsidP="00456C86">
            <w:pPr>
              <w:pStyle w:val="ListBullet"/>
              <w:numPr>
                <w:ilvl w:val="0"/>
                <w:numId w:val="26"/>
              </w:numPr>
            </w:pPr>
            <w:r>
              <w:t>a</w:t>
            </w:r>
            <w:r w:rsidR="009251AF" w:rsidRPr="00CA060E">
              <w:t>re assessed as eligible for Stream B in jobactive.</w:t>
            </w:r>
          </w:p>
        </w:tc>
        <w:tc>
          <w:tcPr>
            <w:tcW w:w="4192" w:type="dxa"/>
          </w:tcPr>
          <w:p w14:paraId="2477E5A8" w14:textId="77777777" w:rsidR="009251AF" w:rsidRPr="00F975E8" w:rsidRDefault="009251AF" w:rsidP="00A245F6">
            <w:pPr>
              <w:pStyle w:val="TableFormat"/>
              <w:spacing w:after="0"/>
              <w:cnfStyle w:val="000000100000" w:firstRow="0" w:lastRow="0" w:firstColumn="0" w:lastColumn="0" w:oddVBand="0" w:evenVBand="0" w:oddHBand="1" w:evenHBand="0" w:firstRowFirstColumn="0" w:firstRowLastColumn="0" w:lastRowFirstColumn="0" w:lastRowLastColumn="0"/>
            </w:pPr>
            <w:r w:rsidRPr="001469EB">
              <w:t>From 1 January 2018, under the Closing the Gap Agreement, eligibility requirements were expanded to include Aboriginal or Torres Strait Islander young people, irrespective of whether they have completed Year 12 or a Certificate III or higher.</w:t>
            </w:r>
          </w:p>
        </w:tc>
      </w:tr>
      <w:tr w:rsidR="009251AF" w14:paraId="588ECE9C"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AA3BF64" w14:textId="4C84B0BA" w:rsidR="009251AF" w:rsidRPr="00002B96" w:rsidRDefault="009251AF" w:rsidP="00A245F6">
            <w:pPr>
              <w:spacing w:after="0" w:line="240" w:lineRule="atLeast"/>
              <w:contextualSpacing/>
              <w:rPr>
                <w:b w:val="0"/>
                <w:bCs/>
                <w:szCs w:val="20"/>
              </w:rPr>
            </w:pPr>
            <w:r w:rsidRPr="00002B96">
              <w:rPr>
                <w:b w:val="0"/>
                <w:bCs/>
                <w:szCs w:val="20"/>
              </w:rPr>
              <w:t xml:space="preserve">Group </w:t>
            </w:r>
            <w:r w:rsidR="0091011B">
              <w:rPr>
                <w:b w:val="0"/>
                <w:bCs/>
                <w:szCs w:val="20"/>
              </w:rPr>
              <w:t>2</w:t>
            </w:r>
            <w:r w:rsidRPr="00002B96">
              <w:rPr>
                <w:b w:val="0"/>
                <w:bCs/>
                <w:szCs w:val="20"/>
              </w:rPr>
              <w:t xml:space="preserve"> – disengaged young people. These are young people who:</w:t>
            </w:r>
          </w:p>
          <w:p w14:paraId="16F21188" w14:textId="6047DE1F" w:rsidR="009251AF" w:rsidRPr="00CA060E" w:rsidRDefault="0091011B" w:rsidP="00456C86">
            <w:pPr>
              <w:pStyle w:val="ListBullet"/>
              <w:numPr>
                <w:ilvl w:val="0"/>
                <w:numId w:val="26"/>
              </w:numPr>
            </w:pPr>
            <w:r>
              <w:t>h</w:t>
            </w:r>
            <w:r w:rsidR="009251AF" w:rsidRPr="00CA060E">
              <w:t>ave not been awarded a Year 12 certificate or a Certificate III</w:t>
            </w:r>
          </w:p>
          <w:p w14:paraId="5F975CB4" w14:textId="5733B318" w:rsidR="009251AF" w:rsidRPr="00CA060E" w:rsidRDefault="0091011B" w:rsidP="00456C86">
            <w:pPr>
              <w:pStyle w:val="ListBullet"/>
              <w:numPr>
                <w:ilvl w:val="0"/>
                <w:numId w:val="26"/>
              </w:numPr>
            </w:pPr>
            <w:r>
              <w:t>a</w:t>
            </w:r>
            <w:r w:rsidR="009251AF" w:rsidRPr="00CA060E">
              <w:t>re not participating in employment services</w:t>
            </w:r>
          </w:p>
          <w:p w14:paraId="4CCC5E79" w14:textId="1075B83F" w:rsidR="009251AF" w:rsidRPr="00CA060E" w:rsidRDefault="0091011B" w:rsidP="00456C86">
            <w:pPr>
              <w:pStyle w:val="ListBullet"/>
              <w:numPr>
                <w:ilvl w:val="0"/>
                <w:numId w:val="26"/>
              </w:numPr>
            </w:pPr>
            <w:r>
              <w:t>a</w:t>
            </w:r>
            <w:r w:rsidR="009251AF" w:rsidRPr="00CA060E">
              <w:t>re not working an average of 8 hours or more per week for a period of 13 weeks (104 hours)</w:t>
            </w:r>
          </w:p>
          <w:p w14:paraId="5751362D" w14:textId="58C34D75" w:rsidR="009251AF" w:rsidRPr="00CA060E" w:rsidRDefault="0091011B" w:rsidP="00456C86">
            <w:pPr>
              <w:pStyle w:val="ListBullet"/>
              <w:numPr>
                <w:ilvl w:val="0"/>
                <w:numId w:val="26"/>
              </w:numPr>
            </w:pPr>
            <w:r>
              <w:t>h</w:t>
            </w:r>
            <w:r w:rsidR="009251AF" w:rsidRPr="00CA060E">
              <w:t>ave not attended education for a period of 13</w:t>
            </w:r>
            <w:r>
              <w:t> </w:t>
            </w:r>
            <w:r w:rsidR="009251AF" w:rsidRPr="00CA060E">
              <w:t>weeks, or are not enrolled in education, or have an approved exemption from legal requirements to attend school.</w:t>
            </w:r>
          </w:p>
          <w:p w14:paraId="61983D9A" w14:textId="4BCED16B" w:rsidR="009251AF" w:rsidRPr="003A08D9" w:rsidRDefault="009251AF" w:rsidP="00456C86">
            <w:pPr>
              <w:pStyle w:val="ListBullet"/>
              <w:numPr>
                <w:ilvl w:val="0"/>
                <w:numId w:val="0"/>
              </w:numPr>
              <w:ind w:left="306"/>
            </w:pPr>
            <w:r w:rsidRPr="00CA060E">
              <w:t>This group includes young people who are not receiving income support or who are receiving non-activity</w:t>
            </w:r>
            <w:r w:rsidR="0091011B">
              <w:t>-</w:t>
            </w:r>
            <w:r w:rsidRPr="00CA060E">
              <w:t>tested income support such as Parenting Payment.</w:t>
            </w:r>
          </w:p>
        </w:tc>
        <w:tc>
          <w:tcPr>
            <w:tcW w:w="4192" w:type="dxa"/>
          </w:tcPr>
          <w:p w14:paraId="2880344F" w14:textId="5844C19F" w:rsidR="009251AF" w:rsidRPr="00F975E8" w:rsidRDefault="009251AF" w:rsidP="00A245F6">
            <w:pPr>
              <w:pStyle w:val="TableFormat"/>
              <w:spacing w:after="0"/>
              <w:cnfStyle w:val="000000010000" w:firstRow="0" w:lastRow="0" w:firstColumn="0" w:lastColumn="0" w:oddVBand="0" w:evenVBand="0" w:oddHBand="0" w:evenHBand="1" w:firstRowFirstColumn="0" w:firstRowLastColumn="0" w:lastRowFirstColumn="0" w:lastRowLastColumn="0"/>
            </w:pPr>
            <w:r w:rsidRPr="00F975E8">
              <w:t>From 1 January 2018, under the Closing the Gap Agreement, eligibility requirements were expanded to include Aboriginal or Torres Strait Islander young people, irrespective of whether they have completed Year 12 or a Certificate III or higher</w:t>
            </w:r>
          </w:p>
          <w:p w14:paraId="59637BBC" w14:textId="22845834" w:rsidR="009251AF" w:rsidRPr="00F975E8" w:rsidRDefault="009251AF" w:rsidP="00A245F6">
            <w:pPr>
              <w:pStyle w:val="TableFormat"/>
              <w:spacing w:after="0"/>
              <w:cnfStyle w:val="000000010000" w:firstRow="0" w:lastRow="0" w:firstColumn="0" w:lastColumn="0" w:oddVBand="0" w:evenVBand="0" w:oddHBand="0" w:evenHBand="1" w:firstRowFirstColumn="0" w:firstRowLastColumn="0" w:lastRowFirstColumn="0" w:lastRowLastColumn="0"/>
            </w:pPr>
            <w:r w:rsidRPr="00F975E8">
              <w:t>From 1 January 2021, young people not on income support, and without Year 12 or equivalent qualification, only need to have been disengaged from work or education for 4 weeks</w:t>
            </w:r>
            <w:r w:rsidR="0091011B">
              <w:t>.</w:t>
            </w:r>
          </w:p>
        </w:tc>
      </w:tr>
      <w:tr w:rsidR="009251AF" w14:paraId="3D60B77E"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999256A" w14:textId="60C4E31A" w:rsidR="009251AF" w:rsidRPr="00002B96" w:rsidRDefault="009251AF" w:rsidP="00A245F6">
            <w:pPr>
              <w:spacing w:after="0" w:line="240" w:lineRule="atLeast"/>
              <w:rPr>
                <w:b w:val="0"/>
                <w:bCs/>
                <w:szCs w:val="20"/>
              </w:rPr>
            </w:pPr>
            <w:r w:rsidRPr="00002B96">
              <w:rPr>
                <w:b w:val="0"/>
                <w:bCs/>
                <w:szCs w:val="20"/>
              </w:rPr>
              <w:lastRenderedPageBreak/>
              <w:t xml:space="preserve">Group </w:t>
            </w:r>
            <w:r w:rsidR="0091011B">
              <w:rPr>
                <w:b w:val="0"/>
                <w:bCs/>
                <w:szCs w:val="20"/>
              </w:rPr>
              <w:t>3</w:t>
            </w:r>
            <w:r w:rsidRPr="00002B96">
              <w:rPr>
                <w:b w:val="0"/>
                <w:bCs/>
                <w:szCs w:val="20"/>
              </w:rPr>
              <w:t xml:space="preserve"> – referrals from a jobactive or New Employment Services Trial (NEST)</w:t>
            </w:r>
            <w:r w:rsidRPr="00002B96">
              <w:rPr>
                <w:rStyle w:val="FootnoteReference"/>
                <w:rFonts w:cstheme="minorHAnsi"/>
                <w:b w:val="0"/>
                <w:bCs/>
                <w:szCs w:val="20"/>
              </w:rPr>
              <w:t xml:space="preserve"> </w:t>
            </w:r>
            <w:r w:rsidRPr="00002B96">
              <w:rPr>
                <w:b w:val="0"/>
                <w:bCs/>
                <w:szCs w:val="20"/>
              </w:rPr>
              <w:t>provider. These are young people who:</w:t>
            </w:r>
          </w:p>
          <w:p w14:paraId="033D3F2F" w14:textId="20C29409" w:rsidR="009251AF" w:rsidRPr="00002B96" w:rsidRDefault="0091011B" w:rsidP="00456C86">
            <w:pPr>
              <w:pStyle w:val="ListBullet"/>
              <w:numPr>
                <w:ilvl w:val="0"/>
                <w:numId w:val="26"/>
              </w:numPr>
            </w:pPr>
            <w:r>
              <w:t>a</w:t>
            </w:r>
            <w:r w:rsidR="009251AF" w:rsidRPr="00002B96">
              <w:t>re Stream C in jobactive or Tier 2 NEST</w:t>
            </w:r>
            <w:r w:rsidR="009251AF" w:rsidRPr="00002B96">
              <w:rPr>
                <w:vertAlign w:val="superscript"/>
              </w:rPr>
              <w:t>2</w:t>
            </w:r>
            <w:r w:rsidR="009251AF" w:rsidRPr="00002B96">
              <w:t xml:space="preserve"> participants</w:t>
            </w:r>
          </w:p>
          <w:p w14:paraId="5FADA24C" w14:textId="63B5F2E9" w:rsidR="009251AF" w:rsidRDefault="0091011B" w:rsidP="00456C86">
            <w:pPr>
              <w:pStyle w:val="ListBullet"/>
              <w:numPr>
                <w:ilvl w:val="0"/>
                <w:numId w:val="26"/>
              </w:numPr>
            </w:pPr>
            <w:r>
              <w:t>a</w:t>
            </w:r>
            <w:r w:rsidR="009251AF" w:rsidRPr="00002B96">
              <w:t>re identified by their jobactive/NEST providers as having a capacity to benefit from TtW services</w:t>
            </w:r>
            <w:r>
              <w:t>.</w:t>
            </w:r>
            <w:r w:rsidR="009251AF" w:rsidRPr="009A2CDD">
              <w:t xml:space="preserve"> </w:t>
            </w:r>
          </w:p>
        </w:tc>
        <w:tc>
          <w:tcPr>
            <w:tcW w:w="4192" w:type="dxa"/>
          </w:tcPr>
          <w:p w14:paraId="23382E9B" w14:textId="77777777" w:rsidR="009251AF" w:rsidRPr="003A08D9" w:rsidRDefault="009251AF" w:rsidP="00A245F6">
            <w:pPr>
              <w:spacing w:after="0" w:line="240" w:lineRule="atLeast"/>
              <w:cnfStyle w:val="000000100000" w:firstRow="0" w:lastRow="0" w:firstColumn="0" w:lastColumn="0" w:oddVBand="0" w:evenVBand="0" w:oddHBand="1" w:evenHBand="0" w:firstRowFirstColumn="0" w:firstRowLastColumn="0" w:lastRowFirstColumn="0" w:lastRowLastColumn="0"/>
              <w:rPr>
                <w:szCs w:val="20"/>
              </w:rPr>
            </w:pPr>
            <w:r>
              <w:rPr>
                <w:szCs w:val="20"/>
              </w:rPr>
              <w:t>No changes</w:t>
            </w:r>
          </w:p>
        </w:tc>
      </w:tr>
    </w:tbl>
    <w:p w14:paraId="529DCCB2" w14:textId="77777777" w:rsidR="005A6D39" w:rsidRDefault="005A6D39" w:rsidP="00C239FD">
      <w:pPr>
        <w:pStyle w:val="SourceandNotes"/>
        <w:keepNext/>
      </w:pPr>
      <w:r>
        <w:t xml:space="preserve">Notes: </w:t>
      </w:r>
    </w:p>
    <w:p w14:paraId="06D1ABE3" w14:textId="5634C616" w:rsidR="005A6D39" w:rsidRDefault="005A6D39" w:rsidP="005A6D39">
      <w:pPr>
        <w:pStyle w:val="SourceandNotes"/>
      </w:pPr>
      <w:r>
        <w:t xml:space="preserve">1: None of the program changes are relevant to the analysis of long-term impact undertaken in this study, as they came into effect after the participant selection period of 1 April 2016 </w:t>
      </w:r>
      <w:r w:rsidR="0091011B">
        <w:t xml:space="preserve">to </w:t>
      </w:r>
      <w:r>
        <w:t>31 March 2017</w:t>
      </w:r>
      <w:r w:rsidR="0091011B">
        <w:t>.</w:t>
      </w:r>
    </w:p>
    <w:p w14:paraId="3513281A" w14:textId="0660E156" w:rsidR="005A6D39" w:rsidRDefault="005A6D39" w:rsidP="005A6D39">
      <w:pPr>
        <w:pStyle w:val="SourceandNotes"/>
      </w:pPr>
      <w:r>
        <w:t xml:space="preserve">2: </w:t>
      </w:r>
      <w:r w:rsidRPr="009A046E">
        <w:t xml:space="preserve">In order to inform the design of Workforce Australia, the employment services model rolled out from 1 July 2022, key elements of the model were trialled through the NEST in </w:t>
      </w:r>
      <w:r>
        <w:t>2</w:t>
      </w:r>
      <w:r w:rsidRPr="009A046E">
        <w:t xml:space="preserve"> employment regions from 1 July 2019 </w:t>
      </w:r>
      <w:r w:rsidR="0091011B">
        <w:t>to</w:t>
      </w:r>
      <w:r w:rsidRPr="009A046E">
        <w:t xml:space="preserve"> 30 June 2022. Tier 2 NEST participants were those assessed as facing substantial non-vocational barriers to employment.</w:t>
      </w:r>
    </w:p>
    <w:p w14:paraId="14B09EF2" w14:textId="0DE97C24" w:rsidR="00BC4934" w:rsidRDefault="00BC4934" w:rsidP="006B5998">
      <w:pPr>
        <w:pStyle w:val="Heading3"/>
        <w:ind w:left="0"/>
      </w:pPr>
      <w:bookmarkStart w:id="446" w:name="_Toc146033468"/>
      <w:bookmarkStart w:id="447" w:name="_Toc132650436"/>
      <w:r w:rsidRPr="006B5998">
        <w:t>Outline</w:t>
      </w:r>
      <w:r>
        <w:t xml:space="preserve"> of services</w:t>
      </w:r>
      <w:bookmarkEnd w:id="446"/>
      <w:r>
        <w:t xml:space="preserve"> </w:t>
      </w:r>
      <w:bookmarkEnd w:id="447"/>
    </w:p>
    <w:p w14:paraId="56CE5406" w14:textId="05DA5782" w:rsidR="00BC4934" w:rsidRPr="0078185B" w:rsidRDefault="4FD69F04" w:rsidP="001469EB">
      <w:pPr>
        <w:spacing w:before="200" w:after="0"/>
      </w:pPr>
      <w:r w:rsidRPr="0078185B">
        <w:t xml:space="preserve">The </w:t>
      </w:r>
      <w:r>
        <w:t xml:space="preserve">TtW </w:t>
      </w:r>
      <w:r w:rsidRPr="0078185B">
        <w:t>service is voluntary</w:t>
      </w:r>
      <w:r w:rsidR="00DA587E">
        <w:t>. T</w:t>
      </w:r>
      <w:r w:rsidRPr="0078185B">
        <w:t xml:space="preserve">hose who </w:t>
      </w:r>
      <w:r w:rsidR="00023917">
        <w:t>opt</w:t>
      </w:r>
      <w:r w:rsidR="0091011B">
        <w:t xml:space="preserve"> </w:t>
      </w:r>
      <w:r w:rsidR="00023917">
        <w:t>in</w:t>
      </w:r>
      <w:r w:rsidR="00557F90">
        <w:t xml:space="preserve"> must participate for 25 hours per week </w:t>
      </w:r>
      <w:r w:rsidRPr="0078185B">
        <w:t>(</w:t>
      </w:r>
      <w:r>
        <w:t>through a</w:t>
      </w:r>
      <w:r w:rsidRPr="0078185B">
        <w:t xml:space="preserve"> mix of individual, group and self-directed activities</w:t>
      </w:r>
      <w:r w:rsidR="00557F90">
        <w:t>)</w:t>
      </w:r>
      <w:r w:rsidRPr="0078185B">
        <w:t xml:space="preserve"> as outlined in their </w:t>
      </w:r>
      <w:r w:rsidR="009F1529">
        <w:t>j</w:t>
      </w:r>
      <w:r w:rsidRPr="009F1529">
        <w:t xml:space="preserve">ob </w:t>
      </w:r>
      <w:r w:rsidR="009F1529">
        <w:t>p</w:t>
      </w:r>
      <w:r w:rsidRPr="009F1529">
        <w:t>lan</w:t>
      </w:r>
      <w:r w:rsidR="001469EB">
        <w:t xml:space="preserve">, and can participate for </w:t>
      </w:r>
      <w:r w:rsidRPr="0078185B">
        <w:t xml:space="preserve">up to </w:t>
      </w:r>
      <w:r>
        <w:t>12</w:t>
      </w:r>
      <w:r w:rsidRPr="0078185B">
        <w:t xml:space="preserve"> months</w:t>
      </w:r>
      <w:r w:rsidR="00BA693D">
        <w:t xml:space="preserve"> (</w:t>
      </w:r>
      <w:r>
        <w:t>longer if they are tracking for an outcome at this point)</w:t>
      </w:r>
      <w:r w:rsidR="0091011B">
        <w:t>.</w:t>
      </w:r>
      <w:r w:rsidR="00BC4934">
        <w:rPr>
          <w:rStyle w:val="FootnoteReference"/>
        </w:rPr>
        <w:footnoteReference w:id="18"/>
      </w:r>
      <w:r w:rsidRPr="0078185B">
        <w:t xml:space="preserve"> TtW participants meet </w:t>
      </w:r>
      <w:r>
        <w:t xml:space="preserve">their </w:t>
      </w:r>
      <w:r w:rsidR="0073703F">
        <w:t>m</w:t>
      </w:r>
      <w:r w:rsidRPr="0078185B">
        <w:t xml:space="preserve">utual </w:t>
      </w:r>
      <w:r w:rsidR="0073703F">
        <w:t>o</w:t>
      </w:r>
      <w:r w:rsidRPr="0078185B">
        <w:t xml:space="preserve">bligation </w:t>
      </w:r>
      <w:r w:rsidR="0073703F">
        <w:t>r</w:t>
      </w:r>
      <w:r w:rsidRPr="0078185B">
        <w:t xml:space="preserve">equirements through their participation in TtW. </w:t>
      </w:r>
      <w:r>
        <w:t xml:space="preserve">If </w:t>
      </w:r>
      <w:r w:rsidR="00557F90">
        <w:t>G</w:t>
      </w:r>
      <w:r>
        <w:t>roup</w:t>
      </w:r>
      <w:r w:rsidR="00557F90">
        <w:t> </w:t>
      </w:r>
      <w:r>
        <w:t xml:space="preserve">1 or </w:t>
      </w:r>
      <w:r w:rsidR="00557F90">
        <w:t>G</w:t>
      </w:r>
      <w:r>
        <w:t>roup</w:t>
      </w:r>
      <w:r w:rsidR="00557F90">
        <w:t> </w:t>
      </w:r>
      <w:r>
        <w:t xml:space="preserve">3 TtW participants fail to engage adequately in the program, they </w:t>
      </w:r>
      <w:r w:rsidR="005A6D39">
        <w:t>should be</w:t>
      </w:r>
      <w:r w:rsidR="00557F90">
        <w:t xml:space="preserve"> </w:t>
      </w:r>
      <w:r w:rsidR="00D43B46">
        <w:t>e</w:t>
      </w:r>
      <w:r w:rsidR="00557F90">
        <w:t>xited</w:t>
      </w:r>
      <w:r>
        <w:t xml:space="preserve"> to jobactive by their provider. </w:t>
      </w:r>
      <w:r w:rsidR="00D43B46">
        <w:t xml:space="preserve">TtW </w:t>
      </w:r>
      <w:r w:rsidRPr="0078185B">
        <w:t>Providers are expected to assist young people participating in the service with activities such as:</w:t>
      </w:r>
    </w:p>
    <w:p w14:paraId="2209000F" w14:textId="77777777" w:rsidR="00BC4934" w:rsidRDefault="00BC4934" w:rsidP="00456C86">
      <w:pPr>
        <w:pStyle w:val="ListBullet"/>
      </w:pPr>
      <w:r>
        <w:t xml:space="preserve">facilitating </w:t>
      </w:r>
      <w:r w:rsidRPr="0078185B">
        <w:t xml:space="preserve">activities </w:t>
      </w:r>
      <w:r>
        <w:t xml:space="preserve">and referrals </w:t>
      </w:r>
      <w:r w:rsidRPr="0078185B">
        <w:t>to address non-vocational barriers</w:t>
      </w:r>
    </w:p>
    <w:p w14:paraId="4E540535" w14:textId="10AAD788" w:rsidR="00BC4934" w:rsidRPr="0078185B" w:rsidRDefault="00BC4934" w:rsidP="00456C86">
      <w:pPr>
        <w:pStyle w:val="ListBullet"/>
      </w:pPr>
      <w:r w:rsidRPr="0078185B">
        <w:t>improving the young person</w:t>
      </w:r>
      <w:r w:rsidR="00F8391B">
        <w:t>’</w:t>
      </w:r>
      <w:r w:rsidRPr="0078185B">
        <w:t>s foundation skills</w:t>
      </w:r>
    </w:p>
    <w:p w14:paraId="0858A038" w14:textId="56F2FB52" w:rsidR="00BC4934" w:rsidRPr="0078185B" w:rsidRDefault="00BC4934" w:rsidP="00456C86">
      <w:pPr>
        <w:pStyle w:val="ListBullet"/>
      </w:pPr>
      <w:r w:rsidRPr="0078185B">
        <w:t>assisting with vocational skills development</w:t>
      </w:r>
      <w:r>
        <w:t xml:space="preserve">, including through work experience, apprenticeships </w:t>
      </w:r>
      <w:r w:rsidRPr="009F1529">
        <w:t>et</w:t>
      </w:r>
      <w:r w:rsidR="009F1529">
        <w:t xml:space="preserve"> </w:t>
      </w:r>
      <w:r w:rsidRPr="009F1529">
        <w:t>c</w:t>
      </w:r>
      <w:r w:rsidR="009F1529">
        <w:t>etera</w:t>
      </w:r>
    </w:p>
    <w:p w14:paraId="4B072F47" w14:textId="77777777" w:rsidR="00BC4934" w:rsidRPr="0078185B" w:rsidRDefault="00BC4934" w:rsidP="00456C86">
      <w:pPr>
        <w:pStyle w:val="ListBullet"/>
      </w:pPr>
      <w:r w:rsidRPr="0078185B">
        <w:t>career advice</w:t>
      </w:r>
    </w:p>
    <w:p w14:paraId="6DAD93B4" w14:textId="77777777" w:rsidR="00BC4934" w:rsidRDefault="00BC4934" w:rsidP="00456C86">
      <w:pPr>
        <w:pStyle w:val="ListBullet"/>
      </w:pPr>
      <w:r>
        <w:t xml:space="preserve">facilitating </w:t>
      </w:r>
      <w:r w:rsidRPr="0078185B">
        <w:t>access to education and training courses</w:t>
      </w:r>
    </w:p>
    <w:p w14:paraId="37084339" w14:textId="77777777" w:rsidR="00BC4934" w:rsidRPr="0078185B" w:rsidRDefault="00BC4934" w:rsidP="00456C86">
      <w:pPr>
        <w:pStyle w:val="ListBullet"/>
      </w:pPr>
      <w:r>
        <w:t>providing ongoing and regular support.</w:t>
      </w:r>
    </w:p>
    <w:p w14:paraId="5307ABA9" w14:textId="0F402736" w:rsidR="00BC4934" w:rsidRPr="00124D8B" w:rsidRDefault="00BC4934" w:rsidP="00BC4934">
      <w:r w:rsidRPr="0078185B">
        <w:t>Providers are expected to work with local community, education organisations and employers</w:t>
      </w:r>
      <w:r>
        <w:t xml:space="preserve"> to build networks and </w:t>
      </w:r>
      <w:r w:rsidR="00557F90">
        <w:t xml:space="preserve">create </w:t>
      </w:r>
      <w:r>
        <w:t>opportunities for participants</w:t>
      </w:r>
      <w:r w:rsidRPr="0078185B">
        <w:t xml:space="preserve">. </w:t>
      </w:r>
      <w:r>
        <w:t xml:space="preserve">The TtW funding model is designed to enable and encourage </w:t>
      </w:r>
      <w:r w:rsidR="002F311C">
        <w:t xml:space="preserve">tailored </w:t>
      </w:r>
      <w:r>
        <w:t xml:space="preserve">upfront investment in young people. The payment structure for TtW includes both an Upfront Payment </w:t>
      </w:r>
      <w:r w:rsidR="00A74AF2">
        <w:t>to provide flexibility for providers to facilitate the individual tailoring or services and support to the specific needs of participants</w:t>
      </w:r>
      <w:r w:rsidR="00745CD0">
        <w:t>,</w:t>
      </w:r>
      <w:r w:rsidR="00A74AF2">
        <w:t xml:space="preserve"> </w:t>
      </w:r>
      <w:r>
        <w:t>and Bonus Outcome Payments that are intended to drive high performance. Unlike</w:t>
      </w:r>
      <w:r w:rsidR="00745CD0">
        <w:t xml:space="preserve"> in</w:t>
      </w:r>
      <w:r>
        <w:t xml:space="preserve"> jobactive, there is no Employment Fund in TtW, with providers instead using the </w:t>
      </w:r>
      <w:r w:rsidR="00557F90">
        <w:t>U</w:t>
      </w:r>
      <w:r>
        <w:t xml:space="preserve">pfront </w:t>
      </w:r>
      <w:r w:rsidR="00557F90">
        <w:t>P</w:t>
      </w:r>
      <w:r>
        <w:t xml:space="preserve">ayments to fund participant needs. </w:t>
      </w:r>
      <w:r w:rsidRPr="00124D8B">
        <w:t xml:space="preserve">The </w:t>
      </w:r>
      <w:r w:rsidR="00B34FEA">
        <w:t>d</w:t>
      </w:r>
      <w:r w:rsidRPr="00124D8B">
        <w:t>epartment sets performance targets for provider</w:t>
      </w:r>
      <w:r w:rsidR="005E200A">
        <w:t>s</w:t>
      </w:r>
      <w:r w:rsidRPr="00124D8B">
        <w:t xml:space="preserve"> which are linked to outcome payments</w:t>
      </w:r>
      <w:r>
        <w:t>.</w:t>
      </w:r>
      <w:r w:rsidR="005E200A">
        <w:t xml:space="preserve"> A broader </w:t>
      </w:r>
      <w:r w:rsidR="005E200A">
        <w:lastRenderedPageBreak/>
        <w:t>performance framework is also in place that includes measures of effectiveness, efficiency and service quality.</w:t>
      </w:r>
    </w:p>
    <w:p w14:paraId="685156F2" w14:textId="77777777" w:rsidR="00BC4934" w:rsidRDefault="00BC4934" w:rsidP="002D7EC7">
      <w:pPr>
        <w:pStyle w:val="Heading3"/>
        <w:ind w:left="0"/>
      </w:pPr>
      <w:bookmarkStart w:id="448" w:name="_Toc132650437"/>
      <w:bookmarkStart w:id="449" w:name="_Toc146033469"/>
      <w:r w:rsidRPr="00915C87">
        <w:t>The TtW population is significantly more disadvantaged than young people overall in Australia</w:t>
      </w:r>
      <w:bookmarkEnd w:id="448"/>
      <w:bookmarkEnd w:id="449"/>
    </w:p>
    <w:p w14:paraId="138178FA" w14:textId="2B8F7A44" w:rsidR="00BC4934" w:rsidRDefault="00BC4934" w:rsidP="00BC4934">
      <w:r>
        <w:t>Not surprisingly, given that the TtW program is targeted at early school leavers, young people who are disengaged from education or work and</w:t>
      </w:r>
      <w:r w:rsidR="00160A58">
        <w:t>/or are</w:t>
      </w:r>
      <w:r>
        <w:t xml:space="preserve"> Aboriginal and/or Torres Strait Islander, the TtW study population is significantly more disadvantaged than young people (15</w:t>
      </w:r>
      <w:r w:rsidR="00B5360A">
        <w:t xml:space="preserve"> to </w:t>
      </w:r>
      <w:r>
        <w:t>24 years) in Australia</w:t>
      </w:r>
      <w:r w:rsidR="0086420F">
        <w:t xml:space="preserve"> overall</w:t>
      </w:r>
      <w:r>
        <w:t>. TtW participants</w:t>
      </w:r>
      <w:r>
        <w:rPr>
          <w:rStyle w:val="FootnoteReference"/>
        </w:rPr>
        <w:footnoteReference w:id="19"/>
      </w:r>
      <w:r>
        <w:t xml:space="preserve"> made up less than 1% of </w:t>
      </w:r>
      <w:r w:rsidR="005A6D39">
        <w:t>the</w:t>
      </w:r>
      <w:r>
        <w:t xml:space="preserve"> total </w:t>
      </w:r>
      <w:r w:rsidR="001469EB">
        <w:t xml:space="preserve">Australian </w:t>
      </w:r>
      <w:r w:rsidR="00956075">
        <w:t xml:space="preserve">youth </w:t>
      </w:r>
      <w:r>
        <w:t>population</w:t>
      </w:r>
      <w:r w:rsidR="0086420F">
        <w:t xml:space="preserve">. </w:t>
      </w:r>
      <w:r>
        <w:t>At commencement:</w:t>
      </w:r>
    </w:p>
    <w:p w14:paraId="690ADA59" w14:textId="0DAC18B1" w:rsidR="00BC4934" w:rsidRDefault="00745CD0" w:rsidP="00456C86">
      <w:pPr>
        <w:pStyle w:val="ListBullet"/>
      </w:pPr>
      <w:bookmarkStart w:id="450" w:name="_Hlk164332213"/>
      <w:r>
        <w:t>t</w:t>
      </w:r>
      <w:r w:rsidR="00BC4934">
        <w:t>he TtW population ha</w:t>
      </w:r>
      <w:r>
        <w:t>d</w:t>
      </w:r>
      <w:r w:rsidR="00BC4934">
        <w:t xml:space="preserve"> a higher proportion of </w:t>
      </w:r>
      <w:r w:rsidR="003A0923">
        <w:t>men</w:t>
      </w:r>
      <w:r w:rsidR="00BC4934">
        <w:t xml:space="preserve"> (60%) than </w:t>
      </w:r>
      <w:r w:rsidR="003A0923">
        <w:t>women</w:t>
      </w:r>
      <w:r w:rsidR="00BC4934">
        <w:t xml:space="preserve"> (40%). This is in contrast to the general population of young people in Australia which is more evenly distributed (</w:t>
      </w:r>
      <w:r w:rsidR="003A0923">
        <w:t>men</w:t>
      </w:r>
      <w:r w:rsidR="00BC4934">
        <w:t xml:space="preserve"> 51%, </w:t>
      </w:r>
      <w:r w:rsidR="003A0923">
        <w:t>women</w:t>
      </w:r>
      <w:r w:rsidR="001469EB">
        <w:rPr>
          <w:b/>
          <w:bCs/>
        </w:rPr>
        <w:t> </w:t>
      </w:r>
      <w:r w:rsidR="00BC4934">
        <w:t>49</w:t>
      </w:r>
      <w:r w:rsidR="001469EB">
        <w:t>%</w:t>
      </w:r>
      <w:r w:rsidR="00BC4934">
        <w:t>)</w:t>
      </w:r>
      <w:r w:rsidR="0031063B">
        <w:t xml:space="preserve"> (</w:t>
      </w:r>
      <w:r w:rsidR="0031063B" w:rsidRPr="00C42013">
        <w:rPr>
          <w:b/>
          <w:bCs/>
        </w:rPr>
        <w:t>ABS 2016</w:t>
      </w:r>
      <w:r w:rsidR="0031063B">
        <w:t>)</w:t>
      </w:r>
    </w:p>
    <w:p w14:paraId="606765C4" w14:textId="7BF3B9C1" w:rsidR="00BC4934" w:rsidRDefault="00745CD0" w:rsidP="00456C86">
      <w:pPr>
        <w:pStyle w:val="ListBullet"/>
      </w:pPr>
      <w:r>
        <w:t>a</w:t>
      </w:r>
      <w:r w:rsidR="00BC4934">
        <w:t>lmost one</w:t>
      </w:r>
      <w:r w:rsidR="000B5467">
        <w:t>-</w:t>
      </w:r>
      <w:r w:rsidR="00BC4934">
        <w:t xml:space="preserve">fifth of the TtW population (19%) </w:t>
      </w:r>
      <w:r w:rsidR="002B7CC7">
        <w:t>were</w:t>
      </w:r>
      <w:r w:rsidR="00BC4934">
        <w:t xml:space="preserve"> Aboriginal and/or Torres Strait Islander compared to 4%</w:t>
      </w:r>
      <w:r w:rsidR="0031063B">
        <w:t xml:space="preserve"> </w:t>
      </w:r>
      <w:r w:rsidR="00BC4934">
        <w:t>of the young people in Australia more broadly</w:t>
      </w:r>
      <w:r w:rsidR="0031063B">
        <w:t xml:space="preserve"> (</w:t>
      </w:r>
      <w:r w:rsidR="0031063B" w:rsidRPr="00C42013">
        <w:rPr>
          <w:b/>
          <w:bCs/>
        </w:rPr>
        <w:t>ABS 2016</w:t>
      </w:r>
      <w:r w:rsidR="0031063B">
        <w:t>)</w:t>
      </w:r>
    </w:p>
    <w:p w14:paraId="1E28C3CF" w14:textId="2D713446" w:rsidR="00736ABF" w:rsidRDefault="00736ABF" w:rsidP="00456C86">
      <w:pPr>
        <w:pStyle w:val="ListBullet"/>
      </w:pPr>
      <w:r>
        <w:t xml:space="preserve">6% of TtW participants </w:t>
      </w:r>
      <w:r w:rsidR="00551206">
        <w:t>ha</w:t>
      </w:r>
      <w:r w:rsidR="00745CD0">
        <w:t>d</w:t>
      </w:r>
      <w:r>
        <w:t xml:space="preserve"> a reduced work capacity due to disability or </w:t>
      </w:r>
      <w:r w:rsidR="00551206">
        <w:t xml:space="preserve">a </w:t>
      </w:r>
      <w:r>
        <w:t xml:space="preserve">medical condition. While not directly comparable, this is in contrast to less than 2% of the general population of </w:t>
      </w:r>
      <w:r w:rsidR="0086420F">
        <w:t>15</w:t>
      </w:r>
      <w:r w:rsidR="009F1529">
        <w:t xml:space="preserve"> to </w:t>
      </w:r>
      <w:r w:rsidR="0086420F">
        <w:t>22</w:t>
      </w:r>
      <w:r w:rsidR="009F1529">
        <w:t xml:space="preserve"> </w:t>
      </w:r>
      <w:r w:rsidR="0086420F">
        <w:t>year</w:t>
      </w:r>
      <w:r w:rsidR="009F1529">
        <w:t xml:space="preserve"> </w:t>
      </w:r>
      <w:r w:rsidR="0086420F">
        <w:t>old</w:t>
      </w:r>
      <w:r>
        <w:t xml:space="preserve"> Australians who identify as living with disability (</w:t>
      </w:r>
      <w:r w:rsidRPr="004A440A">
        <w:rPr>
          <w:b/>
          <w:bCs/>
        </w:rPr>
        <w:t>ABS</w:t>
      </w:r>
      <w:r w:rsidR="00D44F04">
        <w:rPr>
          <w:b/>
          <w:bCs/>
        </w:rPr>
        <w:t> </w:t>
      </w:r>
      <w:r w:rsidRPr="004A440A">
        <w:rPr>
          <w:b/>
          <w:bCs/>
        </w:rPr>
        <w:t>2016</w:t>
      </w:r>
      <w:r>
        <w:t>)</w:t>
      </w:r>
    </w:p>
    <w:p w14:paraId="2282F82D" w14:textId="34E4608F" w:rsidR="00BC4934" w:rsidRDefault="00745CD0" w:rsidP="00456C86">
      <w:pPr>
        <w:pStyle w:val="ListBullet"/>
      </w:pPr>
      <w:r>
        <w:t>o</w:t>
      </w:r>
      <w:r w:rsidR="00BC4934">
        <w:t xml:space="preserve">nly 15% of the TtW population had </w:t>
      </w:r>
      <w:r w:rsidR="00D72C75" w:rsidRPr="00C239FD">
        <w:t>Y</w:t>
      </w:r>
      <w:r w:rsidR="00BC4934" w:rsidRPr="00D72C75">
        <w:t>ear 12</w:t>
      </w:r>
      <w:r w:rsidR="00BC4934">
        <w:t xml:space="preserve"> or equivalent, while 9 out of 10 young people (90%) aged 20</w:t>
      </w:r>
      <w:r>
        <w:t>–</w:t>
      </w:r>
      <w:r w:rsidR="00BC4934">
        <w:t>24 in Australia have achieved this</w:t>
      </w:r>
      <w:r w:rsidR="0031063B">
        <w:t xml:space="preserve"> (</w:t>
      </w:r>
      <w:r w:rsidR="0031063B" w:rsidRPr="004A440A">
        <w:rPr>
          <w:b/>
          <w:bCs/>
        </w:rPr>
        <w:t>ABS 2021b</w:t>
      </w:r>
      <w:r w:rsidR="0031063B">
        <w:t>)</w:t>
      </w:r>
    </w:p>
    <w:p w14:paraId="15779045" w14:textId="4D053CD3" w:rsidR="00BC4934" w:rsidRDefault="00BC4934" w:rsidP="00456C86">
      <w:pPr>
        <w:pStyle w:val="ListBullet"/>
      </w:pPr>
      <w:r>
        <w:t>9% of TtW participants ha</w:t>
      </w:r>
      <w:r w:rsidR="00745CD0">
        <w:t>d</w:t>
      </w:r>
      <w:r>
        <w:t xml:space="preserve"> unstable housing, compared to less than 1%</w:t>
      </w:r>
      <w:r w:rsidR="007D02AB">
        <w:rPr>
          <w:rStyle w:val="FootnoteReference"/>
        </w:rPr>
        <w:footnoteReference w:id="20"/>
      </w:r>
      <w:r>
        <w:t xml:space="preserve"> of young Australians who are homeless</w:t>
      </w:r>
    </w:p>
    <w:p w14:paraId="26E66A34" w14:textId="44CF7D8F" w:rsidR="00BC4934" w:rsidRDefault="00BC4934" w:rsidP="00456C86">
      <w:pPr>
        <w:pStyle w:val="ListBullet"/>
      </w:pPr>
      <w:r>
        <w:t xml:space="preserve">8% </w:t>
      </w:r>
      <w:r w:rsidR="00745CD0">
        <w:t>were</w:t>
      </w:r>
      <w:r>
        <w:t xml:space="preserve"> ex-offenders</w:t>
      </w:r>
      <w:r w:rsidR="00745CD0">
        <w:t>,</w:t>
      </w:r>
      <w:r>
        <w:t xml:space="preserve"> compared to an imprisonment rate of 0.</w:t>
      </w:r>
      <w:r w:rsidR="00E42526">
        <w:t>1</w:t>
      </w:r>
      <w:r>
        <w:t xml:space="preserve">% for </w:t>
      </w:r>
      <w:r w:rsidRPr="009F1529">
        <w:t>18</w:t>
      </w:r>
      <w:r w:rsidR="00F54DCC" w:rsidRPr="009F1529">
        <w:t xml:space="preserve"> year olds</w:t>
      </w:r>
      <w:r>
        <w:t xml:space="preserve">, </w:t>
      </w:r>
      <w:r w:rsidR="00E42526">
        <w:t>0.2</w:t>
      </w:r>
      <w:r>
        <w:t>% for 19</w:t>
      </w:r>
      <w:r w:rsidR="00F54DCC" w:rsidRPr="00F54DCC">
        <w:t xml:space="preserve"> </w:t>
      </w:r>
      <w:r w:rsidR="00F54DCC">
        <w:t>year olds</w:t>
      </w:r>
      <w:r>
        <w:t xml:space="preserve"> and </w:t>
      </w:r>
      <w:r w:rsidR="00E42526">
        <w:t>0.2</w:t>
      </w:r>
      <w:r>
        <w:t>%</w:t>
      </w:r>
      <w:r w:rsidR="007D02AB">
        <w:rPr>
          <w:rStyle w:val="FootnoteReference"/>
        </w:rPr>
        <w:footnoteReference w:id="21"/>
      </w:r>
      <w:r>
        <w:t xml:space="preserve"> for 20</w:t>
      </w:r>
      <w:r w:rsidR="00745CD0">
        <w:t>–</w:t>
      </w:r>
      <w:r>
        <w:t>24</w:t>
      </w:r>
      <w:r w:rsidR="00F54DCC" w:rsidRPr="00F54DCC">
        <w:t xml:space="preserve"> </w:t>
      </w:r>
      <w:r w:rsidR="00F54DCC">
        <w:t>year olds</w:t>
      </w:r>
      <w:r>
        <w:t xml:space="preserve"> in Australia.</w:t>
      </w:r>
    </w:p>
    <w:p w14:paraId="726433DE" w14:textId="04F1DADA" w:rsidR="00515731" w:rsidRDefault="00FA5203" w:rsidP="006E41FD">
      <w:pPr>
        <w:pStyle w:val="Heading2"/>
      </w:pPr>
      <w:bookmarkStart w:id="453" w:name="_Toc132650438"/>
      <w:bookmarkStart w:id="454" w:name="_Toc146033470"/>
      <w:bookmarkEnd w:id="450"/>
      <w:r>
        <w:t>Macroeconomic environment</w:t>
      </w:r>
      <w:bookmarkEnd w:id="437"/>
      <w:bookmarkEnd w:id="453"/>
      <w:bookmarkEnd w:id="454"/>
    </w:p>
    <w:p w14:paraId="5220FBD9" w14:textId="3A52423E" w:rsidR="00190DEA" w:rsidRDefault="009D0007" w:rsidP="000B7738">
      <w:r>
        <w:t xml:space="preserve">This evaluation covers the period </w:t>
      </w:r>
      <w:r w:rsidR="00F35541">
        <w:t xml:space="preserve">March </w:t>
      </w:r>
      <w:r>
        <w:t>2016</w:t>
      </w:r>
      <w:r w:rsidR="00F35541">
        <w:t xml:space="preserve"> </w:t>
      </w:r>
      <w:r w:rsidR="00D44F04">
        <w:t>to</w:t>
      </w:r>
      <w:r>
        <w:t xml:space="preserve"> </w:t>
      </w:r>
      <w:r w:rsidR="009635A2">
        <w:t>Sept</w:t>
      </w:r>
      <w:r w:rsidR="00D44F04">
        <w:t>ember</w:t>
      </w:r>
      <w:r w:rsidR="00F35541">
        <w:t xml:space="preserve"> </w:t>
      </w:r>
      <w:r>
        <w:t>2021</w:t>
      </w:r>
      <w:r w:rsidR="00F35541">
        <w:t xml:space="preserve">, </w:t>
      </w:r>
      <w:r w:rsidR="006137FE">
        <w:t>encompass</w:t>
      </w:r>
      <w:r w:rsidR="00205B18">
        <w:t>ing</w:t>
      </w:r>
      <w:r w:rsidR="006137FE">
        <w:t xml:space="preserve"> a period of </w:t>
      </w:r>
      <w:r w:rsidR="00205B18">
        <w:t xml:space="preserve">ongoing </w:t>
      </w:r>
      <w:r w:rsidR="006137FE">
        <w:t xml:space="preserve">growth in the Australian economy </w:t>
      </w:r>
      <w:r w:rsidR="00205B18">
        <w:t>followed by</w:t>
      </w:r>
      <w:r w:rsidR="006137FE">
        <w:t xml:space="preserve"> shock</w:t>
      </w:r>
      <w:r w:rsidR="009610C6">
        <w:t>s</w:t>
      </w:r>
      <w:r w:rsidR="006137FE">
        <w:t xml:space="preserve"> caused by bushfires</w:t>
      </w:r>
      <w:r w:rsidR="00E50154">
        <w:t>, floods</w:t>
      </w:r>
      <w:r w:rsidR="006137FE">
        <w:t xml:space="preserve"> and COVID-19</w:t>
      </w:r>
      <w:r w:rsidR="002B7CC7">
        <w:t xml:space="preserve"> in the later part of this period</w:t>
      </w:r>
      <w:r w:rsidR="006137FE">
        <w:t>.</w:t>
      </w:r>
      <w:r w:rsidR="00190DEA">
        <w:t xml:space="preserve"> In looking at the longer</w:t>
      </w:r>
      <w:r w:rsidR="00BB14FF">
        <w:t>-</w:t>
      </w:r>
      <w:r w:rsidR="00190DEA">
        <w:t>term impact of TtW on participant labour market attachment</w:t>
      </w:r>
      <w:r w:rsidR="0086420F">
        <w:t>,</w:t>
      </w:r>
      <w:r w:rsidR="00190DEA">
        <w:t xml:space="preserve"> it is useful to have a broad understanding of </w:t>
      </w:r>
      <w:r w:rsidR="009105B9">
        <w:t xml:space="preserve">the labour market </w:t>
      </w:r>
      <w:r w:rsidR="00557F90">
        <w:t>during this period</w:t>
      </w:r>
      <w:r w:rsidR="009105B9">
        <w:t>.</w:t>
      </w:r>
    </w:p>
    <w:p w14:paraId="285FADC8" w14:textId="6A474256" w:rsidR="00C84D14" w:rsidRDefault="00745CD0" w:rsidP="00C84D14">
      <w:r>
        <w:t>Before</w:t>
      </w:r>
      <w:r w:rsidR="00C84D14">
        <w:t xml:space="preserve"> the </w:t>
      </w:r>
      <w:r w:rsidR="002B7CC7">
        <w:t xml:space="preserve">2019 </w:t>
      </w:r>
      <w:r w:rsidR="00C84D14">
        <w:t xml:space="preserve">bushfires and COVID-19, the Australian economy had experienced almost </w:t>
      </w:r>
      <w:r w:rsidR="002B7CC7">
        <w:t>3</w:t>
      </w:r>
      <w:r w:rsidR="00C84D14">
        <w:t xml:space="preserve"> decades of growth. Between 2016 and late 2019 the national </w:t>
      </w:r>
      <w:r w:rsidR="00C84D14" w:rsidRPr="00E05B4E">
        <w:t xml:space="preserve">unemployment rate dropped from </w:t>
      </w:r>
      <w:r w:rsidR="00C84D14">
        <w:t>5.7% to 5.3%</w:t>
      </w:r>
      <w:r w:rsidR="00B7439A">
        <w:t xml:space="preserve"> </w:t>
      </w:r>
      <w:r w:rsidR="00C84D14">
        <w:t>(</w:t>
      </w:r>
      <w:r w:rsidR="00C84D14" w:rsidRPr="00096F81">
        <w:rPr>
          <w:b/>
          <w:bCs/>
        </w:rPr>
        <w:t>ABS</w:t>
      </w:r>
      <w:r w:rsidR="00C84D14">
        <w:rPr>
          <w:b/>
          <w:bCs/>
        </w:rPr>
        <w:t xml:space="preserve"> 2021</w:t>
      </w:r>
      <w:r w:rsidR="00C84D14">
        <w:t>).</w:t>
      </w:r>
      <w:r w:rsidR="001873AC">
        <w:t xml:space="preserve"> </w:t>
      </w:r>
      <w:r w:rsidR="00C84D14">
        <w:t xml:space="preserve">While young people benefited from this economic growth, </w:t>
      </w:r>
      <w:r w:rsidR="001873AC">
        <w:t>the u</w:t>
      </w:r>
      <w:r w:rsidR="001873AC" w:rsidRPr="00E05B4E">
        <w:t>nemp</w:t>
      </w:r>
      <w:r w:rsidR="001873AC">
        <w:t>loyment</w:t>
      </w:r>
      <w:r w:rsidR="001873AC" w:rsidRPr="00E05B4E">
        <w:t xml:space="preserve"> rate for </w:t>
      </w:r>
      <w:r w:rsidR="0086420F" w:rsidRPr="00E05B4E">
        <w:lastRenderedPageBreak/>
        <w:t>15</w:t>
      </w:r>
      <w:r w:rsidR="004B0463">
        <w:t xml:space="preserve"> to</w:t>
      </w:r>
      <w:r w:rsidR="00B7439A">
        <w:t xml:space="preserve"> </w:t>
      </w:r>
      <w:r w:rsidR="0086420F" w:rsidRPr="00E05B4E">
        <w:t>24</w:t>
      </w:r>
      <w:r>
        <w:t xml:space="preserve"> </w:t>
      </w:r>
      <w:r w:rsidR="0086420F" w:rsidRPr="00E05B4E">
        <w:t>year</w:t>
      </w:r>
      <w:r w:rsidR="001873AC">
        <w:t xml:space="preserve"> olds was </w:t>
      </w:r>
      <w:r w:rsidR="001873AC" w:rsidRPr="00E05B4E">
        <w:t xml:space="preserve">more than double </w:t>
      </w:r>
      <w:r w:rsidR="001873AC">
        <w:t xml:space="preserve">the rate for all </w:t>
      </w:r>
      <w:r w:rsidR="001873AC" w:rsidRPr="009F1529">
        <w:t>persons</w:t>
      </w:r>
      <w:r w:rsidR="001873AC" w:rsidRPr="00E05B4E">
        <w:t xml:space="preserve">, </w:t>
      </w:r>
      <w:r w:rsidR="001873AC">
        <w:t xml:space="preserve">falling from </w:t>
      </w:r>
      <w:r w:rsidR="001873AC" w:rsidRPr="00E05B4E">
        <w:t>12</w:t>
      </w:r>
      <w:r w:rsidR="001873AC">
        <w:t>.1</w:t>
      </w:r>
      <w:r w:rsidR="001873AC" w:rsidRPr="00E05B4E">
        <w:t xml:space="preserve">% to </w:t>
      </w:r>
      <w:r w:rsidR="001873AC">
        <w:t>11.6% (</w:t>
      </w:r>
      <w:r w:rsidR="001873AC" w:rsidRPr="00096F81">
        <w:rPr>
          <w:b/>
          <w:bCs/>
        </w:rPr>
        <w:t>ABS</w:t>
      </w:r>
      <w:r w:rsidR="00B7439A">
        <w:rPr>
          <w:b/>
          <w:bCs/>
        </w:rPr>
        <w:t> </w:t>
      </w:r>
      <w:r w:rsidR="001873AC">
        <w:rPr>
          <w:b/>
          <w:bCs/>
        </w:rPr>
        <w:t>2021</w:t>
      </w:r>
      <w:r w:rsidR="001873AC">
        <w:t>). T</w:t>
      </w:r>
      <w:r w:rsidR="00C84D14">
        <w:t xml:space="preserve">here </w:t>
      </w:r>
      <w:r w:rsidR="0083546B">
        <w:t>wa</w:t>
      </w:r>
      <w:r w:rsidR="00C84D14">
        <w:t xml:space="preserve">s evidence </w:t>
      </w:r>
      <w:r w:rsidR="004D10ED">
        <w:t>showing</w:t>
      </w:r>
      <w:r w:rsidR="00C84D14">
        <w:t xml:space="preserve"> young people </w:t>
      </w:r>
      <w:r w:rsidR="004D10ED">
        <w:t>as</w:t>
      </w:r>
      <w:r w:rsidR="001873AC">
        <w:t xml:space="preserve"> </w:t>
      </w:r>
      <w:r w:rsidR="00C84D14">
        <w:t>more likely to be employed in part</w:t>
      </w:r>
      <w:r w:rsidR="00923FDC">
        <w:t>-</w:t>
      </w:r>
      <w:r w:rsidR="00C84D14">
        <w:t xml:space="preserve">time or casual jobs, and more likely than previous generations to be </w:t>
      </w:r>
      <w:r w:rsidR="006150C6">
        <w:t>long-term</w:t>
      </w:r>
      <w:r w:rsidR="00C84D14">
        <w:t xml:space="preserve"> unemployed, start their work careers in lower quality jobs, and </w:t>
      </w:r>
      <w:r w:rsidR="00557F90">
        <w:t xml:space="preserve">increasingly </w:t>
      </w:r>
      <w:r w:rsidR="00C84D14">
        <w:t>need to compete for jobs through activities such as unpaid internships (</w:t>
      </w:r>
      <w:r w:rsidR="00C84D14" w:rsidRPr="00815193">
        <w:rPr>
          <w:b/>
          <w:bCs/>
        </w:rPr>
        <w:t>Borland and Coelli 2021</w:t>
      </w:r>
      <w:r w:rsidR="00C84D14">
        <w:t>).</w:t>
      </w:r>
    </w:p>
    <w:p w14:paraId="0FF56792" w14:textId="00C41F91" w:rsidR="00C84D14" w:rsidRDefault="00C84D14" w:rsidP="000B7738">
      <w:r>
        <w:t>A number of trends were apparent in the labour market (</w:t>
      </w:r>
      <w:r w:rsidRPr="00C84D14">
        <w:rPr>
          <w:b/>
          <w:bCs/>
        </w:rPr>
        <w:t>Australian</w:t>
      </w:r>
      <w:r w:rsidRPr="001431BC">
        <w:rPr>
          <w:b/>
          <w:bCs/>
        </w:rPr>
        <w:t xml:space="preserve"> </w:t>
      </w:r>
      <w:r w:rsidRPr="00113962">
        <w:rPr>
          <w:b/>
          <w:bCs/>
        </w:rPr>
        <w:t xml:space="preserve">Skills Commission </w:t>
      </w:r>
      <w:r>
        <w:rPr>
          <w:b/>
          <w:bCs/>
        </w:rPr>
        <w:t xml:space="preserve">(ASC) </w:t>
      </w:r>
      <w:r w:rsidRPr="00113962">
        <w:rPr>
          <w:b/>
          <w:bCs/>
        </w:rPr>
        <w:t>20</w:t>
      </w:r>
      <w:r>
        <w:rPr>
          <w:b/>
          <w:bCs/>
        </w:rPr>
        <w:t>19</w:t>
      </w:r>
      <w:r w:rsidRPr="00096F81">
        <w:t>)</w:t>
      </w:r>
      <w:r>
        <w:t xml:space="preserve"> that could impact young people</w:t>
      </w:r>
      <w:r w:rsidR="002D114B">
        <w:t>,</w:t>
      </w:r>
      <w:r w:rsidR="004427B2">
        <w:t xml:space="preserve"> particularly</w:t>
      </w:r>
      <w:r>
        <w:t>:</w:t>
      </w:r>
    </w:p>
    <w:p w14:paraId="11F89A59" w14:textId="4AC8BC07" w:rsidR="00C84D14" w:rsidRPr="0034179E" w:rsidRDefault="003747EB" w:rsidP="00456C86">
      <w:pPr>
        <w:pStyle w:val="ListBullet"/>
      </w:pPr>
      <w:r>
        <w:t>a</w:t>
      </w:r>
      <w:r w:rsidR="00557F90">
        <w:t xml:space="preserve">n increased focus on </w:t>
      </w:r>
      <w:r w:rsidR="00C84D14" w:rsidRPr="00836D9A">
        <w:t>service-</w:t>
      </w:r>
      <w:r w:rsidR="00C84D14" w:rsidRPr="0034179E">
        <w:t xml:space="preserve">based industries and higher skilled occupations that </w:t>
      </w:r>
      <w:r w:rsidR="00C84D14">
        <w:t xml:space="preserve">has made </w:t>
      </w:r>
      <w:r w:rsidR="00C84D14" w:rsidRPr="0034179E">
        <w:t xml:space="preserve">education increasingly important, </w:t>
      </w:r>
      <w:r w:rsidR="00C84D14">
        <w:t xml:space="preserve">combined with </w:t>
      </w:r>
      <w:r w:rsidR="00C84D14" w:rsidRPr="0034179E">
        <w:t xml:space="preserve">the </w:t>
      </w:r>
      <w:r w:rsidR="00C84D14">
        <w:t xml:space="preserve">Australian </w:t>
      </w:r>
      <w:r w:rsidR="00C84D14" w:rsidRPr="0034179E">
        <w:t>population becom</w:t>
      </w:r>
      <w:r w:rsidR="00C84D14">
        <w:t>ing</w:t>
      </w:r>
      <w:r w:rsidR="00C84D14" w:rsidRPr="0034179E">
        <w:t xml:space="preserve"> increasingly highly educated</w:t>
      </w:r>
    </w:p>
    <w:p w14:paraId="094609F9" w14:textId="5D8D1630" w:rsidR="00C84D14" w:rsidRPr="0034179E" w:rsidRDefault="003747EB" w:rsidP="00456C86">
      <w:pPr>
        <w:pStyle w:val="ListBullet"/>
      </w:pPr>
      <w:r>
        <w:t>e</w:t>
      </w:r>
      <w:r w:rsidR="00C84D14">
        <w:t>mployers increasingly valuing s</w:t>
      </w:r>
      <w:r w:rsidR="00C84D14" w:rsidRPr="0034179E">
        <w:t>kills such as communication skills, relationship building,</w:t>
      </w:r>
      <w:r w:rsidR="00C84D14">
        <w:t xml:space="preserve"> </w:t>
      </w:r>
      <w:r w:rsidR="00C84D14" w:rsidRPr="0034179E">
        <w:t>teamwork</w:t>
      </w:r>
      <w:r w:rsidR="00C84D14">
        <w:t xml:space="preserve">, </w:t>
      </w:r>
      <w:r w:rsidR="00C84D14" w:rsidRPr="0034179E">
        <w:t>collaboration and planning</w:t>
      </w:r>
      <w:r w:rsidR="00C84D14">
        <w:t xml:space="preserve"> capabilities</w:t>
      </w:r>
      <w:r w:rsidR="00374A7B">
        <w:t xml:space="preserve">, and complex </w:t>
      </w:r>
      <w:r w:rsidR="00557F90">
        <w:t>problem</w:t>
      </w:r>
      <w:r w:rsidR="001873AC">
        <w:t>-</w:t>
      </w:r>
      <w:r w:rsidR="00374A7B">
        <w:t>solving skills</w:t>
      </w:r>
    </w:p>
    <w:p w14:paraId="1D1C42BD" w14:textId="7EFBA562" w:rsidR="00C84D14" w:rsidRPr="0034179E" w:rsidRDefault="003747EB" w:rsidP="00456C86">
      <w:pPr>
        <w:pStyle w:val="ListBullet"/>
      </w:pPr>
      <w:r>
        <w:t>m</w:t>
      </w:r>
      <w:r w:rsidR="00C84D14" w:rsidRPr="0034179E">
        <w:t>ore women and mature</w:t>
      </w:r>
      <w:r w:rsidR="00C54D12">
        <w:t>-</w:t>
      </w:r>
      <w:r w:rsidR="00C84D14" w:rsidRPr="0034179E">
        <w:t>aged people participating in the workforce</w:t>
      </w:r>
    </w:p>
    <w:p w14:paraId="603914F7" w14:textId="372AF3C8" w:rsidR="00C84D14" w:rsidRPr="0034179E" w:rsidRDefault="003747EB" w:rsidP="00456C86">
      <w:pPr>
        <w:pStyle w:val="ListBullet"/>
      </w:pPr>
      <w:r>
        <w:t>a</w:t>
      </w:r>
      <w:r w:rsidR="001873AC">
        <w:t>n increase</w:t>
      </w:r>
      <w:r w:rsidR="00C84D14">
        <w:t xml:space="preserve"> in p</w:t>
      </w:r>
      <w:r w:rsidR="00C84D14" w:rsidRPr="0034179E">
        <w:t>art-time and casual work, a</w:t>
      </w:r>
      <w:r w:rsidR="00C84D14">
        <w:t>nd a rise in</w:t>
      </w:r>
      <w:r w:rsidR="00C84D14" w:rsidRPr="0034179E">
        <w:t xml:space="preserve"> underemployment.</w:t>
      </w:r>
    </w:p>
    <w:p w14:paraId="454DB454" w14:textId="2C691A26" w:rsidR="00C84D14" w:rsidRDefault="00C84D14" w:rsidP="000B7738">
      <w:r>
        <w:t>While benefiting some, in general these labour market trends were likely to</w:t>
      </w:r>
      <w:r w:rsidR="00187628" w:rsidRPr="00187628">
        <w:t xml:space="preserve"> </w:t>
      </w:r>
      <w:r w:rsidR="00187628">
        <w:t>adversely</w:t>
      </w:r>
      <w:r>
        <w:t xml:space="preserve"> impact TtW participants, the majority of whom </w:t>
      </w:r>
      <w:r w:rsidR="004427B2">
        <w:t>we</w:t>
      </w:r>
      <w:r>
        <w:t>re young people who were early school leavers with limited education or training,</w:t>
      </w:r>
      <w:r w:rsidR="00C54D12">
        <w:t xml:space="preserve"> had</w:t>
      </w:r>
      <w:r>
        <w:t xml:space="preserve"> limited work experience and faced other vocational and non-vocational barriers to work.</w:t>
      </w:r>
    </w:p>
    <w:p w14:paraId="514BEB3B" w14:textId="6F441F45" w:rsidR="002010C4" w:rsidRDefault="00C84D14" w:rsidP="002010C4">
      <w:r>
        <w:t xml:space="preserve">A catastrophic bushfire season beginning in December 2019, the COVID-19 pandemic which started in March 2020, and widespread flooding in </w:t>
      </w:r>
      <w:r w:rsidR="009F1529">
        <w:t xml:space="preserve">New South Wales </w:t>
      </w:r>
      <w:r>
        <w:t>in March 2021 had a dramatic, if patchy</w:t>
      </w:r>
      <w:r w:rsidR="00C54D12">
        <w:t>,</w:t>
      </w:r>
      <w:r>
        <w:rPr>
          <w:rStyle w:val="FootnoteReference"/>
        </w:rPr>
        <w:footnoteReference w:id="22"/>
      </w:r>
      <w:r>
        <w:t xml:space="preserve"> impact on the Australian economy and</w:t>
      </w:r>
      <w:r w:rsidR="00C54D12">
        <w:t xml:space="preserve"> on</w:t>
      </w:r>
      <w:r>
        <w:t xml:space="preserve"> individuals and businesses during the period of this analysis (late 2019 to late 2021). Young people were again</w:t>
      </w:r>
      <w:r w:rsidR="004427B2">
        <w:t xml:space="preserve"> those</w:t>
      </w:r>
      <w:r>
        <w:t xml:space="preserve"> most severely affected, with youth employment accounting for around 38% of the total decline in employment over the period (</w:t>
      </w:r>
      <w:r w:rsidRPr="001431BC">
        <w:rPr>
          <w:b/>
          <w:bCs/>
        </w:rPr>
        <w:t>ASC 2021</w:t>
      </w:r>
      <w:r>
        <w:t>). This was likely due to their over-representation in industries that were most severely affected by COVID</w:t>
      </w:r>
      <w:r w:rsidR="00696DBD">
        <w:t>-19</w:t>
      </w:r>
      <w:r>
        <w:t>, as well as being more vulnerable to retrenchment due to often having fewer skills and less experience than older workers (</w:t>
      </w:r>
      <w:r>
        <w:rPr>
          <w:b/>
          <w:bCs/>
        </w:rPr>
        <w:t>ASC</w:t>
      </w:r>
      <w:r w:rsidRPr="00113962">
        <w:rPr>
          <w:b/>
          <w:bCs/>
        </w:rPr>
        <w:t xml:space="preserve"> 2021</w:t>
      </w:r>
      <w:r>
        <w:t>) and many having only casual work.</w:t>
      </w:r>
      <w:r w:rsidR="00380EDE">
        <w:t xml:space="preserve"> The y</w:t>
      </w:r>
      <w:r w:rsidRPr="003F2393">
        <w:t xml:space="preserve">outh unemployment rate </w:t>
      </w:r>
      <w:r>
        <w:t xml:space="preserve">rose to a peak of 16.4% </w:t>
      </w:r>
      <w:r w:rsidRPr="003F2393">
        <w:t xml:space="preserve">in </w:t>
      </w:r>
      <w:r>
        <w:t>July</w:t>
      </w:r>
      <w:r w:rsidRPr="003F2393">
        <w:t xml:space="preserve"> 2020, </w:t>
      </w:r>
      <w:r>
        <w:t xml:space="preserve">falling to 11.7% in March 2021, just below the youth unemployment rate </w:t>
      </w:r>
      <w:r w:rsidR="003B705A">
        <w:t>before</w:t>
      </w:r>
      <w:r>
        <w:t xml:space="preserve"> the pandemic</w:t>
      </w:r>
      <w:r w:rsidR="00380EDE">
        <w:t xml:space="preserve"> </w:t>
      </w:r>
      <w:r>
        <w:t>(</w:t>
      </w:r>
      <w:r w:rsidRPr="001431BC">
        <w:rPr>
          <w:b/>
          <w:bCs/>
        </w:rPr>
        <w:t>ABS 2021</w:t>
      </w:r>
      <w:r>
        <w:t>).</w:t>
      </w:r>
      <w:r w:rsidR="002010C4">
        <w:t xml:space="preserve"> It should also be noted that these shocks had a significant impact on providers</w:t>
      </w:r>
      <w:r w:rsidR="007A4F8E">
        <w:t>,</w:t>
      </w:r>
      <w:r w:rsidR="002010C4">
        <w:t xml:space="preserve"> as their caseloads increased significantly and rapidly.</w:t>
      </w:r>
    </w:p>
    <w:p w14:paraId="775AC408" w14:textId="6AAB06F0" w:rsidR="00380EDE" w:rsidRDefault="00380EDE" w:rsidP="00C84D14">
      <w:pPr>
        <w:spacing w:before="120" w:after="120"/>
      </w:pPr>
      <w:r>
        <w:t>The influence of these macroeconomic trends</w:t>
      </w:r>
      <w:r w:rsidR="00397F0C">
        <w:t xml:space="preserve"> </w:t>
      </w:r>
      <w:r>
        <w:t xml:space="preserve">on participant outcomes, </w:t>
      </w:r>
      <w:r w:rsidR="00397F0C">
        <w:t xml:space="preserve">particularly the impact of COVID-19, </w:t>
      </w:r>
      <w:r>
        <w:t>is very apparent.</w:t>
      </w:r>
    </w:p>
    <w:p w14:paraId="5AE081F2" w14:textId="535219E4" w:rsidR="00C84D14" w:rsidRDefault="00C84D14" w:rsidP="000B7738">
      <w:r w:rsidRPr="001431BC">
        <w:rPr>
          <w:b/>
          <w:bCs/>
        </w:rPr>
        <w:t xml:space="preserve">Appendix </w:t>
      </w:r>
      <w:r w:rsidR="00CF455B">
        <w:rPr>
          <w:b/>
          <w:bCs/>
        </w:rPr>
        <w:t>1</w:t>
      </w:r>
      <w:r w:rsidR="00CF455B">
        <w:t xml:space="preserve"> </w:t>
      </w:r>
      <w:r>
        <w:t>provides more detail regarding the macroeconomic conditions faced by participants during the period of this evaluation</w:t>
      </w:r>
      <w:r w:rsidR="003E5078">
        <w:t>.</w:t>
      </w:r>
    </w:p>
    <w:p w14:paraId="4E71D58A" w14:textId="77777777" w:rsidR="00053E96" w:rsidRDefault="00053E96" w:rsidP="006E41FD">
      <w:pPr>
        <w:pStyle w:val="Heading2"/>
      </w:pPr>
      <w:bookmarkStart w:id="455" w:name="_Toc108539095"/>
      <w:bookmarkStart w:id="456" w:name="_Toc109821857"/>
      <w:bookmarkStart w:id="457" w:name="_Toc109918339"/>
      <w:bookmarkStart w:id="458" w:name="_Toc110249150"/>
      <w:bookmarkStart w:id="459" w:name="_Toc110251191"/>
      <w:bookmarkStart w:id="460" w:name="_Toc110264587"/>
      <w:bookmarkStart w:id="461" w:name="_Toc110410765"/>
      <w:bookmarkStart w:id="462" w:name="_Toc108539096"/>
      <w:bookmarkStart w:id="463" w:name="_Toc109821858"/>
      <w:bookmarkStart w:id="464" w:name="_Toc109918340"/>
      <w:bookmarkStart w:id="465" w:name="_Toc110249151"/>
      <w:bookmarkStart w:id="466" w:name="_Toc110251192"/>
      <w:bookmarkStart w:id="467" w:name="_Toc110264588"/>
      <w:bookmarkStart w:id="468" w:name="_Toc110410766"/>
      <w:bookmarkStart w:id="469" w:name="_Toc108539097"/>
      <w:bookmarkStart w:id="470" w:name="_Toc109821859"/>
      <w:bookmarkStart w:id="471" w:name="_Toc109918341"/>
      <w:bookmarkStart w:id="472" w:name="_Toc110249152"/>
      <w:bookmarkStart w:id="473" w:name="_Toc110251193"/>
      <w:bookmarkStart w:id="474" w:name="_Toc110264589"/>
      <w:bookmarkStart w:id="475" w:name="_Toc110410767"/>
      <w:bookmarkStart w:id="476" w:name="_Toc108539098"/>
      <w:bookmarkStart w:id="477" w:name="_Toc109821860"/>
      <w:bookmarkStart w:id="478" w:name="_Toc109918342"/>
      <w:bookmarkStart w:id="479" w:name="_Toc110249153"/>
      <w:bookmarkStart w:id="480" w:name="_Toc110251194"/>
      <w:bookmarkStart w:id="481" w:name="_Toc110264590"/>
      <w:bookmarkStart w:id="482" w:name="_Toc110410768"/>
      <w:bookmarkStart w:id="483" w:name="_Toc108539099"/>
      <w:bookmarkStart w:id="484" w:name="_Toc109821861"/>
      <w:bookmarkStart w:id="485" w:name="_Toc109918343"/>
      <w:bookmarkStart w:id="486" w:name="_Toc110249154"/>
      <w:bookmarkStart w:id="487" w:name="_Toc110251195"/>
      <w:bookmarkStart w:id="488" w:name="_Toc110264591"/>
      <w:bookmarkStart w:id="489" w:name="_Toc110410769"/>
      <w:bookmarkStart w:id="490" w:name="_Toc108539100"/>
      <w:bookmarkStart w:id="491" w:name="_Toc109821862"/>
      <w:bookmarkStart w:id="492" w:name="_Toc109918344"/>
      <w:bookmarkStart w:id="493" w:name="_Toc110249155"/>
      <w:bookmarkStart w:id="494" w:name="_Toc110251196"/>
      <w:bookmarkStart w:id="495" w:name="_Toc110264592"/>
      <w:bookmarkStart w:id="496" w:name="_Toc110410770"/>
      <w:bookmarkStart w:id="497" w:name="_Toc108539101"/>
      <w:bookmarkStart w:id="498" w:name="_Toc109821863"/>
      <w:bookmarkStart w:id="499" w:name="_Toc109918345"/>
      <w:bookmarkStart w:id="500" w:name="_Toc110249156"/>
      <w:bookmarkStart w:id="501" w:name="_Toc110251197"/>
      <w:bookmarkStart w:id="502" w:name="_Toc110264593"/>
      <w:bookmarkStart w:id="503" w:name="_Toc110410771"/>
      <w:bookmarkStart w:id="504" w:name="_Toc108539102"/>
      <w:bookmarkStart w:id="505" w:name="_Toc109821864"/>
      <w:bookmarkStart w:id="506" w:name="_Toc109918346"/>
      <w:bookmarkStart w:id="507" w:name="_Toc110249157"/>
      <w:bookmarkStart w:id="508" w:name="_Toc110251198"/>
      <w:bookmarkStart w:id="509" w:name="_Toc110264594"/>
      <w:bookmarkStart w:id="510" w:name="_Toc110410772"/>
      <w:bookmarkStart w:id="511" w:name="_Toc108539103"/>
      <w:bookmarkStart w:id="512" w:name="_Toc109821865"/>
      <w:bookmarkStart w:id="513" w:name="_Toc109918347"/>
      <w:bookmarkStart w:id="514" w:name="_Toc110249158"/>
      <w:bookmarkStart w:id="515" w:name="_Toc110251199"/>
      <w:bookmarkStart w:id="516" w:name="_Toc110264595"/>
      <w:bookmarkStart w:id="517" w:name="_Toc110410773"/>
      <w:bookmarkStart w:id="518" w:name="_Toc108539104"/>
      <w:bookmarkStart w:id="519" w:name="_Toc109821866"/>
      <w:bookmarkStart w:id="520" w:name="_Toc109918348"/>
      <w:bookmarkStart w:id="521" w:name="_Toc110249159"/>
      <w:bookmarkStart w:id="522" w:name="_Toc110251200"/>
      <w:bookmarkStart w:id="523" w:name="_Toc110264596"/>
      <w:bookmarkStart w:id="524" w:name="_Toc110410774"/>
      <w:bookmarkStart w:id="525" w:name="_Toc108539105"/>
      <w:bookmarkStart w:id="526" w:name="_Toc109821867"/>
      <w:bookmarkStart w:id="527" w:name="_Toc109918349"/>
      <w:bookmarkStart w:id="528" w:name="_Toc110249160"/>
      <w:bookmarkStart w:id="529" w:name="_Toc110251201"/>
      <w:bookmarkStart w:id="530" w:name="_Toc110264597"/>
      <w:bookmarkStart w:id="531" w:name="_Toc110410775"/>
      <w:bookmarkStart w:id="532" w:name="_Toc108539106"/>
      <w:bookmarkStart w:id="533" w:name="_Toc109821868"/>
      <w:bookmarkStart w:id="534" w:name="_Toc109918350"/>
      <w:bookmarkStart w:id="535" w:name="_Toc110249161"/>
      <w:bookmarkStart w:id="536" w:name="_Toc110251202"/>
      <w:bookmarkStart w:id="537" w:name="_Toc110264598"/>
      <w:bookmarkStart w:id="538" w:name="_Toc110410776"/>
      <w:bookmarkStart w:id="539" w:name="_Toc108539107"/>
      <w:bookmarkStart w:id="540" w:name="_Toc109821869"/>
      <w:bookmarkStart w:id="541" w:name="_Toc109918351"/>
      <w:bookmarkStart w:id="542" w:name="_Toc110249162"/>
      <w:bookmarkStart w:id="543" w:name="_Toc110251203"/>
      <w:bookmarkStart w:id="544" w:name="_Toc110264599"/>
      <w:bookmarkStart w:id="545" w:name="_Toc110410777"/>
      <w:bookmarkStart w:id="546" w:name="_Toc108539108"/>
      <w:bookmarkStart w:id="547" w:name="_Toc109821870"/>
      <w:bookmarkStart w:id="548" w:name="_Toc109918352"/>
      <w:bookmarkStart w:id="549" w:name="_Toc110249163"/>
      <w:bookmarkStart w:id="550" w:name="_Toc110251204"/>
      <w:bookmarkStart w:id="551" w:name="_Toc110264600"/>
      <w:bookmarkStart w:id="552" w:name="_Toc110410778"/>
      <w:bookmarkStart w:id="553" w:name="_Toc108539109"/>
      <w:bookmarkStart w:id="554" w:name="_Toc109821871"/>
      <w:bookmarkStart w:id="555" w:name="_Toc109918353"/>
      <w:bookmarkStart w:id="556" w:name="_Toc110249164"/>
      <w:bookmarkStart w:id="557" w:name="_Toc110251205"/>
      <w:bookmarkStart w:id="558" w:name="_Toc110264601"/>
      <w:bookmarkStart w:id="559" w:name="_Toc110410779"/>
      <w:bookmarkStart w:id="560" w:name="_Toc108539110"/>
      <w:bookmarkStart w:id="561" w:name="_Toc109821872"/>
      <w:bookmarkStart w:id="562" w:name="_Toc109918354"/>
      <w:bookmarkStart w:id="563" w:name="_Toc110249165"/>
      <w:bookmarkStart w:id="564" w:name="_Toc110251206"/>
      <w:bookmarkStart w:id="565" w:name="_Toc110264602"/>
      <w:bookmarkStart w:id="566" w:name="_Toc110410780"/>
      <w:bookmarkStart w:id="567" w:name="_Toc108539111"/>
      <w:bookmarkStart w:id="568" w:name="_Toc109821873"/>
      <w:bookmarkStart w:id="569" w:name="_Toc109918355"/>
      <w:bookmarkStart w:id="570" w:name="_Toc110249166"/>
      <w:bookmarkStart w:id="571" w:name="_Toc110251207"/>
      <w:bookmarkStart w:id="572" w:name="_Toc110264603"/>
      <w:bookmarkStart w:id="573" w:name="_Toc110410781"/>
      <w:bookmarkStart w:id="574" w:name="_Toc108539112"/>
      <w:bookmarkStart w:id="575" w:name="_Toc109821874"/>
      <w:bookmarkStart w:id="576" w:name="_Toc109918356"/>
      <w:bookmarkStart w:id="577" w:name="_Toc110249167"/>
      <w:bookmarkStart w:id="578" w:name="_Toc110251208"/>
      <w:bookmarkStart w:id="579" w:name="_Toc110264604"/>
      <w:bookmarkStart w:id="580" w:name="_Toc110410782"/>
      <w:bookmarkStart w:id="581" w:name="_Toc108539113"/>
      <w:bookmarkStart w:id="582" w:name="_Toc109821875"/>
      <w:bookmarkStart w:id="583" w:name="_Toc109918357"/>
      <w:bookmarkStart w:id="584" w:name="_Toc110249168"/>
      <w:bookmarkStart w:id="585" w:name="_Toc110251209"/>
      <w:bookmarkStart w:id="586" w:name="_Toc110264605"/>
      <w:bookmarkStart w:id="587" w:name="_Toc110410783"/>
      <w:bookmarkStart w:id="588" w:name="_Toc108539114"/>
      <w:bookmarkStart w:id="589" w:name="_Toc109821876"/>
      <w:bookmarkStart w:id="590" w:name="_Toc109918358"/>
      <w:bookmarkStart w:id="591" w:name="_Toc110249169"/>
      <w:bookmarkStart w:id="592" w:name="_Toc110251210"/>
      <w:bookmarkStart w:id="593" w:name="_Toc110264606"/>
      <w:bookmarkStart w:id="594" w:name="_Toc110410784"/>
      <w:bookmarkStart w:id="595" w:name="_Toc108539115"/>
      <w:bookmarkStart w:id="596" w:name="_Toc109821877"/>
      <w:bookmarkStart w:id="597" w:name="_Toc109918359"/>
      <w:bookmarkStart w:id="598" w:name="_Toc110249170"/>
      <w:bookmarkStart w:id="599" w:name="_Toc110251211"/>
      <w:bookmarkStart w:id="600" w:name="_Toc110264607"/>
      <w:bookmarkStart w:id="601" w:name="_Toc110410785"/>
      <w:bookmarkStart w:id="602" w:name="_Toc108539116"/>
      <w:bookmarkStart w:id="603" w:name="_Toc109821878"/>
      <w:bookmarkStart w:id="604" w:name="_Toc109918360"/>
      <w:bookmarkStart w:id="605" w:name="_Toc110249171"/>
      <w:bookmarkStart w:id="606" w:name="_Toc110251212"/>
      <w:bookmarkStart w:id="607" w:name="_Toc110264608"/>
      <w:bookmarkStart w:id="608" w:name="_Toc110410786"/>
      <w:bookmarkStart w:id="609" w:name="_Toc108539117"/>
      <w:bookmarkStart w:id="610" w:name="_Toc109821879"/>
      <w:bookmarkStart w:id="611" w:name="_Toc109918361"/>
      <w:bookmarkStart w:id="612" w:name="_Toc110249172"/>
      <w:bookmarkStart w:id="613" w:name="_Toc110251213"/>
      <w:bookmarkStart w:id="614" w:name="_Toc110264609"/>
      <w:bookmarkStart w:id="615" w:name="_Toc110410787"/>
      <w:bookmarkStart w:id="616" w:name="_Toc108539118"/>
      <w:bookmarkStart w:id="617" w:name="_Toc109821880"/>
      <w:bookmarkStart w:id="618" w:name="_Toc109918362"/>
      <w:bookmarkStart w:id="619" w:name="_Toc110249173"/>
      <w:bookmarkStart w:id="620" w:name="_Toc110251214"/>
      <w:bookmarkStart w:id="621" w:name="_Toc110264610"/>
      <w:bookmarkStart w:id="622" w:name="_Toc110410788"/>
      <w:bookmarkStart w:id="623" w:name="_Toc108539119"/>
      <w:bookmarkStart w:id="624" w:name="_Toc109821881"/>
      <w:bookmarkStart w:id="625" w:name="_Toc109918363"/>
      <w:bookmarkStart w:id="626" w:name="_Toc110249174"/>
      <w:bookmarkStart w:id="627" w:name="_Toc110251215"/>
      <w:bookmarkStart w:id="628" w:name="_Toc110264611"/>
      <w:bookmarkStart w:id="629" w:name="_Toc110410789"/>
      <w:bookmarkStart w:id="630" w:name="_Toc108539120"/>
      <w:bookmarkStart w:id="631" w:name="_Toc109821882"/>
      <w:bookmarkStart w:id="632" w:name="_Toc109918364"/>
      <w:bookmarkStart w:id="633" w:name="_Toc110249175"/>
      <w:bookmarkStart w:id="634" w:name="_Toc110251216"/>
      <w:bookmarkStart w:id="635" w:name="_Toc110264612"/>
      <w:bookmarkStart w:id="636" w:name="_Toc110410790"/>
      <w:bookmarkStart w:id="637" w:name="_Toc108539121"/>
      <w:bookmarkStart w:id="638" w:name="_Toc109821883"/>
      <w:bookmarkStart w:id="639" w:name="_Toc109918365"/>
      <w:bookmarkStart w:id="640" w:name="_Toc110249176"/>
      <w:bookmarkStart w:id="641" w:name="_Toc110251217"/>
      <w:bookmarkStart w:id="642" w:name="_Toc110264613"/>
      <w:bookmarkStart w:id="643" w:name="_Toc110410791"/>
      <w:bookmarkStart w:id="644" w:name="_Toc108539122"/>
      <w:bookmarkStart w:id="645" w:name="_Toc109821884"/>
      <w:bookmarkStart w:id="646" w:name="_Toc109918366"/>
      <w:bookmarkStart w:id="647" w:name="_Toc110249177"/>
      <w:bookmarkStart w:id="648" w:name="_Toc110251218"/>
      <w:bookmarkStart w:id="649" w:name="_Toc110264614"/>
      <w:bookmarkStart w:id="650" w:name="_Toc110410792"/>
      <w:bookmarkStart w:id="651" w:name="_Toc108539123"/>
      <w:bookmarkStart w:id="652" w:name="_Toc109821885"/>
      <w:bookmarkStart w:id="653" w:name="_Toc109918367"/>
      <w:bookmarkStart w:id="654" w:name="_Toc110249178"/>
      <w:bookmarkStart w:id="655" w:name="_Toc110251219"/>
      <w:bookmarkStart w:id="656" w:name="_Toc110264615"/>
      <w:bookmarkStart w:id="657" w:name="_Toc110410793"/>
      <w:bookmarkStart w:id="658" w:name="_Toc108539124"/>
      <w:bookmarkStart w:id="659" w:name="_Toc109821886"/>
      <w:bookmarkStart w:id="660" w:name="_Toc109918368"/>
      <w:bookmarkStart w:id="661" w:name="_Toc110249179"/>
      <w:bookmarkStart w:id="662" w:name="_Toc110251220"/>
      <w:bookmarkStart w:id="663" w:name="_Toc110264616"/>
      <w:bookmarkStart w:id="664" w:name="_Toc110410794"/>
      <w:bookmarkStart w:id="665" w:name="_Toc108539125"/>
      <w:bookmarkStart w:id="666" w:name="_Toc109821887"/>
      <w:bookmarkStart w:id="667" w:name="_Toc109918369"/>
      <w:bookmarkStart w:id="668" w:name="_Toc110249180"/>
      <w:bookmarkStart w:id="669" w:name="_Toc110251221"/>
      <w:bookmarkStart w:id="670" w:name="_Toc110264617"/>
      <w:bookmarkStart w:id="671" w:name="_Toc110410795"/>
      <w:bookmarkStart w:id="672" w:name="_Toc108539126"/>
      <w:bookmarkStart w:id="673" w:name="_Toc109821888"/>
      <w:bookmarkStart w:id="674" w:name="_Toc109918370"/>
      <w:bookmarkStart w:id="675" w:name="_Toc110249181"/>
      <w:bookmarkStart w:id="676" w:name="_Toc110251222"/>
      <w:bookmarkStart w:id="677" w:name="_Toc110264618"/>
      <w:bookmarkStart w:id="678" w:name="_Toc110410796"/>
      <w:bookmarkStart w:id="679" w:name="_Toc108539127"/>
      <w:bookmarkStart w:id="680" w:name="_Toc109821889"/>
      <w:bookmarkStart w:id="681" w:name="_Toc109918371"/>
      <w:bookmarkStart w:id="682" w:name="_Toc110249182"/>
      <w:bookmarkStart w:id="683" w:name="_Toc110251223"/>
      <w:bookmarkStart w:id="684" w:name="_Toc110264619"/>
      <w:bookmarkStart w:id="685" w:name="_Toc110410797"/>
      <w:bookmarkStart w:id="686" w:name="_Toc108539128"/>
      <w:bookmarkStart w:id="687" w:name="_Toc109821890"/>
      <w:bookmarkStart w:id="688" w:name="_Toc109918372"/>
      <w:bookmarkStart w:id="689" w:name="_Toc110249183"/>
      <w:bookmarkStart w:id="690" w:name="_Toc110251224"/>
      <w:bookmarkStart w:id="691" w:name="_Toc110264620"/>
      <w:bookmarkStart w:id="692" w:name="_Toc110410798"/>
      <w:bookmarkStart w:id="693" w:name="_Toc132650439"/>
      <w:bookmarkStart w:id="694" w:name="_Toc146033471"/>
      <w:bookmarkStart w:id="695" w:name="_Toc106711807"/>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lastRenderedPageBreak/>
        <w:t>Policy and program context</w:t>
      </w:r>
      <w:bookmarkEnd w:id="693"/>
      <w:bookmarkEnd w:id="694"/>
    </w:p>
    <w:p w14:paraId="0019DF03" w14:textId="1704AB26" w:rsidR="00053E96" w:rsidRDefault="00380EDE" w:rsidP="00053E96">
      <w:r>
        <w:t>Historically y</w:t>
      </w:r>
      <w:r w:rsidR="00053E96">
        <w:t xml:space="preserve">oung people </w:t>
      </w:r>
      <w:r w:rsidR="00646D6A">
        <w:t xml:space="preserve">have </w:t>
      </w:r>
      <w:r w:rsidR="00053E96">
        <w:t>experience</w:t>
      </w:r>
      <w:r w:rsidR="00646D6A">
        <w:t>d</w:t>
      </w:r>
      <w:r w:rsidR="00053E96">
        <w:t xml:space="preserve"> higher </w:t>
      </w:r>
      <w:r w:rsidR="004427B2">
        <w:t xml:space="preserve">levels of </w:t>
      </w:r>
      <w:r w:rsidR="00053E96">
        <w:t>unemployment than the Australian population as a whole</w:t>
      </w:r>
      <w:r>
        <w:t xml:space="preserve">. </w:t>
      </w:r>
      <w:r w:rsidR="00053E96">
        <w:t>In response</w:t>
      </w:r>
      <w:r>
        <w:t xml:space="preserve"> to growing fears that young people would continue to fall behind</w:t>
      </w:r>
      <w:r w:rsidR="00053E96">
        <w:t xml:space="preserve">, the then </w:t>
      </w:r>
      <w:r w:rsidR="00C54D12">
        <w:t xml:space="preserve">Australian </w:t>
      </w:r>
      <w:r w:rsidR="00053E96">
        <w:t xml:space="preserve">Government introduced a $331.2 million </w:t>
      </w:r>
      <w:r w:rsidR="00053E96" w:rsidRPr="00C239FD">
        <w:t>Youth Employment Strategy</w:t>
      </w:r>
      <w:r w:rsidR="00053E96">
        <w:t xml:space="preserve"> in the 2015</w:t>
      </w:r>
      <w:r w:rsidR="00D21C39">
        <w:t>–</w:t>
      </w:r>
      <w:r w:rsidR="00053E96">
        <w:t xml:space="preserve">16 </w:t>
      </w:r>
      <w:r w:rsidR="00053E96" w:rsidRPr="009F1529">
        <w:t>Budget</w:t>
      </w:r>
      <w:r w:rsidR="00053E96">
        <w:t xml:space="preserve"> (</w:t>
      </w:r>
      <w:r w:rsidR="00053E96" w:rsidRPr="001431BC">
        <w:rPr>
          <w:b/>
          <w:bCs/>
        </w:rPr>
        <w:t>APH 2016</w:t>
      </w:r>
      <w:r w:rsidR="00053E96">
        <w:t xml:space="preserve">). The </w:t>
      </w:r>
      <w:r w:rsidR="00C54D12">
        <w:t>s</w:t>
      </w:r>
      <w:r w:rsidR="00053E96">
        <w:t>trategy aimed to increase young people</w:t>
      </w:r>
      <w:r w:rsidR="00F8391B">
        <w:t>’</w:t>
      </w:r>
      <w:r w:rsidR="00053E96">
        <w:t xml:space="preserve">s participation in education, training and employment and to reduce the likelihood of young people becoming </w:t>
      </w:r>
      <w:r w:rsidR="006150C6">
        <w:t>long-term</w:t>
      </w:r>
      <w:r w:rsidR="00053E96">
        <w:t xml:space="preserve"> unemployed. The TtW service, an integral component of the </w:t>
      </w:r>
      <w:r w:rsidR="00053E96" w:rsidRPr="00C239FD">
        <w:t>Youth Employment Strategy</w:t>
      </w:r>
      <w:r w:rsidR="00053E96">
        <w:t xml:space="preserve">, </w:t>
      </w:r>
      <w:r w:rsidR="00053E96" w:rsidRPr="0078185B">
        <w:t>commenced in 2016</w:t>
      </w:r>
      <w:r w:rsidR="00053E96">
        <w:t xml:space="preserve">, with a focus on young people considered most at risk of </w:t>
      </w:r>
      <w:r w:rsidR="004427B2">
        <w:t>long-term</w:t>
      </w:r>
      <w:r w:rsidR="00053E96">
        <w:t xml:space="preserve"> unemployment because they ha</w:t>
      </w:r>
      <w:r w:rsidR="00646D6A">
        <w:t>d</w:t>
      </w:r>
      <w:r w:rsidR="00053E96">
        <w:t xml:space="preserve"> left school early or </w:t>
      </w:r>
      <w:r w:rsidR="00646D6A">
        <w:t>we</w:t>
      </w:r>
      <w:r w:rsidR="00053E96">
        <w:t>re having difficulties entering the labour market. TtW</w:t>
      </w:r>
      <w:r w:rsidR="00646D6A">
        <w:t xml:space="preserve"> providers were </w:t>
      </w:r>
      <w:r w:rsidR="00053E96" w:rsidRPr="0078185B">
        <w:t>originally contracted until 2020</w:t>
      </w:r>
      <w:r w:rsidR="00C54D12">
        <w:t>;</w:t>
      </w:r>
      <w:r w:rsidR="00053E96" w:rsidRPr="0078185B">
        <w:t xml:space="preserve"> </w:t>
      </w:r>
      <w:r w:rsidR="00646D6A">
        <w:t>however</w:t>
      </w:r>
      <w:r w:rsidR="00C54D12">
        <w:t>,</w:t>
      </w:r>
      <w:r w:rsidR="00646D6A">
        <w:t xml:space="preserve"> their contracts were</w:t>
      </w:r>
      <w:r w:rsidR="00053E96" w:rsidRPr="0078185B">
        <w:t xml:space="preserve"> extended </w:t>
      </w:r>
      <w:r w:rsidR="00053E96">
        <w:t>to 30</w:t>
      </w:r>
      <w:r w:rsidR="00053E96" w:rsidRPr="0078185B">
        <w:t xml:space="preserve"> June 2022</w:t>
      </w:r>
      <w:r w:rsidR="00C54D12">
        <w:t>.</w:t>
      </w:r>
      <w:r w:rsidR="002E060D">
        <w:rPr>
          <w:rStyle w:val="FootnoteReference"/>
        </w:rPr>
        <w:footnoteReference w:id="23"/>
      </w:r>
    </w:p>
    <w:p w14:paraId="7B8D1B53" w14:textId="7E701340" w:rsidR="00053E96" w:rsidRDefault="00053E96" w:rsidP="00053E96">
      <w:r>
        <w:t>In addition, a Youth Employment Package was introduced in the 2016</w:t>
      </w:r>
      <w:r w:rsidR="005D2044">
        <w:t>–</w:t>
      </w:r>
      <w:r>
        <w:t>17 Budget that included Youth Jobs PaTH (Prepare-Trial-Hire)</w:t>
      </w:r>
      <w:r w:rsidR="00646D6A">
        <w:rPr>
          <w:rStyle w:val="FootnoteReference"/>
        </w:rPr>
        <w:footnoteReference w:id="24"/>
      </w:r>
      <w:r>
        <w:t xml:space="preserve"> and measures to encourage young people to start a business and create their own job. TtW participants were eligible for the Trial and Hire components of Youth Jobs PaTH, as well as access to the Youth Bonus Wage Subsidy.</w:t>
      </w:r>
    </w:p>
    <w:p w14:paraId="6F5E49EB" w14:textId="60C53CEF" w:rsidR="00053E96" w:rsidRPr="00202E74" w:rsidRDefault="00053E96" w:rsidP="00053E96">
      <w:r>
        <w:t>While the TtW program target</w:t>
      </w:r>
      <w:r w:rsidR="004427B2">
        <w:t>ed</w:t>
      </w:r>
      <w:r>
        <w:t xml:space="preserve"> support to all disadvantaged young people who met </w:t>
      </w:r>
      <w:r w:rsidR="00E50154">
        <w:t>certain</w:t>
      </w:r>
      <w:r>
        <w:t xml:space="preserve"> eligibility criteria, under the Closing the Gap Agreement changes were made to the TtW program in the 2016</w:t>
      </w:r>
      <w:r w:rsidR="00E71626">
        <w:t>–</w:t>
      </w:r>
      <w:r>
        <w:t xml:space="preserve">17 Budget to </w:t>
      </w:r>
      <w:r w:rsidRPr="00202E74">
        <w:t>enable more Aboriginal and Torres Strait Islander young people to participate</w:t>
      </w:r>
      <w:r w:rsidR="00E36945">
        <w:t>.</w:t>
      </w:r>
      <w:r w:rsidRPr="00202E74">
        <w:rPr>
          <w:rStyle w:val="FootnoteReference"/>
        </w:rPr>
        <w:footnoteReference w:id="25"/>
      </w:r>
    </w:p>
    <w:p w14:paraId="0F46B349" w14:textId="50737773" w:rsidR="00053E96" w:rsidRPr="00202E74" w:rsidRDefault="00053E96" w:rsidP="009251AF">
      <w:pPr>
        <w:spacing w:after="0"/>
      </w:pPr>
      <w:r w:rsidRPr="00202E74">
        <w:t xml:space="preserve">Successive </w:t>
      </w:r>
      <w:r w:rsidR="00E50154" w:rsidRPr="009F1529">
        <w:t xml:space="preserve">Federal </w:t>
      </w:r>
      <w:r w:rsidRPr="009F1529">
        <w:t>Budgets</w:t>
      </w:r>
      <w:r w:rsidRPr="00202E74">
        <w:t xml:space="preserve"> have made further changes to strengthen TtW, including:</w:t>
      </w:r>
    </w:p>
    <w:p w14:paraId="2658B530" w14:textId="29268A47" w:rsidR="00053E96" w:rsidRPr="00585E8B" w:rsidRDefault="00053E96" w:rsidP="00456C86">
      <w:pPr>
        <w:pStyle w:val="ListBullet"/>
      </w:pPr>
      <w:r w:rsidRPr="00585E8B">
        <w:t>In the 2018</w:t>
      </w:r>
      <w:r w:rsidR="005D2044">
        <w:t>–</w:t>
      </w:r>
      <w:r w:rsidRPr="00585E8B">
        <w:t xml:space="preserve">19 Budget, funding for </w:t>
      </w:r>
      <w:r w:rsidR="00710EFD">
        <w:t>TtW</w:t>
      </w:r>
      <w:r w:rsidRPr="00585E8B">
        <w:t xml:space="preserve"> moved from a capped funding model to a more flexible demand</w:t>
      </w:r>
      <w:r w:rsidR="00E36945">
        <w:t>-</w:t>
      </w:r>
      <w:r w:rsidRPr="00585E8B">
        <w:t>driven funding model, giving the service greater flexibility to respond to demand (effective from 1 January 2018).</w:t>
      </w:r>
    </w:p>
    <w:p w14:paraId="342BB8B9" w14:textId="4693857B" w:rsidR="00053E96" w:rsidRPr="00585E8B" w:rsidRDefault="00053E96" w:rsidP="00456C86">
      <w:pPr>
        <w:pStyle w:val="ListBullet"/>
      </w:pPr>
      <w:r w:rsidRPr="00585E8B">
        <w:t>As part of the 2019</w:t>
      </w:r>
      <w:r w:rsidR="005D2044" w:rsidRPr="005D2044">
        <w:t>–</w:t>
      </w:r>
      <w:r w:rsidRPr="00585E8B">
        <w:t>20 Budget</w:t>
      </w:r>
      <w:r w:rsidR="00E1008F">
        <w:t>,</w:t>
      </w:r>
      <w:r w:rsidRPr="00585E8B">
        <w:t xml:space="preserve"> eligibility for </w:t>
      </w:r>
      <w:r w:rsidR="00710EFD">
        <w:t>TtW</w:t>
      </w:r>
      <w:r w:rsidRPr="00585E8B">
        <w:t xml:space="preserve"> was expanded from young people aged 15</w:t>
      </w:r>
      <w:r w:rsidR="00E36945">
        <w:t>–</w:t>
      </w:r>
      <w:r w:rsidRPr="00585E8B">
        <w:t>21 to those aged 15</w:t>
      </w:r>
      <w:r w:rsidR="00E36945">
        <w:t>–</w:t>
      </w:r>
      <w:r w:rsidRPr="00585E8B">
        <w:t>24 (effective from 1 January 2020).</w:t>
      </w:r>
    </w:p>
    <w:p w14:paraId="0C5A5339" w14:textId="74B0B3CB" w:rsidR="00053E96" w:rsidRPr="00585E8B" w:rsidRDefault="00053E96" w:rsidP="00456C86">
      <w:pPr>
        <w:pStyle w:val="ListBullet"/>
      </w:pPr>
      <w:r w:rsidRPr="00585E8B">
        <w:t>As part of the 2019</w:t>
      </w:r>
      <w:r w:rsidR="005D2044" w:rsidRPr="005D2044">
        <w:t>–</w:t>
      </w:r>
      <w:r w:rsidRPr="00585E8B">
        <w:t xml:space="preserve">20 </w:t>
      </w:r>
      <w:r w:rsidR="00E91D08">
        <w:t>Mid-Year Economic and Fiscal Outlook</w:t>
      </w:r>
      <w:r w:rsidRPr="00585E8B">
        <w:t xml:space="preserve">, the </w:t>
      </w:r>
      <w:r w:rsidR="00E36945">
        <w:t>g</w:t>
      </w:r>
      <w:r w:rsidRPr="00585E8B">
        <w:t xml:space="preserve">overnment invested $12.5 million over </w:t>
      </w:r>
      <w:r w:rsidR="00F8391B">
        <w:t>4</w:t>
      </w:r>
      <w:r w:rsidRPr="00585E8B">
        <w:t xml:space="preserve"> years to extend the maximum time a participant c</w:t>
      </w:r>
      <w:r w:rsidR="004427B2">
        <w:t>ould</w:t>
      </w:r>
      <w:r w:rsidRPr="00585E8B">
        <w:t xml:space="preserve"> spend in TtW from 12 months to 18 months, from 1 July 2020.</w:t>
      </w:r>
    </w:p>
    <w:p w14:paraId="00376629" w14:textId="2474A8A9" w:rsidR="00053E96" w:rsidRPr="00585E8B" w:rsidRDefault="00053E96" w:rsidP="00456C86">
      <w:pPr>
        <w:pStyle w:val="ListBullet"/>
      </w:pPr>
      <w:r w:rsidRPr="00585E8B">
        <w:t>As part of the 2020</w:t>
      </w:r>
      <w:r w:rsidR="008008BD" w:rsidRPr="008008BD">
        <w:t>–</w:t>
      </w:r>
      <w:r w:rsidRPr="00585E8B">
        <w:t xml:space="preserve">21 Budget the </w:t>
      </w:r>
      <w:r w:rsidR="00E36945">
        <w:t>g</w:t>
      </w:r>
      <w:r w:rsidRPr="00585E8B">
        <w:t xml:space="preserve">overnment reduced the waiting period for disengaged early school leavers not in receipt of income support, helping them access TtW more quickly. The </w:t>
      </w:r>
      <w:r w:rsidR="00E36945">
        <w:t>g</w:t>
      </w:r>
      <w:r w:rsidRPr="00585E8B">
        <w:t xml:space="preserve">overnment also invested in Youth Advisory Sessions which provide young people receiving Online Employment Services access to advisory sessions with a </w:t>
      </w:r>
      <w:r w:rsidR="00710EFD">
        <w:t>TtW</w:t>
      </w:r>
      <w:r w:rsidRPr="00585E8B">
        <w:t xml:space="preserve"> provider.</w:t>
      </w:r>
    </w:p>
    <w:p w14:paraId="6856EC10" w14:textId="54812851" w:rsidR="00AA6A6B" w:rsidRPr="00EE791E" w:rsidRDefault="00053E96">
      <w:pPr>
        <w:rPr>
          <w:rFonts w:eastAsiaTheme="minorEastAsia" w:cstheme="minorHAnsi"/>
        </w:rPr>
      </w:pPr>
      <w:r>
        <w:rPr>
          <w:rFonts w:eastAsiaTheme="minorEastAsia" w:cstheme="minorHAnsi"/>
        </w:rPr>
        <w:lastRenderedPageBreak/>
        <w:t xml:space="preserve">Following the COVID-19 outbreak in mid-2020, there was strong evidence that youth </w:t>
      </w:r>
      <w:r w:rsidR="00BE4508">
        <w:rPr>
          <w:rFonts w:eastAsiaTheme="minorEastAsia" w:cstheme="minorHAnsi"/>
        </w:rPr>
        <w:t>were</w:t>
      </w:r>
      <w:r w:rsidR="004427B2">
        <w:rPr>
          <w:rFonts w:eastAsiaTheme="minorEastAsia" w:cstheme="minorHAnsi"/>
        </w:rPr>
        <w:t xml:space="preserve"> </w:t>
      </w:r>
      <w:r w:rsidR="00A97C60">
        <w:rPr>
          <w:rFonts w:eastAsiaTheme="minorEastAsia" w:cstheme="minorHAnsi"/>
        </w:rPr>
        <w:t xml:space="preserve">again </w:t>
      </w:r>
      <w:r>
        <w:rPr>
          <w:rFonts w:eastAsiaTheme="minorEastAsia" w:cstheme="minorHAnsi"/>
        </w:rPr>
        <w:t>disproportionately represented in the unemployed</w:t>
      </w:r>
      <w:r w:rsidR="00A97C60">
        <w:rPr>
          <w:rFonts w:eastAsiaTheme="minorEastAsia" w:cstheme="minorHAnsi"/>
        </w:rPr>
        <w:t>.</w:t>
      </w:r>
      <w:r>
        <w:rPr>
          <w:rFonts w:eastAsiaTheme="minorEastAsia" w:cstheme="minorHAnsi"/>
        </w:rPr>
        <w:t xml:space="preserve"> </w:t>
      </w:r>
      <w:r w:rsidRPr="00202E74">
        <w:rPr>
          <w:rFonts w:eastAsiaTheme="minorEastAsia" w:cstheme="minorHAnsi"/>
        </w:rPr>
        <w:t xml:space="preserve">The 2021–22 Budget included an increased investment of $481.2 million in </w:t>
      </w:r>
      <w:r w:rsidR="00710EFD">
        <w:rPr>
          <w:rFonts w:eastAsiaTheme="minorEastAsia" w:cstheme="minorHAnsi"/>
        </w:rPr>
        <w:t>TtW</w:t>
      </w:r>
      <w:r w:rsidRPr="00202E74">
        <w:rPr>
          <w:rFonts w:eastAsiaTheme="minorEastAsia" w:cstheme="minorHAnsi"/>
        </w:rPr>
        <w:t xml:space="preserve"> over </w:t>
      </w:r>
      <w:r w:rsidR="00F8391B">
        <w:rPr>
          <w:rFonts w:eastAsiaTheme="minorEastAsia" w:cstheme="minorHAnsi"/>
        </w:rPr>
        <w:t>4</w:t>
      </w:r>
      <w:r w:rsidRPr="00202E74">
        <w:rPr>
          <w:rFonts w:eastAsiaTheme="minorEastAsia" w:cstheme="minorHAnsi"/>
        </w:rPr>
        <w:t xml:space="preserve"> years from 2021</w:t>
      </w:r>
      <w:r w:rsidR="008008BD" w:rsidRPr="008008BD">
        <w:rPr>
          <w:rFonts w:eastAsiaTheme="minorEastAsia" w:cstheme="minorHAnsi"/>
        </w:rPr>
        <w:t>–</w:t>
      </w:r>
      <w:r w:rsidRPr="00601FB3">
        <w:rPr>
          <w:rFonts w:eastAsiaTheme="minorEastAsia" w:cstheme="minorHAnsi"/>
        </w:rPr>
        <w:t xml:space="preserve">22. This </w:t>
      </w:r>
      <w:r>
        <w:rPr>
          <w:rFonts w:eastAsiaTheme="minorEastAsia" w:cstheme="minorHAnsi"/>
        </w:rPr>
        <w:t>br</w:t>
      </w:r>
      <w:r w:rsidR="00380EDE">
        <w:rPr>
          <w:rFonts w:eastAsiaTheme="minorEastAsia" w:cstheme="minorHAnsi"/>
        </w:rPr>
        <w:t>ought</w:t>
      </w:r>
      <w:r w:rsidRPr="00601FB3">
        <w:rPr>
          <w:rFonts w:eastAsiaTheme="minorEastAsia" w:cstheme="minorHAnsi"/>
        </w:rPr>
        <w:t xml:space="preserve"> the total </w:t>
      </w:r>
      <w:r w:rsidR="00E36945">
        <w:rPr>
          <w:rFonts w:eastAsiaTheme="minorEastAsia" w:cstheme="minorHAnsi"/>
        </w:rPr>
        <w:t>g</w:t>
      </w:r>
      <w:r w:rsidRPr="00601FB3">
        <w:rPr>
          <w:rFonts w:eastAsiaTheme="minorEastAsia" w:cstheme="minorHAnsi"/>
        </w:rPr>
        <w:t xml:space="preserve">overnment investment in </w:t>
      </w:r>
      <w:r w:rsidR="00710EFD">
        <w:rPr>
          <w:rFonts w:eastAsiaTheme="minorEastAsia" w:cstheme="minorHAnsi"/>
        </w:rPr>
        <w:t>TtW</w:t>
      </w:r>
      <w:r w:rsidRPr="00601FB3">
        <w:rPr>
          <w:rFonts w:eastAsiaTheme="minorEastAsia" w:cstheme="minorHAnsi"/>
        </w:rPr>
        <w:t xml:space="preserve"> to $1.2 billion over the forward estimates. The </w:t>
      </w:r>
      <w:r>
        <w:rPr>
          <w:rFonts w:eastAsiaTheme="minorEastAsia" w:cstheme="minorHAnsi"/>
        </w:rPr>
        <w:t>2021</w:t>
      </w:r>
      <w:r w:rsidR="008008BD" w:rsidRPr="008008BD">
        <w:rPr>
          <w:rFonts w:eastAsiaTheme="minorEastAsia" w:cstheme="minorHAnsi"/>
        </w:rPr>
        <w:t>–</w:t>
      </w:r>
      <w:r>
        <w:rPr>
          <w:rFonts w:eastAsiaTheme="minorEastAsia" w:cstheme="minorHAnsi"/>
        </w:rPr>
        <w:t xml:space="preserve">22 </w:t>
      </w:r>
      <w:r w:rsidRPr="00601FB3">
        <w:rPr>
          <w:rFonts w:eastAsiaTheme="minorEastAsia" w:cstheme="minorHAnsi"/>
        </w:rPr>
        <w:t>Budget also includ</w:t>
      </w:r>
      <w:r w:rsidR="00380EDE">
        <w:rPr>
          <w:rFonts w:eastAsiaTheme="minorEastAsia" w:cstheme="minorHAnsi"/>
        </w:rPr>
        <w:t>ed</w:t>
      </w:r>
      <w:r w:rsidRPr="00601FB3">
        <w:rPr>
          <w:rFonts w:eastAsiaTheme="minorEastAsia" w:cstheme="minorHAnsi"/>
        </w:rPr>
        <w:t xml:space="preserve"> measures to strengthen the </w:t>
      </w:r>
      <w:r w:rsidR="00710EFD">
        <w:rPr>
          <w:rFonts w:eastAsiaTheme="minorEastAsia" w:cstheme="minorHAnsi"/>
        </w:rPr>
        <w:t>TtW</w:t>
      </w:r>
      <w:r w:rsidRPr="00601FB3">
        <w:rPr>
          <w:rFonts w:eastAsiaTheme="minorEastAsia" w:cstheme="minorHAnsi"/>
        </w:rPr>
        <w:t xml:space="preserve"> service</w:t>
      </w:r>
      <w:r w:rsidR="002010C4">
        <w:rPr>
          <w:rFonts w:eastAsiaTheme="minorEastAsia" w:cstheme="minorHAnsi"/>
        </w:rPr>
        <w:t>, making it</w:t>
      </w:r>
      <w:r w:rsidRPr="00601FB3">
        <w:rPr>
          <w:rFonts w:eastAsiaTheme="minorEastAsia" w:cstheme="minorHAnsi"/>
        </w:rPr>
        <w:t xml:space="preserve"> the sole youth </w:t>
      </w:r>
      <w:r w:rsidR="004427B2">
        <w:rPr>
          <w:rFonts w:eastAsiaTheme="minorEastAsia" w:cstheme="minorHAnsi"/>
        </w:rPr>
        <w:t>s</w:t>
      </w:r>
      <w:r w:rsidRPr="00601FB3">
        <w:rPr>
          <w:rFonts w:eastAsiaTheme="minorEastAsia" w:cstheme="minorHAnsi"/>
        </w:rPr>
        <w:t>pecialist service i</w:t>
      </w:r>
      <w:r w:rsidR="00E50154">
        <w:rPr>
          <w:rFonts w:eastAsiaTheme="minorEastAsia" w:cstheme="minorHAnsi"/>
        </w:rPr>
        <w:t xml:space="preserve">n </w:t>
      </w:r>
      <w:r>
        <w:rPr>
          <w:rFonts w:eastAsiaTheme="minorEastAsia" w:cstheme="minorHAnsi"/>
        </w:rPr>
        <w:t>Workforce Australia</w:t>
      </w:r>
      <w:r w:rsidR="00E50154">
        <w:rPr>
          <w:rFonts w:eastAsiaTheme="minorEastAsia" w:cstheme="minorHAnsi"/>
        </w:rPr>
        <w:t>, the new employment service</w:t>
      </w:r>
      <w:r w:rsidR="00E36945">
        <w:rPr>
          <w:rFonts w:eastAsiaTheme="minorEastAsia" w:cstheme="minorHAnsi"/>
        </w:rPr>
        <w:t>s</w:t>
      </w:r>
      <w:r w:rsidR="00E50154">
        <w:rPr>
          <w:rFonts w:eastAsiaTheme="minorEastAsia" w:cstheme="minorHAnsi"/>
        </w:rPr>
        <w:t xml:space="preserve"> model </w:t>
      </w:r>
      <w:r w:rsidR="002010C4">
        <w:rPr>
          <w:rFonts w:eastAsiaTheme="minorEastAsia" w:cstheme="minorHAnsi"/>
        </w:rPr>
        <w:t>which replaced</w:t>
      </w:r>
      <w:r w:rsidR="00E50154">
        <w:rPr>
          <w:rFonts w:eastAsiaTheme="minorEastAsia" w:cstheme="minorHAnsi"/>
        </w:rPr>
        <w:t xml:space="preserve"> jobactive on 1 July 2022</w:t>
      </w:r>
      <w:r>
        <w:rPr>
          <w:rFonts w:eastAsiaTheme="minorEastAsia" w:cstheme="minorHAnsi"/>
        </w:rPr>
        <w:t xml:space="preserve"> (</w:t>
      </w:r>
      <w:r w:rsidRPr="00113962">
        <w:rPr>
          <w:rFonts w:eastAsiaTheme="minorEastAsia" w:cstheme="minorHAnsi"/>
          <w:b/>
          <w:bCs/>
        </w:rPr>
        <w:t>DESE</w:t>
      </w:r>
      <w:r w:rsidR="00E36945">
        <w:rPr>
          <w:rFonts w:eastAsiaTheme="minorEastAsia" w:cstheme="minorHAnsi"/>
          <w:b/>
          <w:bCs/>
        </w:rPr>
        <w:t> </w:t>
      </w:r>
      <w:r w:rsidRPr="00113962">
        <w:rPr>
          <w:rFonts w:eastAsiaTheme="minorEastAsia" w:cstheme="minorHAnsi"/>
          <w:b/>
          <w:bCs/>
        </w:rPr>
        <w:t>2021b</w:t>
      </w:r>
      <w:r>
        <w:rPr>
          <w:rFonts w:eastAsiaTheme="minorEastAsia" w:cstheme="minorHAnsi"/>
        </w:rPr>
        <w:t>).</w:t>
      </w:r>
    </w:p>
    <w:p w14:paraId="307363C2" w14:textId="4B092CC5" w:rsidR="000F6737" w:rsidRDefault="003470B8" w:rsidP="006E41FD">
      <w:pPr>
        <w:pStyle w:val="Heading2"/>
      </w:pPr>
      <w:bookmarkStart w:id="696" w:name="_Toc110264622"/>
      <w:bookmarkStart w:id="697" w:name="_Toc110410800"/>
      <w:bookmarkStart w:id="698" w:name="_Toc108539132"/>
      <w:bookmarkStart w:id="699" w:name="_Toc110264623"/>
      <w:bookmarkStart w:id="700" w:name="_Toc110410801"/>
      <w:bookmarkStart w:id="701" w:name="_Ref132641283"/>
      <w:bookmarkStart w:id="702" w:name="_Ref132641352"/>
      <w:bookmarkStart w:id="703" w:name="_Ref132641356"/>
      <w:bookmarkStart w:id="704" w:name="_Ref132641361"/>
      <w:bookmarkStart w:id="705" w:name="_Toc132650440"/>
      <w:bookmarkStart w:id="706" w:name="_Toc146033472"/>
      <w:bookmarkEnd w:id="696"/>
      <w:bookmarkEnd w:id="697"/>
      <w:bookmarkEnd w:id="698"/>
      <w:bookmarkEnd w:id="699"/>
      <w:bookmarkEnd w:id="700"/>
      <w:r>
        <w:t>Yo</w:t>
      </w:r>
      <w:r w:rsidRPr="003470B8">
        <w:t xml:space="preserve">uth transitioning from education to work: Australian and international </w:t>
      </w:r>
      <w:r>
        <w:t>research</w:t>
      </w:r>
      <w:bookmarkEnd w:id="701"/>
      <w:bookmarkEnd w:id="702"/>
      <w:bookmarkEnd w:id="703"/>
      <w:bookmarkEnd w:id="704"/>
      <w:bookmarkEnd w:id="705"/>
      <w:bookmarkEnd w:id="706"/>
    </w:p>
    <w:p w14:paraId="7D08911D" w14:textId="582B5ECA" w:rsidR="003F32F8" w:rsidRPr="001431BC" w:rsidRDefault="003F32F8" w:rsidP="003F32F8">
      <w:r w:rsidRPr="001431BC">
        <w:t>Moving from education to work is a key phase in young people</w:t>
      </w:r>
      <w:r w:rsidR="00F8391B">
        <w:t>’</w:t>
      </w:r>
      <w:r w:rsidRPr="001431BC">
        <w:t xml:space="preserve">s lives </w:t>
      </w:r>
      <w:r w:rsidR="003769AF">
        <w:t xml:space="preserve">and </w:t>
      </w:r>
      <w:r w:rsidR="002572A6">
        <w:t>happens</w:t>
      </w:r>
      <w:r w:rsidRPr="001431BC">
        <w:t xml:space="preserve"> when </w:t>
      </w:r>
      <w:r w:rsidR="004427B2">
        <w:t>they</w:t>
      </w:r>
      <w:r w:rsidRPr="001431BC">
        <w:t xml:space="preserve"> are experiencing rapid physical, biological and psychological changes, as well as changes in their social and economic circumstances, as they move into adulthood (</w:t>
      </w:r>
      <w:r w:rsidRPr="001431BC">
        <w:rPr>
          <w:b/>
        </w:rPr>
        <w:t>Lui and Nguyen 2011</w:t>
      </w:r>
      <w:r w:rsidRPr="001431BC">
        <w:t>). A young person</w:t>
      </w:r>
      <w:r w:rsidR="00F8391B">
        <w:t>’</w:t>
      </w:r>
      <w:r w:rsidRPr="001431BC">
        <w:t>s experience during this time can influence their work choices and opportunities for a productive future working life, and their mental health and general wellbeing (</w:t>
      </w:r>
      <w:r w:rsidRPr="001431BC">
        <w:rPr>
          <w:b/>
        </w:rPr>
        <w:t>Maneen and Milner 2019, Dietrich et al 2021</w:t>
      </w:r>
      <w:r w:rsidRPr="00C84D14">
        <w:t>)</w:t>
      </w:r>
      <w:r w:rsidRPr="001431BC">
        <w:t>. While a young person</w:t>
      </w:r>
      <w:r w:rsidR="00F8391B">
        <w:t>’</w:t>
      </w:r>
      <w:r w:rsidRPr="001431BC">
        <w:t xml:space="preserve">s skills, knowledge, experience and attitude can influence the success of the transition from school to work, broader family, community, societal and economic factors </w:t>
      </w:r>
      <w:r w:rsidR="004427B2">
        <w:t xml:space="preserve">can </w:t>
      </w:r>
      <w:r w:rsidRPr="001431BC">
        <w:t>also influence the transition to independence</w:t>
      </w:r>
      <w:r w:rsidR="004427B2">
        <w:t xml:space="preserve"> </w:t>
      </w:r>
      <w:r w:rsidR="004427B2" w:rsidRPr="001431BC">
        <w:t>strongly</w:t>
      </w:r>
      <w:r w:rsidRPr="001431BC">
        <w:t>.</w:t>
      </w:r>
    </w:p>
    <w:p w14:paraId="4CB3FA20" w14:textId="2A77213B" w:rsidR="003F32F8" w:rsidRPr="001431BC" w:rsidRDefault="003F32F8" w:rsidP="00BE4508">
      <w:pPr>
        <w:spacing w:after="0"/>
      </w:pPr>
      <w:r w:rsidRPr="001431BC">
        <w:t>Research by the National Cent</w:t>
      </w:r>
      <w:r w:rsidR="004427B2">
        <w:t>re</w:t>
      </w:r>
      <w:r w:rsidRPr="001431BC">
        <w:t xml:space="preserve"> for Vocational Education Research </w:t>
      </w:r>
      <w:r w:rsidR="00E91D08">
        <w:t xml:space="preserve">(NCVER) </w:t>
      </w:r>
      <w:r w:rsidRPr="001431BC">
        <w:t>demonstrates that</w:t>
      </w:r>
      <w:r w:rsidR="00A71AF0" w:rsidRPr="00A71AF0">
        <w:t xml:space="preserve"> </w:t>
      </w:r>
      <w:r w:rsidR="00A71AF0" w:rsidRPr="001431BC">
        <w:t>for a young person</w:t>
      </w:r>
      <w:r w:rsidR="00A71AF0">
        <w:t>,</w:t>
      </w:r>
      <w:r w:rsidRPr="001431BC">
        <w:t xml:space="preserve"> the pathway from school to work is an evolving process that can be complex and diverse (</w:t>
      </w:r>
      <w:r w:rsidRPr="001431BC">
        <w:rPr>
          <w:b/>
        </w:rPr>
        <w:t>Ranasinghe et al 2010</w:t>
      </w:r>
      <w:r w:rsidRPr="001431BC">
        <w:t xml:space="preserve">). NCVER identified </w:t>
      </w:r>
      <w:r w:rsidR="00E36945">
        <w:t>5</w:t>
      </w:r>
      <w:r w:rsidRPr="001431BC">
        <w:t xml:space="preserve"> pathways that describe how young people (16</w:t>
      </w:r>
      <w:r w:rsidR="00E36945">
        <w:t>–</w:t>
      </w:r>
      <w:r w:rsidRPr="001431BC">
        <w:t>25 years old) in Australia are likely to transition from education to employment:</w:t>
      </w:r>
    </w:p>
    <w:p w14:paraId="2F8F6961" w14:textId="481A395A" w:rsidR="003F32F8" w:rsidRPr="001431BC" w:rsidRDefault="003F32F8" w:rsidP="00456C86">
      <w:pPr>
        <w:pStyle w:val="ListBullet"/>
      </w:pPr>
      <w:r w:rsidRPr="001431BC">
        <w:t>higher education to work (60%)</w:t>
      </w:r>
    </w:p>
    <w:p w14:paraId="2BCA7A38" w14:textId="53577392" w:rsidR="003F32F8" w:rsidRPr="001431BC" w:rsidRDefault="003F32F8" w:rsidP="00456C86">
      <w:pPr>
        <w:pStyle w:val="ListBullet"/>
      </w:pPr>
      <w:r w:rsidRPr="001431BC">
        <w:t>early entry to full-time work (23%)</w:t>
      </w:r>
    </w:p>
    <w:p w14:paraId="11BF70DE" w14:textId="5C8CB3A8" w:rsidR="003F32F8" w:rsidRPr="001431BC" w:rsidRDefault="003F32F8" w:rsidP="00456C86">
      <w:pPr>
        <w:pStyle w:val="ListBullet"/>
      </w:pPr>
      <w:r w:rsidRPr="001431BC">
        <w:t>mix of higher education and VET (8%)</w:t>
      </w:r>
    </w:p>
    <w:p w14:paraId="7859A2CD" w14:textId="1CD50E66" w:rsidR="003F32F8" w:rsidRPr="001431BC" w:rsidRDefault="003F32F8" w:rsidP="00456C86">
      <w:pPr>
        <w:pStyle w:val="ListBullet"/>
      </w:pPr>
      <w:r w:rsidRPr="001431BC">
        <w:t>mixed and repeatedly disengaged (5%)</w:t>
      </w:r>
    </w:p>
    <w:p w14:paraId="21C78E7B" w14:textId="6B3D634E" w:rsidR="003F32F8" w:rsidRPr="001431BC" w:rsidRDefault="003F32F8" w:rsidP="00456C86">
      <w:pPr>
        <w:pStyle w:val="ListBullet"/>
      </w:pPr>
      <w:r w:rsidRPr="001431BC">
        <w:t>mostly working part</w:t>
      </w:r>
      <w:r w:rsidR="00C46304">
        <w:t>-</w:t>
      </w:r>
      <w:r w:rsidRPr="001431BC">
        <w:t>time (4%).</w:t>
      </w:r>
    </w:p>
    <w:p w14:paraId="7FB1CFD5" w14:textId="0F0E825B" w:rsidR="003F32F8" w:rsidRDefault="003F32F8" w:rsidP="003F32F8">
      <w:r w:rsidRPr="001431BC">
        <w:t xml:space="preserve">There is evidence that lower educational attainment is associated with lower success in the labour market and higher levels of unemployment, </w:t>
      </w:r>
      <w:r w:rsidR="00134158">
        <w:t>and that</w:t>
      </w:r>
      <w:r w:rsidR="00134158" w:rsidRPr="001431BC">
        <w:t xml:space="preserve"> </w:t>
      </w:r>
      <w:r w:rsidRPr="001431BC">
        <w:t xml:space="preserve">young people without Year 12 attainment </w:t>
      </w:r>
      <w:r w:rsidR="00134158">
        <w:t>are</w:t>
      </w:r>
      <w:r w:rsidR="00134158" w:rsidRPr="001431BC">
        <w:t xml:space="preserve"> </w:t>
      </w:r>
      <w:r w:rsidRPr="001431BC">
        <w:t>more likely to experience unemployment and for longer periods than their peers (</w:t>
      </w:r>
      <w:r w:rsidRPr="001431BC">
        <w:rPr>
          <w:b/>
        </w:rPr>
        <w:t>Social Ventures Australia 2016</w:t>
      </w:r>
      <w:r w:rsidRPr="001431BC">
        <w:t xml:space="preserve">). The </w:t>
      </w:r>
      <w:r w:rsidR="00F8391B">
        <w:t>‘</w:t>
      </w:r>
      <w:r w:rsidRPr="001431BC">
        <w:t>mixed and repeatedly disengaged</w:t>
      </w:r>
      <w:r w:rsidR="00F8391B">
        <w:t>’</w:t>
      </w:r>
      <w:r w:rsidRPr="001431BC">
        <w:t xml:space="preserve"> pathway is identified as where young people have the most tenuous labour market attachment. This pathway contain</w:t>
      </w:r>
      <w:r w:rsidR="00A97C60">
        <w:t>s</w:t>
      </w:r>
      <w:r w:rsidRPr="001431BC">
        <w:t xml:space="preserve"> the highest proportion of vulnerable young people (for example</w:t>
      </w:r>
      <w:r w:rsidR="00E36945">
        <w:t>,</w:t>
      </w:r>
      <w:r w:rsidRPr="001431BC">
        <w:t xml:space="preserve"> early school leavers, youth from the lowest socioeconomic status, young parents and young people living with disability). Young people following the </w:t>
      </w:r>
      <w:r w:rsidR="00F8391B">
        <w:t>‘</w:t>
      </w:r>
      <w:r w:rsidRPr="001431BC">
        <w:t>mostly working part-time</w:t>
      </w:r>
      <w:r w:rsidR="00F8391B">
        <w:t>’</w:t>
      </w:r>
      <w:r w:rsidRPr="001431BC">
        <w:t xml:space="preserve"> pathway hold the least qualifications of all the pathways (</w:t>
      </w:r>
      <w:r w:rsidRPr="001431BC">
        <w:rPr>
          <w:b/>
        </w:rPr>
        <w:t>Ranasinghe et al 2010</w:t>
      </w:r>
      <w:r w:rsidRPr="001431BC">
        <w:t>).</w:t>
      </w:r>
    </w:p>
    <w:p w14:paraId="0BD7E744" w14:textId="6AE88C50" w:rsidR="00F20882" w:rsidRPr="00C84D14" w:rsidRDefault="00F20882" w:rsidP="003F32F8">
      <w:r w:rsidRPr="00C84D14">
        <w:t xml:space="preserve">The TtW Final Evaluation Report </w:t>
      </w:r>
      <w:r>
        <w:t>(</w:t>
      </w:r>
      <w:r w:rsidR="00CE0CBD">
        <w:rPr>
          <w:b/>
          <w:bCs/>
        </w:rPr>
        <w:t>DESE 2021</w:t>
      </w:r>
      <w:r>
        <w:t xml:space="preserve">) </w:t>
      </w:r>
      <w:r w:rsidRPr="00C84D14">
        <w:t xml:space="preserve">identified that young people who are targeted to participate in TtW are likely to be following one of the </w:t>
      </w:r>
      <w:r w:rsidR="00F8391B">
        <w:t>2</w:t>
      </w:r>
      <w:r w:rsidRPr="00C84D14">
        <w:t xml:space="preserve"> most tenuous transition pathways (</w:t>
      </w:r>
      <w:r w:rsidR="00F8391B">
        <w:t>‘</w:t>
      </w:r>
      <w:r w:rsidRPr="00C84D14">
        <w:t>mixed and repeatedly disengaged</w:t>
      </w:r>
      <w:r w:rsidR="00F8391B">
        <w:t>’</w:t>
      </w:r>
      <w:r w:rsidRPr="00C84D14">
        <w:t xml:space="preserve"> and </w:t>
      </w:r>
      <w:r w:rsidR="00F8391B">
        <w:t>‘</w:t>
      </w:r>
      <w:r w:rsidRPr="00C84D14">
        <w:t>mostly working part-time</w:t>
      </w:r>
      <w:r w:rsidR="00F8391B">
        <w:t>’</w:t>
      </w:r>
      <w:r w:rsidRPr="00C84D14">
        <w:t xml:space="preserve">), and that engagement in TtW </w:t>
      </w:r>
      <w:r w:rsidR="00A97C60">
        <w:t>may</w:t>
      </w:r>
      <w:r w:rsidRPr="00C84D14">
        <w:t xml:space="preserve"> enhance participants</w:t>
      </w:r>
      <w:r w:rsidR="00E36945">
        <w:t>’</w:t>
      </w:r>
      <w:r w:rsidRPr="00C84D14">
        <w:t xml:space="preserve"> chances of moving into full-time work, or into further education that will support full</w:t>
      </w:r>
      <w:r w:rsidR="00E36945">
        <w:t>-</w:t>
      </w:r>
      <w:r w:rsidRPr="00C84D14">
        <w:t>time work in the future.</w:t>
      </w:r>
    </w:p>
    <w:p w14:paraId="74899C37" w14:textId="62E1C3A5" w:rsidR="003F32F8" w:rsidRPr="00C84D14" w:rsidRDefault="003F32F8" w:rsidP="002D7EC7">
      <w:pPr>
        <w:pStyle w:val="Heading3"/>
        <w:ind w:left="0"/>
      </w:pPr>
      <w:bookmarkStart w:id="707" w:name="_Toc108539134"/>
      <w:bookmarkStart w:id="708" w:name="_Toc109821894"/>
      <w:bookmarkStart w:id="709" w:name="_Toc109918376"/>
      <w:bookmarkStart w:id="710" w:name="_Toc110249187"/>
      <w:bookmarkStart w:id="711" w:name="_Toc110251228"/>
      <w:bookmarkStart w:id="712" w:name="_Toc110264625"/>
      <w:bookmarkStart w:id="713" w:name="_Toc110410803"/>
      <w:bookmarkStart w:id="714" w:name="_Toc108539135"/>
      <w:bookmarkStart w:id="715" w:name="_Toc109821895"/>
      <w:bookmarkStart w:id="716" w:name="_Toc109918377"/>
      <w:bookmarkStart w:id="717" w:name="_Toc110249188"/>
      <w:bookmarkStart w:id="718" w:name="_Toc110251229"/>
      <w:bookmarkStart w:id="719" w:name="_Toc110264626"/>
      <w:bookmarkStart w:id="720" w:name="_Toc110410804"/>
      <w:bookmarkStart w:id="721" w:name="_Toc132650441"/>
      <w:bookmarkStart w:id="722" w:name="_Toc146033473"/>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Pr="00C84D14">
        <w:lastRenderedPageBreak/>
        <w:t xml:space="preserve">Building the human capabilities of young people </w:t>
      </w:r>
      <w:r w:rsidR="00374A7B">
        <w:t>as a necessary step to employment and wellbeing</w:t>
      </w:r>
      <w:bookmarkEnd w:id="721"/>
      <w:bookmarkEnd w:id="722"/>
    </w:p>
    <w:p w14:paraId="5E3AD38E" w14:textId="37429300" w:rsidR="003F32F8" w:rsidRPr="001431BC" w:rsidRDefault="00BE4508" w:rsidP="003F32F8">
      <w:r>
        <w:t>T</w:t>
      </w:r>
      <w:r w:rsidR="003F32F8" w:rsidRPr="001431BC">
        <w:t xml:space="preserve">raditional labour market activation programs </w:t>
      </w:r>
      <w:r w:rsidR="009437D1">
        <w:t xml:space="preserve">have either a work-first approach or focus </w:t>
      </w:r>
      <w:r w:rsidR="003F32F8" w:rsidRPr="001431BC">
        <w:t xml:space="preserve">on building </w:t>
      </w:r>
      <w:r w:rsidR="003A608C">
        <w:t xml:space="preserve">an </w:t>
      </w:r>
      <w:r w:rsidR="003F32F8" w:rsidRPr="001431BC">
        <w:t>individuals</w:t>
      </w:r>
      <w:r w:rsidR="00F8391B">
        <w:t>’</w:t>
      </w:r>
      <w:r w:rsidR="003F32F8" w:rsidRPr="001431BC">
        <w:t xml:space="preserve"> human capital – developing knowledge, </w:t>
      </w:r>
      <w:r w:rsidR="001873AC">
        <w:t xml:space="preserve">skills, </w:t>
      </w:r>
      <w:r w:rsidR="003F32F8" w:rsidRPr="001431BC">
        <w:t>experience</w:t>
      </w:r>
      <w:r w:rsidR="00356AC6">
        <w:t>,</w:t>
      </w:r>
      <w:r w:rsidR="003F32F8" w:rsidRPr="001431BC">
        <w:t xml:space="preserve"> attitude</w:t>
      </w:r>
      <w:r w:rsidR="00F20882">
        <w:t>s</w:t>
      </w:r>
      <w:r w:rsidR="003F32F8" w:rsidRPr="001431BC">
        <w:t xml:space="preserve"> and personal attributes to prepare them </w:t>
      </w:r>
      <w:r w:rsidR="003A608C">
        <w:t xml:space="preserve">for </w:t>
      </w:r>
      <w:r w:rsidR="003F32F8" w:rsidRPr="001431BC">
        <w:t>and propel them into work (</w:t>
      </w:r>
      <w:r w:rsidR="003F32F8" w:rsidRPr="001431BC">
        <w:rPr>
          <w:b/>
        </w:rPr>
        <w:t>Carter and Whitworth 2017</w:t>
      </w:r>
      <w:r w:rsidR="003F32F8" w:rsidRPr="001431BC">
        <w:t>)</w:t>
      </w:r>
      <w:r w:rsidR="003C71F9">
        <w:t xml:space="preserve">, </w:t>
      </w:r>
      <w:r w:rsidR="00E22C63">
        <w:t>with the objective of</w:t>
      </w:r>
      <w:r w:rsidR="00C67224">
        <w:t xml:space="preserve"> </w:t>
      </w:r>
      <w:r w:rsidR="00E22C63">
        <w:t>supporting</w:t>
      </w:r>
      <w:r w:rsidR="003F32F8" w:rsidRPr="001431BC">
        <w:t xml:space="preserve"> individuals to be economically productive members of society, to the benefit of themselves and the broader community.</w:t>
      </w:r>
    </w:p>
    <w:p w14:paraId="11D2C5E1" w14:textId="100E342E" w:rsidR="003F32F8" w:rsidRPr="00D24AD0" w:rsidRDefault="00072E60" w:rsidP="003F32F8">
      <w:r w:rsidRPr="00D24AD0">
        <w:t>F</w:t>
      </w:r>
      <w:r w:rsidR="003F32F8" w:rsidRPr="00D24AD0">
        <w:t>ocus</w:t>
      </w:r>
      <w:r w:rsidR="00C67224" w:rsidRPr="00D24AD0">
        <w:t>ing</w:t>
      </w:r>
      <w:r w:rsidR="003F32F8" w:rsidRPr="00D24AD0">
        <w:t xml:space="preserve"> </w:t>
      </w:r>
      <w:r w:rsidRPr="00D24AD0">
        <w:t xml:space="preserve">only </w:t>
      </w:r>
      <w:r w:rsidR="003F32F8" w:rsidRPr="00D24AD0">
        <w:t>on building</w:t>
      </w:r>
      <w:r w:rsidR="00C67224" w:rsidRPr="00D24AD0">
        <w:t xml:space="preserve"> an</w:t>
      </w:r>
      <w:r w:rsidR="003F32F8" w:rsidRPr="00D24AD0">
        <w:t xml:space="preserve"> individual</w:t>
      </w:r>
      <w:r w:rsidR="00F8391B">
        <w:t>’</w:t>
      </w:r>
      <w:r w:rsidR="003F32F8" w:rsidRPr="00D24AD0">
        <w:t xml:space="preserve">s human capital </w:t>
      </w:r>
      <w:r w:rsidR="00356AC6" w:rsidRPr="00D24AD0">
        <w:t>(a person</w:t>
      </w:r>
      <w:r w:rsidR="00F8391B">
        <w:t>’</w:t>
      </w:r>
      <w:r w:rsidR="00356AC6" w:rsidRPr="00D24AD0">
        <w:t>s work</w:t>
      </w:r>
      <w:r w:rsidR="00994D45" w:rsidRPr="00D24AD0">
        <w:t>-</w:t>
      </w:r>
      <w:r w:rsidR="00356AC6" w:rsidRPr="00D24AD0">
        <w:t xml:space="preserve">related knowledge, skills, experience and attitudes) </w:t>
      </w:r>
      <w:r w:rsidR="003F32F8" w:rsidRPr="00D24AD0">
        <w:t xml:space="preserve">can be </w:t>
      </w:r>
      <w:r w:rsidR="00C67224" w:rsidRPr="00D24AD0">
        <w:t>insufficient</w:t>
      </w:r>
      <w:r w:rsidR="00E36945">
        <w:t>,</w:t>
      </w:r>
      <w:r w:rsidR="00C67224" w:rsidRPr="00D24AD0">
        <w:t xml:space="preserve"> however</w:t>
      </w:r>
      <w:r w:rsidR="003F32F8" w:rsidRPr="00D24AD0">
        <w:t xml:space="preserve">, as individuals are situated within a household, community and economy and their ability to engage with study and work depends on more than their individual human capital. Capabilities theory was first developed by </w:t>
      </w:r>
      <w:r w:rsidR="003F32F8" w:rsidRPr="00D24AD0">
        <w:rPr>
          <w:b/>
        </w:rPr>
        <w:t>Amartya Sen (1999)</w:t>
      </w:r>
      <w:r w:rsidR="003F32F8" w:rsidRPr="00D24AD0">
        <w:t xml:space="preserve"> as a way of understanding people</w:t>
      </w:r>
      <w:r w:rsidR="00F8391B">
        <w:t>’</w:t>
      </w:r>
      <w:r w:rsidR="003F32F8" w:rsidRPr="00D24AD0">
        <w:t>s ability to make good choices and to act in ways to achieve their goals. Central to the theory is that it is not sufficient to have the freedom to do certain things</w:t>
      </w:r>
      <w:r w:rsidR="00E36945">
        <w:t>;</w:t>
      </w:r>
      <w:r w:rsidR="003F32F8" w:rsidRPr="00D24AD0">
        <w:t xml:space="preserve"> one must have the ability or capacity to act for those freedoms to be meaningful</w:t>
      </w:r>
      <w:r w:rsidR="00900113" w:rsidRPr="00D24AD0">
        <w:t xml:space="preserve"> (a </w:t>
      </w:r>
      <w:r w:rsidR="002D562D">
        <w:t xml:space="preserve">very </w:t>
      </w:r>
      <w:r w:rsidR="00900113" w:rsidRPr="00D24AD0">
        <w:t>simple example being</w:t>
      </w:r>
      <w:r w:rsidR="00E36945">
        <w:t xml:space="preserve"> that</w:t>
      </w:r>
      <w:r w:rsidR="00900113" w:rsidRPr="00D24AD0">
        <w:t xml:space="preserve"> in order to</w:t>
      </w:r>
      <w:r w:rsidR="002F703E" w:rsidRPr="00D24AD0">
        <w:t xml:space="preserve"> use a bike for transport </w:t>
      </w:r>
      <w:r w:rsidR="00900113" w:rsidRPr="00D24AD0">
        <w:t>it is not enough to be able to ride a bi</w:t>
      </w:r>
      <w:r w:rsidR="002D562D">
        <w:t>cycle</w:t>
      </w:r>
      <w:r w:rsidR="00E36945">
        <w:t>;</w:t>
      </w:r>
      <w:r w:rsidR="00900113" w:rsidRPr="00D24AD0">
        <w:t xml:space="preserve"> you also have to have access to a bi</w:t>
      </w:r>
      <w:r w:rsidR="002D562D">
        <w:t>cycle</w:t>
      </w:r>
      <w:r w:rsidR="00900113" w:rsidRPr="00D24AD0">
        <w:t xml:space="preserve"> to ride)</w:t>
      </w:r>
      <w:r w:rsidR="003F32F8" w:rsidRPr="00D24AD0">
        <w:t xml:space="preserve">. </w:t>
      </w:r>
      <w:r w:rsidR="003F32F8" w:rsidRPr="00D24AD0">
        <w:rPr>
          <w:b/>
        </w:rPr>
        <w:t>Martha Nussbaum (2011)</w:t>
      </w:r>
      <w:r w:rsidR="003F32F8" w:rsidRPr="00D24AD0">
        <w:t xml:space="preserve"> added to this theory, noting that people</w:t>
      </w:r>
      <w:r w:rsidR="00F8391B">
        <w:t>’</w:t>
      </w:r>
      <w:r w:rsidR="003F32F8" w:rsidRPr="00D24AD0">
        <w:t>s capacity to realise capabilities is affected by their life circumstances and external influences.</w:t>
      </w:r>
    </w:p>
    <w:p w14:paraId="7745532C" w14:textId="3B108EA4" w:rsidR="003F32F8" w:rsidRPr="001431BC" w:rsidRDefault="003F32F8" w:rsidP="003F32F8">
      <w:r w:rsidRPr="00CD0FB0">
        <w:t>The capabilities theory posits that an individual with a well-rounded set of capabilities</w:t>
      </w:r>
      <w:r w:rsidR="00FC6FD0" w:rsidRPr="00CD0FB0">
        <w:t xml:space="preserve"> and </w:t>
      </w:r>
      <w:r w:rsidRPr="00CD0FB0">
        <w:t xml:space="preserve">favourable external conditions (or capability influencers) </w:t>
      </w:r>
      <w:r w:rsidR="00FC6FD0" w:rsidRPr="00CD0FB0">
        <w:t xml:space="preserve">results in </w:t>
      </w:r>
      <w:r w:rsidRPr="00CD0FB0">
        <w:t>the conditions in which the individual can thrive and achieve their goals.</w:t>
      </w:r>
      <w:r w:rsidR="002F703E" w:rsidRPr="00CD0FB0">
        <w:t xml:space="preserve"> </w:t>
      </w:r>
      <w:r w:rsidRPr="00CD0FB0">
        <w:t xml:space="preserve">There is </w:t>
      </w:r>
      <w:r w:rsidR="008B1E23" w:rsidRPr="00CD0FB0">
        <w:t xml:space="preserve">therefore </w:t>
      </w:r>
      <w:r w:rsidRPr="00CD0FB0">
        <w:t xml:space="preserve">an important distinction between human capital and human </w:t>
      </w:r>
      <w:r w:rsidRPr="00CD0FB0">
        <w:rPr>
          <w:lang w:val="en-GB"/>
        </w:rPr>
        <w:t>capability</w:t>
      </w:r>
      <w:r w:rsidRPr="00CD0FB0">
        <w:t>. Human capability is a concept that subsumes human capital and extends beyond a focus purely on a person</w:t>
      </w:r>
      <w:r w:rsidR="00F8391B">
        <w:t>’</w:t>
      </w:r>
      <w:r w:rsidRPr="00CD0FB0">
        <w:t>s economic productivity (</w:t>
      </w:r>
      <w:r w:rsidRPr="00CD0FB0">
        <w:rPr>
          <w:b/>
        </w:rPr>
        <w:t xml:space="preserve">Perales </w:t>
      </w:r>
      <w:r w:rsidR="00BD7061" w:rsidRPr="00CD0FB0">
        <w:rPr>
          <w:b/>
        </w:rPr>
        <w:t xml:space="preserve">et al </w:t>
      </w:r>
      <w:r w:rsidRPr="00CD0FB0">
        <w:rPr>
          <w:b/>
        </w:rPr>
        <w:t>2018</w:t>
      </w:r>
      <w:r w:rsidRPr="00CD0FB0">
        <w:t>).</w:t>
      </w:r>
    </w:p>
    <w:p w14:paraId="275571EC" w14:textId="156158C2" w:rsidR="00C67224" w:rsidRPr="00B176C4" w:rsidRDefault="00C67224" w:rsidP="003F32F8">
      <w:r w:rsidRPr="00B176C4">
        <w:t>S</w:t>
      </w:r>
      <w:r w:rsidR="003F32F8" w:rsidRPr="00B176C4">
        <w:t xml:space="preserve">ignificant academic research and </w:t>
      </w:r>
      <w:r w:rsidRPr="00B176C4">
        <w:t xml:space="preserve">examples of the </w:t>
      </w:r>
      <w:r w:rsidR="003F32F8" w:rsidRPr="00B176C4">
        <w:t>practical application of human capabilities approaches to at</w:t>
      </w:r>
      <w:r w:rsidR="00F87E55" w:rsidRPr="00B176C4">
        <w:t>-</w:t>
      </w:r>
      <w:r w:rsidR="003F32F8" w:rsidRPr="00B176C4">
        <w:t>risk young people</w:t>
      </w:r>
      <w:r w:rsidR="00586E9D" w:rsidRPr="00B176C4">
        <w:t xml:space="preserve"> </w:t>
      </w:r>
      <w:r w:rsidRPr="00B176C4">
        <w:t>exist</w:t>
      </w:r>
      <w:r w:rsidR="00E36945">
        <w:t>,</w:t>
      </w:r>
      <w:r w:rsidRPr="00B176C4">
        <w:t xml:space="preserve"> and </w:t>
      </w:r>
      <w:r w:rsidR="00E36945">
        <w:t xml:space="preserve">this </w:t>
      </w:r>
      <w:r w:rsidR="00586E9D" w:rsidRPr="00B176C4">
        <w:t>suggests that a capability building approach is a key element of the success of services, including active labour market programs, for young people</w:t>
      </w:r>
      <w:r w:rsidR="00330EFE" w:rsidRPr="00B176C4">
        <w:t>.</w:t>
      </w:r>
      <w:r w:rsidR="003F32F8" w:rsidRPr="00B176C4">
        <w:rPr>
          <w:vertAlign w:val="superscript"/>
        </w:rPr>
        <w:footnoteReference w:id="26"/>
      </w:r>
      <w:r w:rsidR="003F32F8" w:rsidRPr="00B176C4">
        <w:t xml:space="preserve"> It is commonly understood that relevant human capabilities need to be identified in the context of culture and opportunity.</w:t>
      </w:r>
    </w:p>
    <w:p w14:paraId="1109899A" w14:textId="36C17C6C" w:rsidR="00F60264" w:rsidRDefault="003F32F8" w:rsidP="00DC3CCF">
      <w:pPr>
        <w:shd w:val="clear" w:color="auto" w:fill="FFFFFF" w:themeFill="background1"/>
      </w:pPr>
      <w:r w:rsidRPr="00DC3CCF">
        <w:t>In the context of work readiness, factors affecting people</w:t>
      </w:r>
      <w:r w:rsidR="00F8391B">
        <w:t>’</w:t>
      </w:r>
      <w:r w:rsidRPr="00DC3CCF">
        <w:t xml:space="preserve">s ability to </w:t>
      </w:r>
      <w:r w:rsidR="00B176C4" w:rsidRPr="00DC3CCF">
        <w:t>move into work</w:t>
      </w:r>
      <w:r w:rsidRPr="00DC3CCF">
        <w:t xml:space="preserve"> </w:t>
      </w:r>
      <w:r w:rsidR="00BA1C4A" w:rsidRPr="00DC3CCF">
        <w:t>and achieve their employment goals</w:t>
      </w:r>
      <w:r w:rsidR="00DC3CCF" w:rsidRPr="00DC3CCF">
        <w:t xml:space="preserve"> </w:t>
      </w:r>
      <w:r w:rsidRPr="00DC3CCF">
        <w:t xml:space="preserve">include their </w:t>
      </w:r>
      <w:r w:rsidR="00B176C4" w:rsidRPr="00DC3CCF">
        <w:t>job search skills</w:t>
      </w:r>
      <w:r w:rsidRPr="00DC3CCF">
        <w:t xml:space="preserve"> and their level of educational attainment</w:t>
      </w:r>
      <w:r w:rsidR="00DC3CCF" w:rsidRPr="00DC3CCF">
        <w:t>.</w:t>
      </w:r>
      <w:r w:rsidRPr="00DC3CCF">
        <w:t xml:space="preserve"> These skills are not sufficient on their own but require </w:t>
      </w:r>
      <w:r w:rsidR="00BD7061" w:rsidRPr="00DC3CCF">
        <w:t>psych</w:t>
      </w:r>
      <w:r w:rsidR="00E1008F" w:rsidRPr="00DC3CCF">
        <w:t>o</w:t>
      </w:r>
      <w:r w:rsidR="00BD7061" w:rsidRPr="00DC3CCF">
        <w:t xml:space="preserve">social </w:t>
      </w:r>
      <w:r w:rsidR="00F8391B">
        <w:t>‘</w:t>
      </w:r>
      <w:r w:rsidRPr="00DC3CCF">
        <w:t>capabilities</w:t>
      </w:r>
      <w:r w:rsidR="00F8391B">
        <w:t>’</w:t>
      </w:r>
      <w:r w:rsidRPr="00DC3CCF">
        <w:t xml:space="preserve"> to allow those goals to come to fruition. These include</w:t>
      </w:r>
      <w:r w:rsidR="00AA5C98" w:rsidRPr="00DC3CCF">
        <w:t>,</w:t>
      </w:r>
      <w:r w:rsidRPr="00DC3CCF">
        <w:t xml:space="preserve"> </w:t>
      </w:r>
      <w:r w:rsidR="00AA5C98" w:rsidRPr="00DC3CCF">
        <w:t xml:space="preserve">for example, </w:t>
      </w:r>
      <w:r w:rsidRPr="00DC3CCF">
        <w:t>an individual</w:t>
      </w:r>
      <w:r w:rsidR="00F8391B">
        <w:t>’</w:t>
      </w:r>
      <w:r w:rsidRPr="00DC3CCF">
        <w:t xml:space="preserve">s emotional resilience, their optimism and </w:t>
      </w:r>
      <w:r w:rsidR="0094404A">
        <w:t xml:space="preserve">their </w:t>
      </w:r>
      <w:r w:rsidRPr="00DC3CCF">
        <w:t xml:space="preserve">motivation levels. Outside of these </w:t>
      </w:r>
      <w:r w:rsidR="00BD7061" w:rsidRPr="00DC3CCF">
        <w:t>psych</w:t>
      </w:r>
      <w:r w:rsidR="00E1008F" w:rsidRPr="00DC3CCF">
        <w:t>o</w:t>
      </w:r>
      <w:r w:rsidR="00BD7061" w:rsidRPr="00DC3CCF">
        <w:t xml:space="preserve">social </w:t>
      </w:r>
      <w:r w:rsidRPr="00DC3CCF">
        <w:t xml:space="preserve">factors are </w:t>
      </w:r>
      <w:r w:rsidR="00F8391B">
        <w:t>‘</w:t>
      </w:r>
      <w:r w:rsidRPr="00DC3CCF">
        <w:t>capability influencers</w:t>
      </w:r>
      <w:r w:rsidR="00F8391B">
        <w:t>’</w:t>
      </w:r>
      <w:r w:rsidR="0094404A">
        <w:t>,</w:t>
      </w:r>
      <w:r w:rsidRPr="00DC3CCF">
        <w:t xml:space="preserve"> which are the external factors that affect an individual</w:t>
      </w:r>
      <w:r w:rsidR="00F8391B">
        <w:t>’</w:t>
      </w:r>
      <w:r w:rsidRPr="00DC3CCF">
        <w:t>s capacity to meet their goals. These can include an individual</w:t>
      </w:r>
      <w:r w:rsidR="00F8391B">
        <w:t>’</w:t>
      </w:r>
      <w:r w:rsidRPr="00DC3CCF">
        <w:t xml:space="preserve">s social networks and access to support services, but also labour market forces such as the availability of jobs in the local economy, and access to </w:t>
      </w:r>
      <w:r w:rsidRPr="009F1529">
        <w:t>childcare</w:t>
      </w:r>
      <w:r w:rsidRPr="00DC3CCF">
        <w:t xml:space="preserve"> and transport that facilitate workforce participation. </w:t>
      </w:r>
      <w:r w:rsidR="00801C14">
        <w:t>More generally, t</w:t>
      </w:r>
      <w:r w:rsidR="00F60264" w:rsidRPr="00DC3CCF">
        <w:t xml:space="preserve">he benefits of a human capability building approach are </w:t>
      </w:r>
      <w:r w:rsidR="00F60264" w:rsidRPr="00DC3CCF">
        <w:lastRenderedPageBreak/>
        <w:t>not only seen in increases in economic participation and productivity but also seen in increases in social and civic participation (</w:t>
      </w:r>
      <w:r w:rsidR="00F60264" w:rsidRPr="00DC3CCF">
        <w:rPr>
          <w:b/>
          <w:bCs/>
        </w:rPr>
        <w:t>Perales et al</w:t>
      </w:r>
      <w:r w:rsidR="00BD7061" w:rsidRPr="00DC3CCF">
        <w:rPr>
          <w:b/>
          <w:bCs/>
        </w:rPr>
        <w:t xml:space="preserve"> </w:t>
      </w:r>
      <w:r w:rsidR="00F60264" w:rsidRPr="00DC3CCF">
        <w:rPr>
          <w:b/>
          <w:bCs/>
        </w:rPr>
        <w:t>2018</w:t>
      </w:r>
      <w:r w:rsidR="00F60264" w:rsidRPr="00DC3CCF">
        <w:t>).</w:t>
      </w:r>
    </w:p>
    <w:p w14:paraId="72366AD6" w14:textId="72CD16C0" w:rsidR="003F32F8" w:rsidRPr="00C239FD" w:rsidRDefault="003F32F8" w:rsidP="003F32F8">
      <w:pPr>
        <w:rPr>
          <w:b/>
          <w:bCs/>
        </w:rPr>
        <w:sectPr w:rsidR="003F32F8" w:rsidRPr="00C239FD" w:rsidSect="003B7DC1">
          <w:pgSz w:w="11906" w:h="16838"/>
          <w:pgMar w:top="1418" w:right="1440" w:bottom="1440" w:left="1440" w:header="0" w:footer="708" w:gutter="0"/>
          <w:pgNumType w:start="1"/>
          <w:cols w:space="708"/>
          <w:docGrid w:linePitch="360"/>
        </w:sectPr>
      </w:pPr>
      <w:r w:rsidRPr="00CD7319">
        <w:t>A detailed outline of the human capability framework for young people</w:t>
      </w:r>
      <w:r w:rsidR="00BD7061" w:rsidRPr="00CD7319">
        <w:t>, developed through the review of literature</w:t>
      </w:r>
      <w:r w:rsidR="00BF4953">
        <w:t>,</w:t>
      </w:r>
      <w:r w:rsidR="00BD7061" w:rsidRPr="00CD7319">
        <w:t xml:space="preserve"> to underpin this evaluation,</w:t>
      </w:r>
      <w:r w:rsidRPr="00CD7319">
        <w:t xml:space="preserve"> is presented in</w:t>
      </w:r>
      <w:r w:rsidR="00653361" w:rsidRPr="00CD7319">
        <w:t xml:space="preserve"> </w:t>
      </w:r>
      <w:bookmarkStart w:id="723" w:name="_Hlk116374414"/>
      <w:r w:rsidR="00653361" w:rsidRPr="00CD7319">
        <w:fldChar w:fldCharType="begin"/>
      </w:r>
      <w:r w:rsidR="00653361" w:rsidRPr="00CD7319">
        <w:instrText xml:space="preserve"> REF _Ref110959431 \h </w:instrText>
      </w:r>
      <w:r w:rsidR="005022CD" w:rsidRPr="002010C4">
        <w:instrText xml:space="preserve"> \* MERGEFORMAT </w:instrText>
      </w:r>
      <w:r w:rsidR="00653361" w:rsidRPr="00CD7319">
        <w:fldChar w:fldCharType="separate"/>
      </w:r>
      <w:r w:rsidR="00180E14" w:rsidRPr="00180E14">
        <w:rPr>
          <w:b/>
        </w:rPr>
        <w:t xml:space="preserve">Figure </w:t>
      </w:r>
      <w:r w:rsidR="00180E14" w:rsidRPr="00180E14">
        <w:rPr>
          <w:b/>
          <w:noProof/>
        </w:rPr>
        <w:t>1</w:t>
      </w:r>
      <w:r w:rsidR="00653361" w:rsidRPr="00CD7319">
        <w:fldChar w:fldCharType="end"/>
      </w:r>
      <w:r w:rsidR="0094404A">
        <w:t>.</w:t>
      </w:r>
    </w:p>
    <w:p w14:paraId="20F5D5FB" w14:textId="7EB3226F" w:rsidR="006240A3" w:rsidRDefault="008B6704" w:rsidP="00C239FD">
      <w:pPr>
        <w:pStyle w:val="Figureheadercaption"/>
      </w:pPr>
      <w:bookmarkStart w:id="724" w:name="_Ref109993303"/>
      <w:bookmarkStart w:id="725" w:name="_Ref110959431"/>
      <w:bookmarkStart w:id="726" w:name="_Toc145883311"/>
      <w:r w:rsidRPr="006240A3">
        <w:lastRenderedPageBreak/>
        <w:t>Figure</w:t>
      </w:r>
      <w:bookmarkEnd w:id="724"/>
      <w:r w:rsidRPr="006240A3">
        <w:t xml:space="preserve"> </w:t>
      </w:r>
      <w:r w:rsidR="00BE71D4">
        <w:fldChar w:fldCharType="begin"/>
      </w:r>
      <w:r w:rsidR="00BE71D4">
        <w:instrText xml:space="preserve"> SEQ Figure \* ARABIC </w:instrText>
      </w:r>
      <w:r w:rsidR="00BE71D4">
        <w:fldChar w:fldCharType="separate"/>
      </w:r>
      <w:r w:rsidR="00180E14">
        <w:rPr>
          <w:noProof/>
        </w:rPr>
        <w:t>1</w:t>
      </w:r>
      <w:r w:rsidR="00BE71D4">
        <w:fldChar w:fldCharType="end"/>
      </w:r>
      <w:bookmarkEnd w:id="725"/>
      <w:r w:rsidR="003F32F8" w:rsidRPr="006240A3">
        <w:t>: Human capability framework for young people</w:t>
      </w:r>
      <w:bookmarkEnd w:id="726"/>
    </w:p>
    <w:p w14:paraId="36D7B8A8" w14:textId="37CF0843" w:rsidR="003F32F8" w:rsidRDefault="00A330BC" w:rsidP="00C239FD">
      <w:pPr>
        <w:pStyle w:val="Body"/>
      </w:pPr>
      <w:r w:rsidRPr="00746490">
        <w:rPr>
          <w:noProof/>
        </w:rPr>
        <w:drawing>
          <wp:inline distT="0" distB="0" distL="0" distR="0" wp14:anchorId="01F654D5" wp14:editId="77C79529">
            <wp:extent cx="7668000" cy="5430473"/>
            <wp:effectExtent l="0" t="0" r="0" b="0"/>
            <wp:docPr id="13" name="Picture 13" descr="Diagram represents human capability framework for young people. Made up of three concentric circles. &#10;The inner circle describes those directly associated with the young person - including pre-employment factors such as education and work experience, psychosocial factors such as confidence, resilience and health, and other factors such as beliefs, and motivation. &#10;The middle circle descries capabilities influences related to the young persons networks and household, including support, availability and access, household situation and diversity.&#10;The outer circle represents the influence of the wider economy and society, and includes factors such as employment opportunities, employer attitudes, opportunities for study, transport, affordable childcare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represents human capability framework for young people. Made up of three concentric circles. &#10;The inner circle describes those directly associated with the young person - including pre-employment factors such as education and work experience, psychosocial factors such as confidence, resilience and health, and other factors such as beliefs, and motivation. &#10;The middle circle descries capabilities influences related to the young persons networks and household, including support, availability and access, household situation and diversity.&#10;The outer circle represents the influence of the wider economy and society, and includes factors such as employment opportunities, employer attitudes, opportunities for study, transport, affordable childcare et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68000" cy="5430473"/>
                    </a:xfrm>
                    <a:prstGeom prst="rect">
                      <a:avLst/>
                    </a:prstGeom>
                    <a:noFill/>
                    <a:ln>
                      <a:noFill/>
                    </a:ln>
                  </pic:spPr>
                </pic:pic>
              </a:graphicData>
            </a:graphic>
          </wp:inline>
        </w:drawing>
      </w:r>
    </w:p>
    <w:p w14:paraId="1617EA72" w14:textId="71C1E76A" w:rsidR="00EB6452" w:rsidRPr="00C84D14" w:rsidRDefault="00EB6452" w:rsidP="003F32F8">
      <w:pPr>
        <w:sectPr w:rsidR="00EB6452" w:rsidRPr="00C84D14" w:rsidSect="002339C5">
          <w:pgSz w:w="16838" w:h="11906" w:orient="landscape"/>
          <w:pgMar w:top="1440" w:right="2268" w:bottom="1440" w:left="1440" w:header="0" w:footer="708" w:gutter="0"/>
          <w:cols w:space="708"/>
          <w:docGrid w:linePitch="360"/>
        </w:sectPr>
      </w:pPr>
    </w:p>
    <w:p w14:paraId="117A71BF" w14:textId="603FD1E5" w:rsidR="00D0172A" w:rsidRDefault="00D0172A" w:rsidP="006E41FD">
      <w:pPr>
        <w:pStyle w:val="Heading2"/>
      </w:pPr>
      <w:bookmarkStart w:id="727" w:name="_Toc108539142"/>
      <w:bookmarkStart w:id="728" w:name="_Toc109821898"/>
      <w:bookmarkStart w:id="729" w:name="_Toc109918380"/>
      <w:bookmarkStart w:id="730" w:name="_Toc110249191"/>
      <w:bookmarkStart w:id="731" w:name="_Toc110251232"/>
      <w:bookmarkStart w:id="732" w:name="_Toc110264629"/>
      <w:bookmarkStart w:id="733" w:name="_Toc110410807"/>
      <w:bookmarkStart w:id="734" w:name="_Toc108539143"/>
      <w:bookmarkStart w:id="735" w:name="_Toc109821899"/>
      <w:bookmarkStart w:id="736" w:name="_Toc109918381"/>
      <w:bookmarkStart w:id="737" w:name="_Toc110249192"/>
      <w:bookmarkStart w:id="738" w:name="_Toc110251233"/>
      <w:bookmarkStart w:id="739" w:name="_Toc110264630"/>
      <w:bookmarkStart w:id="740" w:name="_Toc110410808"/>
      <w:bookmarkStart w:id="741" w:name="_Toc108539144"/>
      <w:bookmarkStart w:id="742" w:name="_Toc109821900"/>
      <w:bookmarkStart w:id="743" w:name="_Toc109918382"/>
      <w:bookmarkStart w:id="744" w:name="_Toc110249193"/>
      <w:bookmarkStart w:id="745" w:name="_Toc110251234"/>
      <w:bookmarkStart w:id="746" w:name="_Toc110264631"/>
      <w:bookmarkStart w:id="747" w:name="_Toc110410809"/>
      <w:bookmarkStart w:id="748" w:name="_Toc108539145"/>
      <w:bookmarkStart w:id="749" w:name="_Toc109821901"/>
      <w:bookmarkStart w:id="750" w:name="_Toc109918383"/>
      <w:bookmarkStart w:id="751" w:name="_Toc110249194"/>
      <w:bookmarkStart w:id="752" w:name="_Toc110251235"/>
      <w:bookmarkStart w:id="753" w:name="_Toc110264632"/>
      <w:bookmarkStart w:id="754" w:name="_Toc110410810"/>
      <w:bookmarkStart w:id="755" w:name="_Toc108539146"/>
      <w:bookmarkStart w:id="756" w:name="_Toc109821902"/>
      <w:bookmarkStart w:id="757" w:name="_Toc109918384"/>
      <w:bookmarkStart w:id="758" w:name="_Toc110249195"/>
      <w:bookmarkStart w:id="759" w:name="_Toc110251236"/>
      <w:bookmarkStart w:id="760" w:name="_Toc110264633"/>
      <w:bookmarkStart w:id="761" w:name="_Toc110410811"/>
      <w:bookmarkStart w:id="762" w:name="_Toc108539147"/>
      <w:bookmarkStart w:id="763" w:name="_Toc109821903"/>
      <w:bookmarkStart w:id="764" w:name="_Toc109918385"/>
      <w:bookmarkStart w:id="765" w:name="_Toc110249196"/>
      <w:bookmarkStart w:id="766" w:name="_Toc110251237"/>
      <w:bookmarkStart w:id="767" w:name="_Toc110264634"/>
      <w:bookmarkStart w:id="768" w:name="_Toc110410812"/>
      <w:bookmarkStart w:id="769" w:name="_Toc108539148"/>
      <w:bookmarkStart w:id="770" w:name="_Toc109821904"/>
      <w:bookmarkStart w:id="771" w:name="_Toc109918386"/>
      <w:bookmarkStart w:id="772" w:name="_Toc110249197"/>
      <w:bookmarkStart w:id="773" w:name="_Toc110251238"/>
      <w:bookmarkStart w:id="774" w:name="_Toc110264635"/>
      <w:bookmarkStart w:id="775" w:name="_Toc110410813"/>
      <w:bookmarkStart w:id="776" w:name="_Toc108539149"/>
      <w:bookmarkStart w:id="777" w:name="_Toc109821905"/>
      <w:bookmarkStart w:id="778" w:name="_Toc109918387"/>
      <w:bookmarkStart w:id="779" w:name="_Toc110249198"/>
      <w:bookmarkStart w:id="780" w:name="_Toc110251239"/>
      <w:bookmarkStart w:id="781" w:name="_Toc110264636"/>
      <w:bookmarkStart w:id="782" w:name="_Toc110410814"/>
      <w:bookmarkStart w:id="783" w:name="_Toc108539150"/>
      <w:bookmarkStart w:id="784" w:name="_Toc109821906"/>
      <w:bookmarkStart w:id="785" w:name="_Toc109918388"/>
      <w:bookmarkStart w:id="786" w:name="_Toc110249199"/>
      <w:bookmarkStart w:id="787" w:name="_Toc110251240"/>
      <w:bookmarkStart w:id="788" w:name="_Toc110264637"/>
      <w:bookmarkStart w:id="789" w:name="_Toc110410815"/>
      <w:bookmarkStart w:id="790" w:name="_Toc108539151"/>
      <w:bookmarkStart w:id="791" w:name="_Toc109821907"/>
      <w:bookmarkStart w:id="792" w:name="_Toc109918389"/>
      <w:bookmarkStart w:id="793" w:name="_Toc110249200"/>
      <w:bookmarkStart w:id="794" w:name="_Toc110251241"/>
      <w:bookmarkStart w:id="795" w:name="_Toc110264638"/>
      <w:bookmarkStart w:id="796" w:name="_Toc110410816"/>
      <w:bookmarkStart w:id="797" w:name="_Toc108539152"/>
      <w:bookmarkStart w:id="798" w:name="_Toc109821908"/>
      <w:bookmarkStart w:id="799" w:name="_Toc109918390"/>
      <w:bookmarkStart w:id="800" w:name="_Toc110249201"/>
      <w:bookmarkStart w:id="801" w:name="_Toc110251242"/>
      <w:bookmarkStart w:id="802" w:name="_Toc110264639"/>
      <w:bookmarkStart w:id="803" w:name="_Toc110410817"/>
      <w:bookmarkStart w:id="804" w:name="_Toc108539153"/>
      <w:bookmarkStart w:id="805" w:name="_Toc109821909"/>
      <w:bookmarkStart w:id="806" w:name="_Toc109918391"/>
      <w:bookmarkStart w:id="807" w:name="_Toc110249202"/>
      <w:bookmarkStart w:id="808" w:name="_Toc110251243"/>
      <w:bookmarkStart w:id="809" w:name="_Toc110264640"/>
      <w:bookmarkStart w:id="810" w:name="_Toc110410818"/>
      <w:bookmarkStart w:id="811" w:name="_Toc108539154"/>
      <w:bookmarkStart w:id="812" w:name="_Toc109821910"/>
      <w:bookmarkStart w:id="813" w:name="_Toc109918392"/>
      <w:bookmarkStart w:id="814" w:name="_Toc110249203"/>
      <w:bookmarkStart w:id="815" w:name="_Toc110251244"/>
      <w:bookmarkStart w:id="816" w:name="_Toc110264641"/>
      <w:bookmarkStart w:id="817" w:name="_Toc110410819"/>
      <w:bookmarkStart w:id="818" w:name="_Toc108539194"/>
      <w:bookmarkStart w:id="819" w:name="_Toc109821950"/>
      <w:bookmarkStart w:id="820" w:name="_Toc109918432"/>
      <w:bookmarkStart w:id="821" w:name="_Toc110249243"/>
      <w:bookmarkStart w:id="822" w:name="_Toc110251284"/>
      <w:bookmarkStart w:id="823" w:name="_Toc110264681"/>
      <w:bookmarkStart w:id="824" w:name="_Toc110410859"/>
      <w:bookmarkStart w:id="825" w:name="_Toc108539195"/>
      <w:bookmarkStart w:id="826" w:name="_Toc109821951"/>
      <w:bookmarkStart w:id="827" w:name="_Toc109918433"/>
      <w:bookmarkStart w:id="828" w:name="_Toc110249244"/>
      <w:bookmarkStart w:id="829" w:name="_Toc110251285"/>
      <w:bookmarkStart w:id="830" w:name="_Toc110264682"/>
      <w:bookmarkStart w:id="831" w:name="_Toc110410860"/>
      <w:bookmarkStart w:id="832" w:name="_Toc108539196"/>
      <w:bookmarkStart w:id="833" w:name="_Toc109821952"/>
      <w:bookmarkStart w:id="834" w:name="_Toc109918434"/>
      <w:bookmarkStart w:id="835" w:name="_Toc110249245"/>
      <w:bookmarkStart w:id="836" w:name="_Toc110251286"/>
      <w:bookmarkStart w:id="837" w:name="_Toc110264683"/>
      <w:bookmarkStart w:id="838" w:name="_Toc110410861"/>
      <w:bookmarkStart w:id="839" w:name="_Toc108539197"/>
      <w:bookmarkStart w:id="840" w:name="_Toc109821953"/>
      <w:bookmarkStart w:id="841" w:name="_Toc109918435"/>
      <w:bookmarkStart w:id="842" w:name="_Toc110249246"/>
      <w:bookmarkStart w:id="843" w:name="_Toc110251287"/>
      <w:bookmarkStart w:id="844" w:name="_Toc110264684"/>
      <w:bookmarkStart w:id="845" w:name="_Toc110410862"/>
      <w:bookmarkStart w:id="846" w:name="_Toc108539198"/>
      <w:bookmarkStart w:id="847" w:name="_Toc109821954"/>
      <w:bookmarkStart w:id="848" w:name="_Toc109918436"/>
      <w:bookmarkStart w:id="849" w:name="_Toc110249247"/>
      <w:bookmarkStart w:id="850" w:name="_Toc110251288"/>
      <w:bookmarkStart w:id="851" w:name="_Toc110264685"/>
      <w:bookmarkStart w:id="852" w:name="_Toc110410863"/>
      <w:bookmarkStart w:id="853" w:name="_Toc108539199"/>
      <w:bookmarkStart w:id="854" w:name="_Toc109821955"/>
      <w:bookmarkStart w:id="855" w:name="_Toc109918437"/>
      <w:bookmarkStart w:id="856" w:name="_Toc110249248"/>
      <w:bookmarkStart w:id="857" w:name="_Toc110251289"/>
      <w:bookmarkStart w:id="858" w:name="_Toc110264686"/>
      <w:bookmarkStart w:id="859" w:name="_Toc110410864"/>
      <w:bookmarkStart w:id="860" w:name="_Toc108539200"/>
      <w:bookmarkStart w:id="861" w:name="_Toc109821956"/>
      <w:bookmarkStart w:id="862" w:name="_Toc109918438"/>
      <w:bookmarkStart w:id="863" w:name="_Toc110249249"/>
      <w:bookmarkStart w:id="864" w:name="_Toc110251290"/>
      <w:bookmarkStart w:id="865" w:name="_Toc110264687"/>
      <w:bookmarkStart w:id="866" w:name="_Toc110410865"/>
      <w:bookmarkStart w:id="867" w:name="_Toc108539201"/>
      <w:bookmarkStart w:id="868" w:name="_Toc109821957"/>
      <w:bookmarkStart w:id="869" w:name="_Toc109918439"/>
      <w:bookmarkStart w:id="870" w:name="_Toc110249250"/>
      <w:bookmarkStart w:id="871" w:name="_Toc110251291"/>
      <w:bookmarkStart w:id="872" w:name="_Toc110264688"/>
      <w:bookmarkStart w:id="873" w:name="_Toc110410866"/>
      <w:bookmarkStart w:id="874" w:name="_Toc108539202"/>
      <w:bookmarkStart w:id="875" w:name="_Toc109821958"/>
      <w:bookmarkStart w:id="876" w:name="_Toc109918440"/>
      <w:bookmarkStart w:id="877" w:name="_Toc110249251"/>
      <w:bookmarkStart w:id="878" w:name="_Toc110251292"/>
      <w:bookmarkStart w:id="879" w:name="_Toc110264689"/>
      <w:bookmarkStart w:id="880" w:name="_Toc110410867"/>
      <w:bookmarkStart w:id="881" w:name="_Toc108539203"/>
      <w:bookmarkStart w:id="882" w:name="_Toc109821959"/>
      <w:bookmarkStart w:id="883" w:name="_Toc109918441"/>
      <w:bookmarkStart w:id="884" w:name="_Toc110249252"/>
      <w:bookmarkStart w:id="885" w:name="_Toc110251293"/>
      <w:bookmarkStart w:id="886" w:name="_Toc110264690"/>
      <w:bookmarkStart w:id="887" w:name="_Toc110410868"/>
      <w:bookmarkStart w:id="888" w:name="_Toc132650442"/>
      <w:bookmarkStart w:id="889" w:name="_Toc146033474"/>
      <w:bookmarkEnd w:id="695"/>
      <w:bookmarkEnd w:id="723"/>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lastRenderedPageBreak/>
        <w:t>Previous evaluation of the TtW program</w:t>
      </w:r>
      <w:bookmarkEnd w:id="888"/>
      <w:bookmarkEnd w:id="889"/>
    </w:p>
    <w:p w14:paraId="09EDB120" w14:textId="166FD363" w:rsidR="00D0172A" w:rsidRPr="003B72EB" w:rsidRDefault="0083546B" w:rsidP="001431BC">
      <w:r>
        <w:t xml:space="preserve">Previous TtW evaluation research undertaken by the department was presented in </w:t>
      </w:r>
      <w:r w:rsidR="00F8391B">
        <w:t>2</w:t>
      </w:r>
      <w:r>
        <w:t xml:space="preserve"> reports.</w:t>
      </w:r>
      <w:r w:rsidR="00D0172A">
        <w:t xml:space="preserve"> </w:t>
      </w:r>
      <w:r w:rsidR="00CE358D">
        <w:t>The</w:t>
      </w:r>
      <w:r w:rsidR="00D0172A">
        <w:t xml:space="preserve"> formative element, presented in the TtW Interim Evaluation Report (</w:t>
      </w:r>
      <w:r w:rsidR="00D0172A" w:rsidRPr="00096F81">
        <w:rPr>
          <w:b/>
          <w:bCs/>
        </w:rPr>
        <w:t>DESE 2019</w:t>
      </w:r>
      <w:r w:rsidR="00D0172A">
        <w:t>) focused o</w:t>
      </w:r>
      <w:r w:rsidR="00D0172A" w:rsidRPr="0034179E">
        <w:t>n service design, implementation, participant engagement and early results</w:t>
      </w:r>
      <w:r w:rsidR="00CE358D">
        <w:t>. The</w:t>
      </w:r>
      <w:r w:rsidR="00D0172A">
        <w:t xml:space="preserve"> summative element</w:t>
      </w:r>
      <w:r>
        <w:t>, which</w:t>
      </w:r>
      <w:r w:rsidR="00D0172A">
        <w:t xml:space="preserve"> </w:t>
      </w:r>
      <w:r w:rsidR="00D0172A" w:rsidRPr="0034179E">
        <w:t>assessed service appropriateness, effectiveness, efficiency, quality and equity</w:t>
      </w:r>
      <w:r>
        <w:t>,</w:t>
      </w:r>
      <w:r w:rsidR="00D0172A" w:rsidRPr="0034179E">
        <w:t xml:space="preserve"> </w:t>
      </w:r>
      <w:r w:rsidR="00CE358D">
        <w:t xml:space="preserve">was </w:t>
      </w:r>
      <w:r w:rsidR="00D0172A">
        <w:t>presented in the TtW Final Evaluation Report (</w:t>
      </w:r>
      <w:r w:rsidR="00CE0CBD">
        <w:rPr>
          <w:b/>
          <w:bCs/>
        </w:rPr>
        <w:t>DESE 2021</w:t>
      </w:r>
      <w:r w:rsidR="00D0172A" w:rsidRPr="003B72EB">
        <w:t>).</w:t>
      </w:r>
    </w:p>
    <w:p w14:paraId="7EB0D3E4" w14:textId="7CACF3A5" w:rsidR="00D0172A" w:rsidRDefault="00D0172A" w:rsidP="00D06708">
      <w:pPr>
        <w:pStyle w:val="Heading3"/>
        <w:ind w:left="0"/>
      </w:pPr>
      <w:bookmarkStart w:id="890" w:name="_Toc132650443"/>
      <w:bookmarkStart w:id="891" w:name="_Toc146033475"/>
      <w:r>
        <w:t xml:space="preserve">Findings from </w:t>
      </w:r>
      <w:r w:rsidR="00287C1E">
        <w:t xml:space="preserve">the TtW </w:t>
      </w:r>
      <w:r w:rsidR="00380880">
        <w:t>f</w:t>
      </w:r>
      <w:r w:rsidR="00287C1E">
        <w:t xml:space="preserve">inal </w:t>
      </w:r>
      <w:r w:rsidR="00380880">
        <w:t>e</w:t>
      </w:r>
      <w:r w:rsidR="00287C1E">
        <w:t>valuation</w:t>
      </w:r>
      <w:bookmarkEnd w:id="890"/>
      <w:bookmarkEnd w:id="891"/>
    </w:p>
    <w:p w14:paraId="5E765E79" w14:textId="05FDBFFA" w:rsidR="00D0172A" w:rsidRPr="0034179E" w:rsidRDefault="00FE52A5" w:rsidP="001431BC">
      <w:r>
        <w:t xml:space="preserve">Research undertaken for the TtW </w:t>
      </w:r>
      <w:r w:rsidR="00380880">
        <w:t>f</w:t>
      </w:r>
      <w:r w:rsidR="00287C1E">
        <w:t xml:space="preserve">inal </w:t>
      </w:r>
      <w:r w:rsidR="00380880">
        <w:t>e</w:t>
      </w:r>
      <w:r w:rsidR="00D0172A">
        <w:t>valuation</w:t>
      </w:r>
      <w:r w:rsidR="005446AD">
        <w:rPr>
          <w:rStyle w:val="FootnoteReference"/>
        </w:rPr>
        <w:footnoteReference w:id="27"/>
      </w:r>
      <w:r w:rsidR="00D0172A">
        <w:t xml:space="preserve"> </w:t>
      </w:r>
      <w:r w:rsidR="00820CFF">
        <w:t>(</w:t>
      </w:r>
      <w:r w:rsidR="00CE0CBD">
        <w:rPr>
          <w:b/>
          <w:bCs/>
        </w:rPr>
        <w:t>DESE 2021</w:t>
      </w:r>
      <w:r w:rsidR="00820CFF">
        <w:t xml:space="preserve">) </w:t>
      </w:r>
      <w:r w:rsidR="00D0172A">
        <w:t>found that while TtW</w:t>
      </w:r>
      <w:r>
        <w:t xml:space="preserve"> participants</w:t>
      </w:r>
      <w:r w:rsidR="00D0172A">
        <w:t xml:space="preserve"> were less likely to experience</w:t>
      </w:r>
      <w:r w:rsidR="00D0172A" w:rsidRPr="0034179E">
        <w:t xml:space="preserve"> labour market attachment (LMA</w:t>
      </w:r>
      <w:r w:rsidR="009251AF">
        <w:t>)</w:t>
      </w:r>
      <w:r w:rsidR="00820CFF">
        <w:rPr>
          <w:rStyle w:val="FootnoteReference"/>
        </w:rPr>
        <w:footnoteReference w:id="28"/>
      </w:r>
      <w:r w:rsidR="00D0172A" w:rsidRPr="0034179E">
        <w:t xml:space="preserve"> </w:t>
      </w:r>
      <w:r w:rsidR="00D0172A">
        <w:t>than participants from the comparison group</w:t>
      </w:r>
      <w:r w:rsidR="00820CFF">
        <w:t xml:space="preserve"> in their first year after referral</w:t>
      </w:r>
      <w:r w:rsidR="00D0172A">
        <w:t xml:space="preserve">, they were much more likely </w:t>
      </w:r>
      <w:r w:rsidR="00D0172A" w:rsidRPr="0034179E">
        <w:t>to undertake education and training</w:t>
      </w:r>
      <w:r w:rsidR="00D0172A">
        <w:t>.</w:t>
      </w:r>
      <w:r w:rsidR="00D0172A" w:rsidRPr="0034179E">
        <w:t xml:space="preserve"> </w:t>
      </w:r>
      <w:r w:rsidR="00D0172A" w:rsidRPr="00836D9A">
        <w:t xml:space="preserve">TtW participants reported improvements in their </w:t>
      </w:r>
      <w:r w:rsidR="00D0172A" w:rsidRPr="0034179E">
        <w:t>work readiness and work skills due to working with their TtW provider, including improvements in confidence and communication skills</w:t>
      </w:r>
      <w:r w:rsidR="00D0172A">
        <w:t xml:space="preserve">. </w:t>
      </w:r>
      <w:r w:rsidR="00820CFF">
        <w:t>There was also an indication</w:t>
      </w:r>
      <w:r w:rsidR="00D0172A">
        <w:t xml:space="preserve"> that </w:t>
      </w:r>
      <w:r w:rsidR="00D0172A" w:rsidRPr="0034179E">
        <w:t>TtW was more effective at helping participants avoid contact with the criminal justice system.</w:t>
      </w:r>
    </w:p>
    <w:p w14:paraId="3F5A9CE7" w14:textId="5B0D4951" w:rsidR="00D0172A" w:rsidRDefault="00C969F3" w:rsidP="00D0172A">
      <w:pPr>
        <w:rPr>
          <w:rFonts w:eastAsiaTheme="minorEastAsia" w:cstheme="minorHAnsi"/>
        </w:rPr>
      </w:pPr>
      <w:r>
        <w:t>T</w:t>
      </w:r>
      <w:r w:rsidR="00D0172A">
        <w:t xml:space="preserve">he intensive nature of TtW </w:t>
      </w:r>
      <w:r>
        <w:t xml:space="preserve">was found to </w:t>
      </w:r>
      <w:r w:rsidR="00D0172A">
        <w:t xml:space="preserve">enable providers to build a trusting and supportive environment that encouraged ongoing engagement </w:t>
      </w:r>
      <w:r w:rsidR="006C3660">
        <w:t xml:space="preserve">with </w:t>
      </w:r>
      <w:r w:rsidR="00D0172A">
        <w:t xml:space="preserve">participants and the successful targeting of both vocational and non-vocational barriers. The evaluation </w:t>
      </w:r>
      <w:r w:rsidR="00820CFF">
        <w:t xml:space="preserve">research </w:t>
      </w:r>
      <w:r w:rsidR="00D0172A">
        <w:t xml:space="preserve">found that </w:t>
      </w:r>
      <w:r w:rsidR="00D0172A">
        <w:rPr>
          <w:rFonts w:eastAsiaTheme="minorEastAsia" w:cstheme="minorHAnsi"/>
        </w:rPr>
        <w:t>in addition to</w:t>
      </w:r>
      <w:r w:rsidR="00D0172A" w:rsidRPr="00E03C8E">
        <w:rPr>
          <w:rFonts w:eastAsiaTheme="minorEastAsia" w:cstheme="minorHAnsi"/>
        </w:rPr>
        <w:t xml:space="preserve"> TtW delivering positive work readiness, education and employment outcomes for young people, the service</w:t>
      </w:r>
      <w:r w:rsidR="00F8391B">
        <w:rPr>
          <w:rFonts w:eastAsiaTheme="minorEastAsia" w:cstheme="minorHAnsi"/>
        </w:rPr>
        <w:t>’</w:t>
      </w:r>
      <w:r w:rsidR="00D0172A" w:rsidRPr="00E03C8E">
        <w:rPr>
          <w:rFonts w:eastAsiaTheme="minorEastAsia" w:cstheme="minorHAnsi"/>
        </w:rPr>
        <w:t xml:space="preserve">s investment in the </w:t>
      </w:r>
      <w:r w:rsidR="00820CFF">
        <w:rPr>
          <w:rFonts w:eastAsiaTheme="minorEastAsia" w:cstheme="minorHAnsi"/>
        </w:rPr>
        <w:t>work</w:t>
      </w:r>
      <w:r w:rsidR="007479B7">
        <w:rPr>
          <w:rFonts w:eastAsiaTheme="minorEastAsia" w:cstheme="minorHAnsi"/>
        </w:rPr>
        <w:t>-</w:t>
      </w:r>
      <w:r w:rsidR="00820CFF">
        <w:rPr>
          <w:rFonts w:eastAsiaTheme="minorEastAsia" w:cstheme="minorHAnsi"/>
        </w:rPr>
        <w:t>related knowledge, skills</w:t>
      </w:r>
      <w:r w:rsidR="007479B7">
        <w:rPr>
          <w:rFonts w:eastAsiaTheme="minorEastAsia" w:cstheme="minorHAnsi"/>
        </w:rPr>
        <w:t xml:space="preserve"> and experience</w:t>
      </w:r>
      <w:r w:rsidR="00820CFF">
        <w:rPr>
          <w:rFonts w:eastAsiaTheme="minorEastAsia" w:cstheme="minorHAnsi"/>
        </w:rPr>
        <w:t xml:space="preserve"> of participants (their human capital)</w:t>
      </w:r>
      <w:r w:rsidR="00D0172A" w:rsidRPr="00E03C8E">
        <w:rPr>
          <w:rFonts w:eastAsiaTheme="minorEastAsia" w:cstheme="minorHAnsi"/>
        </w:rPr>
        <w:t xml:space="preserve"> </w:t>
      </w:r>
      <w:r w:rsidR="00D0172A">
        <w:rPr>
          <w:rFonts w:eastAsiaTheme="minorEastAsia" w:cstheme="minorHAnsi"/>
        </w:rPr>
        <w:t>also had</w:t>
      </w:r>
      <w:r w:rsidR="00D0172A" w:rsidRPr="00E03C8E">
        <w:rPr>
          <w:rFonts w:eastAsiaTheme="minorEastAsia" w:cstheme="minorHAnsi"/>
        </w:rPr>
        <w:t xml:space="preserve"> positive impacts on </w:t>
      </w:r>
      <w:r w:rsidR="00684A06">
        <w:rPr>
          <w:rFonts w:eastAsiaTheme="minorEastAsia" w:cstheme="minorHAnsi"/>
        </w:rPr>
        <w:t>their</w:t>
      </w:r>
      <w:r w:rsidR="00684A06" w:rsidRPr="00E03C8E">
        <w:rPr>
          <w:rFonts w:eastAsiaTheme="minorEastAsia" w:cstheme="minorHAnsi"/>
        </w:rPr>
        <w:t xml:space="preserve"> </w:t>
      </w:r>
      <w:r w:rsidR="00D0172A" w:rsidRPr="00E03C8E">
        <w:rPr>
          <w:rFonts w:eastAsiaTheme="minorEastAsia" w:cstheme="minorHAnsi"/>
        </w:rPr>
        <w:t xml:space="preserve">self-confidence and motivation to find and retain employment. </w:t>
      </w:r>
      <w:r w:rsidR="00646D6A">
        <w:rPr>
          <w:rFonts w:eastAsiaTheme="minorEastAsia" w:cstheme="minorHAnsi"/>
        </w:rPr>
        <w:t>It was</w:t>
      </w:r>
      <w:r w:rsidR="00D0172A">
        <w:rPr>
          <w:rFonts w:eastAsiaTheme="minorEastAsia" w:cstheme="minorHAnsi"/>
        </w:rPr>
        <w:t xml:space="preserve"> postulated </w:t>
      </w:r>
      <w:r w:rsidR="00646D6A">
        <w:rPr>
          <w:rFonts w:eastAsiaTheme="minorEastAsia" w:cstheme="minorHAnsi"/>
        </w:rPr>
        <w:t xml:space="preserve">in the evaluation report </w:t>
      </w:r>
      <w:r w:rsidR="00D0172A">
        <w:rPr>
          <w:rFonts w:eastAsiaTheme="minorEastAsia" w:cstheme="minorHAnsi"/>
        </w:rPr>
        <w:t xml:space="preserve">that this upfront investment in the human capital of participants would support </w:t>
      </w:r>
      <w:r w:rsidR="00CA1D30">
        <w:rPr>
          <w:rFonts w:eastAsiaTheme="minorEastAsia" w:cstheme="minorHAnsi"/>
        </w:rPr>
        <w:t xml:space="preserve">them </w:t>
      </w:r>
      <w:r w:rsidR="00D0172A">
        <w:rPr>
          <w:rFonts w:eastAsiaTheme="minorEastAsia" w:cstheme="minorHAnsi"/>
        </w:rPr>
        <w:t>to find more sustainable work in the longer</w:t>
      </w:r>
      <w:r w:rsidR="0094404A">
        <w:rPr>
          <w:rFonts w:eastAsiaTheme="minorEastAsia" w:cstheme="minorHAnsi"/>
        </w:rPr>
        <w:t xml:space="preserve"> </w:t>
      </w:r>
      <w:r w:rsidR="00D0172A">
        <w:rPr>
          <w:rFonts w:eastAsiaTheme="minorEastAsia" w:cstheme="minorHAnsi"/>
        </w:rPr>
        <w:t xml:space="preserve">term. The evaluation also identified </w:t>
      </w:r>
      <w:r w:rsidR="00CE358D">
        <w:rPr>
          <w:rFonts w:eastAsiaTheme="minorEastAsia" w:cstheme="minorHAnsi"/>
        </w:rPr>
        <w:t>that in addition</w:t>
      </w:r>
      <w:r w:rsidR="00D0172A">
        <w:rPr>
          <w:rFonts w:eastAsiaTheme="minorEastAsia" w:cstheme="minorHAnsi"/>
        </w:rPr>
        <w:t xml:space="preserve"> t</w:t>
      </w:r>
      <w:r w:rsidR="00CE358D">
        <w:rPr>
          <w:rFonts w:eastAsiaTheme="minorEastAsia" w:cstheme="minorHAnsi"/>
        </w:rPr>
        <w:t xml:space="preserve">o </w:t>
      </w:r>
      <w:r w:rsidR="00D0172A">
        <w:rPr>
          <w:rFonts w:eastAsiaTheme="minorEastAsia" w:cstheme="minorHAnsi"/>
        </w:rPr>
        <w:t>the development of human capital, supporting the development of participants</w:t>
      </w:r>
      <w:r w:rsidR="00F8391B">
        <w:rPr>
          <w:rFonts w:eastAsiaTheme="minorEastAsia" w:cstheme="minorHAnsi"/>
        </w:rPr>
        <w:t>’</w:t>
      </w:r>
      <w:r w:rsidR="00D0172A">
        <w:rPr>
          <w:rFonts w:eastAsiaTheme="minorEastAsia" w:cstheme="minorHAnsi"/>
        </w:rPr>
        <w:t xml:space="preserve"> broader human capabilities</w:t>
      </w:r>
      <w:r w:rsidR="00646D6A">
        <w:rPr>
          <w:rFonts w:eastAsiaTheme="minorEastAsia" w:cstheme="minorHAnsi"/>
        </w:rPr>
        <w:t xml:space="preserve"> such as confidence, motivation, mental and physical health, personal agency and empowerment and resilience</w:t>
      </w:r>
      <w:r w:rsidR="00D0172A">
        <w:rPr>
          <w:rFonts w:eastAsiaTheme="minorEastAsia" w:cstheme="minorHAnsi"/>
        </w:rPr>
        <w:t xml:space="preserve"> may have wider benefits </w:t>
      </w:r>
      <w:r w:rsidR="00D0172A" w:rsidRPr="00E03C8E">
        <w:rPr>
          <w:rFonts w:eastAsiaTheme="minorEastAsia" w:cstheme="minorHAnsi"/>
        </w:rPr>
        <w:t xml:space="preserve">for </w:t>
      </w:r>
      <w:r w:rsidR="00D0172A">
        <w:rPr>
          <w:rFonts w:eastAsiaTheme="minorEastAsia" w:cstheme="minorHAnsi"/>
        </w:rPr>
        <w:t xml:space="preserve">both the individuals and </w:t>
      </w:r>
      <w:r w:rsidR="00D0172A" w:rsidRPr="00E03C8E">
        <w:rPr>
          <w:rFonts w:eastAsiaTheme="minorEastAsia" w:cstheme="minorHAnsi"/>
        </w:rPr>
        <w:t>society</w:t>
      </w:r>
      <w:r w:rsidR="00D0172A">
        <w:rPr>
          <w:rFonts w:eastAsiaTheme="minorEastAsia" w:cstheme="minorHAnsi"/>
        </w:rPr>
        <w:t>.</w:t>
      </w:r>
    </w:p>
    <w:p w14:paraId="2CB29001" w14:textId="6DB1FFA2" w:rsidR="005E200A" w:rsidRPr="00C84D14" w:rsidRDefault="005E200A" w:rsidP="006E41FD">
      <w:pPr>
        <w:pStyle w:val="Heading2"/>
      </w:pPr>
      <w:bookmarkStart w:id="892" w:name="_Toc132650444"/>
      <w:bookmarkStart w:id="893" w:name="_Toc146033476"/>
      <w:r w:rsidRPr="00C84D14">
        <w:t>TtW</w:t>
      </w:r>
      <w:r w:rsidR="00F8391B">
        <w:t>’</w:t>
      </w:r>
      <w:r w:rsidRPr="00C84D14">
        <w:t>s role in supporting the development of participants</w:t>
      </w:r>
      <w:r w:rsidR="00F8391B">
        <w:t>’</w:t>
      </w:r>
      <w:r w:rsidRPr="00C84D14">
        <w:t xml:space="preserve"> human capabilities</w:t>
      </w:r>
      <w:r>
        <w:t xml:space="preserve"> – the </w:t>
      </w:r>
      <w:r w:rsidR="0094404A">
        <w:t>t</w:t>
      </w:r>
      <w:r>
        <w:t xml:space="preserve">heory of </w:t>
      </w:r>
      <w:r w:rsidR="0094404A">
        <w:t>c</w:t>
      </w:r>
      <w:r>
        <w:t>hange</w:t>
      </w:r>
      <w:bookmarkEnd w:id="892"/>
      <w:bookmarkEnd w:id="893"/>
    </w:p>
    <w:p w14:paraId="594B2EB5" w14:textId="27C285CA" w:rsidR="005E200A" w:rsidRDefault="005E200A" w:rsidP="005E200A">
      <w:r w:rsidRPr="00E3682D">
        <w:t xml:space="preserve">The TtW </w:t>
      </w:r>
      <w:r w:rsidR="00F653C4">
        <w:t>f</w:t>
      </w:r>
      <w:r w:rsidRPr="00E3682D">
        <w:t xml:space="preserve">inal </w:t>
      </w:r>
      <w:r w:rsidR="00F653C4">
        <w:t>e</w:t>
      </w:r>
      <w:r w:rsidRPr="00E3682D">
        <w:t xml:space="preserve">valuation identified that TtW involves a series of </w:t>
      </w:r>
      <w:r w:rsidR="00F8391B">
        <w:t>‘</w:t>
      </w:r>
      <w:r w:rsidRPr="00E3682D">
        <w:t>virtuous c</w:t>
      </w:r>
      <w:r>
        <w:t>y</w:t>
      </w:r>
      <w:r w:rsidRPr="00E3682D">
        <w:t>cles</w:t>
      </w:r>
      <w:r w:rsidR="00F8391B">
        <w:t>’</w:t>
      </w:r>
      <w:r w:rsidR="000F55D9">
        <w:t xml:space="preserve"> where participation in TtW provides young people with support as they move along a pathway of self-improvement to gain additional </w:t>
      </w:r>
      <w:r w:rsidR="00DE3E59">
        <w:t>training and/or qualifications.</w:t>
      </w:r>
      <w:r>
        <w:t xml:space="preserve"> </w:t>
      </w:r>
      <w:r w:rsidR="00DE3E59">
        <w:t>This is often not a linear process</w:t>
      </w:r>
      <w:r w:rsidR="00A15C55">
        <w:t xml:space="preserve">, with </w:t>
      </w:r>
      <w:r>
        <w:t xml:space="preserve">TtW </w:t>
      </w:r>
      <w:r w:rsidR="009B62B6">
        <w:t>staff</w:t>
      </w:r>
      <w:r>
        <w:t xml:space="preserve"> </w:t>
      </w:r>
      <w:r w:rsidRPr="00E3682D">
        <w:t xml:space="preserve">working </w:t>
      </w:r>
      <w:r>
        <w:t>alongside</w:t>
      </w:r>
      <w:r w:rsidRPr="00E3682D">
        <w:t xml:space="preserve"> participants</w:t>
      </w:r>
      <w:r>
        <w:t>: providing</w:t>
      </w:r>
      <w:r w:rsidRPr="00E3682D">
        <w:t xml:space="preserve"> genuine engagement</w:t>
      </w:r>
      <w:r>
        <w:t>, helping participants to set</w:t>
      </w:r>
      <w:r w:rsidRPr="00E3682D">
        <w:t xml:space="preserve"> achievable and relevant goals</w:t>
      </w:r>
      <w:r>
        <w:t>,</w:t>
      </w:r>
      <w:r w:rsidRPr="00E3682D">
        <w:t xml:space="preserve"> </w:t>
      </w:r>
      <w:r>
        <w:t xml:space="preserve">providing </w:t>
      </w:r>
      <w:r w:rsidRPr="00E3682D">
        <w:t xml:space="preserve">appropriate feedback and encouragement </w:t>
      </w:r>
      <w:r>
        <w:t xml:space="preserve">and facilitating </w:t>
      </w:r>
      <w:r w:rsidRPr="00E3682D">
        <w:lastRenderedPageBreak/>
        <w:t>tailored vocational and non-vocational assistance</w:t>
      </w:r>
      <w:r>
        <w:t>. This process</w:t>
      </w:r>
      <w:r w:rsidRPr="00E3682D">
        <w:t xml:space="preserve"> </w:t>
      </w:r>
      <w:r>
        <w:t xml:space="preserve">was found to facilitate </w:t>
      </w:r>
      <w:r w:rsidRPr="00E3682D">
        <w:t xml:space="preserve">increased </w:t>
      </w:r>
      <w:r>
        <w:t xml:space="preserve">participant </w:t>
      </w:r>
      <w:r w:rsidRPr="00E3682D">
        <w:t>competence</w:t>
      </w:r>
      <w:r>
        <w:t xml:space="preserve"> which led to </w:t>
      </w:r>
      <w:r w:rsidRPr="00E3682D">
        <w:t>heightened confidence</w:t>
      </w:r>
      <w:r>
        <w:t xml:space="preserve"> and </w:t>
      </w:r>
      <w:r w:rsidRPr="00E3682D">
        <w:t>motivation</w:t>
      </w:r>
      <w:r>
        <w:t xml:space="preserve"> (</w:t>
      </w:r>
      <w:r w:rsidRPr="00067A97">
        <w:rPr>
          <w:b/>
          <w:bCs/>
        </w:rPr>
        <w:t>DESE 2021</w:t>
      </w:r>
      <w:r>
        <w:t>)</w:t>
      </w:r>
      <w:r w:rsidRPr="00E3682D">
        <w:t>.</w:t>
      </w:r>
    </w:p>
    <w:p w14:paraId="36A436B1" w14:textId="5A918EA1" w:rsidR="0094404A" w:rsidRDefault="00063FAE" w:rsidP="003B72EB">
      <w:r>
        <w:t xml:space="preserve">The </w:t>
      </w:r>
      <w:r w:rsidR="005E200A" w:rsidRPr="00451DF8">
        <w:t xml:space="preserve">TtW </w:t>
      </w:r>
      <w:r w:rsidR="00A15C55">
        <w:t>service</w:t>
      </w:r>
      <w:r w:rsidR="005E200A" w:rsidRPr="00451DF8">
        <w:t xml:space="preserve"> clearly focuses on </w:t>
      </w:r>
      <w:r w:rsidR="005E200A" w:rsidRPr="00983004">
        <w:t xml:space="preserve">building human capital with the objective of achieving sustained employment outcomes for young </w:t>
      </w:r>
      <w:r w:rsidR="00A55B90">
        <w:t>people</w:t>
      </w:r>
      <w:r w:rsidR="005E200A">
        <w:t xml:space="preserve"> in the longer</w:t>
      </w:r>
      <w:r w:rsidR="0094404A">
        <w:t xml:space="preserve"> </w:t>
      </w:r>
      <w:r w:rsidR="005E200A">
        <w:t>term</w:t>
      </w:r>
      <w:r w:rsidR="005E200A" w:rsidRPr="00983004">
        <w:t xml:space="preserve">. </w:t>
      </w:r>
      <w:r w:rsidR="00195262">
        <w:t xml:space="preserve">Evidence from the </w:t>
      </w:r>
      <w:r w:rsidR="00CE358D">
        <w:t>f</w:t>
      </w:r>
      <w:r w:rsidR="00195262">
        <w:t>inal evaluation indicate</w:t>
      </w:r>
      <w:r w:rsidR="00BD7061">
        <w:t>d</w:t>
      </w:r>
      <w:r w:rsidR="00195262">
        <w:t xml:space="preserve"> that </w:t>
      </w:r>
      <w:r w:rsidR="005E200A">
        <w:t xml:space="preserve">TtW plays an </w:t>
      </w:r>
      <w:r w:rsidR="00E0729D">
        <w:t xml:space="preserve">important </w:t>
      </w:r>
      <w:r w:rsidR="005E200A">
        <w:t>role in building the human capabilities of young people</w:t>
      </w:r>
      <w:r w:rsidR="002250C1">
        <w:t>. It also indicated</w:t>
      </w:r>
      <w:r w:rsidR="005E200A">
        <w:t xml:space="preserve"> that </w:t>
      </w:r>
      <w:r w:rsidR="00153BF7">
        <w:t xml:space="preserve">enhancing </w:t>
      </w:r>
      <w:r w:rsidR="00DB3ABE">
        <w:t>their</w:t>
      </w:r>
      <w:r w:rsidR="005E200A">
        <w:t xml:space="preserve"> human capabilities would </w:t>
      </w:r>
      <w:r w:rsidR="00153BF7">
        <w:t>enable them to</w:t>
      </w:r>
      <w:r w:rsidR="005E200A">
        <w:t xml:space="preserve"> better meet their vocational goals, experience benefits beyond work readiness and </w:t>
      </w:r>
      <w:r w:rsidR="00994D45">
        <w:t xml:space="preserve">have increased capacity to </w:t>
      </w:r>
      <w:r w:rsidR="005E200A" w:rsidRPr="002D7AF9">
        <w:t>contribu</w:t>
      </w:r>
      <w:r w:rsidR="00E0729D">
        <w:t>te</w:t>
      </w:r>
      <w:r w:rsidR="005E200A" w:rsidRPr="002D7AF9">
        <w:t xml:space="preserve"> to their broader community</w:t>
      </w:r>
      <w:r w:rsidR="005E200A">
        <w:t xml:space="preserve">. </w:t>
      </w:r>
      <w:r w:rsidR="00C00BE5">
        <w:t>From these findings it is hypothesised that</w:t>
      </w:r>
      <w:r w:rsidR="005E200A">
        <w:t xml:space="preserve"> TtW is instrumental not only in meeting the goal of work readiness but</w:t>
      </w:r>
      <w:r w:rsidR="0094404A">
        <w:t xml:space="preserve"> also</w:t>
      </w:r>
      <w:r w:rsidR="005E200A">
        <w:t xml:space="preserve"> in improving individuals</w:t>
      </w:r>
      <w:r w:rsidR="00F8391B">
        <w:t>’</w:t>
      </w:r>
      <w:r w:rsidR="005E200A">
        <w:t xml:space="preserve"> broader wellbeing through a holistic people-centred approach</w:t>
      </w:r>
      <w:r w:rsidR="0094404A">
        <w:t>.</w:t>
      </w:r>
      <w:r w:rsidR="005E200A">
        <w:rPr>
          <w:rStyle w:val="FootnoteReference"/>
        </w:rPr>
        <w:footnoteReference w:id="29"/>
      </w:r>
      <w:r w:rsidR="0094404A">
        <w:br w:type="page"/>
      </w:r>
    </w:p>
    <w:p w14:paraId="053C9F09" w14:textId="090485D5" w:rsidR="000A7998" w:rsidRDefault="00334E0A" w:rsidP="00CD7319">
      <w:pPr>
        <w:pStyle w:val="Heading1"/>
      </w:pPr>
      <w:bookmarkStart w:id="894" w:name="_Toc145876678"/>
      <w:bookmarkStart w:id="895" w:name="_Toc145942770"/>
      <w:bookmarkStart w:id="896" w:name="_Toc108539206"/>
      <w:bookmarkStart w:id="897" w:name="_Toc109821962"/>
      <w:bookmarkStart w:id="898" w:name="_Toc109918444"/>
      <w:bookmarkStart w:id="899" w:name="_Toc110249255"/>
      <w:bookmarkStart w:id="900" w:name="_Toc110251296"/>
      <w:bookmarkStart w:id="901" w:name="_Toc110264693"/>
      <w:bookmarkStart w:id="902" w:name="_Toc110410871"/>
      <w:bookmarkStart w:id="903" w:name="_Toc132194115"/>
      <w:bookmarkStart w:id="904" w:name="_Toc132194271"/>
      <w:bookmarkStart w:id="905" w:name="_Toc106711810"/>
      <w:bookmarkStart w:id="906" w:name="_Toc132650445"/>
      <w:bookmarkStart w:id="907" w:name="_Toc146033477"/>
      <w:bookmarkEnd w:id="894"/>
      <w:bookmarkEnd w:id="895"/>
      <w:bookmarkEnd w:id="896"/>
      <w:bookmarkEnd w:id="897"/>
      <w:bookmarkEnd w:id="898"/>
      <w:bookmarkEnd w:id="899"/>
      <w:bookmarkEnd w:id="900"/>
      <w:bookmarkEnd w:id="901"/>
      <w:bookmarkEnd w:id="902"/>
      <w:bookmarkEnd w:id="903"/>
      <w:bookmarkEnd w:id="904"/>
      <w:r w:rsidRPr="00334E0A">
        <w:lastRenderedPageBreak/>
        <w:t>–</w:t>
      </w:r>
      <w:r w:rsidR="00195262">
        <w:t xml:space="preserve"> </w:t>
      </w:r>
      <w:r w:rsidR="003F32F8" w:rsidRPr="00BB0C7F">
        <w:t>Supplementary</w:t>
      </w:r>
      <w:r w:rsidR="000A7998">
        <w:t xml:space="preserve"> evaluation</w:t>
      </w:r>
      <w:r w:rsidR="00FA5203">
        <w:t xml:space="preserve"> of </w:t>
      </w:r>
      <w:bookmarkEnd w:id="905"/>
      <w:r w:rsidR="00710EFD">
        <w:t>TtW</w:t>
      </w:r>
      <w:bookmarkEnd w:id="906"/>
      <w:bookmarkEnd w:id="907"/>
    </w:p>
    <w:p w14:paraId="43111ADD" w14:textId="0647147D" w:rsidR="000720A6" w:rsidRDefault="04CFF5E2" w:rsidP="006E41FD">
      <w:pPr>
        <w:pStyle w:val="Heading2"/>
      </w:pPr>
      <w:bookmarkStart w:id="908" w:name="_Toc108539208"/>
      <w:bookmarkStart w:id="909" w:name="_Toc109821964"/>
      <w:bookmarkStart w:id="910" w:name="_Toc109918446"/>
      <w:bookmarkStart w:id="911" w:name="_Toc110249257"/>
      <w:bookmarkStart w:id="912" w:name="_Toc110251298"/>
      <w:bookmarkStart w:id="913" w:name="_Toc110264695"/>
      <w:bookmarkStart w:id="914" w:name="_Toc110410873"/>
      <w:bookmarkStart w:id="915" w:name="_Toc108539209"/>
      <w:bookmarkStart w:id="916" w:name="_Toc109821965"/>
      <w:bookmarkStart w:id="917" w:name="_Toc109918447"/>
      <w:bookmarkStart w:id="918" w:name="_Toc110249258"/>
      <w:bookmarkStart w:id="919" w:name="_Toc110251299"/>
      <w:bookmarkStart w:id="920" w:name="_Toc110264696"/>
      <w:bookmarkStart w:id="921" w:name="_Toc110410874"/>
      <w:bookmarkStart w:id="922" w:name="_Toc106711816"/>
      <w:bookmarkStart w:id="923" w:name="_Toc132650446"/>
      <w:bookmarkStart w:id="924" w:name="_Toc146033478"/>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r>
        <w:t>Evaluation scope</w:t>
      </w:r>
      <w:bookmarkEnd w:id="922"/>
      <w:bookmarkEnd w:id="923"/>
      <w:bookmarkEnd w:id="924"/>
    </w:p>
    <w:p w14:paraId="02406A6E" w14:textId="2EDFA806" w:rsidR="000720A6" w:rsidRPr="00934642" w:rsidRDefault="00C8337A" w:rsidP="003F3CFA">
      <w:pPr>
        <w:pStyle w:val="Body"/>
        <w:rPr>
          <w:rFonts w:eastAsiaTheme="minorEastAsia" w:cstheme="minorHAnsi"/>
        </w:rPr>
      </w:pPr>
      <w:r>
        <w:t>T</w:t>
      </w:r>
      <w:r w:rsidR="000720A6">
        <w:t xml:space="preserve">his </w:t>
      </w:r>
      <w:r w:rsidR="003F32F8">
        <w:t>supplementary</w:t>
      </w:r>
      <w:r w:rsidR="000720A6">
        <w:t xml:space="preserve"> evaluation extends and broadens </w:t>
      </w:r>
      <w:r>
        <w:t xml:space="preserve">previous </w:t>
      </w:r>
      <w:r w:rsidR="00D0172A">
        <w:t xml:space="preserve">TtW evaluation </w:t>
      </w:r>
      <w:r>
        <w:t>research</w:t>
      </w:r>
      <w:r w:rsidR="000766A0">
        <w:t>. It</w:t>
      </w:r>
      <w:r w:rsidR="000720A6">
        <w:t xml:space="preserve"> examin</w:t>
      </w:r>
      <w:r w:rsidR="000766A0">
        <w:t>es</w:t>
      </w:r>
      <w:r w:rsidR="000720A6">
        <w:t xml:space="preserve"> </w:t>
      </w:r>
      <w:r w:rsidR="00153279">
        <w:t xml:space="preserve">how effective TtW has been at achieving </w:t>
      </w:r>
      <w:r w:rsidR="000720A6">
        <w:t>t</w:t>
      </w:r>
      <w:r w:rsidR="000720A6">
        <w:rPr>
          <w:rFonts w:eastAsiaTheme="minorEastAsia" w:cstheme="minorHAnsi"/>
        </w:rPr>
        <w:t xml:space="preserve">he </w:t>
      </w:r>
      <w:r w:rsidR="00934642" w:rsidRPr="00934642">
        <w:rPr>
          <w:rFonts w:eastAsiaTheme="minorEastAsia" w:cstheme="minorHAnsi"/>
          <w:b/>
          <w:bCs/>
        </w:rPr>
        <w:t xml:space="preserve">intended </w:t>
      </w:r>
      <w:r w:rsidR="000720A6" w:rsidRPr="00934642">
        <w:rPr>
          <w:rFonts w:eastAsiaTheme="minorEastAsia" w:cstheme="minorHAnsi"/>
          <w:b/>
          <w:bCs/>
        </w:rPr>
        <w:t>longer</w:t>
      </w:r>
      <w:r w:rsidR="009E2F35">
        <w:rPr>
          <w:rFonts w:eastAsiaTheme="minorEastAsia" w:cstheme="minorHAnsi"/>
          <w:b/>
          <w:bCs/>
        </w:rPr>
        <w:t>-</w:t>
      </w:r>
      <w:r w:rsidR="000720A6" w:rsidRPr="00934642">
        <w:rPr>
          <w:rFonts w:eastAsiaTheme="minorEastAsia" w:cstheme="minorHAnsi"/>
          <w:b/>
          <w:bCs/>
        </w:rPr>
        <w:t>term</w:t>
      </w:r>
      <w:r w:rsidR="000720A6" w:rsidRPr="00934642">
        <w:rPr>
          <w:rFonts w:eastAsiaTheme="minorEastAsia" w:cstheme="minorHAnsi"/>
        </w:rPr>
        <w:t xml:space="preserve"> (</w:t>
      </w:r>
      <w:r w:rsidR="00934642" w:rsidRPr="00934642">
        <w:rPr>
          <w:rFonts w:eastAsiaTheme="minorEastAsia" w:cstheme="minorHAnsi"/>
        </w:rPr>
        <w:t>3</w:t>
      </w:r>
      <w:r w:rsidR="00FF3022">
        <w:rPr>
          <w:rFonts w:eastAsiaTheme="minorEastAsia" w:cstheme="minorHAnsi"/>
        </w:rPr>
        <w:t xml:space="preserve"> to </w:t>
      </w:r>
      <w:r w:rsidR="000720A6" w:rsidRPr="00934642">
        <w:rPr>
          <w:rFonts w:eastAsiaTheme="minorEastAsia" w:cstheme="minorHAnsi"/>
        </w:rPr>
        <w:t xml:space="preserve">4 year) </w:t>
      </w:r>
      <w:r w:rsidR="00153279">
        <w:rPr>
          <w:rFonts w:eastAsiaTheme="minorEastAsia" w:cstheme="minorHAnsi"/>
        </w:rPr>
        <w:t>objective</w:t>
      </w:r>
      <w:r w:rsidR="000720A6" w:rsidRPr="00934642">
        <w:rPr>
          <w:rFonts w:eastAsiaTheme="minorEastAsia" w:cstheme="minorHAnsi"/>
        </w:rPr>
        <w:t xml:space="preserve"> </w:t>
      </w:r>
      <w:r w:rsidR="00153279">
        <w:rPr>
          <w:rFonts w:eastAsiaTheme="minorEastAsia" w:cstheme="minorHAnsi"/>
        </w:rPr>
        <w:t>of the program</w:t>
      </w:r>
      <w:r w:rsidR="009F0A7C">
        <w:rPr>
          <w:rFonts w:eastAsiaTheme="minorEastAsia" w:cstheme="minorHAnsi"/>
        </w:rPr>
        <w:t xml:space="preserve"> </w:t>
      </w:r>
      <w:r w:rsidR="00195262">
        <w:rPr>
          <w:rFonts w:eastAsiaTheme="minorEastAsia" w:cstheme="minorHAnsi"/>
        </w:rPr>
        <w:t>that</w:t>
      </w:r>
      <w:r w:rsidR="00195262">
        <w:t xml:space="preserve"> </w:t>
      </w:r>
      <w:r w:rsidR="00F8391B">
        <w:t>‘</w:t>
      </w:r>
      <w:r w:rsidR="00195262">
        <w:t>y</w:t>
      </w:r>
      <w:r w:rsidR="00153279" w:rsidRPr="00CD7319">
        <w:t>oung people have increased employment/labour market engagement and reduced dependence on Income Support</w:t>
      </w:r>
      <w:r w:rsidR="00F8391B">
        <w:t>’</w:t>
      </w:r>
      <w:r w:rsidR="0094404A">
        <w:t>,</w:t>
      </w:r>
      <w:r w:rsidR="004D2DCA">
        <w:rPr>
          <w:rStyle w:val="FootnoteReference"/>
        </w:rPr>
        <w:footnoteReference w:id="30"/>
      </w:r>
      <w:r w:rsidR="00153279">
        <w:rPr>
          <w:i/>
          <w:iCs/>
        </w:rPr>
        <w:t xml:space="preserve"> </w:t>
      </w:r>
      <w:r w:rsidR="00153279" w:rsidRPr="005630D6">
        <w:t>both overall, and for different equity groups.</w:t>
      </w:r>
      <w:r w:rsidR="000720A6" w:rsidRPr="00934642">
        <w:rPr>
          <w:rFonts w:eastAsiaTheme="minorEastAsia" w:cstheme="minorHAnsi"/>
        </w:rPr>
        <w:t xml:space="preserve"> </w:t>
      </w:r>
      <w:r w:rsidR="00D0172A">
        <w:t>It</w:t>
      </w:r>
      <w:r w:rsidR="00D0172A" w:rsidRPr="00D33026">
        <w:rPr>
          <w:rFonts w:eastAsiaTheme="minorEastAsia" w:cstheme="minorHAnsi"/>
        </w:rPr>
        <w:t xml:space="preserve"> examine</w:t>
      </w:r>
      <w:r w:rsidR="00D0172A">
        <w:rPr>
          <w:rFonts w:eastAsiaTheme="minorEastAsia" w:cstheme="minorHAnsi"/>
        </w:rPr>
        <w:t>s</w:t>
      </w:r>
      <w:r w:rsidR="00D0172A" w:rsidRPr="00D33026">
        <w:rPr>
          <w:rFonts w:eastAsiaTheme="minorEastAsia" w:cstheme="minorHAnsi"/>
        </w:rPr>
        <w:t xml:space="preserve"> the </w:t>
      </w:r>
      <w:r w:rsidR="00D0172A" w:rsidRPr="00D33026">
        <w:rPr>
          <w:rFonts w:eastAsiaTheme="minorEastAsia" w:cstheme="minorHAnsi"/>
          <w:bCs/>
        </w:rPr>
        <w:t xml:space="preserve">impact that </w:t>
      </w:r>
      <w:r w:rsidR="00D0172A">
        <w:rPr>
          <w:rFonts w:eastAsiaTheme="minorEastAsia" w:cstheme="minorHAnsi"/>
          <w:bCs/>
        </w:rPr>
        <w:t>increasing</w:t>
      </w:r>
      <w:r w:rsidR="00D0172A" w:rsidRPr="00D33026">
        <w:rPr>
          <w:rFonts w:eastAsiaTheme="minorEastAsia" w:cstheme="minorHAnsi"/>
          <w:bCs/>
        </w:rPr>
        <w:t xml:space="preserve"> the maximum duration of engagement from 12 to 18 months has had on participant outcomes and provider behaviour.</w:t>
      </w:r>
      <w:r w:rsidR="00D0172A">
        <w:rPr>
          <w:rFonts w:eastAsiaTheme="minorEastAsia" w:cstheme="minorHAnsi"/>
          <w:bCs/>
        </w:rPr>
        <w:t xml:space="preserve"> </w:t>
      </w:r>
      <w:r w:rsidR="00195262">
        <w:rPr>
          <w:rFonts w:eastAsiaTheme="minorEastAsia" w:cstheme="minorHAnsi"/>
          <w:bCs/>
        </w:rPr>
        <w:t xml:space="preserve">As outlined in the </w:t>
      </w:r>
      <w:r w:rsidR="0094404A">
        <w:rPr>
          <w:rFonts w:eastAsiaTheme="minorEastAsia" w:cstheme="minorHAnsi"/>
          <w:bCs/>
        </w:rPr>
        <w:t>t</w:t>
      </w:r>
      <w:r w:rsidR="00195262">
        <w:rPr>
          <w:rFonts w:eastAsiaTheme="minorEastAsia" w:cstheme="minorHAnsi"/>
          <w:bCs/>
        </w:rPr>
        <w:t xml:space="preserve">heory of </w:t>
      </w:r>
      <w:r w:rsidR="0094404A">
        <w:rPr>
          <w:rFonts w:eastAsiaTheme="minorEastAsia" w:cstheme="minorHAnsi"/>
          <w:bCs/>
        </w:rPr>
        <w:t>c</w:t>
      </w:r>
      <w:r w:rsidR="00195262">
        <w:rPr>
          <w:rFonts w:eastAsiaTheme="minorEastAsia" w:cstheme="minorHAnsi"/>
          <w:bCs/>
        </w:rPr>
        <w:t>hange (</w:t>
      </w:r>
      <w:r w:rsidR="00195262" w:rsidRPr="00CD7319">
        <w:rPr>
          <w:rFonts w:eastAsiaTheme="minorEastAsia" w:cstheme="minorHAnsi"/>
          <w:b/>
        </w:rPr>
        <w:t>Section 1.6</w:t>
      </w:r>
      <w:r w:rsidR="00195262">
        <w:rPr>
          <w:rFonts w:eastAsiaTheme="minorEastAsia" w:cstheme="minorHAnsi"/>
          <w:bCs/>
        </w:rPr>
        <w:t xml:space="preserve">) </w:t>
      </w:r>
      <w:r w:rsidR="00195262">
        <w:rPr>
          <w:rFonts w:eastAsiaTheme="minorEastAsia" w:cstheme="minorHAnsi"/>
        </w:rPr>
        <w:t>i</w:t>
      </w:r>
      <w:r w:rsidR="0005306A">
        <w:rPr>
          <w:rFonts w:eastAsiaTheme="minorEastAsia" w:cstheme="minorHAnsi"/>
        </w:rPr>
        <w:t>t</w:t>
      </w:r>
      <w:r w:rsidR="0005306A" w:rsidRPr="00E03C8E">
        <w:rPr>
          <w:rFonts w:eastAsiaTheme="minorEastAsia" w:cstheme="minorHAnsi"/>
        </w:rPr>
        <w:t xml:space="preserve"> also </w:t>
      </w:r>
      <w:r w:rsidR="0005306A">
        <w:rPr>
          <w:rFonts w:eastAsiaTheme="minorEastAsia" w:cstheme="minorHAnsi"/>
        </w:rPr>
        <w:t xml:space="preserve">broadens the research to look at the </w:t>
      </w:r>
      <w:r w:rsidR="00F8391B">
        <w:rPr>
          <w:rFonts w:eastAsiaTheme="minorEastAsia" w:cstheme="minorHAnsi"/>
        </w:rPr>
        <w:t>‘</w:t>
      </w:r>
      <w:r w:rsidR="00A32C73" w:rsidRPr="00CD7319">
        <w:rPr>
          <w:rFonts w:eastAsiaTheme="minorEastAsia" w:cstheme="minorHAnsi"/>
        </w:rPr>
        <w:t>emergent</w:t>
      </w:r>
      <w:r w:rsidR="00F8391B">
        <w:rPr>
          <w:rFonts w:eastAsiaTheme="minorEastAsia" w:cstheme="minorHAnsi"/>
        </w:rPr>
        <w:t>’</w:t>
      </w:r>
      <w:r w:rsidR="0005306A">
        <w:rPr>
          <w:rFonts w:eastAsiaTheme="minorEastAsia" w:cstheme="minorHAnsi"/>
        </w:rPr>
        <w:t xml:space="preserve"> impacts of TtW, examining </w:t>
      </w:r>
      <w:r w:rsidR="0005306A" w:rsidRPr="00E03C8E">
        <w:rPr>
          <w:rFonts w:eastAsiaTheme="minorEastAsia" w:cstheme="minorHAnsi"/>
        </w:rPr>
        <w:t xml:space="preserve">the </w:t>
      </w:r>
      <w:r w:rsidR="0005306A">
        <w:rPr>
          <w:rFonts w:eastAsiaTheme="minorEastAsia" w:cstheme="minorHAnsi"/>
        </w:rPr>
        <w:t>effect</w:t>
      </w:r>
      <w:r w:rsidR="0005306A" w:rsidRPr="00E03C8E">
        <w:rPr>
          <w:rFonts w:eastAsiaTheme="minorEastAsia" w:cstheme="minorHAnsi"/>
        </w:rPr>
        <w:t xml:space="preserve"> of TtW on </w:t>
      </w:r>
      <w:r w:rsidR="0005306A">
        <w:rPr>
          <w:rFonts w:eastAsiaTheme="minorEastAsia" w:cstheme="minorHAnsi"/>
        </w:rPr>
        <w:t>participants</w:t>
      </w:r>
      <w:r w:rsidR="0094404A">
        <w:rPr>
          <w:rFonts w:eastAsiaTheme="minorEastAsia" w:cstheme="minorHAnsi"/>
        </w:rPr>
        <w:t>’</w:t>
      </w:r>
      <w:r w:rsidR="0005306A">
        <w:rPr>
          <w:rFonts w:eastAsiaTheme="minorEastAsia" w:cstheme="minorHAnsi"/>
        </w:rPr>
        <w:t xml:space="preserve"> contact with the criminal justice system, their</w:t>
      </w:r>
      <w:r w:rsidR="0005306A" w:rsidRPr="005630D6">
        <w:rPr>
          <w:rFonts w:eastAsiaTheme="minorEastAsia" w:cstheme="minorHAnsi"/>
        </w:rPr>
        <w:t xml:space="preserve"> human capability</w:t>
      </w:r>
      <w:r w:rsidR="0005306A">
        <w:rPr>
          <w:rStyle w:val="FootnoteReference"/>
          <w:rFonts w:eastAsiaTheme="minorEastAsia" w:cstheme="minorHAnsi"/>
        </w:rPr>
        <w:footnoteReference w:id="31"/>
      </w:r>
      <w:r w:rsidR="0005306A">
        <w:rPr>
          <w:rFonts w:eastAsiaTheme="minorEastAsia" w:cstheme="minorHAnsi"/>
        </w:rPr>
        <w:t xml:space="preserve"> and their overall wellbeing</w:t>
      </w:r>
      <w:r w:rsidR="0005306A" w:rsidRPr="00E03C8E">
        <w:rPr>
          <w:rFonts w:eastAsiaTheme="minorEastAsia" w:cstheme="minorHAnsi"/>
        </w:rPr>
        <w:t>.</w:t>
      </w:r>
    </w:p>
    <w:p w14:paraId="7C3F9EC7" w14:textId="72EC0620" w:rsidR="000720A6" w:rsidRDefault="000720A6" w:rsidP="009251AF">
      <w:pPr>
        <w:pStyle w:val="Body"/>
        <w:rPr>
          <w:rFonts w:eastAsiaTheme="minorEastAsia" w:cstheme="minorHAnsi"/>
        </w:rPr>
      </w:pPr>
      <w:bookmarkStart w:id="925" w:name="_Hlk106636609"/>
      <w:r>
        <w:rPr>
          <w:rFonts w:eastAsiaTheme="minorEastAsia" w:cstheme="minorHAnsi"/>
          <w:bCs/>
        </w:rPr>
        <w:t>This evaluation does not examine the overall effectiveness, efficiency, appropriateness</w:t>
      </w:r>
      <w:r w:rsidR="00934642">
        <w:rPr>
          <w:rFonts w:eastAsiaTheme="minorEastAsia" w:cstheme="minorHAnsi"/>
          <w:bCs/>
        </w:rPr>
        <w:t xml:space="preserve"> or</w:t>
      </w:r>
      <w:r>
        <w:rPr>
          <w:rFonts w:eastAsiaTheme="minorEastAsia" w:cstheme="minorHAnsi"/>
          <w:bCs/>
        </w:rPr>
        <w:t xml:space="preserve"> equity of the TtW program</w:t>
      </w:r>
      <w:r w:rsidR="0094404A">
        <w:rPr>
          <w:rFonts w:eastAsiaTheme="minorEastAsia" w:cstheme="minorHAnsi"/>
          <w:bCs/>
        </w:rPr>
        <w:t>,</w:t>
      </w:r>
      <w:r>
        <w:rPr>
          <w:rFonts w:eastAsiaTheme="minorEastAsia" w:cstheme="minorHAnsi"/>
          <w:bCs/>
        </w:rPr>
        <w:t xml:space="preserve"> as this was the focus of previous evaluations and is reported in the TtW Final Evaluation Report</w:t>
      </w:r>
      <w:r w:rsidR="00934642">
        <w:rPr>
          <w:rFonts w:eastAsiaTheme="minorEastAsia" w:cstheme="minorHAnsi"/>
          <w:bCs/>
        </w:rPr>
        <w:t xml:space="preserve"> (</w:t>
      </w:r>
      <w:r w:rsidR="00934642" w:rsidRPr="00934642">
        <w:rPr>
          <w:rFonts w:eastAsiaTheme="minorEastAsia" w:cstheme="minorHAnsi"/>
          <w:b/>
        </w:rPr>
        <w:t>DESE 2021</w:t>
      </w:r>
      <w:r w:rsidR="00934642">
        <w:rPr>
          <w:rFonts w:eastAsiaTheme="minorEastAsia" w:cstheme="minorHAnsi"/>
          <w:bCs/>
        </w:rPr>
        <w:t>)</w:t>
      </w:r>
      <w:r>
        <w:rPr>
          <w:rFonts w:eastAsiaTheme="minorEastAsia" w:cstheme="minorHAnsi"/>
          <w:bCs/>
        </w:rPr>
        <w:t>.</w:t>
      </w:r>
    </w:p>
    <w:p w14:paraId="2FBB2791" w14:textId="553DB43D" w:rsidR="000720A6" w:rsidRDefault="04CFF5E2" w:rsidP="006E41FD">
      <w:pPr>
        <w:pStyle w:val="Heading2"/>
      </w:pPr>
      <w:bookmarkStart w:id="926" w:name="_Toc106711817"/>
      <w:bookmarkStart w:id="927" w:name="_Toc132650447"/>
      <w:bookmarkStart w:id="928" w:name="_Toc146033479"/>
      <w:bookmarkEnd w:id="925"/>
      <w:r>
        <w:t xml:space="preserve">Key </w:t>
      </w:r>
      <w:r w:rsidR="0094404A">
        <w:t>e</w:t>
      </w:r>
      <w:r>
        <w:t>valuation questions</w:t>
      </w:r>
      <w:bookmarkEnd w:id="926"/>
      <w:bookmarkEnd w:id="927"/>
      <w:bookmarkEnd w:id="928"/>
    </w:p>
    <w:p w14:paraId="39E9A60A" w14:textId="4EC6131B" w:rsidR="000720A6" w:rsidRDefault="000720A6" w:rsidP="000720A6">
      <w:r>
        <w:t xml:space="preserve">The </w:t>
      </w:r>
      <w:r w:rsidR="00287C1E">
        <w:t xml:space="preserve">supplementary </w:t>
      </w:r>
      <w:r>
        <w:t xml:space="preserve">evaluation </w:t>
      </w:r>
      <w:r w:rsidR="00B013F8">
        <w:t>answers</w:t>
      </w:r>
      <w:r w:rsidRPr="00113962">
        <w:t xml:space="preserve"> </w:t>
      </w:r>
      <w:r w:rsidR="00F8391B">
        <w:t>3</w:t>
      </w:r>
      <w:r>
        <w:t xml:space="preserve"> </w:t>
      </w:r>
      <w:r w:rsidR="00112812">
        <w:t xml:space="preserve">key </w:t>
      </w:r>
      <w:r>
        <w:t>evaluation questions:</w:t>
      </w:r>
    </w:p>
    <w:p w14:paraId="52761523" w14:textId="77777777" w:rsidR="005B4FD6" w:rsidRDefault="005B4FD6" w:rsidP="005B4FD6">
      <w:pPr>
        <w:pStyle w:val="Normalafter12pt"/>
        <w:spacing w:after="120"/>
        <w:rPr>
          <w:rFonts w:eastAsia="Calibri" w:cstheme="minorHAnsi"/>
          <w:b/>
          <w:bCs/>
        </w:rPr>
      </w:pPr>
      <w:r>
        <w:rPr>
          <w:rFonts w:eastAsia="Calibri" w:cstheme="minorHAnsi"/>
          <w:b/>
          <w:bCs/>
        </w:rPr>
        <w:t>Evaluation Question 1 (</w:t>
      </w:r>
      <w:r w:rsidRPr="00112812">
        <w:rPr>
          <w:rFonts w:eastAsia="Calibri" w:cstheme="minorHAnsi"/>
          <w:b/>
          <w:bCs/>
        </w:rPr>
        <w:t>EQ</w:t>
      </w:r>
      <w:r>
        <w:rPr>
          <w:rFonts w:eastAsia="Calibri" w:cstheme="minorHAnsi"/>
          <w:b/>
          <w:bCs/>
        </w:rPr>
        <w:t>1</w:t>
      </w:r>
      <w:r w:rsidRPr="00112812">
        <w:rPr>
          <w:rFonts w:eastAsia="Calibri" w:cstheme="minorHAnsi"/>
          <w:b/>
          <w:bCs/>
        </w:rPr>
        <w:t>):</w:t>
      </w:r>
      <w:r w:rsidRPr="001431BC">
        <w:rPr>
          <w:rFonts w:eastAsia="Calibri" w:cstheme="minorHAnsi"/>
          <w:b/>
          <w:bCs/>
        </w:rPr>
        <w:t xml:space="preserve"> What were the effects of TtW</w:t>
      </w:r>
      <w:r>
        <w:rPr>
          <w:rFonts w:eastAsia="Calibri" w:cstheme="minorHAnsi"/>
          <w:b/>
          <w:bCs/>
        </w:rPr>
        <w:t xml:space="preserve"> on broader human capabilities, wellbeing and contact with the criminal justice system</w:t>
      </w:r>
      <w:r w:rsidRPr="001431BC">
        <w:rPr>
          <w:rFonts w:eastAsia="Calibri" w:cstheme="minorHAnsi"/>
          <w:b/>
          <w:bCs/>
        </w:rPr>
        <w:t>?</w:t>
      </w:r>
    </w:p>
    <w:p w14:paraId="60B9C718" w14:textId="454542D0" w:rsidR="005E7D76" w:rsidRPr="005B4FD6" w:rsidRDefault="005B4FD6" w:rsidP="00D11E39">
      <w:pPr>
        <w:rPr>
          <w:bCs/>
        </w:rPr>
      </w:pPr>
      <w:r w:rsidRPr="001431BC">
        <w:rPr>
          <w:bCs/>
        </w:rPr>
        <w:t xml:space="preserve">The TtW Final Evaluation Report posited that TtW creates a virtuous cycle, providing young people with the support they need to move along a pathway of self-improvement involving participation in education, training and work experience, skills development, and enhanced confidence, work readiness, motivation and aspiration that leads ultimately to workforce participation. This supplementary evaluation </w:t>
      </w:r>
      <w:r w:rsidR="00DF2018" w:rsidRPr="001431BC">
        <w:rPr>
          <w:bCs/>
        </w:rPr>
        <w:t xml:space="preserve">further </w:t>
      </w:r>
      <w:r w:rsidRPr="001431BC">
        <w:rPr>
          <w:bCs/>
        </w:rPr>
        <w:t>examine</w:t>
      </w:r>
      <w:r>
        <w:rPr>
          <w:bCs/>
        </w:rPr>
        <w:t xml:space="preserve">s </w:t>
      </w:r>
      <w:r w:rsidRPr="001431BC">
        <w:rPr>
          <w:bCs/>
        </w:rPr>
        <w:t>the impact of TtW on participants</w:t>
      </w:r>
      <w:r w:rsidR="00F8391B">
        <w:rPr>
          <w:bCs/>
        </w:rPr>
        <w:t>’</w:t>
      </w:r>
      <w:r w:rsidRPr="001431BC">
        <w:rPr>
          <w:bCs/>
        </w:rPr>
        <w:t xml:space="preserve"> human capabilities</w:t>
      </w:r>
      <w:r>
        <w:rPr>
          <w:bCs/>
        </w:rPr>
        <w:t xml:space="preserve"> and wellbeing and verifies previous evidence that TtW</w:t>
      </w:r>
      <w:r w:rsidRPr="001431BC">
        <w:rPr>
          <w:bCs/>
        </w:rPr>
        <w:t xml:space="preserve"> reduce</w:t>
      </w:r>
      <w:r>
        <w:rPr>
          <w:bCs/>
        </w:rPr>
        <w:t>d</w:t>
      </w:r>
      <w:r w:rsidRPr="001431BC">
        <w:rPr>
          <w:bCs/>
        </w:rPr>
        <w:t xml:space="preserve"> </w:t>
      </w:r>
      <w:r>
        <w:rPr>
          <w:bCs/>
        </w:rPr>
        <w:t>recidivism</w:t>
      </w:r>
      <w:r w:rsidRPr="001431BC">
        <w:rPr>
          <w:bCs/>
        </w:rPr>
        <w:t xml:space="preserve"> for participants.</w:t>
      </w:r>
    </w:p>
    <w:p w14:paraId="5217C859" w14:textId="0A61F693" w:rsidR="005E7D76" w:rsidRPr="00531351" w:rsidRDefault="00112812" w:rsidP="00A45A98">
      <w:pPr>
        <w:pStyle w:val="Normalafter12pt"/>
        <w:spacing w:after="120"/>
        <w:rPr>
          <w:rFonts w:eastAsia="Calibri" w:cstheme="minorHAnsi"/>
          <w:b/>
          <w:bCs/>
        </w:rPr>
      </w:pPr>
      <w:r>
        <w:rPr>
          <w:rFonts w:eastAsia="Calibri" w:cstheme="minorHAnsi"/>
          <w:b/>
          <w:bCs/>
        </w:rPr>
        <w:t>Evaluation Question</w:t>
      </w:r>
      <w:r w:rsidR="00AF7301">
        <w:rPr>
          <w:rFonts w:eastAsia="Calibri" w:cstheme="minorHAnsi"/>
          <w:b/>
          <w:bCs/>
        </w:rPr>
        <w:t xml:space="preserve"> </w:t>
      </w:r>
      <w:r>
        <w:rPr>
          <w:rFonts w:eastAsia="Calibri" w:cstheme="minorHAnsi"/>
          <w:b/>
          <w:bCs/>
        </w:rPr>
        <w:t>2 (EQ2</w:t>
      </w:r>
      <w:r w:rsidRPr="00112812">
        <w:rPr>
          <w:rFonts w:eastAsia="Calibri" w:cstheme="minorHAnsi"/>
          <w:b/>
          <w:bCs/>
        </w:rPr>
        <w:t>):</w:t>
      </w:r>
      <w:r w:rsidR="005E7D76" w:rsidRPr="001431BC">
        <w:rPr>
          <w:rFonts w:eastAsia="Calibri" w:cstheme="minorHAnsi"/>
          <w:b/>
          <w:bCs/>
        </w:rPr>
        <w:t xml:space="preserve"> </w:t>
      </w:r>
      <w:r w:rsidR="009251AF">
        <w:rPr>
          <w:rFonts w:eastAsia="Calibri" w:cstheme="minorHAnsi"/>
          <w:b/>
          <w:bCs/>
        </w:rPr>
        <w:t>To what extent i</w:t>
      </w:r>
      <w:r w:rsidR="004D0F49" w:rsidRPr="004D0F49">
        <w:rPr>
          <w:rFonts w:eastAsia="Calibri" w:cstheme="minorHAnsi"/>
          <w:b/>
          <w:bCs/>
        </w:rPr>
        <w:t>s TtW achieving the intended longer-term (3</w:t>
      </w:r>
      <w:r w:rsidR="00C66DB6">
        <w:rPr>
          <w:rFonts w:eastAsia="Calibri" w:cstheme="minorHAnsi"/>
          <w:b/>
          <w:bCs/>
        </w:rPr>
        <w:t xml:space="preserve"> to </w:t>
      </w:r>
      <w:r w:rsidR="004D0F49" w:rsidRPr="004D0F49">
        <w:rPr>
          <w:rFonts w:eastAsia="Calibri" w:cstheme="minorHAnsi"/>
          <w:b/>
          <w:bCs/>
        </w:rPr>
        <w:t>4 year) objective</w:t>
      </w:r>
      <w:r w:rsidR="00015F3F">
        <w:rPr>
          <w:rFonts w:eastAsia="Calibri" w:cstheme="minorHAnsi"/>
          <w:b/>
          <w:bCs/>
        </w:rPr>
        <w:t>s</w:t>
      </w:r>
      <w:r w:rsidR="004D0F49" w:rsidRPr="004D0F49">
        <w:rPr>
          <w:rFonts w:eastAsia="Calibri" w:cstheme="minorHAnsi"/>
          <w:b/>
          <w:bCs/>
        </w:rPr>
        <w:t xml:space="preserve"> of increased employment and labour market engagement and reduced dependence on </w:t>
      </w:r>
      <w:r w:rsidR="002A4286">
        <w:rPr>
          <w:rFonts w:eastAsia="Calibri" w:cstheme="minorHAnsi"/>
          <w:b/>
          <w:bCs/>
        </w:rPr>
        <w:t>i</w:t>
      </w:r>
      <w:r w:rsidR="004D0F49" w:rsidRPr="004D0F49">
        <w:rPr>
          <w:rFonts w:eastAsia="Calibri" w:cstheme="minorHAnsi"/>
          <w:b/>
          <w:bCs/>
        </w:rPr>
        <w:t xml:space="preserve">ncome </w:t>
      </w:r>
      <w:r w:rsidR="002A4286">
        <w:rPr>
          <w:rFonts w:eastAsia="Calibri" w:cstheme="minorHAnsi"/>
          <w:b/>
          <w:bCs/>
        </w:rPr>
        <w:t>s</w:t>
      </w:r>
      <w:r w:rsidR="004D0F49" w:rsidRPr="004D0F49">
        <w:rPr>
          <w:rFonts w:eastAsia="Calibri" w:cstheme="minorHAnsi"/>
          <w:b/>
          <w:bCs/>
        </w:rPr>
        <w:t>upport for young people?</w:t>
      </w:r>
    </w:p>
    <w:p w14:paraId="756DD5FF" w14:textId="6233E196" w:rsidR="005E7D76" w:rsidRDefault="005E7D76" w:rsidP="00D11E39">
      <w:r w:rsidRPr="001431BC">
        <w:rPr>
          <w:bCs/>
        </w:rPr>
        <w:t>Given the intensive support and pre-employment focus of TtW</w:t>
      </w:r>
      <w:r w:rsidR="00F8391B">
        <w:rPr>
          <w:bCs/>
        </w:rPr>
        <w:t xml:space="preserve"> – </w:t>
      </w:r>
      <w:r w:rsidRPr="001431BC">
        <w:rPr>
          <w:bCs/>
        </w:rPr>
        <w:t>building appropriate skills, experience and attitudes for work</w:t>
      </w:r>
      <w:r w:rsidR="006347BA">
        <w:rPr>
          <w:bCs/>
        </w:rPr>
        <w:t>,</w:t>
      </w:r>
      <w:r w:rsidRPr="001431BC">
        <w:rPr>
          <w:bCs/>
        </w:rPr>
        <w:t xml:space="preserve"> it is assumed that increased and sustainable employment outcomes, and reduced income support dependency</w:t>
      </w:r>
      <w:r w:rsidR="00AB0766">
        <w:rPr>
          <w:bCs/>
        </w:rPr>
        <w:t>,</w:t>
      </w:r>
      <w:r w:rsidRPr="001431BC">
        <w:rPr>
          <w:bCs/>
        </w:rPr>
        <w:t xml:space="preserve"> will be achieved over the longer</w:t>
      </w:r>
      <w:r w:rsidR="00AB0766">
        <w:rPr>
          <w:bCs/>
        </w:rPr>
        <w:t xml:space="preserve"> </w:t>
      </w:r>
      <w:r w:rsidRPr="001431BC">
        <w:rPr>
          <w:bCs/>
        </w:rPr>
        <w:t>term. Examining participant outcomes up to 4 years after participation is therefore a focus of this evaluation</w:t>
      </w:r>
      <w:r w:rsidR="00AB0766">
        <w:rPr>
          <w:bCs/>
        </w:rPr>
        <w:t>.</w:t>
      </w:r>
      <w:r w:rsidRPr="002725C4">
        <w:rPr>
          <w:vertAlign w:val="superscript"/>
        </w:rPr>
        <w:footnoteReference w:id="32"/>
      </w:r>
    </w:p>
    <w:p w14:paraId="3E941130" w14:textId="77777777" w:rsidR="005B4FD6" w:rsidRPr="00112812" w:rsidRDefault="005B4FD6" w:rsidP="005B4FD6">
      <w:pPr>
        <w:pStyle w:val="Normalafter12pt"/>
        <w:spacing w:after="120"/>
        <w:rPr>
          <w:rFonts w:eastAsia="Calibri" w:cstheme="minorHAnsi"/>
          <w:b/>
          <w:bCs/>
        </w:rPr>
      </w:pPr>
      <w:r>
        <w:rPr>
          <w:rFonts w:eastAsia="Calibri" w:cstheme="minorHAnsi"/>
          <w:b/>
          <w:bCs/>
        </w:rPr>
        <w:lastRenderedPageBreak/>
        <w:t>Evaluation Question 3 (EQ3)</w:t>
      </w:r>
      <w:r w:rsidRPr="001431BC">
        <w:rPr>
          <w:rFonts w:eastAsia="Calibri" w:cstheme="minorHAnsi"/>
          <w:b/>
          <w:bCs/>
        </w:rPr>
        <w:t>: What impact did increasing the maximum duration of service in TtW from 12 to 18 months have on participant outcomes?</w:t>
      </w:r>
    </w:p>
    <w:p w14:paraId="42472646" w14:textId="76C95825" w:rsidR="005B4FD6" w:rsidRPr="00C70DF2" w:rsidRDefault="005B4FD6" w:rsidP="005B4FD6">
      <w:r w:rsidRPr="001431BC">
        <w:rPr>
          <w:bCs/>
        </w:rPr>
        <w:t>TtW is a time</w:t>
      </w:r>
      <w:r w:rsidR="00AB0766">
        <w:rPr>
          <w:bCs/>
        </w:rPr>
        <w:t>-</w:t>
      </w:r>
      <w:r w:rsidRPr="001431BC">
        <w:rPr>
          <w:bCs/>
        </w:rPr>
        <w:t xml:space="preserve">limited service. Originally, TtW participants could only continue receiving services through their TtW provider beyond 12 months if they were progressing towards an employment or education outcome. From 1 July 2020, TtW providers were given greater flexibility to continue delivering intensive servicing beyond 12 months and for up to 18 months to young people who need ongoing assistance, even if they were not tracking for an outcome. TtW participants continue </w:t>
      </w:r>
      <w:r>
        <w:rPr>
          <w:bCs/>
        </w:rPr>
        <w:t xml:space="preserve">to be able to </w:t>
      </w:r>
      <w:r w:rsidRPr="001431BC">
        <w:rPr>
          <w:bCs/>
        </w:rPr>
        <w:t>receiv</w:t>
      </w:r>
      <w:r>
        <w:rPr>
          <w:bCs/>
        </w:rPr>
        <w:t>e</w:t>
      </w:r>
      <w:r w:rsidRPr="001431BC">
        <w:rPr>
          <w:bCs/>
        </w:rPr>
        <w:t xml:space="preserve"> services through their TtW provider beyond 18 months if they </w:t>
      </w:r>
      <w:r>
        <w:rPr>
          <w:bCs/>
        </w:rPr>
        <w:t>a</w:t>
      </w:r>
      <w:r w:rsidRPr="001431BC">
        <w:rPr>
          <w:bCs/>
        </w:rPr>
        <w:t xml:space="preserve">re progressing towards an employment or education outcome. This change was expected to </w:t>
      </w:r>
      <w:r w:rsidR="008319FA" w:rsidRPr="001431BC">
        <w:rPr>
          <w:bCs/>
        </w:rPr>
        <w:t xml:space="preserve">achieve </w:t>
      </w:r>
      <w:r w:rsidR="009F1529">
        <w:rPr>
          <w:bCs/>
        </w:rPr>
        <w:t>better</w:t>
      </w:r>
      <w:r w:rsidR="009F1529" w:rsidRPr="001431BC">
        <w:rPr>
          <w:bCs/>
        </w:rPr>
        <w:t xml:space="preserve"> </w:t>
      </w:r>
      <w:r w:rsidRPr="001431BC">
        <w:rPr>
          <w:bCs/>
        </w:rPr>
        <w:t>results for more young people by keeping them connected to their TtW service provider</w:t>
      </w:r>
      <w:r>
        <w:rPr>
          <w:bCs/>
        </w:rPr>
        <w:t>,</w:t>
      </w:r>
      <w:r w:rsidRPr="001431BC">
        <w:rPr>
          <w:bCs/>
        </w:rPr>
        <w:t xml:space="preserve"> with whom they ha</w:t>
      </w:r>
      <w:r w:rsidR="00AB0766">
        <w:rPr>
          <w:bCs/>
        </w:rPr>
        <w:t>d</w:t>
      </w:r>
      <w:r w:rsidRPr="001431BC">
        <w:rPr>
          <w:bCs/>
        </w:rPr>
        <w:t xml:space="preserve"> an established relationship and who underst</w:t>
      </w:r>
      <w:r w:rsidR="00FD52A7">
        <w:rPr>
          <w:bCs/>
        </w:rPr>
        <w:t>ood</w:t>
      </w:r>
      <w:r w:rsidRPr="001431BC">
        <w:rPr>
          <w:bCs/>
        </w:rPr>
        <w:t xml:space="preserve"> their needs.</w:t>
      </w:r>
    </w:p>
    <w:p w14:paraId="1AFD8381" w14:textId="77777777" w:rsidR="00A322A7" w:rsidDel="003F32F8" w:rsidRDefault="00A322A7" w:rsidP="006E41FD">
      <w:pPr>
        <w:pStyle w:val="Heading2"/>
      </w:pPr>
      <w:bookmarkStart w:id="929" w:name="_Toc132650448"/>
      <w:bookmarkStart w:id="930" w:name="_Toc146033480"/>
      <w:bookmarkStart w:id="931" w:name="_Toc106711818"/>
      <w:r w:rsidDel="003F32F8">
        <w:t>Data sources</w:t>
      </w:r>
      <w:bookmarkEnd w:id="929"/>
      <w:bookmarkEnd w:id="930"/>
    </w:p>
    <w:p w14:paraId="0AAAB572" w14:textId="5332BEB4" w:rsidR="00A322A7" w:rsidRPr="00842E67" w:rsidDel="003F32F8" w:rsidRDefault="00A322A7" w:rsidP="00A322A7">
      <w:r w:rsidDel="003F32F8">
        <w:t xml:space="preserve">This evaluation used a range of qualitative and quantitative data sources, including surveys, qualitative fieldwork and departmental administrative data. These </w:t>
      </w:r>
      <w:r w:rsidR="002A3926">
        <w:t xml:space="preserve">data </w:t>
      </w:r>
      <w:r w:rsidR="001C7F47">
        <w:t>sources</w:t>
      </w:r>
      <w:r w:rsidR="002A3926">
        <w:t xml:space="preserve"> </w:t>
      </w:r>
      <w:r w:rsidDel="003F32F8">
        <w:t xml:space="preserve">are summarised in </w:t>
      </w:r>
      <w:r w:rsidR="003C28F8" w:rsidRPr="001431BC">
        <w:rPr>
          <w:b/>
          <w:bCs/>
        </w:rPr>
        <w:fldChar w:fldCharType="begin"/>
      </w:r>
      <w:r w:rsidR="003C28F8" w:rsidRPr="001431BC">
        <w:rPr>
          <w:b/>
          <w:bCs/>
        </w:rPr>
        <w:instrText xml:space="preserve"> REF _Ref110345209 \h </w:instrText>
      </w:r>
      <w:r w:rsidR="00B825E0">
        <w:rPr>
          <w:b/>
          <w:bCs/>
        </w:rPr>
        <w:instrText xml:space="preserve"> \* MERGEFORMAT </w:instrText>
      </w:r>
      <w:r w:rsidR="003C28F8" w:rsidRPr="001431BC">
        <w:rPr>
          <w:b/>
          <w:bCs/>
        </w:rPr>
      </w:r>
      <w:r w:rsidR="003C28F8" w:rsidRPr="001431BC">
        <w:rPr>
          <w:b/>
          <w:bCs/>
        </w:rPr>
        <w:fldChar w:fldCharType="separate"/>
      </w:r>
      <w:r w:rsidR="00180E14" w:rsidRPr="00180E14">
        <w:rPr>
          <w:b/>
          <w:bCs/>
        </w:rPr>
        <w:t xml:space="preserve">Table </w:t>
      </w:r>
      <w:r w:rsidR="00180E14" w:rsidRPr="00180E14">
        <w:rPr>
          <w:b/>
          <w:bCs/>
          <w:noProof/>
        </w:rPr>
        <w:t>4</w:t>
      </w:r>
      <w:r w:rsidR="00180E14" w:rsidDel="00455D7A">
        <w:t>:</w:t>
      </w:r>
      <w:r w:rsidR="00180E14">
        <w:t xml:space="preserve"> </w:t>
      </w:r>
      <w:r w:rsidR="00180E14" w:rsidRPr="00713B4C" w:rsidDel="003F32F8">
        <w:t xml:space="preserve">Evaluation </w:t>
      </w:r>
      <w:r w:rsidR="00180E14">
        <w:t>d</w:t>
      </w:r>
      <w:r w:rsidR="00180E14" w:rsidRPr="00713B4C" w:rsidDel="003F32F8">
        <w:t xml:space="preserve">ata </w:t>
      </w:r>
      <w:r w:rsidR="00180E14">
        <w:t>s</w:t>
      </w:r>
      <w:r w:rsidR="00180E14" w:rsidRPr="00713B4C" w:rsidDel="003F32F8">
        <w:t>ources</w:t>
      </w:r>
      <w:r w:rsidR="003C28F8" w:rsidRPr="001431BC">
        <w:rPr>
          <w:b/>
          <w:bCs/>
        </w:rPr>
        <w:fldChar w:fldCharType="end"/>
      </w:r>
      <w:r w:rsidR="002A3926" w:rsidRPr="001431BC">
        <w:t>, and further described in</w:t>
      </w:r>
      <w:r w:rsidR="002A3926">
        <w:rPr>
          <w:b/>
          <w:bCs/>
        </w:rPr>
        <w:t xml:space="preserve"> </w:t>
      </w:r>
      <w:r w:rsidR="002A3926" w:rsidRPr="004A440A">
        <w:rPr>
          <w:b/>
          <w:bCs/>
        </w:rPr>
        <w:t xml:space="preserve">Appendix </w:t>
      </w:r>
      <w:r w:rsidR="00CF455B" w:rsidRPr="00CF455B">
        <w:rPr>
          <w:b/>
          <w:bCs/>
        </w:rPr>
        <w:t>2</w:t>
      </w:r>
      <w:r w:rsidRPr="00CF455B" w:rsidDel="003F32F8">
        <w:t>.</w:t>
      </w:r>
    </w:p>
    <w:p w14:paraId="51FF9820" w14:textId="3FD28B9F" w:rsidR="00A322A7" w:rsidRDefault="00455D7A" w:rsidP="001431BC">
      <w:pPr>
        <w:pStyle w:val="Caption"/>
      </w:pPr>
      <w:bookmarkStart w:id="932" w:name="_Ref118988063"/>
      <w:bookmarkStart w:id="933" w:name="_Ref110345209"/>
      <w:bookmarkStart w:id="934" w:name="_Toc132647780"/>
      <w:bookmarkStart w:id="935" w:name="_Toc145877293"/>
      <w:r>
        <w:t xml:space="preserve">Table </w:t>
      </w:r>
      <w:r>
        <w:fldChar w:fldCharType="begin"/>
      </w:r>
      <w:r>
        <w:instrText>SEQ Table \* ARABIC</w:instrText>
      </w:r>
      <w:r>
        <w:fldChar w:fldCharType="separate"/>
      </w:r>
      <w:r w:rsidR="00180E14">
        <w:rPr>
          <w:noProof/>
        </w:rPr>
        <w:t>4</w:t>
      </w:r>
      <w:r>
        <w:fldChar w:fldCharType="end"/>
      </w:r>
      <w:bookmarkEnd w:id="932"/>
      <w:r w:rsidDel="00455D7A">
        <w:t>:</w:t>
      </w:r>
      <w:r w:rsidR="00B825E0">
        <w:t xml:space="preserve"> </w:t>
      </w:r>
      <w:r w:rsidR="00A322A7" w:rsidRPr="00713B4C" w:rsidDel="003F32F8">
        <w:t xml:space="preserve">Evaluation </w:t>
      </w:r>
      <w:r w:rsidR="00AB0766">
        <w:t>d</w:t>
      </w:r>
      <w:r w:rsidR="00A322A7" w:rsidRPr="00713B4C" w:rsidDel="003F32F8">
        <w:t xml:space="preserve">ata </w:t>
      </w:r>
      <w:r w:rsidR="00AB0766">
        <w:t>s</w:t>
      </w:r>
      <w:r w:rsidR="00A322A7" w:rsidRPr="00713B4C" w:rsidDel="003F32F8">
        <w:t>ources</w:t>
      </w:r>
      <w:bookmarkEnd w:id="933"/>
      <w:bookmarkEnd w:id="934"/>
      <w:bookmarkEnd w:id="935"/>
    </w:p>
    <w:tbl>
      <w:tblPr>
        <w:tblStyle w:val="TtWReportTableTemplate2"/>
        <w:tblW w:w="0" w:type="auto"/>
        <w:tblLook w:val="04A0" w:firstRow="1" w:lastRow="0" w:firstColumn="1" w:lastColumn="0" w:noHBand="0" w:noVBand="1"/>
      </w:tblPr>
      <w:tblGrid>
        <w:gridCol w:w="1920"/>
        <w:gridCol w:w="7106"/>
      </w:tblGrid>
      <w:tr w:rsidR="00633F11" w:rsidRPr="00633F11" w14:paraId="0CEC18C5" w14:textId="77777777" w:rsidTr="009251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5D7A38"/>
          </w:tcPr>
          <w:p w14:paraId="2A311213" w14:textId="7824B3F2" w:rsidR="004D5ECA" w:rsidRPr="00633F11" w:rsidRDefault="00633F11" w:rsidP="002A1AFE">
            <w:pPr>
              <w:rPr>
                <w:rFonts w:cstheme="minorHAnsi"/>
                <w:szCs w:val="20"/>
              </w:rPr>
            </w:pPr>
            <w:r>
              <w:rPr>
                <w:rFonts w:cstheme="minorHAnsi"/>
                <w:szCs w:val="20"/>
              </w:rPr>
              <w:t xml:space="preserve">Data </w:t>
            </w:r>
            <w:r w:rsidR="00AB0766">
              <w:rPr>
                <w:rFonts w:cstheme="minorHAnsi"/>
                <w:szCs w:val="20"/>
              </w:rPr>
              <w:t>s</w:t>
            </w:r>
            <w:r>
              <w:rPr>
                <w:rFonts w:cstheme="minorHAnsi"/>
                <w:szCs w:val="20"/>
              </w:rPr>
              <w:t>ource</w:t>
            </w:r>
          </w:p>
        </w:tc>
        <w:tc>
          <w:tcPr>
            <w:tcW w:w="0" w:type="auto"/>
            <w:shd w:val="clear" w:color="auto" w:fill="5D7A38"/>
          </w:tcPr>
          <w:p w14:paraId="378F3B8B" w14:textId="51638720" w:rsidR="004D5ECA" w:rsidRPr="00633F11" w:rsidRDefault="00633F11" w:rsidP="002A1AFE">
            <w:pPr>
              <w:cnfStyle w:val="100000000000" w:firstRow="1" w:lastRow="0" w:firstColumn="0" w:lastColumn="0" w:oddVBand="0" w:evenVBand="0" w:oddHBand="0" w:evenHBand="0" w:firstRowFirstColumn="0" w:firstRowLastColumn="0" w:lastRowFirstColumn="0" w:lastRowLastColumn="0"/>
              <w:rPr>
                <w:rFonts w:cstheme="minorHAnsi"/>
                <w:szCs w:val="20"/>
              </w:rPr>
            </w:pPr>
            <w:r>
              <w:rPr>
                <w:rFonts w:cstheme="minorHAnsi"/>
                <w:szCs w:val="20"/>
              </w:rPr>
              <w:t>Description</w:t>
            </w:r>
          </w:p>
        </w:tc>
      </w:tr>
      <w:tr w:rsidR="002A1AFE" w14:paraId="5AEB2BA6"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38435F" w14:textId="52DABE62" w:rsidR="002A1AFE" w:rsidRDefault="002A1AFE" w:rsidP="002A1AFE">
            <w:r>
              <w:rPr>
                <w:rFonts w:cstheme="minorHAnsi"/>
                <w:szCs w:val="20"/>
              </w:rPr>
              <w:t>Administrative data</w:t>
            </w:r>
          </w:p>
        </w:tc>
        <w:tc>
          <w:tcPr>
            <w:tcW w:w="0" w:type="auto"/>
          </w:tcPr>
          <w:p w14:paraId="0E8026A7" w14:textId="2DA63B6A" w:rsidR="002A1AFE" w:rsidRDefault="002A1AFE" w:rsidP="002A1AFE">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DEWR a</w:t>
            </w:r>
            <w:r w:rsidRPr="00467DB6">
              <w:rPr>
                <w:rFonts w:cstheme="minorHAnsi"/>
                <w:szCs w:val="20"/>
              </w:rPr>
              <w:t xml:space="preserve">dministrative data </w:t>
            </w:r>
            <w:r w:rsidRPr="00735F8C">
              <w:rPr>
                <w:rFonts w:cstheme="minorHAnsi"/>
                <w:szCs w:val="20"/>
              </w:rPr>
              <w:t xml:space="preserve">caseload information (e.g. </w:t>
            </w:r>
            <w:r w:rsidR="00FD52A7">
              <w:rPr>
                <w:rFonts w:cstheme="minorHAnsi"/>
                <w:szCs w:val="20"/>
              </w:rPr>
              <w:t>participant</w:t>
            </w:r>
            <w:r w:rsidRPr="00735F8C">
              <w:rPr>
                <w:rFonts w:cstheme="minorHAnsi"/>
                <w:szCs w:val="20"/>
              </w:rPr>
              <w:t xml:space="preserve"> demographics, referrals, commencements</w:t>
            </w:r>
            <w:r>
              <w:rPr>
                <w:rFonts w:cstheme="minorHAnsi"/>
                <w:szCs w:val="20"/>
              </w:rPr>
              <w:t>, other data collected through the performance framework</w:t>
            </w:r>
            <w:r w:rsidRPr="00735F8C">
              <w:rPr>
                <w:rFonts w:cstheme="minorHAnsi"/>
                <w:szCs w:val="20"/>
              </w:rPr>
              <w:t>) and payment transactions (e.g. claims for service and outcome fees and wage subsidies).</w:t>
            </w:r>
          </w:p>
          <w:p w14:paraId="62037F6C" w14:textId="448B20B7" w:rsidR="002A1AFE" w:rsidRDefault="002A1AFE" w:rsidP="002A1AFE">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DEWR</w:t>
            </w:r>
            <w:r w:rsidRPr="00735F8C">
              <w:rPr>
                <w:rFonts w:cstheme="minorHAnsi"/>
                <w:szCs w:val="20"/>
              </w:rPr>
              <w:t xml:space="preserve"> also has access to </w:t>
            </w:r>
            <w:r w:rsidR="00AB0766">
              <w:rPr>
                <w:rFonts w:cstheme="minorHAnsi"/>
                <w:szCs w:val="20"/>
              </w:rPr>
              <w:t>income support</w:t>
            </w:r>
            <w:r w:rsidRPr="00735F8C">
              <w:rPr>
                <w:rFonts w:cstheme="minorHAnsi"/>
                <w:szCs w:val="20"/>
              </w:rPr>
              <w:t xml:space="preserve"> data collected by </w:t>
            </w:r>
            <w:r>
              <w:rPr>
                <w:rFonts w:cstheme="minorHAnsi"/>
                <w:szCs w:val="20"/>
              </w:rPr>
              <w:t>Services Australia</w:t>
            </w:r>
            <w:r w:rsidRPr="00735F8C">
              <w:rPr>
                <w:rFonts w:cstheme="minorHAnsi"/>
                <w:szCs w:val="20"/>
              </w:rPr>
              <w:t xml:space="preserve"> through the administration of </w:t>
            </w:r>
            <w:r w:rsidR="00AB0766">
              <w:rPr>
                <w:rFonts w:cstheme="minorHAnsi"/>
                <w:szCs w:val="20"/>
              </w:rPr>
              <w:t>income support</w:t>
            </w:r>
            <w:r w:rsidRPr="00735F8C">
              <w:rPr>
                <w:rFonts w:cstheme="minorHAnsi"/>
                <w:szCs w:val="20"/>
              </w:rPr>
              <w:t>.</w:t>
            </w:r>
          </w:p>
          <w:p w14:paraId="427D45CA" w14:textId="67014EA5" w:rsidR="001764C1" w:rsidRDefault="001764C1" w:rsidP="009251AF">
            <w:pPr>
              <w:spacing w:after="0"/>
              <w:cnfStyle w:val="000000100000" w:firstRow="0" w:lastRow="0" w:firstColumn="0" w:lastColumn="0" w:oddVBand="0" w:evenVBand="0" w:oddHBand="1" w:evenHBand="0" w:firstRowFirstColumn="0" w:firstRowLastColumn="0" w:lastRowFirstColumn="0" w:lastRowLastColumn="0"/>
            </w:pPr>
            <w:r>
              <w:rPr>
                <w:rFonts w:cstheme="minorHAnsi"/>
                <w:szCs w:val="20"/>
              </w:rPr>
              <w:t>Used for descriptive and regression analysis.</w:t>
            </w:r>
          </w:p>
        </w:tc>
      </w:tr>
      <w:tr w:rsidR="002A1AFE" w14:paraId="7C3D9857"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F67445" w14:textId="5CFD324F" w:rsidR="002A1AFE" w:rsidRDefault="002A1AFE" w:rsidP="002A1AFE">
            <w:r>
              <w:rPr>
                <w:rFonts w:cstheme="minorHAnsi"/>
                <w:szCs w:val="20"/>
              </w:rPr>
              <w:t xml:space="preserve">TtW 2021 </w:t>
            </w:r>
            <w:r w:rsidR="00AD74F5">
              <w:rPr>
                <w:rFonts w:cstheme="minorHAnsi"/>
                <w:szCs w:val="20"/>
              </w:rPr>
              <w:t>p</w:t>
            </w:r>
            <w:r>
              <w:rPr>
                <w:rFonts w:cstheme="minorHAnsi"/>
                <w:szCs w:val="20"/>
              </w:rPr>
              <w:t xml:space="preserve">rovider </w:t>
            </w:r>
            <w:r w:rsidR="00AD74F5">
              <w:rPr>
                <w:rFonts w:cstheme="minorHAnsi"/>
                <w:szCs w:val="20"/>
              </w:rPr>
              <w:t>s</w:t>
            </w:r>
            <w:r>
              <w:rPr>
                <w:rFonts w:cstheme="minorHAnsi"/>
                <w:szCs w:val="20"/>
              </w:rPr>
              <w:t>urvey</w:t>
            </w:r>
          </w:p>
        </w:tc>
        <w:tc>
          <w:tcPr>
            <w:tcW w:w="0" w:type="auto"/>
          </w:tcPr>
          <w:p w14:paraId="01F0FE0B" w14:textId="6DFE0A38" w:rsidR="002A1AFE" w:rsidRDefault="00063FAE" w:rsidP="002A1AFE">
            <w:pPr>
              <w:cnfStyle w:val="000000010000" w:firstRow="0" w:lastRow="0" w:firstColumn="0" w:lastColumn="0" w:oddVBand="0" w:evenVBand="0" w:oddHBand="0" w:evenHBand="1" w:firstRowFirstColumn="0" w:firstRowLastColumn="0" w:lastRowFirstColumn="0" w:lastRowLastColumn="0"/>
              <w:rPr>
                <w:rFonts w:cstheme="minorHAnsi"/>
                <w:bCs/>
                <w:szCs w:val="20"/>
              </w:rPr>
            </w:pPr>
            <w:r>
              <w:rPr>
                <w:bCs/>
              </w:rPr>
              <w:t>D</w:t>
            </w:r>
            <w:r w:rsidR="002A1AFE" w:rsidRPr="001431BC" w:rsidDel="003F32F8">
              <w:rPr>
                <w:bCs/>
              </w:rPr>
              <w:t xml:space="preserve">ata from a census of all TtW providers, conducted by the department </w:t>
            </w:r>
            <w:r>
              <w:rPr>
                <w:bCs/>
              </w:rPr>
              <w:t xml:space="preserve">during </w:t>
            </w:r>
            <w:r w:rsidR="002A1AFE" w:rsidRPr="001431BC" w:rsidDel="003F32F8">
              <w:rPr>
                <w:bCs/>
              </w:rPr>
              <w:t>June and July 2021</w:t>
            </w:r>
            <w:r w:rsidR="002A1AFE" w:rsidRPr="005013EF">
              <w:rPr>
                <w:rFonts w:cstheme="minorHAnsi"/>
                <w:bCs/>
                <w:szCs w:val="20"/>
              </w:rPr>
              <w:t>.</w:t>
            </w:r>
          </w:p>
          <w:p w14:paraId="2BD7434D" w14:textId="750B6C41" w:rsidR="001764C1" w:rsidRPr="00E3620C" w:rsidRDefault="001764C1" w:rsidP="009251AF">
            <w:pPr>
              <w:spacing w:after="0"/>
              <w:cnfStyle w:val="000000010000" w:firstRow="0" w:lastRow="0" w:firstColumn="0" w:lastColumn="0" w:oddVBand="0" w:evenVBand="0" w:oddHBand="0" w:evenHBand="1" w:firstRowFirstColumn="0" w:firstRowLastColumn="0" w:lastRowFirstColumn="0" w:lastRowLastColumn="0"/>
              <w:rPr>
                <w:bCs/>
              </w:rPr>
            </w:pPr>
            <w:r>
              <w:rPr>
                <w:bCs/>
              </w:rPr>
              <w:t>To understand provider experiences and their views on the impact of the program on participants.</w:t>
            </w:r>
          </w:p>
        </w:tc>
      </w:tr>
      <w:tr w:rsidR="002A1AFE" w14:paraId="49AA0422"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0A4AB9" w14:textId="31D28D8B" w:rsidR="002A1AFE" w:rsidRPr="005013EF" w:rsidRDefault="002A1AFE" w:rsidP="002A1AFE">
            <w:pPr>
              <w:rPr>
                <w:rFonts w:cstheme="minorHAnsi"/>
                <w:szCs w:val="20"/>
              </w:rPr>
            </w:pPr>
            <w:r w:rsidRPr="008320B4">
              <w:rPr>
                <w:rFonts w:cstheme="minorHAnsi"/>
                <w:szCs w:val="20"/>
              </w:rPr>
              <w:t>Commissioned qualitative research</w:t>
            </w:r>
          </w:p>
        </w:tc>
        <w:tc>
          <w:tcPr>
            <w:tcW w:w="0" w:type="auto"/>
          </w:tcPr>
          <w:p w14:paraId="4B622ADC" w14:textId="4714E197" w:rsidR="002A1AFE" w:rsidRDefault="00736ABF" w:rsidP="002A1AFE">
            <w:pPr>
              <w:cnfStyle w:val="000000100000" w:firstRow="0" w:lastRow="0" w:firstColumn="0" w:lastColumn="0" w:oddVBand="0" w:evenVBand="0" w:oddHBand="1" w:evenHBand="0" w:firstRowFirstColumn="0" w:firstRowLastColumn="0" w:lastRowFirstColumn="0" w:lastRowLastColumn="0"/>
              <w:rPr>
                <w:bCs/>
              </w:rPr>
            </w:pPr>
            <w:r>
              <w:rPr>
                <w:rFonts w:ascii="Calibri" w:hAnsi="Calibri"/>
                <w:bCs/>
              </w:rPr>
              <w:t>A</w:t>
            </w:r>
            <w:r w:rsidR="001764C1">
              <w:rPr>
                <w:rFonts w:ascii="Calibri" w:hAnsi="Calibri"/>
                <w:bCs/>
              </w:rPr>
              <w:t xml:space="preserve"> purposive sample of</w:t>
            </w:r>
            <w:r w:rsidR="002A1AFE" w:rsidRPr="001431BC" w:rsidDel="003F32F8">
              <w:rPr>
                <w:bCs/>
              </w:rPr>
              <w:t xml:space="preserve"> TtW participants, providers and peak bodies, conducted by </w:t>
            </w:r>
            <w:r w:rsidR="00195262">
              <w:rPr>
                <w:bCs/>
              </w:rPr>
              <w:t>the Social Research Cent</w:t>
            </w:r>
            <w:r w:rsidR="00795FB2">
              <w:rPr>
                <w:bCs/>
              </w:rPr>
              <w:t>re</w:t>
            </w:r>
            <w:r w:rsidR="00195262">
              <w:rPr>
                <w:bCs/>
              </w:rPr>
              <w:t xml:space="preserve"> (SRC)</w:t>
            </w:r>
            <w:r w:rsidR="002A1AFE" w:rsidRPr="001431BC" w:rsidDel="003F32F8">
              <w:rPr>
                <w:bCs/>
              </w:rPr>
              <w:t xml:space="preserve"> during April and May 2021</w:t>
            </w:r>
            <w:r w:rsidR="001764C1">
              <w:rPr>
                <w:bCs/>
              </w:rPr>
              <w:t>.</w:t>
            </w:r>
          </w:p>
          <w:p w14:paraId="3FE184A2" w14:textId="2683ECC5" w:rsidR="001764C1" w:rsidRPr="005013EF" w:rsidRDefault="001764C1" w:rsidP="009251AF">
            <w:pPr>
              <w:spacing w:after="0"/>
              <w:cnfStyle w:val="000000100000" w:firstRow="0" w:lastRow="0" w:firstColumn="0" w:lastColumn="0" w:oddVBand="0" w:evenVBand="0" w:oddHBand="1" w:evenHBand="0" w:firstRowFirstColumn="0" w:firstRowLastColumn="0" w:lastRowFirstColumn="0" w:lastRowLastColumn="0"/>
              <w:rPr>
                <w:bCs/>
              </w:rPr>
            </w:pPr>
            <w:r>
              <w:rPr>
                <w:bCs/>
              </w:rPr>
              <w:t xml:space="preserve">Informed by the </w:t>
            </w:r>
            <w:r w:rsidR="00AB0766">
              <w:rPr>
                <w:bCs/>
              </w:rPr>
              <w:t>h</w:t>
            </w:r>
            <w:r>
              <w:rPr>
                <w:bCs/>
              </w:rPr>
              <w:t xml:space="preserve">uman </w:t>
            </w:r>
            <w:r w:rsidR="00AB0766">
              <w:rPr>
                <w:bCs/>
              </w:rPr>
              <w:t>c</w:t>
            </w:r>
            <w:r>
              <w:rPr>
                <w:bCs/>
              </w:rPr>
              <w:t xml:space="preserve">apability </w:t>
            </w:r>
            <w:r w:rsidR="00AB0766">
              <w:rPr>
                <w:bCs/>
              </w:rPr>
              <w:t>f</w:t>
            </w:r>
            <w:r>
              <w:rPr>
                <w:bCs/>
              </w:rPr>
              <w:t xml:space="preserve">ramework and using tools codesigned with young people, to understand the perspectives and experiences </w:t>
            </w:r>
            <w:r w:rsidR="00063FAE">
              <w:rPr>
                <w:bCs/>
              </w:rPr>
              <w:t xml:space="preserve">of </w:t>
            </w:r>
            <w:r>
              <w:rPr>
                <w:bCs/>
              </w:rPr>
              <w:t>respondents.</w:t>
            </w:r>
          </w:p>
        </w:tc>
      </w:tr>
      <w:tr w:rsidR="002A1AFE" w14:paraId="27ABAE3F"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6D588E" w14:textId="3865CD7E" w:rsidR="002A1AFE" w:rsidRPr="005013EF" w:rsidRDefault="002A1AFE" w:rsidP="002A1AFE">
            <w:pPr>
              <w:rPr>
                <w:rFonts w:cstheme="minorHAnsi"/>
                <w:szCs w:val="20"/>
              </w:rPr>
            </w:pPr>
            <w:r w:rsidRPr="001764C1">
              <w:rPr>
                <w:rFonts w:cstheme="minorHAnsi"/>
                <w:szCs w:val="20"/>
              </w:rPr>
              <w:t>Commissioned participant survey</w:t>
            </w:r>
          </w:p>
        </w:tc>
        <w:tc>
          <w:tcPr>
            <w:tcW w:w="0" w:type="auto"/>
          </w:tcPr>
          <w:p w14:paraId="082632B5" w14:textId="6F5FE3F3" w:rsidR="002A1AFE" w:rsidRDefault="002A1AFE" w:rsidP="002A1AFE">
            <w:pPr>
              <w:cnfStyle w:val="000000010000" w:firstRow="0" w:lastRow="0" w:firstColumn="0" w:lastColumn="0" w:oddVBand="0" w:evenVBand="0" w:oddHBand="0" w:evenHBand="1" w:firstRowFirstColumn="0" w:firstRowLastColumn="0" w:lastRowFirstColumn="0" w:lastRowLastColumn="0"/>
              <w:rPr>
                <w:bCs/>
              </w:rPr>
            </w:pPr>
            <w:r w:rsidRPr="001431BC" w:rsidDel="003F32F8">
              <w:rPr>
                <w:rFonts w:ascii="Calibri" w:hAnsi="Calibri"/>
                <w:bCs/>
              </w:rPr>
              <w:t xml:space="preserve">TtW participants and a comparison group of jobactive participants, </w:t>
            </w:r>
            <w:r w:rsidRPr="001431BC" w:rsidDel="003F32F8">
              <w:rPr>
                <w:bCs/>
              </w:rPr>
              <w:t xml:space="preserve">conducted by </w:t>
            </w:r>
            <w:r w:rsidR="00195262">
              <w:rPr>
                <w:bCs/>
              </w:rPr>
              <w:t>the SRC</w:t>
            </w:r>
            <w:r w:rsidRPr="001431BC" w:rsidDel="003F32F8">
              <w:rPr>
                <w:bCs/>
              </w:rPr>
              <w:t xml:space="preserve"> and carried out in July and August 2021</w:t>
            </w:r>
            <w:r w:rsidR="001764C1">
              <w:rPr>
                <w:bCs/>
              </w:rPr>
              <w:t>.</w:t>
            </w:r>
          </w:p>
          <w:p w14:paraId="6FEB0F02" w14:textId="78300CBD" w:rsidR="001764C1" w:rsidRPr="005013EF" w:rsidRDefault="001764C1" w:rsidP="009251AF">
            <w:pPr>
              <w:spacing w:after="0"/>
              <w:cnfStyle w:val="000000010000" w:firstRow="0" w:lastRow="0" w:firstColumn="0" w:lastColumn="0" w:oddVBand="0" w:evenVBand="0" w:oddHBand="0" w:evenHBand="1" w:firstRowFirstColumn="0" w:firstRowLastColumn="0" w:lastRowFirstColumn="0" w:lastRowLastColumn="0"/>
              <w:rPr>
                <w:bCs/>
              </w:rPr>
            </w:pPr>
            <w:r>
              <w:rPr>
                <w:bCs/>
              </w:rPr>
              <w:t>Gauging the program</w:t>
            </w:r>
            <w:r w:rsidR="00F8391B">
              <w:rPr>
                <w:bCs/>
              </w:rPr>
              <w:t>’</w:t>
            </w:r>
            <w:r>
              <w:rPr>
                <w:bCs/>
              </w:rPr>
              <w:t>s effect on participants</w:t>
            </w:r>
            <w:r w:rsidR="00F8391B">
              <w:rPr>
                <w:bCs/>
              </w:rPr>
              <w:t>’</w:t>
            </w:r>
            <w:r>
              <w:rPr>
                <w:bCs/>
              </w:rPr>
              <w:t xml:space="preserve"> attitude towards education and work, and their human capabilities and wellbeing.</w:t>
            </w:r>
          </w:p>
        </w:tc>
      </w:tr>
      <w:tr w:rsidR="002A1AFE" w14:paraId="0790654B"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487DBC" w14:textId="34893EF4" w:rsidR="002A1AFE" w:rsidRPr="005013EF" w:rsidRDefault="002A1AFE" w:rsidP="009251AF">
            <w:pPr>
              <w:spacing w:after="0"/>
              <w:rPr>
                <w:rFonts w:cstheme="minorHAnsi"/>
                <w:szCs w:val="20"/>
              </w:rPr>
            </w:pPr>
            <w:r w:rsidRPr="00066959">
              <w:rPr>
                <w:rFonts w:cstheme="minorHAnsi"/>
                <w:szCs w:val="20"/>
              </w:rPr>
              <w:t>Other data sources</w:t>
            </w:r>
          </w:p>
        </w:tc>
        <w:tc>
          <w:tcPr>
            <w:tcW w:w="0" w:type="auto"/>
          </w:tcPr>
          <w:p w14:paraId="780C3669" w14:textId="0E09A6CD" w:rsidR="002A1AFE" w:rsidRDefault="007C667C" w:rsidP="009251AF">
            <w:pPr>
              <w:spacing w:after="0"/>
              <w:cnfStyle w:val="000000100000" w:firstRow="0" w:lastRow="0" w:firstColumn="0" w:lastColumn="0" w:oddVBand="0" w:evenVBand="0" w:oddHBand="1" w:evenHBand="0" w:firstRowFirstColumn="0" w:firstRowLastColumn="0" w:lastRowFirstColumn="0" w:lastRowLastColumn="0"/>
            </w:pPr>
            <w:r>
              <w:t>I</w:t>
            </w:r>
            <w:r w:rsidR="002A1AFE" w:rsidRPr="002A1AFE">
              <w:t xml:space="preserve">ncluding data from the Australian Bureau of Statistics </w:t>
            </w:r>
            <w:r w:rsidR="000816FB">
              <w:t xml:space="preserve">(Labour Force, Australian National Accounts and </w:t>
            </w:r>
            <w:r w:rsidR="000816FB" w:rsidRPr="009F1529">
              <w:t>CPI</w:t>
            </w:r>
            <w:r w:rsidR="000816FB">
              <w:t xml:space="preserve">), the Productivity Commission </w:t>
            </w:r>
            <w:r w:rsidR="002A1AFE" w:rsidRPr="002A1AFE">
              <w:t>and academic literature.</w:t>
            </w:r>
          </w:p>
        </w:tc>
      </w:tr>
    </w:tbl>
    <w:p w14:paraId="50DC4A3A" w14:textId="7890EBCA" w:rsidR="00662AB9" w:rsidRPr="00390924" w:rsidRDefault="00337EAB" w:rsidP="006E41FD">
      <w:pPr>
        <w:pStyle w:val="Heading2"/>
      </w:pPr>
      <w:bookmarkStart w:id="936" w:name="_Toc108539243"/>
      <w:bookmarkStart w:id="937" w:name="_Toc109822007"/>
      <w:bookmarkStart w:id="938" w:name="_Toc109918489"/>
      <w:bookmarkStart w:id="939" w:name="_Toc110249300"/>
      <w:bookmarkStart w:id="940" w:name="_Toc110251341"/>
      <w:bookmarkStart w:id="941" w:name="_Toc110264738"/>
      <w:bookmarkStart w:id="942" w:name="_Toc110410916"/>
      <w:bookmarkStart w:id="943" w:name="_Toc132650449"/>
      <w:bookmarkStart w:id="944" w:name="_Toc146033481"/>
      <w:bookmarkEnd w:id="936"/>
      <w:bookmarkEnd w:id="937"/>
      <w:bookmarkEnd w:id="938"/>
      <w:bookmarkEnd w:id="939"/>
      <w:bookmarkEnd w:id="940"/>
      <w:bookmarkEnd w:id="941"/>
      <w:bookmarkEnd w:id="942"/>
      <w:r>
        <w:lastRenderedPageBreak/>
        <w:t xml:space="preserve">Evaluation </w:t>
      </w:r>
      <w:r w:rsidR="00AB0766">
        <w:t>a</w:t>
      </w:r>
      <w:r w:rsidR="000A6E7A">
        <w:t xml:space="preserve">pproach and </w:t>
      </w:r>
      <w:r w:rsidR="00AB0766">
        <w:t>m</w:t>
      </w:r>
      <w:r w:rsidR="00662AB9" w:rsidRPr="00390924">
        <w:t>ethodology</w:t>
      </w:r>
      <w:bookmarkEnd w:id="931"/>
      <w:bookmarkEnd w:id="943"/>
      <w:bookmarkEnd w:id="944"/>
    </w:p>
    <w:p w14:paraId="4C35D7C1" w14:textId="09785F1D" w:rsidR="005743AC" w:rsidRPr="00390924" w:rsidRDefault="005743AC" w:rsidP="00FB22D5">
      <w:pPr>
        <w:pStyle w:val="Heading3"/>
        <w:ind w:left="0"/>
      </w:pPr>
      <w:bookmarkStart w:id="945" w:name="_Toc106711819"/>
      <w:bookmarkStart w:id="946" w:name="_Toc132650450"/>
      <w:bookmarkStart w:id="947" w:name="_Toc146033482"/>
      <w:r>
        <w:t>Evaluation approach</w:t>
      </w:r>
      <w:bookmarkEnd w:id="945"/>
      <w:bookmarkEnd w:id="946"/>
      <w:bookmarkEnd w:id="947"/>
    </w:p>
    <w:p w14:paraId="48A2F0E9" w14:textId="06074EAD" w:rsidR="005743AC" w:rsidRDefault="005743AC" w:rsidP="005743AC">
      <w:bookmarkStart w:id="948" w:name="_Hlk106635155"/>
      <w:r>
        <w:t>The evaluation used a mixed</w:t>
      </w:r>
      <w:r w:rsidR="00AB0766">
        <w:t>-</w:t>
      </w:r>
      <w:r>
        <w:t>methods approach</w:t>
      </w:r>
      <w:r w:rsidR="00A32C73">
        <w:t xml:space="preserve"> to address the </w:t>
      </w:r>
      <w:r w:rsidR="00F8391B">
        <w:t>3</w:t>
      </w:r>
      <w:r w:rsidR="00A32C73">
        <w:t xml:space="preserve"> key evaluation questions</w:t>
      </w:r>
      <w:r w:rsidR="00066959">
        <w:t xml:space="preserve">, using information from a range of the data sources </w:t>
      </w:r>
      <w:r w:rsidR="00564B17">
        <w:t xml:space="preserve">(listed in </w:t>
      </w:r>
      <w:r w:rsidR="00564B17" w:rsidRPr="00CD7319">
        <w:rPr>
          <w:b/>
          <w:bCs/>
        </w:rPr>
        <w:fldChar w:fldCharType="begin"/>
      </w:r>
      <w:r w:rsidR="00564B17" w:rsidRPr="00CD7319">
        <w:rPr>
          <w:b/>
          <w:bCs/>
        </w:rPr>
        <w:instrText xml:space="preserve"> REF _Ref118988063 \h </w:instrText>
      </w:r>
      <w:r w:rsidR="00564B17">
        <w:rPr>
          <w:b/>
          <w:bCs/>
        </w:rPr>
        <w:instrText xml:space="preserve"> \* MERGEFORMAT </w:instrText>
      </w:r>
      <w:r w:rsidR="00564B17" w:rsidRPr="00CD7319">
        <w:rPr>
          <w:b/>
          <w:bCs/>
        </w:rPr>
      </w:r>
      <w:r w:rsidR="00564B17" w:rsidRPr="00CD7319">
        <w:rPr>
          <w:b/>
          <w:bCs/>
        </w:rPr>
        <w:fldChar w:fldCharType="separate"/>
      </w:r>
      <w:r w:rsidR="00180E14" w:rsidRPr="00180E14">
        <w:rPr>
          <w:b/>
          <w:bCs/>
        </w:rPr>
        <w:t xml:space="preserve">Table </w:t>
      </w:r>
      <w:r w:rsidR="00180E14" w:rsidRPr="00180E14">
        <w:rPr>
          <w:b/>
          <w:bCs/>
          <w:noProof/>
        </w:rPr>
        <w:t>4</w:t>
      </w:r>
      <w:r w:rsidR="00564B17" w:rsidRPr="00CD7319">
        <w:rPr>
          <w:b/>
          <w:bCs/>
        </w:rPr>
        <w:fldChar w:fldCharType="end"/>
      </w:r>
      <w:r w:rsidR="00564B17">
        <w:t xml:space="preserve">) </w:t>
      </w:r>
      <w:r w:rsidR="00066959">
        <w:t>to answer each of the evaluation questions</w:t>
      </w:r>
      <w:r w:rsidR="00A32C73">
        <w:t>. As the evaluation questions are quite distinct</w:t>
      </w:r>
      <w:r w:rsidR="00AB0766">
        <w:t>,</w:t>
      </w:r>
      <w:r w:rsidR="00A32C73">
        <w:t xml:space="preserve"> the sample populations for each question were unique. </w:t>
      </w:r>
      <w:bookmarkEnd w:id="948"/>
      <w:r w:rsidR="00C57D9E" w:rsidRPr="00C93DC6">
        <w:t xml:space="preserve">An overview of the </w:t>
      </w:r>
      <w:r w:rsidR="00022E77">
        <w:t>sample populations for each evaluation question</w:t>
      </w:r>
      <w:r w:rsidR="00C57D9E" w:rsidRPr="00C93DC6">
        <w:t xml:space="preserve"> </w:t>
      </w:r>
      <w:r w:rsidR="00C57D9E" w:rsidRPr="00390924">
        <w:t xml:space="preserve">is </w:t>
      </w:r>
      <w:r w:rsidR="00C57D9E">
        <w:t>presented</w:t>
      </w:r>
      <w:r w:rsidR="00C57D9E" w:rsidRPr="00390924">
        <w:t xml:space="preserve"> in</w:t>
      </w:r>
      <w:r w:rsidR="00915965">
        <w:t xml:space="preserve"> </w:t>
      </w:r>
      <w:r w:rsidR="00DA4838" w:rsidRPr="001431BC">
        <w:rPr>
          <w:b/>
          <w:bCs/>
        </w:rPr>
        <w:fldChar w:fldCharType="begin"/>
      </w:r>
      <w:r w:rsidR="00DA4838" w:rsidRPr="001431BC">
        <w:rPr>
          <w:b/>
          <w:bCs/>
        </w:rPr>
        <w:instrText xml:space="preserve"> REF _Ref109993050 \h </w:instrText>
      </w:r>
      <w:r w:rsidR="00DA4838">
        <w:rPr>
          <w:b/>
          <w:bCs/>
        </w:rPr>
        <w:instrText xml:space="preserve"> \* MERGEFORMAT </w:instrText>
      </w:r>
      <w:r w:rsidR="00DA4838" w:rsidRPr="001431BC">
        <w:rPr>
          <w:b/>
          <w:bCs/>
        </w:rPr>
      </w:r>
      <w:r w:rsidR="00DA4838" w:rsidRPr="001431BC">
        <w:rPr>
          <w:b/>
          <w:bCs/>
        </w:rPr>
        <w:fldChar w:fldCharType="separate"/>
      </w:r>
      <w:r w:rsidR="00180E14" w:rsidRPr="00180E14">
        <w:rPr>
          <w:b/>
          <w:bCs/>
        </w:rPr>
        <w:t xml:space="preserve">Figure </w:t>
      </w:r>
      <w:r w:rsidR="00180E14" w:rsidRPr="00180E14">
        <w:rPr>
          <w:b/>
          <w:bCs/>
          <w:noProof/>
        </w:rPr>
        <w:t>2</w:t>
      </w:r>
      <w:r w:rsidR="00DA4838" w:rsidRPr="001431BC">
        <w:rPr>
          <w:b/>
          <w:bCs/>
        </w:rPr>
        <w:fldChar w:fldCharType="end"/>
      </w:r>
      <w:r w:rsidR="00915965">
        <w:rPr>
          <w:b/>
          <w:bCs/>
          <w:highlight w:val="yellow"/>
        </w:rPr>
        <w:fldChar w:fldCharType="begin"/>
      </w:r>
      <w:r w:rsidR="00915965">
        <w:instrText xml:space="preserve"> REF _Ref109993050 \h </w:instrText>
      </w:r>
      <w:r w:rsidR="00915965">
        <w:rPr>
          <w:b/>
          <w:bCs/>
          <w:highlight w:val="yellow"/>
        </w:rPr>
      </w:r>
      <w:r w:rsidR="00915965">
        <w:rPr>
          <w:b/>
          <w:bCs/>
          <w:highlight w:val="yellow"/>
        </w:rPr>
        <w:fldChar w:fldCharType="separate"/>
      </w:r>
      <w:r w:rsidR="00180E14">
        <w:t xml:space="preserve">Figure </w:t>
      </w:r>
      <w:r w:rsidR="00180E14">
        <w:rPr>
          <w:noProof/>
        </w:rPr>
        <w:t>2</w:t>
      </w:r>
      <w:r w:rsidR="00915965">
        <w:rPr>
          <w:b/>
          <w:bCs/>
          <w:highlight w:val="yellow"/>
        </w:rPr>
        <w:fldChar w:fldCharType="end"/>
      </w:r>
      <w:r w:rsidR="00C57D9E">
        <w:t>.</w:t>
      </w:r>
      <w:r w:rsidR="00850B90">
        <w:t xml:space="preserve"> </w:t>
      </w:r>
      <w:r w:rsidR="00AB0766">
        <w:t>T</w:t>
      </w:r>
      <w:r w:rsidR="00850B90">
        <w:t>he components of this approach are described</w:t>
      </w:r>
      <w:r w:rsidR="00AB0766">
        <w:t xml:space="preserve"> in more detail</w:t>
      </w:r>
      <w:r w:rsidR="00850B90">
        <w:t xml:space="preserve"> </w:t>
      </w:r>
      <w:r w:rsidR="00AE10BD">
        <w:t>in the methodology sections below.</w:t>
      </w:r>
    </w:p>
    <w:p w14:paraId="484EC044" w14:textId="4D682F97" w:rsidR="0037553B" w:rsidRDefault="00834BB8" w:rsidP="001431BC">
      <w:pPr>
        <w:pStyle w:val="Caption"/>
        <w:keepNext/>
        <w:rPr>
          <w:noProof/>
        </w:rPr>
      </w:pPr>
      <w:bookmarkStart w:id="949" w:name="_Ref109993050"/>
      <w:bookmarkStart w:id="950" w:name="_Toc145883312"/>
      <w:bookmarkStart w:id="951" w:name="_Toc132647842"/>
      <w:bookmarkStart w:id="952" w:name="_Ref449701209"/>
      <w:bookmarkStart w:id="953" w:name="_Hlk108102823"/>
      <w:r>
        <w:t xml:space="preserve">Figure </w:t>
      </w:r>
      <w:r w:rsidR="00BE71D4">
        <w:fldChar w:fldCharType="begin"/>
      </w:r>
      <w:r w:rsidR="00BE71D4">
        <w:instrText xml:space="preserve"> SEQ Figure \* ARABIC </w:instrText>
      </w:r>
      <w:r w:rsidR="00BE71D4">
        <w:fldChar w:fldCharType="separate"/>
      </w:r>
      <w:r w:rsidR="00180E14">
        <w:rPr>
          <w:noProof/>
        </w:rPr>
        <w:t>2</w:t>
      </w:r>
      <w:r w:rsidR="00BE71D4">
        <w:rPr>
          <w:noProof/>
        </w:rPr>
        <w:fldChar w:fldCharType="end"/>
      </w:r>
      <w:bookmarkEnd w:id="949"/>
      <w:r w:rsidR="006500CC">
        <w:rPr>
          <w:noProof/>
        </w:rPr>
        <w:t xml:space="preserve">: </w:t>
      </w:r>
      <w:r w:rsidR="006500CC" w:rsidRPr="00323DC6">
        <w:rPr>
          <w:noProof/>
        </w:rPr>
        <w:t>Components of the mixed</w:t>
      </w:r>
      <w:r w:rsidR="00AB0766">
        <w:rPr>
          <w:noProof/>
        </w:rPr>
        <w:t>-</w:t>
      </w:r>
      <w:r w:rsidR="006500CC" w:rsidRPr="00323DC6">
        <w:rPr>
          <w:noProof/>
        </w:rPr>
        <w:t xml:space="preserve">methods approach used for the evaluation, identifying </w:t>
      </w:r>
      <w:r w:rsidR="00731831">
        <w:rPr>
          <w:noProof/>
        </w:rPr>
        <w:t>the study populations used to explore each evaluation question</w:t>
      </w:r>
      <w:bookmarkEnd w:id="950"/>
      <w:bookmarkEnd w:id="951"/>
    </w:p>
    <w:p w14:paraId="12C7B73B" w14:textId="774C3CA8" w:rsidR="003109FD" w:rsidRDefault="006150C6" w:rsidP="009251AF">
      <w:r>
        <w:rPr>
          <w:noProof/>
        </w:rPr>
        <w:drawing>
          <wp:inline distT="0" distB="0" distL="0" distR="0" wp14:anchorId="3242D0B4" wp14:editId="668694FC">
            <wp:extent cx="4953000" cy="4961367"/>
            <wp:effectExtent l="0" t="0" r="0" b="0"/>
            <wp:docPr id="27" name="Picture 27" descr="A circle divided into three. Each third describe two matched samples that inform the evaluation question as described in the next three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ircle divided into three. Each third describe two matched samples that inform the evaluation question as described in the next three sectio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5404" cy="4963775"/>
                    </a:xfrm>
                    <a:prstGeom prst="rect">
                      <a:avLst/>
                    </a:prstGeom>
                    <a:noFill/>
                    <a:ln>
                      <a:noFill/>
                    </a:ln>
                  </pic:spPr>
                </pic:pic>
              </a:graphicData>
            </a:graphic>
          </wp:inline>
        </w:drawing>
      </w:r>
      <w:r w:rsidR="003109FD">
        <w:br w:type="page"/>
      </w:r>
    </w:p>
    <w:p w14:paraId="3150E089" w14:textId="5F116910" w:rsidR="00B963AD" w:rsidRDefault="00A32C73" w:rsidP="00B963AD">
      <w:bookmarkStart w:id="954" w:name="_Toc106711820"/>
      <w:bookmarkEnd w:id="952"/>
      <w:bookmarkEnd w:id="953"/>
      <w:r>
        <w:lastRenderedPageBreak/>
        <w:t>W</w:t>
      </w:r>
      <w:r w:rsidRPr="00390924">
        <w:t>here necessary and feasible</w:t>
      </w:r>
      <w:r>
        <w:t>, d</w:t>
      </w:r>
      <w:bookmarkEnd w:id="954"/>
      <w:r w:rsidR="00B963AD" w:rsidRPr="00390924">
        <w:t xml:space="preserve">ata </w:t>
      </w:r>
      <w:r>
        <w:t>was</w:t>
      </w:r>
      <w:r w:rsidRPr="00390924">
        <w:t xml:space="preserve"> </w:t>
      </w:r>
      <w:r w:rsidR="00B963AD" w:rsidRPr="00390924">
        <w:t xml:space="preserve">disaggregated for different </w:t>
      </w:r>
      <w:r w:rsidR="00944359">
        <w:t>equity cohorts</w:t>
      </w:r>
      <w:r w:rsidR="00B963AD" w:rsidRPr="00390924">
        <w:t xml:space="preserve"> (including </w:t>
      </w:r>
      <w:r w:rsidR="00B963AD">
        <w:t>Aboriginal and/or Torres Strait Islander</w:t>
      </w:r>
      <w:r w:rsidR="00B963AD" w:rsidRPr="00390924">
        <w:t xml:space="preserve"> people, </w:t>
      </w:r>
      <w:r w:rsidR="003A0923">
        <w:t>women</w:t>
      </w:r>
      <w:r w:rsidR="00B963AD" w:rsidRPr="00390924">
        <w:t xml:space="preserve">, people from culturally and linguistically </w:t>
      </w:r>
      <w:r w:rsidR="00B321DC" w:rsidRPr="00390924">
        <w:t xml:space="preserve">diverse </w:t>
      </w:r>
      <w:r w:rsidR="00B963AD" w:rsidRPr="00390924">
        <w:t xml:space="preserve">(CALD) backgrounds, people </w:t>
      </w:r>
      <w:r>
        <w:t xml:space="preserve">living </w:t>
      </w:r>
      <w:r w:rsidR="00B963AD" w:rsidRPr="00390924">
        <w:t>with disability, age, and geography</w:t>
      </w:r>
      <w:r w:rsidR="00B963AD">
        <w:t>)</w:t>
      </w:r>
      <w:r w:rsidR="00B963AD" w:rsidRPr="00390924">
        <w:t xml:space="preserve"> to enable assessment of how well the program was meeting the needs of particular groups.</w:t>
      </w:r>
    </w:p>
    <w:p w14:paraId="339DCB59" w14:textId="18C367AD" w:rsidR="00C4532B" w:rsidRDefault="00C4532B" w:rsidP="00C4532B">
      <w:r>
        <w:t xml:space="preserve">The advent of COVID-19 and other natural disasters complicated the analysis for each of the evaluation questions. Details of how these external impacts were managed are presented in </w:t>
      </w:r>
      <w:r w:rsidRPr="004A440A">
        <w:rPr>
          <w:b/>
          <w:bCs/>
        </w:rPr>
        <w:t>Appendi</w:t>
      </w:r>
      <w:r w:rsidR="00966501" w:rsidRPr="004A440A">
        <w:rPr>
          <w:b/>
          <w:bCs/>
        </w:rPr>
        <w:t>ces</w:t>
      </w:r>
      <w:r w:rsidRPr="004A440A">
        <w:rPr>
          <w:b/>
          <w:bCs/>
        </w:rPr>
        <w:t xml:space="preserve"> </w:t>
      </w:r>
      <w:r w:rsidR="00CF455B">
        <w:rPr>
          <w:b/>
          <w:bCs/>
        </w:rPr>
        <w:t xml:space="preserve">3 </w:t>
      </w:r>
      <w:r w:rsidR="00966501">
        <w:rPr>
          <w:b/>
          <w:bCs/>
        </w:rPr>
        <w:t xml:space="preserve">and </w:t>
      </w:r>
      <w:r w:rsidR="00CF455B">
        <w:rPr>
          <w:b/>
          <w:bCs/>
        </w:rPr>
        <w:t>4</w:t>
      </w:r>
      <w:r w:rsidR="00CF455B">
        <w:t xml:space="preserve"> </w:t>
      </w:r>
      <w:r>
        <w:t xml:space="preserve">and </w:t>
      </w:r>
      <w:r w:rsidR="008274E5">
        <w:t>findings</w:t>
      </w:r>
      <w:r>
        <w:t xml:space="preserve"> are discussed in </w:t>
      </w:r>
      <w:r w:rsidR="00D0455D">
        <w:t>the context of COVID-19</w:t>
      </w:r>
      <w:r>
        <w:t>.</w:t>
      </w:r>
    </w:p>
    <w:p w14:paraId="60FB0E51" w14:textId="04D9A2AE" w:rsidR="005B4FD6" w:rsidRDefault="005B4FD6" w:rsidP="0090201E">
      <w:pPr>
        <w:pStyle w:val="Heading3"/>
        <w:ind w:left="0"/>
      </w:pPr>
      <w:bookmarkStart w:id="955" w:name="_Toc108539263"/>
      <w:bookmarkStart w:id="956" w:name="_Toc109822027"/>
      <w:bookmarkStart w:id="957" w:name="_Toc109918509"/>
      <w:bookmarkStart w:id="958" w:name="_Toc110249320"/>
      <w:bookmarkStart w:id="959" w:name="_Toc110251361"/>
      <w:bookmarkStart w:id="960" w:name="_Toc110264758"/>
      <w:bookmarkStart w:id="961" w:name="_Toc110410936"/>
      <w:bookmarkStart w:id="962" w:name="_Toc108539264"/>
      <w:bookmarkStart w:id="963" w:name="_Toc109822028"/>
      <w:bookmarkStart w:id="964" w:name="_Toc109918510"/>
      <w:bookmarkStart w:id="965" w:name="_Toc110249321"/>
      <w:bookmarkStart w:id="966" w:name="_Toc110251362"/>
      <w:bookmarkStart w:id="967" w:name="_Toc110264759"/>
      <w:bookmarkStart w:id="968" w:name="_Toc110410937"/>
      <w:bookmarkStart w:id="969" w:name="_Toc108539265"/>
      <w:bookmarkStart w:id="970" w:name="_Toc109822029"/>
      <w:bookmarkStart w:id="971" w:name="_Toc109918511"/>
      <w:bookmarkStart w:id="972" w:name="_Toc110249322"/>
      <w:bookmarkStart w:id="973" w:name="_Toc110251363"/>
      <w:bookmarkStart w:id="974" w:name="_Toc110264760"/>
      <w:bookmarkStart w:id="975" w:name="_Toc110410938"/>
      <w:bookmarkStart w:id="976" w:name="_Toc108539266"/>
      <w:bookmarkStart w:id="977" w:name="_Toc109822030"/>
      <w:bookmarkStart w:id="978" w:name="_Toc109918512"/>
      <w:bookmarkStart w:id="979" w:name="_Toc110249323"/>
      <w:bookmarkStart w:id="980" w:name="_Toc110251364"/>
      <w:bookmarkStart w:id="981" w:name="_Toc110264761"/>
      <w:bookmarkStart w:id="982" w:name="_Toc110410939"/>
      <w:bookmarkStart w:id="983" w:name="_Toc108539392"/>
      <w:bookmarkStart w:id="984" w:name="_Toc109822156"/>
      <w:bookmarkStart w:id="985" w:name="_Toc109918638"/>
      <w:bookmarkStart w:id="986" w:name="_Toc110249449"/>
      <w:bookmarkStart w:id="987" w:name="_Toc110251490"/>
      <w:bookmarkStart w:id="988" w:name="_Toc110264887"/>
      <w:bookmarkStart w:id="989" w:name="_Toc110411065"/>
      <w:bookmarkStart w:id="990" w:name="_Toc108539393"/>
      <w:bookmarkStart w:id="991" w:name="_Toc109822157"/>
      <w:bookmarkStart w:id="992" w:name="_Toc109918639"/>
      <w:bookmarkStart w:id="993" w:name="_Toc110249450"/>
      <w:bookmarkStart w:id="994" w:name="_Toc110251491"/>
      <w:bookmarkStart w:id="995" w:name="_Toc110264888"/>
      <w:bookmarkStart w:id="996" w:name="_Toc110411066"/>
      <w:bookmarkStart w:id="997" w:name="_Toc108539394"/>
      <w:bookmarkStart w:id="998" w:name="_Toc109822158"/>
      <w:bookmarkStart w:id="999" w:name="_Toc109918640"/>
      <w:bookmarkStart w:id="1000" w:name="_Toc110249451"/>
      <w:bookmarkStart w:id="1001" w:name="_Toc110251492"/>
      <w:bookmarkStart w:id="1002" w:name="_Toc110264889"/>
      <w:bookmarkStart w:id="1003" w:name="_Toc110411067"/>
      <w:bookmarkStart w:id="1004" w:name="_Toc108539395"/>
      <w:bookmarkStart w:id="1005" w:name="_Toc109822159"/>
      <w:bookmarkStart w:id="1006" w:name="_Toc109918641"/>
      <w:bookmarkStart w:id="1007" w:name="_Toc110249452"/>
      <w:bookmarkStart w:id="1008" w:name="_Toc110251493"/>
      <w:bookmarkStart w:id="1009" w:name="_Toc110264890"/>
      <w:bookmarkStart w:id="1010" w:name="_Toc110411068"/>
      <w:bookmarkStart w:id="1011" w:name="_Toc108539396"/>
      <w:bookmarkStart w:id="1012" w:name="_Toc109822160"/>
      <w:bookmarkStart w:id="1013" w:name="_Toc109918642"/>
      <w:bookmarkStart w:id="1014" w:name="_Toc110249453"/>
      <w:bookmarkStart w:id="1015" w:name="_Toc110251494"/>
      <w:bookmarkStart w:id="1016" w:name="_Toc110264891"/>
      <w:bookmarkStart w:id="1017" w:name="_Toc110411069"/>
      <w:bookmarkStart w:id="1018" w:name="_Toc108539397"/>
      <w:bookmarkStart w:id="1019" w:name="_Toc109822161"/>
      <w:bookmarkStart w:id="1020" w:name="_Toc109918643"/>
      <w:bookmarkStart w:id="1021" w:name="_Toc110249454"/>
      <w:bookmarkStart w:id="1022" w:name="_Toc110251495"/>
      <w:bookmarkStart w:id="1023" w:name="_Toc110264892"/>
      <w:bookmarkStart w:id="1024" w:name="_Toc110411070"/>
      <w:bookmarkStart w:id="1025" w:name="_Toc108539398"/>
      <w:bookmarkStart w:id="1026" w:name="_Toc109822162"/>
      <w:bookmarkStart w:id="1027" w:name="_Toc109918644"/>
      <w:bookmarkStart w:id="1028" w:name="_Toc110249455"/>
      <w:bookmarkStart w:id="1029" w:name="_Toc110251496"/>
      <w:bookmarkStart w:id="1030" w:name="_Toc110264893"/>
      <w:bookmarkStart w:id="1031" w:name="_Toc110411071"/>
      <w:bookmarkStart w:id="1032" w:name="_Toc108539399"/>
      <w:bookmarkStart w:id="1033" w:name="_Toc109822163"/>
      <w:bookmarkStart w:id="1034" w:name="_Toc109918645"/>
      <w:bookmarkStart w:id="1035" w:name="_Toc110249456"/>
      <w:bookmarkStart w:id="1036" w:name="_Toc110251497"/>
      <w:bookmarkStart w:id="1037" w:name="_Toc110264894"/>
      <w:bookmarkStart w:id="1038" w:name="_Toc110411072"/>
      <w:bookmarkStart w:id="1039" w:name="_Toc108539400"/>
      <w:bookmarkStart w:id="1040" w:name="_Toc109822164"/>
      <w:bookmarkStart w:id="1041" w:name="_Toc109918646"/>
      <w:bookmarkStart w:id="1042" w:name="_Toc110249457"/>
      <w:bookmarkStart w:id="1043" w:name="_Toc110251498"/>
      <w:bookmarkStart w:id="1044" w:name="_Toc110264895"/>
      <w:bookmarkStart w:id="1045" w:name="_Toc110411073"/>
      <w:bookmarkStart w:id="1046" w:name="_Toc108539401"/>
      <w:bookmarkStart w:id="1047" w:name="_Toc109822165"/>
      <w:bookmarkStart w:id="1048" w:name="_Toc109918647"/>
      <w:bookmarkStart w:id="1049" w:name="_Toc110249458"/>
      <w:bookmarkStart w:id="1050" w:name="_Toc110251499"/>
      <w:bookmarkStart w:id="1051" w:name="_Toc110264896"/>
      <w:bookmarkStart w:id="1052" w:name="_Toc110411074"/>
      <w:bookmarkStart w:id="1053" w:name="_Toc108539402"/>
      <w:bookmarkStart w:id="1054" w:name="_Toc109822166"/>
      <w:bookmarkStart w:id="1055" w:name="_Toc109918648"/>
      <w:bookmarkStart w:id="1056" w:name="_Toc110249459"/>
      <w:bookmarkStart w:id="1057" w:name="_Toc110251500"/>
      <w:bookmarkStart w:id="1058" w:name="_Toc110264897"/>
      <w:bookmarkStart w:id="1059" w:name="_Toc110411075"/>
      <w:bookmarkStart w:id="1060" w:name="_Toc108539403"/>
      <w:bookmarkStart w:id="1061" w:name="_Toc109822167"/>
      <w:bookmarkStart w:id="1062" w:name="_Toc109918649"/>
      <w:bookmarkStart w:id="1063" w:name="_Toc110249460"/>
      <w:bookmarkStart w:id="1064" w:name="_Toc110251501"/>
      <w:bookmarkStart w:id="1065" w:name="_Toc110264898"/>
      <w:bookmarkStart w:id="1066" w:name="_Toc110411076"/>
      <w:bookmarkStart w:id="1067" w:name="_Toc108539404"/>
      <w:bookmarkStart w:id="1068" w:name="_Toc109822168"/>
      <w:bookmarkStart w:id="1069" w:name="_Toc109918650"/>
      <w:bookmarkStart w:id="1070" w:name="_Toc110249461"/>
      <w:bookmarkStart w:id="1071" w:name="_Toc110251502"/>
      <w:bookmarkStart w:id="1072" w:name="_Toc110264899"/>
      <w:bookmarkStart w:id="1073" w:name="_Toc110411077"/>
      <w:bookmarkStart w:id="1074" w:name="_Toc108539405"/>
      <w:bookmarkStart w:id="1075" w:name="_Toc109822169"/>
      <w:bookmarkStart w:id="1076" w:name="_Toc109918651"/>
      <w:bookmarkStart w:id="1077" w:name="_Toc110249462"/>
      <w:bookmarkStart w:id="1078" w:name="_Toc110251503"/>
      <w:bookmarkStart w:id="1079" w:name="_Toc110264900"/>
      <w:bookmarkStart w:id="1080" w:name="_Toc110411078"/>
      <w:bookmarkStart w:id="1081" w:name="_Toc108539408"/>
      <w:bookmarkStart w:id="1082" w:name="_Toc109822172"/>
      <w:bookmarkStart w:id="1083" w:name="_Toc109918654"/>
      <w:bookmarkStart w:id="1084" w:name="_Toc110249465"/>
      <w:bookmarkStart w:id="1085" w:name="_Toc110251506"/>
      <w:bookmarkStart w:id="1086" w:name="_Toc110264903"/>
      <w:bookmarkStart w:id="1087" w:name="_Toc110411081"/>
      <w:bookmarkStart w:id="1088" w:name="_Toc108539409"/>
      <w:bookmarkStart w:id="1089" w:name="_Toc109822173"/>
      <w:bookmarkStart w:id="1090" w:name="_Toc109918655"/>
      <w:bookmarkStart w:id="1091" w:name="_Toc110249466"/>
      <w:bookmarkStart w:id="1092" w:name="_Toc110251507"/>
      <w:bookmarkStart w:id="1093" w:name="_Toc110264904"/>
      <w:bookmarkStart w:id="1094" w:name="_Toc110411082"/>
      <w:bookmarkStart w:id="1095" w:name="_Toc108539410"/>
      <w:bookmarkStart w:id="1096" w:name="_Toc109822174"/>
      <w:bookmarkStart w:id="1097" w:name="_Toc109918656"/>
      <w:bookmarkStart w:id="1098" w:name="_Toc110249467"/>
      <w:bookmarkStart w:id="1099" w:name="_Toc110251508"/>
      <w:bookmarkStart w:id="1100" w:name="_Toc110264905"/>
      <w:bookmarkStart w:id="1101" w:name="_Toc110411083"/>
      <w:bookmarkStart w:id="1102" w:name="_Toc108539411"/>
      <w:bookmarkStart w:id="1103" w:name="_Toc109822175"/>
      <w:bookmarkStart w:id="1104" w:name="_Toc109918657"/>
      <w:bookmarkStart w:id="1105" w:name="_Toc110249468"/>
      <w:bookmarkStart w:id="1106" w:name="_Toc110251509"/>
      <w:bookmarkStart w:id="1107" w:name="_Toc110264906"/>
      <w:bookmarkStart w:id="1108" w:name="_Toc110411084"/>
      <w:bookmarkStart w:id="1109" w:name="_Toc108539412"/>
      <w:bookmarkStart w:id="1110" w:name="_Toc109822176"/>
      <w:bookmarkStart w:id="1111" w:name="_Toc109918658"/>
      <w:bookmarkStart w:id="1112" w:name="_Toc110249469"/>
      <w:bookmarkStart w:id="1113" w:name="_Toc110251510"/>
      <w:bookmarkStart w:id="1114" w:name="_Toc110264907"/>
      <w:bookmarkStart w:id="1115" w:name="_Toc110411085"/>
      <w:bookmarkStart w:id="1116" w:name="_Toc108539413"/>
      <w:bookmarkStart w:id="1117" w:name="_Toc109822177"/>
      <w:bookmarkStart w:id="1118" w:name="_Toc109918659"/>
      <w:bookmarkStart w:id="1119" w:name="_Toc110249470"/>
      <w:bookmarkStart w:id="1120" w:name="_Toc110251511"/>
      <w:bookmarkStart w:id="1121" w:name="_Toc110264908"/>
      <w:bookmarkStart w:id="1122" w:name="_Toc110411086"/>
      <w:bookmarkStart w:id="1123" w:name="_Toc108539414"/>
      <w:bookmarkStart w:id="1124" w:name="_Toc109822178"/>
      <w:bookmarkStart w:id="1125" w:name="_Toc109918660"/>
      <w:bookmarkStart w:id="1126" w:name="_Toc110249471"/>
      <w:bookmarkStart w:id="1127" w:name="_Toc110251512"/>
      <w:bookmarkStart w:id="1128" w:name="_Toc110264909"/>
      <w:bookmarkStart w:id="1129" w:name="_Toc110411087"/>
      <w:bookmarkStart w:id="1130" w:name="_Toc108539415"/>
      <w:bookmarkStart w:id="1131" w:name="_Toc109822179"/>
      <w:bookmarkStart w:id="1132" w:name="_Toc109918661"/>
      <w:bookmarkStart w:id="1133" w:name="_Toc110249472"/>
      <w:bookmarkStart w:id="1134" w:name="_Toc110251513"/>
      <w:bookmarkStart w:id="1135" w:name="_Toc110264910"/>
      <w:bookmarkStart w:id="1136" w:name="_Toc110411088"/>
      <w:bookmarkStart w:id="1137" w:name="_Toc108539416"/>
      <w:bookmarkStart w:id="1138" w:name="_Toc109822180"/>
      <w:bookmarkStart w:id="1139" w:name="_Toc109918662"/>
      <w:bookmarkStart w:id="1140" w:name="_Toc110249473"/>
      <w:bookmarkStart w:id="1141" w:name="_Toc110251514"/>
      <w:bookmarkStart w:id="1142" w:name="_Toc110264911"/>
      <w:bookmarkStart w:id="1143" w:name="_Toc110411089"/>
      <w:bookmarkStart w:id="1144" w:name="_Toc108539417"/>
      <w:bookmarkStart w:id="1145" w:name="_Toc109822181"/>
      <w:bookmarkStart w:id="1146" w:name="_Toc109918663"/>
      <w:bookmarkStart w:id="1147" w:name="_Toc110249474"/>
      <w:bookmarkStart w:id="1148" w:name="_Toc110251515"/>
      <w:bookmarkStart w:id="1149" w:name="_Toc110264912"/>
      <w:bookmarkStart w:id="1150" w:name="_Toc110411090"/>
      <w:bookmarkStart w:id="1151" w:name="_Toc108539418"/>
      <w:bookmarkStart w:id="1152" w:name="_Toc109822182"/>
      <w:bookmarkStart w:id="1153" w:name="_Toc109918664"/>
      <w:bookmarkStart w:id="1154" w:name="_Toc110249475"/>
      <w:bookmarkStart w:id="1155" w:name="_Toc110251516"/>
      <w:bookmarkStart w:id="1156" w:name="_Toc110264913"/>
      <w:bookmarkStart w:id="1157" w:name="_Toc110411091"/>
      <w:bookmarkStart w:id="1158" w:name="_Toc106711823"/>
      <w:bookmarkStart w:id="1159" w:name="_Toc132650451"/>
      <w:bookmarkStart w:id="1160" w:name="_Toc146033483"/>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t xml:space="preserve">Methodology for EQ1: </w:t>
      </w:r>
      <w:r w:rsidRPr="726FFB36">
        <w:t>impact on human capabilities</w:t>
      </w:r>
      <w:bookmarkEnd w:id="1158"/>
      <w:bookmarkEnd w:id="1159"/>
      <w:bookmarkEnd w:id="1160"/>
    </w:p>
    <w:p w14:paraId="1A612327" w14:textId="77777777" w:rsidR="005B4FD6" w:rsidRDefault="005B4FD6" w:rsidP="00F975E8">
      <w:pPr>
        <w:pStyle w:val="Heading4"/>
        <w:numPr>
          <w:ilvl w:val="0"/>
          <w:numId w:val="0"/>
        </w:numPr>
      </w:pPr>
      <w:r>
        <w:t>Theoretical framework for analysis of human capabilities</w:t>
      </w:r>
    </w:p>
    <w:p w14:paraId="1B8E4DF6" w14:textId="00C76388" w:rsidR="005B4FD6" w:rsidRDefault="005B4FD6" w:rsidP="009251AF">
      <w:pPr>
        <w:spacing w:after="0"/>
      </w:pPr>
      <w:r>
        <w:t>A human capabilities framework was</w:t>
      </w:r>
      <w:r w:rsidR="00153BF7">
        <w:t xml:space="preserve"> developed to underpin this evaluation, </w:t>
      </w:r>
      <w:r>
        <w:t xml:space="preserve">informed by a literature review and stakeholder discussions (see </w:t>
      </w:r>
      <w:r>
        <w:rPr>
          <w:b/>
          <w:bCs/>
        </w:rPr>
        <w:t>Section 1.4</w:t>
      </w:r>
      <w:r>
        <w:t>). Framework components include:</w:t>
      </w:r>
    </w:p>
    <w:p w14:paraId="3D519216" w14:textId="0D20F105" w:rsidR="005B4FD6" w:rsidRPr="008E6A42" w:rsidRDefault="005B4FD6" w:rsidP="00456C86">
      <w:pPr>
        <w:pStyle w:val="ListBullet"/>
      </w:pPr>
      <w:r>
        <w:rPr>
          <w:i/>
          <w:iCs/>
        </w:rPr>
        <w:t>personal</w:t>
      </w:r>
      <w:r w:rsidRPr="008E6A42">
        <w:rPr>
          <w:i/>
          <w:iCs/>
        </w:rPr>
        <w:t xml:space="preserve"> capabilities</w:t>
      </w:r>
      <w:r w:rsidRPr="008E6A42">
        <w:t xml:space="preserve"> including </w:t>
      </w:r>
      <w:r>
        <w:t>psychosocial capabilities and pre-employment factors</w:t>
      </w:r>
    </w:p>
    <w:p w14:paraId="7D5E26E9" w14:textId="159AD9B0" w:rsidR="005B4FD6" w:rsidRPr="008E6A42" w:rsidRDefault="005B4FD6" w:rsidP="00456C86">
      <w:pPr>
        <w:pStyle w:val="ListBullet"/>
      </w:pPr>
      <w:r>
        <w:rPr>
          <w:i/>
          <w:iCs/>
        </w:rPr>
        <w:t>c</w:t>
      </w:r>
      <w:r w:rsidRPr="008E6A42">
        <w:rPr>
          <w:i/>
          <w:iCs/>
        </w:rPr>
        <w:t>apability influencers</w:t>
      </w:r>
      <w:r w:rsidRPr="008E6A42">
        <w:t xml:space="preserve"> such as family support and social connectedness, availability</w:t>
      </w:r>
      <w:r w:rsidR="00311E4F">
        <w:t xml:space="preserve"> of</w:t>
      </w:r>
      <w:r w:rsidRPr="008E6A42">
        <w:t xml:space="preserve"> and access to social supports and services, and access to transport and housing</w:t>
      </w:r>
    </w:p>
    <w:p w14:paraId="2007BF71" w14:textId="43CAFCEC" w:rsidR="005B4FD6" w:rsidRDefault="005B4FD6" w:rsidP="00456C86">
      <w:pPr>
        <w:pStyle w:val="ListBullet"/>
      </w:pPr>
      <w:r>
        <w:rPr>
          <w:i/>
          <w:iCs/>
        </w:rPr>
        <w:t>b</w:t>
      </w:r>
      <w:r w:rsidRPr="008E6A42">
        <w:rPr>
          <w:i/>
          <w:iCs/>
        </w:rPr>
        <w:t>roader structural influencers</w:t>
      </w:r>
      <w:r w:rsidRPr="008E6A42">
        <w:t>, particularly relating to the labour market such as the availability of jobs in the local economy, and the accessibility of these jobs.</w:t>
      </w:r>
    </w:p>
    <w:p w14:paraId="64482332" w14:textId="33A051EC" w:rsidR="005B4FD6" w:rsidRDefault="005B4FD6" w:rsidP="005B4FD6">
      <w:r>
        <w:t xml:space="preserve">The TtW program cannot impact all </w:t>
      </w:r>
      <w:r w:rsidR="00684C18">
        <w:t xml:space="preserve">of </w:t>
      </w:r>
      <w:r>
        <w:t>the</w:t>
      </w:r>
      <w:r w:rsidR="00153BF7">
        <w:t>se</w:t>
      </w:r>
      <w:r>
        <w:t xml:space="preserve"> factors, particularly the broader structural influencers. The current analysis examined the impact TtW has on young peoples</w:t>
      </w:r>
      <w:r w:rsidR="00F8391B">
        <w:t>’</w:t>
      </w:r>
      <w:r>
        <w:t xml:space="preserve"> psychological capabilities and the capability influencers outlined in </w:t>
      </w:r>
      <w:r w:rsidRPr="00CD7319">
        <w:rPr>
          <w:b/>
          <w:bCs/>
        </w:rPr>
        <w:fldChar w:fldCharType="begin"/>
      </w:r>
      <w:r w:rsidRPr="00CD7319">
        <w:rPr>
          <w:b/>
          <w:bCs/>
        </w:rPr>
        <w:instrText xml:space="preserve"> REF _Ref118988378 \h </w:instrText>
      </w:r>
      <w:r>
        <w:rPr>
          <w:b/>
          <w:bCs/>
        </w:rPr>
        <w:instrText xml:space="preserve"> \* MERGEFORMAT </w:instrText>
      </w:r>
      <w:r w:rsidRPr="00CD7319">
        <w:rPr>
          <w:b/>
          <w:bCs/>
        </w:rPr>
      </w:r>
      <w:r w:rsidRPr="00CD7319">
        <w:rPr>
          <w:b/>
          <w:bCs/>
        </w:rPr>
        <w:fldChar w:fldCharType="separate"/>
      </w:r>
      <w:r w:rsidR="00180E14" w:rsidRPr="00180E14">
        <w:rPr>
          <w:b/>
          <w:bCs/>
        </w:rPr>
        <w:t xml:space="preserve">Table </w:t>
      </w:r>
      <w:r w:rsidR="00180E14" w:rsidRPr="00180E14">
        <w:rPr>
          <w:b/>
          <w:bCs/>
          <w:noProof/>
        </w:rPr>
        <w:t>5</w:t>
      </w:r>
      <w:r w:rsidRPr="00CD7319">
        <w:rPr>
          <w:b/>
          <w:bCs/>
        </w:rPr>
        <w:fldChar w:fldCharType="end"/>
      </w:r>
      <w:r>
        <w:t xml:space="preserve">. </w:t>
      </w:r>
      <w:r w:rsidRPr="00564B17">
        <w:t>The impact on participants</w:t>
      </w:r>
      <w:r w:rsidR="00311E4F">
        <w:t>’</w:t>
      </w:r>
      <w:r w:rsidRPr="00564B17">
        <w:t xml:space="preserve"> overall wellbeing and life satisfaction</w:t>
      </w:r>
      <w:r>
        <w:t xml:space="preserve"> was </w:t>
      </w:r>
      <w:r w:rsidR="00153BF7">
        <w:t xml:space="preserve">also </w:t>
      </w:r>
      <w:r>
        <w:t>examined</w:t>
      </w:r>
      <w:r w:rsidRPr="00564B17">
        <w:t>.</w:t>
      </w:r>
    </w:p>
    <w:p w14:paraId="3E7B2A81" w14:textId="029655DA" w:rsidR="005B4FD6" w:rsidRDefault="005B4FD6" w:rsidP="005B4FD6">
      <w:pPr>
        <w:pStyle w:val="Caption"/>
        <w:keepNext/>
      </w:pPr>
      <w:bookmarkStart w:id="1161" w:name="_Ref118988378"/>
      <w:bookmarkStart w:id="1162" w:name="_Toc132647781"/>
      <w:bookmarkStart w:id="1163" w:name="_Toc145877294"/>
      <w:r>
        <w:t xml:space="preserve">Table </w:t>
      </w:r>
      <w:r w:rsidR="00BE71D4">
        <w:fldChar w:fldCharType="begin"/>
      </w:r>
      <w:r w:rsidR="00BE71D4">
        <w:instrText xml:space="preserve"> SEQ Table \* ARABIC </w:instrText>
      </w:r>
      <w:r w:rsidR="00BE71D4">
        <w:fldChar w:fldCharType="separate"/>
      </w:r>
      <w:r w:rsidR="00180E14">
        <w:rPr>
          <w:noProof/>
        </w:rPr>
        <w:t>5</w:t>
      </w:r>
      <w:r w:rsidR="00BE71D4">
        <w:rPr>
          <w:noProof/>
        </w:rPr>
        <w:fldChar w:fldCharType="end"/>
      </w:r>
      <w:bookmarkEnd w:id="1161"/>
      <w:r>
        <w:t xml:space="preserve">: Components of </w:t>
      </w:r>
      <w:r w:rsidR="00311E4F">
        <w:t>h</w:t>
      </w:r>
      <w:r>
        <w:t xml:space="preserve">uman </w:t>
      </w:r>
      <w:r w:rsidR="00311E4F">
        <w:t>c</w:t>
      </w:r>
      <w:r>
        <w:t>apability examined in this evaluation</w:t>
      </w:r>
      <w:bookmarkEnd w:id="1162"/>
      <w:bookmarkEnd w:id="1163"/>
    </w:p>
    <w:tbl>
      <w:tblPr>
        <w:tblStyle w:val="TtWReportTableTemplate2"/>
        <w:tblW w:w="0" w:type="auto"/>
        <w:tblLook w:val="04A0" w:firstRow="1" w:lastRow="0" w:firstColumn="1" w:lastColumn="0" w:noHBand="0" w:noVBand="1"/>
      </w:tblPr>
      <w:tblGrid>
        <w:gridCol w:w="2011"/>
        <w:gridCol w:w="4468"/>
      </w:tblGrid>
      <w:tr w:rsidR="00633F11" w:rsidRPr="00633F11" w14:paraId="62AD9A92" w14:textId="77777777" w:rsidTr="00C91139">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5D7A38"/>
            <w:vAlign w:val="center"/>
          </w:tcPr>
          <w:p w14:paraId="1BD85572" w14:textId="7924E922" w:rsidR="00633F11" w:rsidRPr="00633F11" w:rsidRDefault="00633F11" w:rsidP="009251AF">
            <w:pPr>
              <w:spacing w:before="120"/>
            </w:pPr>
            <w:r>
              <w:t>Factor</w:t>
            </w:r>
          </w:p>
        </w:tc>
        <w:tc>
          <w:tcPr>
            <w:tcW w:w="0" w:type="auto"/>
            <w:shd w:val="clear" w:color="auto" w:fill="5D7A38"/>
            <w:vAlign w:val="center"/>
          </w:tcPr>
          <w:p w14:paraId="5552C071" w14:textId="342500B1" w:rsidR="00633F11" w:rsidRPr="00633F11" w:rsidRDefault="00633F11" w:rsidP="009251AF">
            <w:pPr>
              <w:pStyle w:val="ListBullet2"/>
              <w:numPr>
                <w:ilvl w:val="0"/>
                <w:numId w:val="0"/>
              </w:numPr>
              <w:spacing w:after="0"/>
              <w:ind w:left="641"/>
              <w:cnfStyle w:val="100000000000" w:firstRow="1" w:lastRow="0" w:firstColumn="0" w:lastColumn="0" w:oddVBand="0" w:evenVBand="0" w:oddHBand="0" w:evenHBand="0" w:firstRowFirstColumn="0" w:firstRowLastColumn="0" w:lastRowFirstColumn="0" w:lastRowLastColumn="0"/>
            </w:pPr>
            <w:r w:rsidRPr="00633F11">
              <w:t>Component</w:t>
            </w:r>
          </w:p>
        </w:tc>
      </w:tr>
      <w:tr w:rsidR="005B4FD6" w14:paraId="519E7BDB"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1A5B93" w14:textId="77777777" w:rsidR="005B4FD6" w:rsidRPr="00CD7319" w:rsidRDefault="005B4FD6" w:rsidP="009251AF">
            <w:pPr>
              <w:spacing w:before="120"/>
              <w:rPr>
                <w:b w:val="0"/>
                <w:bCs/>
              </w:rPr>
            </w:pPr>
            <w:r w:rsidRPr="00CD7319">
              <w:rPr>
                <w:bCs/>
              </w:rPr>
              <w:t>Personal capabilities</w:t>
            </w:r>
          </w:p>
        </w:tc>
        <w:tc>
          <w:tcPr>
            <w:tcW w:w="0" w:type="auto"/>
          </w:tcPr>
          <w:p w14:paraId="0C37DF89" w14:textId="77777777" w:rsidR="005B4FD6" w:rsidRPr="00D645C0" w:rsidRDefault="005B4FD6" w:rsidP="009251AF">
            <w:pPr>
              <w:pStyle w:val="ListBullet2"/>
              <w:spacing w:before="120"/>
              <w:ind w:left="641" w:hanging="357"/>
              <w:cnfStyle w:val="000000100000" w:firstRow="0" w:lastRow="0" w:firstColumn="0" w:lastColumn="0" w:oddVBand="0" w:evenVBand="0" w:oddHBand="1" w:evenHBand="0" w:firstRowFirstColumn="0" w:firstRowLastColumn="0" w:lastRowFirstColumn="0" w:lastRowLastColumn="0"/>
              <w:rPr>
                <w:i/>
                <w:iCs/>
              </w:rPr>
            </w:pPr>
            <w:r>
              <w:t>Confidence</w:t>
            </w:r>
          </w:p>
          <w:p w14:paraId="56874909" w14:textId="77777777" w:rsidR="005B4FD6" w:rsidRPr="00090A53" w:rsidRDefault="005B4FD6" w:rsidP="009251AF">
            <w:pPr>
              <w:pStyle w:val="ListBullet2"/>
              <w:cnfStyle w:val="000000100000" w:firstRow="0" w:lastRow="0" w:firstColumn="0" w:lastColumn="0" w:oddVBand="0" w:evenVBand="0" w:oddHBand="1" w:evenHBand="0" w:firstRowFirstColumn="0" w:firstRowLastColumn="0" w:lastRowFirstColumn="0" w:lastRowLastColumn="0"/>
            </w:pPr>
            <w:r w:rsidRPr="00090A53">
              <w:t>Resilience</w:t>
            </w:r>
          </w:p>
          <w:p w14:paraId="1F09B5F0" w14:textId="77777777" w:rsidR="005B4FD6" w:rsidRDefault="005B4FD6" w:rsidP="009251AF">
            <w:pPr>
              <w:pStyle w:val="ListBullet2"/>
              <w:cnfStyle w:val="000000100000" w:firstRow="0" w:lastRow="0" w:firstColumn="0" w:lastColumn="0" w:oddVBand="0" w:evenVBand="0" w:oddHBand="1" w:evenHBand="0" w:firstRowFirstColumn="0" w:firstRowLastColumn="0" w:lastRowFirstColumn="0" w:lastRowLastColumn="0"/>
            </w:pPr>
            <w:r>
              <w:t>Motivation</w:t>
            </w:r>
          </w:p>
          <w:p w14:paraId="52957F98" w14:textId="77777777" w:rsidR="005B4FD6" w:rsidRDefault="005B4FD6" w:rsidP="009251AF">
            <w:pPr>
              <w:pStyle w:val="ListBullet2"/>
              <w:cnfStyle w:val="000000100000" w:firstRow="0" w:lastRow="0" w:firstColumn="0" w:lastColumn="0" w:oddVBand="0" w:evenVBand="0" w:oddHBand="1" w:evenHBand="0" w:firstRowFirstColumn="0" w:firstRowLastColumn="0" w:lastRowFirstColumn="0" w:lastRowLastColumn="0"/>
            </w:pPr>
            <w:r>
              <w:t>Empowerment</w:t>
            </w:r>
          </w:p>
          <w:p w14:paraId="4C4CC807" w14:textId="77777777" w:rsidR="005B4FD6" w:rsidRDefault="005B4FD6" w:rsidP="009251AF">
            <w:pPr>
              <w:pStyle w:val="ListBullet2"/>
              <w:cnfStyle w:val="000000100000" w:firstRow="0" w:lastRow="0" w:firstColumn="0" w:lastColumn="0" w:oddVBand="0" w:evenVBand="0" w:oddHBand="1" w:evenHBand="0" w:firstRowFirstColumn="0" w:firstRowLastColumn="0" w:lastRowFirstColumn="0" w:lastRowLastColumn="0"/>
            </w:pPr>
            <w:r w:rsidRPr="00090A53">
              <w:t>Mental health</w:t>
            </w:r>
          </w:p>
          <w:p w14:paraId="38A29E44" w14:textId="77777777" w:rsidR="005B4FD6" w:rsidRDefault="005B4FD6" w:rsidP="009251AF">
            <w:pPr>
              <w:pStyle w:val="ListBullet2"/>
              <w:cnfStyle w:val="000000100000" w:firstRow="0" w:lastRow="0" w:firstColumn="0" w:lastColumn="0" w:oddVBand="0" w:evenVBand="0" w:oddHBand="1" w:evenHBand="0" w:firstRowFirstColumn="0" w:firstRowLastColumn="0" w:lastRowFirstColumn="0" w:lastRowLastColumn="0"/>
            </w:pPr>
            <w:r>
              <w:t>Physical health</w:t>
            </w:r>
          </w:p>
        </w:tc>
      </w:tr>
      <w:tr w:rsidR="005B4FD6" w14:paraId="49B525E5"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0262A4" w14:textId="4B9C2C9C" w:rsidR="005B4FD6" w:rsidRPr="00CD7319" w:rsidRDefault="00417218" w:rsidP="009251AF">
            <w:pPr>
              <w:spacing w:before="120"/>
              <w:rPr>
                <w:b w:val="0"/>
                <w:bCs/>
              </w:rPr>
            </w:pPr>
            <w:r>
              <w:rPr>
                <w:bCs/>
              </w:rPr>
              <w:t>C</w:t>
            </w:r>
            <w:r w:rsidR="005B4FD6" w:rsidRPr="00CD7319">
              <w:rPr>
                <w:bCs/>
              </w:rPr>
              <w:t>apabilit</w:t>
            </w:r>
            <w:r>
              <w:rPr>
                <w:bCs/>
              </w:rPr>
              <w:t>y influencers</w:t>
            </w:r>
          </w:p>
        </w:tc>
        <w:tc>
          <w:tcPr>
            <w:tcW w:w="0" w:type="auto"/>
          </w:tcPr>
          <w:p w14:paraId="1E8EFE81" w14:textId="77777777" w:rsidR="005B4FD6" w:rsidRDefault="005B4FD6" w:rsidP="009251AF">
            <w:pPr>
              <w:pStyle w:val="ListBullet2"/>
              <w:spacing w:before="120"/>
              <w:ind w:left="641" w:hanging="357"/>
              <w:cnfStyle w:val="000000010000" w:firstRow="0" w:lastRow="0" w:firstColumn="0" w:lastColumn="0" w:oddVBand="0" w:evenVBand="0" w:oddHBand="0" w:evenHBand="1" w:firstRowFirstColumn="0" w:firstRowLastColumn="0" w:lastRowFirstColumn="0" w:lastRowLastColumn="0"/>
            </w:pPr>
            <w:r>
              <w:t>Social connectedness</w:t>
            </w:r>
          </w:p>
          <w:p w14:paraId="6EC654EE" w14:textId="77777777" w:rsidR="005B4FD6" w:rsidRDefault="005B4FD6" w:rsidP="009251AF">
            <w:pPr>
              <w:pStyle w:val="ListBullet2"/>
              <w:cnfStyle w:val="000000010000" w:firstRow="0" w:lastRow="0" w:firstColumn="0" w:lastColumn="0" w:oddVBand="0" w:evenVBand="0" w:oddHBand="0" w:evenHBand="1" w:firstRowFirstColumn="0" w:firstRowLastColumn="0" w:lastRowFirstColumn="0" w:lastRowLastColumn="0"/>
            </w:pPr>
            <w:r>
              <w:t>Availability of and access to support services</w:t>
            </w:r>
          </w:p>
        </w:tc>
      </w:tr>
    </w:tbl>
    <w:p w14:paraId="457BB0B6" w14:textId="52D78483" w:rsidR="005B4FD6" w:rsidRPr="006D5C23" w:rsidRDefault="00DE7003" w:rsidP="00F975E8">
      <w:pPr>
        <w:pStyle w:val="Heading4"/>
        <w:numPr>
          <w:ilvl w:val="0"/>
          <w:numId w:val="0"/>
        </w:numPr>
      </w:pPr>
      <w:r>
        <w:t>Approach and m</w:t>
      </w:r>
      <w:r w:rsidR="00CA548A">
        <w:t>ethodology</w:t>
      </w:r>
    </w:p>
    <w:p w14:paraId="35370CE3" w14:textId="41682B0C" w:rsidR="005B4FD6" w:rsidRDefault="005B4FD6" w:rsidP="005B4FD6">
      <w:r>
        <w:t>As this part of the evaluation was exploratory, an iterative mixed-methods approach was adopted, initially working with a small group of young people to explore themes and ideas to inform the further collection of qualitative data, and this further informing survey design for the collection of quantitative data.</w:t>
      </w:r>
    </w:p>
    <w:p w14:paraId="1BF620FB" w14:textId="7C42062F" w:rsidR="005B4FD6" w:rsidRDefault="005B4FD6" w:rsidP="005B4FD6">
      <w:r>
        <w:lastRenderedPageBreak/>
        <w:t>Qualitative data was collected through interviews and focus group discussions with TtW participants, providers and peak bodies</w:t>
      </w:r>
      <w:r w:rsidR="00311E4F">
        <w:t>.</w:t>
      </w:r>
      <w:r>
        <w:rPr>
          <w:rStyle w:val="FootnoteReference"/>
        </w:rPr>
        <w:footnoteReference w:id="33"/>
      </w:r>
      <w:r>
        <w:t xml:space="preserve"> Quantitative data was collected through the provider survey, participant survey and administrative data. Analysis included descriptive statistics and </w:t>
      </w:r>
      <w:r w:rsidR="00D11B5D">
        <w:t xml:space="preserve">multivariate </w:t>
      </w:r>
      <w:r>
        <w:t>regression analysis where necessary, to provide evidence of any changes in participant capabilities that can be attributed to TtW.</w:t>
      </w:r>
    </w:p>
    <w:p w14:paraId="4C5BFFB8" w14:textId="310FAEDF" w:rsidR="005B4FD6" w:rsidRPr="00411433" w:rsidRDefault="0041451F" w:rsidP="00F975E8">
      <w:pPr>
        <w:pStyle w:val="Heading4"/>
        <w:numPr>
          <w:ilvl w:val="0"/>
          <w:numId w:val="0"/>
        </w:numPr>
      </w:pPr>
      <w:r>
        <w:t>Study population for participan</w:t>
      </w:r>
      <w:r w:rsidR="00EA343E">
        <w:t>t surveys</w:t>
      </w:r>
    </w:p>
    <w:p w14:paraId="1B116A97" w14:textId="6A98AD77" w:rsidR="005B4FD6" w:rsidRDefault="005B4FD6" w:rsidP="005B4FD6">
      <w:r>
        <w:t xml:space="preserve">Analysis of the impact on human capability required data to be collected through surveys and consultations from participants who had experience of TtW and the comparison group. Previous experience demonstrated that cold-contacting participants who had left a service led to very poor response rates, so it was decided to target participants who were currently in the program, limiting it to those who had been involved in the program for </w:t>
      </w:r>
      <w:r w:rsidR="00F8391B">
        <w:t>6</w:t>
      </w:r>
      <w:r>
        <w:t xml:space="preserve"> months or more.</w:t>
      </w:r>
    </w:p>
    <w:p w14:paraId="0632EFA9" w14:textId="7E43A8CF" w:rsidR="005B4FD6" w:rsidRDefault="005B4FD6" w:rsidP="009251AF">
      <w:r>
        <w:t>The study population included TtW participants who, on 7 April 2021</w:t>
      </w:r>
      <w:r w:rsidR="00311E4F">
        <w:t>:</w:t>
      </w:r>
      <w:r>
        <w:rPr>
          <w:rStyle w:val="FootnoteReference"/>
        </w:rPr>
        <w:footnoteReference w:id="34"/>
      </w:r>
    </w:p>
    <w:p w14:paraId="6B20EC56" w14:textId="0BF4441B" w:rsidR="005B4FD6" w:rsidRPr="0095476C" w:rsidRDefault="005B4FD6" w:rsidP="00456C86">
      <w:pPr>
        <w:pStyle w:val="ListBullet"/>
      </w:pPr>
      <w:r w:rsidRPr="0095476C">
        <w:t>were currently in the program</w:t>
      </w:r>
    </w:p>
    <w:p w14:paraId="6917A1CD" w14:textId="684564C9" w:rsidR="005B4FD6" w:rsidRPr="0095476C" w:rsidRDefault="005B4FD6" w:rsidP="00456C86">
      <w:pPr>
        <w:pStyle w:val="ListBullet"/>
      </w:pPr>
      <w:r w:rsidRPr="0095476C">
        <w:t>had been in the program for at least 6 months (cumulative)</w:t>
      </w:r>
    </w:p>
    <w:p w14:paraId="4AA73620" w14:textId="04B013B3" w:rsidR="005B4FD6" w:rsidRPr="0095476C" w:rsidRDefault="005B4FD6" w:rsidP="00456C86">
      <w:pPr>
        <w:pStyle w:val="ListBullet"/>
      </w:pPr>
      <w:r w:rsidRPr="0095476C">
        <w:t xml:space="preserve">had not been in jobactive </w:t>
      </w:r>
      <w:r w:rsidR="003B705A">
        <w:t>before</w:t>
      </w:r>
      <w:r w:rsidRPr="0095476C">
        <w:t xml:space="preserve"> joining TtW</w:t>
      </w:r>
      <w:r>
        <w:t xml:space="preserve"> (except in the case of Group 3 participants, who by necessity move from a jobactive provider to TtW</w:t>
      </w:r>
      <w:r w:rsidR="00417218">
        <w:t>).</w:t>
      </w:r>
      <w:r>
        <w:rPr>
          <w:rStyle w:val="FootnoteReference"/>
        </w:rPr>
        <w:footnoteReference w:id="35"/>
      </w:r>
      <w:r w:rsidRPr="0095476C">
        <w:t xml:space="preserve"> </w:t>
      </w:r>
    </w:p>
    <w:p w14:paraId="0BD43EBF" w14:textId="34E570E3" w:rsidR="005B4FD6" w:rsidRDefault="005B4FD6" w:rsidP="005B4FD6">
      <w:r w:rsidRPr="00946CEB">
        <w:t xml:space="preserve">The sample design </w:t>
      </w:r>
      <w:r>
        <w:t xml:space="preserve">ensured a representative sample of TtW participants was selected by using </w:t>
      </w:r>
      <w:r w:rsidRPr="00946CEB">
        <w:t xml:space="preserve">stratification by TtW </w:t>
      </w:r>
      <w:r w:rsidR="00311E4F">
        <w:t>g</w:t>
      </w:r>
      <w:r w:rsidRPr="00946CEB">
        <w:t>roup (Group 1</w:t>
      </w:r>
      <w:r>
        <w:t xml:space="preserve"> </w:t>
      </w:r>
      <w:r w:rsidR="009251AF">
        <w:t>Early School Leavers</w:t>
      </w:r>
      <w:r>
        <w:t>/Aboriginal and/or Torres Strait Islander)</w:t>
      </w:r>
      <w:r w:rsidRPr="00946CEB">
        <w:t>, Group 2</w:t>
      </w:r>
      <w:r>
        <w:t xml:space="preserve"> (Disengaged)</w:t>
      </w:r>
      <w:r w:rsidRPr="00946CEB">
        <w:t>, Group 3</w:t>
      </w:r>
      <w:r>
        <w:t xml:space="preserve"> (Stream C/Tier 2 referrals</w:t>
      </w:r>
      <w:r w:rsidRPr="00946CEB">
        <w:t xml:space="preserve">) with other </w:t>
      </w:r>
      <w:r w:rsidR="003F611F">
        <w:t xml:space="preserve">balancing factors </w:t>
      </w:r>
      <w:r>
        <w:t>including</w:t>
      </w:r>
      <w:r w:rsidRPr="00946CEB">
        <w:t xml:space="preserve"> age, gender, state, </w:t>
      </w:r>
      <w:r>
        <w:t>Aboriginal and/or Torres Strait Islander</w:t>
      </w:r>
      <w:r w:rsidRPr="00946CEB">
        <w:t xml:space="preserve"> status, current JSCI score, and </w:t>
      </w:r>
      <w:r w:rsidR="00804083">
        <w:t>Statistical Area</w:t>
      </w:r>
      <w:r w:rsidR="00311E4F">
        <w:t> </w:t>
      </w:r>
      <w:r w:rsidR="00804083">
        <w:t xml:space="preserve">4 </w:t>
      </w:r>
      <w:r w:rsidR="00804083" w:rsidRPr="00946CEB">
        <w:t xml:space="preserve">ABS unemployment rate </w:t>
      </w:r>
      <w:r w:rsidR="00804083">
        <w:t>for 15</w:t>
      </w:r>
      <w:r w:rsidR="00311E4F">
        <w:t>–</w:t>
      </w:r>
      <w:r w:rsidR="00804083">
        <w:t>24 year olds</w:t>
      </w:r>
      <w:r w:rsidRPr="00946CEB">
        <w:t>.</w:t>
      </w:r>
    </w:p>
    <w:p w14:paraId="2C83EC7E" w14:textId="61288D54" w:rsidR="006009D0" w:rsidRDefault="006009D0" w:rsidP="006009D0">
      <w:r>
        <w:t>T</w:t>
      </w:r>
      <w:r w:rsidRPr="00F335BD">
        <w:t>o assess the contribution that TtW has made to participants</w:t>
      </w:r>
      <w:r w:rsidR="00F8391B">
        <w:t>’</w:t>
      </w:r>
      <w:r w:rsidRPr="00F335BD">
        <w:t xml:space="preserve"> human capabilities and wellbeing</w:t>
      </w:r>
      <w:r>
        <w:t>,</w:t>
      </w:r>
      <w:r w:rsidRPr="00F335BD">
        <w:t xml:space="preserve"> it was necessary to identify a comparison group who did not receive TtW services and support but who had similar characteristics and opportunities. The alternative service available for Group 1 and Group 3 participants (approximately 95% of TtW participants) involved participation in the mainstream jobactive program.</w:t>
      </w:r>
    </w:p>
    <w:p w14:paraId="581E2380" w14:textId="65EDA0A6" w:rsidR="004F1444" w:rsidRDefault="004F1444" w:rsidP="004F1444">
      <w:pPr>
        <w:rPr>
          <w:rFonts w:cs="Arial"/>
          <w:szCs w:val="20"/>
        </w:rPr>
      </w:pPr>
      <w:r>
        <w:t>A</w:t>
      </w:r>
      <w:r w:rsidRPr="00F335BD">
        <w:t xml:space="preserve"> comparison sample of participants from jobactive</w:t>
      </w:r>
      <w:r>
        <w:t>,</w:t>
      </w:r>
      <w:r w:rsidRPr="00F335BD">
        <w:t xml:space="preserve"> match</w:t>
      </w:r>
      <w:r>
        <w:t>ing</w:t>
      </w:r>
      <w:r w:rsidRPr="00F335BD">
        <w:t xml:space="preserve"> </w:t>
      </w:r>
      <w:r>
        <w:t xml:space="preserve">the </w:t>
      </w:r>
      <w:r w:rsidRPr="00F335BD">
        <w:t>characteristics of the TtW group as closely as possible</w:t>
      </w:r>
      <w:r>
        <w:t xml:space="preserve">, was selected for the quantitative work. </w:t>
      </w:r>
      <w:r>
        <w:rPr>
          <w:rFonts w:cs="Arial"/>
          <w:szCs w:val="20"/>
        </w:rPr>
        <w:t xml:space="preserve">Participants from the jobactive comparison population needed to have </w:t>
      </w:r>
      <w:r w:rsidRPr="008516F6">
        <w:rPr>
          <w:rFonts w:cs="Arial"/>
          <w:szCs w:val="20"/>
        </w:rPr>
        <w:t xml:space="preserve">met the </w:t>
      </w:r>
      <w:r>
        <w:rPr>
          <w:rFonts w:cs="Arial"/>
          <w:szCs w:val="20"/>
        </w:rPr>
        <w:t xml:space="preserve">same conditions (including not having been commenced in TtW) and </w:t>
      </w:r>
      <w:r w:rsidRPr="008516F6">
        <w:rPr>
          <w:rFonts w:cs="Arial"/>
          <w:szCs w:val="20"/>
        </w:rPr>
        <w:t>TtW eligibility criteria at their first jobactive referral</w:t>
      </w:r>
      <w:r>
        <w:rPr>
          <w:rFonts w:cs="Arial"/>
          <w:szCs w:val="20"/>
        </w:rPr>
        <w:t xml:space="preserve">. Further details regarding study populations can be found in </w:t>
      </w:r>
      <w:r w:rsidRPr="00F54DCC">
        <w:rPr>
          <w:rFonts w:cs="Arial"/>
          <w:b/>
          <w:bCs/>
          <w:szCs w:val="20"/>
        </w:rPr>
        <w:t>Appendix 2</w:t>
      </w:r>
      <w:r>
        <w:rPr>
          <w:rFonts w:cs="Arial"/>
          <w:b/>
          <w:bCs/>
          <w:szCs w:val="20"/>
        </w:rPr>
        <w:t>: Data sources</w:t>
      </w:r>
      <w:r w:rsidRPr="00C239FD">
        <w:rPr>
          <w:rFonts w:cs="Arial"/>
          <w:szCs w:val="20"/>
        </w:rPr>
        <w:t>.</w:t>
      </w:r>
    </w:p>
    <w:p w14:paraId="5F67102A" w14:textId="6837442A" w:rsidR="00BE74FD" w:rsidRPr="00BE74FD" w:rsidRDefault="00C57DEC" w:rsidP="004F1444">
      <w:pPr>
        <w:keepNext/>
        <w:rPr>
          <w:rFonts w:ascii="Calibri" w:eastAsiaTheme="majorEastAsia" w:hAnsi="Calibri" w:cstheme="majorBidi"/>
          <w:iCs/>
          <w:color w:val="5F6369"/>
          <w:sz w:val="26"/>
        </w:rPr>
      </w:pPr>
      <w:r w:rsidRPr="00BE74FD">
        <w:rPr>
          <w:rFonts w:ascii="Calibri" w:eastAsiaTheme="majorEastAsia" w:hAnsi="Calibri" w:cstheme="majorBidi"/>
          <w:iCs/>
          <w:color w:val="5F6369"/>
          <w:sz w:val="26"/>
        </w:rPr>
        <w:lastRenderedPageBreak/>
        <w:t xml:space="preserve">Limitations and </w:t>
      </w:r>
      <w:r w:rsidR="00BE74FD" w:rsidRPr="00BE74FD">
        <w:rPr>
          <w:rFonts w:ascii="Calibri" w:eastAsiaTheme="majorEastAsia" w:hAnsi="Calibri" w:cstheme="majorBidi"/>
          <w:iCs/>
          <w:color w:val="5F6369"/>
          <w:sz w:val="26"/>
        </w:rPr>
        <w:t>consi</w:t>
      </w:r>
      <w:r w:rsidR="00BE74FD">
        <w:rPr>
          <w:rFonts w:ascii="Calibri" w:eastAsiaTheme="majorEastAsia" w:hAnsi="Calibri" w:cstheme="majorBidi"/>
          <w:iCs/>
          <w:color w:val="5F6369"/>
          <w:sz w:val="26"/>
        </w:rPr>
        <w:t>d</w:t>
      </w:r>
      <w:r w:rsidR="00BE74FD" w:rsidRPr="00BE74FD">
        <w:rPr>
          <w:rFonts w:ascii="Calibri" w:eastAsiaTheme="majorEastAsia" w:hAnsi="Calibri" w:cstheme="majorBidi"/>
          <w:iCs/>
          <w:color w:val="5F6369"/>
          <w:sz w:val="26"/>
        </w:rPr>
        <w:t>erations</w:t>
      </w:r>
    </w:p>
    <w:p w14:paraId="32E8A229" w14:textId="5D55B4BC" w:rsidR="007B536C" w:rsidRPr="00801C14" w:rsidRDefault="001E5FA7" w:rsidP="005B4FD6">
      <w:r w:rsidRPr="00801C14">
        <w:t xml:space="preserve">While efforts were made to ensure the jobactive sample </w:t>
      </w:r>
      <w:r w:rsidR="000E73AD" w:rsidRPr="00801C14">
        <w:t>was comparable to</w:t>
      </w:r>
      <w:r w:rsidR="002031CA" w:rsidRPr="00801C14">
        <w:t xml:space="preserve"> </w:t>
      </w:r>
      <w:r w:rsidR="000E73AD" w:rsidRPr="00801C14">
        <w:t xml:space="preserve">the </w:t>
      </w:r>
      <w:r w:rsidR="002031CA" w:rsidRPr="00801C14">
        <w:t xml:space="preserve">TtW sample, </w:t>
      </w:r>
      <w:r w:rsidR="00F66A3E">
        <w:t xml:space="preserve">there was a risk of selection bias, as </w:t>
      </w:r>
      <w:r w:rsidR="00D15233">
        <w:t xml:space="preserve">sample </w:t>
      </w:r>
      <w:r w:rsidR="00F66A3E">
        <w:t>s</w:t>
      </w:r>
      <w:r w:rsidR="008C1BB1" w:rsidRPr="00801C14">
        <w:t xml:space="preserve">election could not take into account </w:t>
      </w:r>
      <w:r w:rsidR="00D15233">
        <w:t>participant motivation:</w:t>
      </w:r>
    </w:p>
    <w:p w14:paraId="6CA04DFA" w14:textId="3C0389AE" w:rsidR="00E50B22" w:rsidRPr="00801C14" w:rsidRDefault="00754596" w:rsidP="00456C86">
      <w:pPr>
        <w:pStyle w:val="ListBullet"/>
      </w:pPr>
      <w:r w:rsidRPr="00801C14">
        <w:t xml:space="preserve">TtW is not a compulsory program, </w:t>
      </w:r>
      <w:r w:rsidR="001D420F" w:rsidRPr="00801C14">
        <w:t>and young people were</w:t>
      </w:r>
      <w:r w:rsidR="00801C14" w:rsidRPr="00801C14">
        <w:t xml:space="preserve"> </w:t>
      </w:r>
      <w:r w:rsidR="001D420F" w:rsidRPr="00801C14">
        <w:t>required to opt</w:t>
      </w:r>
      <w:r w:rsidR="00311E4F">
        <w:t xml:space="preserve"> </w:t>
      </w:r>
      <w:r w:rsidR="001D420F" w:rsidRPr="00801C14">
        <w:t>in</w:t>
      </w:r>
      <w:r w:rsidR="008C1BB1" w:rsidRPr="00801C14">
        <w:t xml:space="preserve"> to the program</w:t>
      </w:r>
      <w:r w:rsidR="00801C14" w:rsidRPr="00801C14">
        <w:t xml:space="preserve"> (though this could have simply involved Services Australia referring them to TtW)</w:t>
      </w:r>
      <w:r w:rsidR="001D420F" w:rsidRPr="00801C14">
        <w:t xml:space="preserve">, </w:t>
      </w:r>
      <w:r w:rsidRPr="00801C14">
        <w:t xml:space="preserve">so </w:t>
      </w:r>
      <w:r w:rsidR="003D1C54" w:rsidRPr="00801C14">
        <w:t xml:space="preserve">young people who </w:t>
      </w:r>
      <w:r w:rsidR="00D15233">
        <w:t>we</w:t>
      </w:r>
      <w:r w:rsidR="003D1C54" w:rsidRPr="00801C14">
        <w:t xml:space="preserve">re more disengaged may </w:t>
      </w:r>
      <w:r w:rsidR="00D15233">
        <w:t>have been</w:t>
      </w:r>
      <w:r w:rsidR="003D1C54" w:rsidRPr="00801C14">
        <w:t xml:space="preserve"> more likely to remain in jobactive</w:t>
      </w:r>
      <w:r w:rsidR="003A5F19" w:rsidRPr="00801C14">
        <w:t xml:space="preserve">. </w:t>
      </w:r>
      <w:r w:rsidR="005C59D1" w:rsidRPr="00801C14">
        <w:t>Low</w:t>
      </w:r>
      <w:r w:rsidR="000C22A0" w:rsidRPr="00801C14">
        <w:t xml:space="preserve"> engagement when joining a program could </w:t>
      </w:r>
      <w:r w:rsidR="003A5F19" w:rsidRPr="00801C14">
        <w:t>be associated with ongoing disengagement</w:t>
      </w:r>
      <w:r w:rsidR="005C59D1" w:rsidRPr="00801C14">
        <w:t xml:space="preserve"> and</w:t>
      </w:r>
      <w:r w:rsidR="003A5F19" w:rsidRPr="00801C14">
        <w:t xml:space="preserve"> lower motivation a</w:t>
      </w:r>
      <w:r w:rsidR="00772FB1" w:rsidRPr="00801C14">
        <w:t>nd willingness to engage in a program into the future</w:t>
      </w:r>
      <w:r w:rsidR="005C59D1" w:rsidRPr="00801C14">
        <w:t>, reducing the ability of a program to impact a participant</w:t>
      </w:r>
      <w:r w:rsidR="00F8391B">
        <w:t>’</w:t>
      </w:r>
      <w:r w:rsidR="005C59D1" w:rsidRPr="00801C14">
        <w:t>s human capabilities</w:t>
      </w:r>
      <w:r w:rsidR="003D1C54" w:rsidRPr="00801C14">
        <w:t>.</w:t>
      </w:r>
    </w:p>
    <w:p w14:paraId="627A67C2" w14:textId="6BC2B9B0" w:rsidR="00772689" w:rsidRPr="00801C14" w:rsidRDefault="00772689" w:rsidP="00456C86">
      <w:pPr>
        <w:pStyle w:val="ListBullet"/>
      </w:pPr>
      <w:r w:rsidRPr="00801C14">
        <w:t xml:space="preserve">In counterpoint to this, while TtW does support young people to engage in work, jobactive is more strongly focused on moving people into work. Young people who were </w:t>
      </w:r>
      <w:r w:rsidR="00F66A3E">
        <w:t xml:space="preserve">more </w:t>
      </w:r>
      <w:r w:rsidRPr="00801C14">
        <w:t xml:space="preserve">strongly motivated to find work may </w:t>
      </w:r>
      <w:r w:rsidR="00801C14" w:rsidRPr="00801C14">
        <w:t xml:space="preserve">have chosen </w:t>
      </w:r>
      <w:r w:rsidRPr="00801C14">
        <w:t>to be referred to jobactive rather than participate in the activity-intensive services offered in TtW.</w:t>
      </w:r>
    </w:p>
    <w:p w14:paraId="53E3623D" w14:textId="6BAB2C40" w:rsidR="00D15233" w:rsidRDefault="00D15233" w:rsidP="005B4FD6">
      <w:r>
        <w:t>Findings from the research should be read in this context.</w:t>
      </w:r>
    </w:p>
    <w:p w14:paraId="14401BCC" w14:textId="285A7D8A" w:rsidR="001D1EA7" w:rsidRDefault="00801C14" w:rsidP="005B4FD6">
      <w:r>
        <w:t xml:space="preserve">Additionally, </w:t>
      </w:r>
      <w:r w:rsidR="00F66A3E">
        <w:t>serious life shocks (such a</w:t>
      </w:r>
      <w:r w:rsidR="00311E4F">
        <w:t>s</w:t>
      </w:r>
      <w:r w:rsidR="00F66A3E">
        <w:t xml:space="preserve"> the death of someone close or experiencing domestic violence) could affect a participants</w:t>
      </w:r>
      <w:r w:rsidR="00311E4F">
        <w:t>’</w:t>
      </w:r>
      <w:r w:rsidR="00F66A3E">
        <w:t xml:space="preserve"> self-assessed wellbeing. To </w:t>
      </w:r>
      <w:r w:rsidR="0070648B">
        <w:t>control</w:t>
      </w:r>
      <w:r w:rsidR="0070648B" w:rsidRPr="009F1529">
        <w:t xml:space="preserve"> </w:t>
      </w:r>
      <w:r w:rsidR="00F66A3E" w:rsidRPr="009F1529">
        <w:t>for this</w:t>
      </w:r>
      <w:r w:rsidR="00F66A3E">
        <w:t xml:space="preserve"> an</w:t>
      </w:r>
      <w:r w:rsidR="00CB37A0">
        <w:t xml:space="preserve"> additional question w</w:t>
      </w:r>
      <w:r w:rsidR="00F66A3E">
        <w:t>as</w:t>
      </w:r>
      <w:r w:rsidR="00CB37A0">
        <w:t xml:space="preserve"> included in the participant survey to provide a measure of </w:t>
      </w:r>
      <w:r w:rsidR="009B4737">
        <w:t xml:space="preserve">any </w:t>
      </w:r>
      <w:r w:rsidR="00F8391B">
        <w:t>‘</w:t>
      </w:r>
      <w:r w:rsidR="00CB37A0">
        <w:t>shocks</w:t>
      </w:r>
      <w:r w:rsidR="00F8391B">
        <w:t>’</w:t>
      </w:r>
      <w:r w:rsidR="009B4737">
        <w:t xml:space="preserve"> they had experienced</w:t>
      </w:r>
      <w:r w:rsidR="00F66A3E">
        <w:t xml:space="preserve"> in the last 12 months</w:t>
      </w:r>
      <w:r w:rsidR="00311E4F">
        <w:t>.</w:t>
      </w:r>
      <w:r w:rsidR="00F66A3E">
        <w:rPr>
          <w:rStyle w:val="FootnoteReference"/>
        </w:rPr>
        <w:footnoteReference w:id="36"/>
      </w:r>
      <w:r w:rsidR="00CB37A0">
        <w:t xml:space="preserve"> </w:t>
      </w:r>
      <w:r w:rsidR="00F62FB8">
        <w:t xml:space="preserve">Multivariate regression models were </w:t>
      </w:r>
      <w:r w:rsidR="00F66A3E">
        <w:t xml:space="preserve">then </w:t>
      </w:r>
      <w:r w:rsidR="00F62FB8">
        <w:t xml:space="preserve">used to control for </w:t>
      </w:r>
      <w:r w:rsidR="00F66A3E">
        <w:t>any differ</w:t>
      </w:r>
      <w:r w:rsidR="00D15233">
        <w:t>e</w:t>
      </w:r>
      <w:r w:rsidR="00F66A3E">
        <w:t>nces</w:t>
      </w:r>
      <w:r w:rsidR="003C5D51" w:rsidRPr="00070E88">
        <w:t>.</w:t>
      </w:r>
    </w:p>
    <w:p w14:paraId="5AC15132" w14:textId="328EE07D" w:rsidR="005B4FD6" w:rsidRDefault="005B4FD6" w:rsidP="005B4FD6">
      <w:r>
        <w:t xml:space="preserve">It should be noted that some </w:t>
      </w:r>
      <w:r w:rsidRPr="00811EFD">
        <w:t>provider</w:t>
      </w:r>
      <w:r>
        <w:t xml:space="preserve"> respondents</w:t>
      </w:r>
      <w:r w:rsidRPr="00811EFD">
        <w:t xml:space="preserve"> and </w:t>
      </w:r>
      <w:r>
        <w:t xml:space="preserve">TtW </w:t>
      </w:r>
      <w:r w:rsidRPr="00811EFD">
        <w:t xml:space="preserve">interview participants had direct experience of the </w:t>
      </w:r>
      <w:r w:rsidRPr="00AD7952">
        <w:t>jobactive program and</w:t>
      </w:r>
      <w:r w:rsidRPr="00811EFD">
        <w:t xml:space="preserve"> were able to give insight into how their experiences </w:t>
      </w:r>
      <w:r>
        <w:t xml:space="preserve">with the </w:t>
      </w:r>
      <w:r w:rsidR="00F8391B">
        <w:t>2</w:t>
      </w:r>
      <w:r>
        <w:t xml:space="preserve"> programs </w:t>
      </w:r>
      <w:r w:rsidRPr="00811EFD">
        <w:t>compared. Where possible, this insight is provided.</w:t>
      </w:r>
    </w:p>
    <w:p w14:paraId="79254541" w14:textId="7D78056B" w:rsidR="001F648F" w:rsidRDefault="00A528B1" w:rsidP="001F648F">
      <w:pPr>
        <w:pStyle w:val="Body"/>
      </w:pPr>
      <w:r>
        <w:t>Unless otherwise noted, differences</w:t>
      </w:r>
      <w:r w:rsidRPr="00811EFD">
        <w:t xml:space="preserve"> </w:t>
      </w:r>
      <w:r>
        <w:t xml:space="preserve">reported from survey data </w:t>
      </w:r>
      <w:r w:rsidRPr="00811EFD">
        <w:t>are statistically significant at a 95% confidence</w:t>
      </w:r>
      <w:r w:rsidRPr="00DC025F">
        <w:t xml:space="preserve"> level</w:t>
      </w:r>
      <w:r>
        <w:t xml:space="preserve"> and differences that are not statistically significant at this level are not mentioned. </w:t>
      </w:r>
      <w:r w:rsidR="001F648F">
        <w:t>When interpreting results, it is important to remember the cross-sectional nature of th</w:t>
      </w:r>
      <w:r>
        <w:t>is research</w:t>
      </w:r>
      <w:r w:rsidR="001F648F">
        <w:t>, whereby all items were measured at the same point in time. While cross-sectional studies can demonstrate associations or correlations between variables, they cannot be used to draw conclusions on causation or the direction of these relationships. For example, a cross-sectional survey can identify if there is an association or correlation between program type and human capability outcomes but cannot comment on if the program caused changes in these human capability outcomes.</w:t>
      </w:r>
    </w:p>
    <w:p w14:paraId="608F439A" w14:textId="77777777" w:rsidR="005B4FD6" w:rsidRPr="001431BC" w:rsidRDefault="005B4FD6" w:rsidP="009251AF">
      <w:pPr>
        <w:pStyle w:val="Heading4"/>
        <w:numPr>
          <w:ilvl w:val="0"/>
          <w:numId w:val="0"/>
        </w:numPr>
        <w:rPr>
          <w:iCs w:val="0"/>
        </w:rPr>
      </w:pPr>
      <w:r w:rsidRPr="00F975E8">
        <w:t xml:space="preserve">Measures of </w:t>
      </w:r>
      <w:r w:rsidRPr="001431BC">
        <w:t>wellbeing</w:t>
      </w:r>
    </w:p>
    <w:p w14:paraId="73215710" w14:textId="12E758EF" w:rsidR="005B4FD6" w:rsidRPr="00ED704F" w:rsidRDefault="005B4FD6" w:rsidP="005B4FD6">
      <w:r w:rsidRPr="00ED704F">
        <w:t>T</w:t>
      </w:r>
      <w:r w:rsidRPr="001431BC">
        <w:t>hree</w:t>
      </w:r>
      <w:r w:rsidRPr="00ED704F">
        <w:t xml:space="preserve"> validated measures were used in this research </w:t>
      </w:r>
      <w:r w:rsidRPr="001431BC">
        <w:t>to assess</w:t>
      </w:r>
      <w:r w:rsidRPr="00ED704F">
        <w:t xml:space="preserve"> wellbeing</w:t>
      </w:r>
      <w:r w:rsidRPr="001431BC">
        <w:t>: overall life satisfaction, the Personal Wellbeing Index</w:t>
      </w:r>
      <w:r w:rsidR="00F64C76">
        <w:t xml:space="preserve"> (PWI)</w:t>
      </w:r>
      <w:r w:rsidRPr="001431BC">
        <w:t xml:space="preserve"> and the </w:t>
      </w:r>
      <w:r w:rsidRPr="00ED704F">
        <w:t xml:space="preserve">Flourishing </w:t>
      </w:r>
      <w:r>
        <w:t>Sc</w:t>
      </w:r>
      <w:r w:rsidRPr="00ED704F">
        <w:t>ale.</w:t>
      </w:r>
    </w:p>
    <w:p w14:paraId="61160522" w14:textId="735A96AB" w:rsidR="005B4FD6" w:rsidRPr="001431BC" w:rsidRDefault="005B4FD6" w:rsidP="005B4FD6">
      <w:r w:rsidRPr="001431BC">
        <w:t>Wellbeing relates to people</w:t>
      </w:r>
      <w:r w:rsidR="00F8391B">
        <w:t>’</w:t>
      </w:r>
      <w:r w:rsidRPr="001431BC">
        <w:t>s overall quality of life and general sense of satisfaction or contentment with life. It includes both the subjective evaluation of life</w:t>
      </w:r>
      <w:r w:rsidR="00311E4F">
        <w:t>,</w:t>
      </w:r>
      <w:r w:rsidRPr="001431BC">
        <w:t xml:space="preserve"> and objective circumstances such as education, health and income. The </w:t>
      </w:r>
      <w:r>
        <w:t xml:space="preserve">PWI </w:t>
      </w:r>
      <w:r w:rsidRPr="001431BC">
        <w:t xml:space="preserve">was developed to measure the subjective dimensions of </w:t>
      </w:r>
      <w:r w:rsidR="00311E4F">
        <w:lastRenderedPageBreak/>
        <w:t>q</w:t>
      </w:r>
      <w:r w:rsidRPr="001431BC">
        <w:t xml:space="preserve">uality of </w:t>
      </w:r>
      <w:r w:rsidR="00311E4F">
        <w:t>l</w:t>
      </w:r>
      <w:r w:rsidRPr="001431BC">
        <w:t>ife (</w:t>
      </w:r>
      <w:r w:rsidRPr="001431BC">
        <w:rPr>
          <w:b/>
        </w:rPr>
        <w:t>IWB 2013</w:t>
      </w:r>
      <w:r w:rsidRPr="001431BC">
        <w:t xml:space="preserve">). The PWI </w:t>
      </w:r>
      <w:r w:rsidR="00311E4F">
        <w:t>covers 7</w:t>
      </w:r>
      <w:r w:rsidRPr="001431BC">
        <w:t xml:space="preserve"> domains of wellbeing: relationships, achievement, standard of living, health, community connectedness, personal safety and future security. There is also an overarching question relating to subjective life satisfaction.</w:t>
      </w:r>
    </w:p>
    <w:p w14:paraId="24CFE12A" w14:textId="11E5CA9C" w:rsidR="005B4FD6" w:rsidRPr="001431BC" w:rsidRDefault="005B4FD6" w:rsidP="005B4FD6">
      <w:r w:rsidRPr="001431BC">
        <w:t xml:space="preserve">Its reliability, validity and sensitivity has been tested in many countries and </w:t>
      </w:r>
      <w:r w:rsidRPr="00D31FF0">
        <w:t xml:space="preserve">contexts </w:t>
      </w:r>
      <w:r w:rsidRPr="00D31FF0">
        <w:rPr>
          <w:shd w:val="clear" w:color="auto" w:fill="FFFFFF" w:themeFill="background1"/>
        </w:rPr>
        <w:t>(</w:t>
      </w:r>
      <w:r w:rsidRPr="00D31FF0">
        <w:rPr>
          <w:b/>
          <w:shd w:val="clear" w:color="auto" w:fill="FFFFFF" w:themeFill="background1"/>
        </w:rPr>
        <w:t>ACQoL, 2021</w:t>
      </w:r>
      <w:r w:rsidRPr="00D31FF0">
        <w:rPr>
          <w:shd w:val="clear" w:color="auto" w:fill="FFFFFF" w:themeFill="background1"/>
        </w:rPr>
        <w:t>).</w:t>
      </w:r>
      <w:r w:rsidRPr="001431BC">
        <w:t xml:space="preserve"> Each of the </w:t>
      </w:r>
      <w:r w:rsidR="00311E4F">
        <w:t>7</w:t>
      </w:r>
      <w:r w:rsidRPr="001431BC">
        <w:t xml:space="preserve"> domains can be analysed as a separate variable, or the </w:t>
      </w:r>
      <w:r w:rsidR="00311E4F">
        <w:t>7</w:t>
      </w:r>
      <w:r w:rsidRPr="001431BC">
        <w:t xml:space="preserve"> domain scores can be summed to yield an average score which represents </w:t>
      </w:r>
      <w:r w:rsidR="00F8391B">
        <w:t>‘</w:t>
      </w:r>
      <w:r w:rsidRPr="001431BC">
        <w:t>subjective wellbeing</w:t>
      </w:r>
      <w:r w:rsidR="00F8391B">
        <w:t>’</w:t>
      </w:r>
      <w:r w:rsidRPr="001431BC">
        <w:t>. The index is designed to be used with adults who are at least 18 years of age. While there is an adapted index that is designed to be used with children and adolescents, for consistency it was decided that the adult version was more appropriate as the majority of respondents are 18 years or older, and the children</w:t>
      </w:r>
      <w:r w:rsidR="00F8391B">
        <w:t>’</w:t>
      </w:r>
      <w:r w:rsidRPr="001431BC">
        <w:t>s version is worded to target children rather than older adolescents.</w:t>
      </w:r>
    </w:p>
    <w:p w14:paraId="55FDCCBE" w14:textId="2E46EE95" w:rsidR="005B4FD6" w:rsidRPr="001431BC" w:rsidRDefault="005B4FD6" w:rsidP="005B4FD6">
      <w:r w:rsidRPr="001431BC">
        <w:t xml:space="preserve">Flourishing, </w:t>
      </w:r>
      <w:r w:rsidR="00F8391B">
        <w:t>‘</w:t>
      </w:r>
      <w:r w:rsidRPr="001431BC">
        <w:t>the experience of feeling good and functioning effectively</w:t>
      </w:r>
      <w:r w:rsidR="00F8391B">
        <w:t>’</w:t>
      </w:r>
      <w:r w:rsidRPr="001431BC">
        <w:t xml:space="preserve"> (</w:t>
      </w:r>
      <w:r w:rsidRPr="001431BC">
        <w:rPr>
          <w:b/>
        </w:rPr>
        <w:t>Huppert 2011</w:t>
      </w:r>
      <w:r w:rsidRPr="001431BC">
        <w:t>)</w:t>
      </w:r>
      <w:r w:rsidR="00CE7E2D">
        <w:t>,</w:t>
      </w:r>
      <w:r w:rsidRPr="001431BC">
        <w:t xml:space="preserve"> has become an influential construct in the area of wellbeing research (</w:t>
      </w:r>
      <w:r w:rsidRPr="001431BC">
        <w:rPr>
          <w:b/>
        </w:rPr>
        <w:t>Steer 2016</w:t>
      </w:r>
      <w:r w:rsidRPr="001431BC">
        <w:t>).</w:t>
      </w:r>
      <w:r w:rsidRPr="00ED704F">
        <w:t xml:space="preserve"> </w:t>
      </w:r>
      <w:r w:rsidRPr="001431BC">
        <w:t xml:space="preserve">The </w:t>
      </w:r>
      <w:r w:rsidRPr="00ED704F">
        <w:t xml:space="preserve">Flourishing </w:t>
      </w:r>
      <w:r w:rsidR="00311E4F">
        <w:t>S</w:t>
      </w:r>
      <w:r w:rsidRPr="00ED704F">
        <w:t xml:space="preserve">cale </w:t>
      </w:r>
      <w:r w:rsidRPr="001431BC">
        <w:t>(</w:t>
      </w:r>
      <w:r w:rsidRPr="001431BC">
        <w:rPr>
          <w:b/>
        </w:rPr>
        <w:t>Diener et al 2009</w:t>
      </w:r>
      <w:r w:rsidRPr="001431BC">
        <w:t xml:space="preserve">) </w:t>
      </w:r>
      <w:r w:rsidRPr="00ED704F">
        <w:t xml:space="preserve">is an </w:t>
      </w:r>
      <w:r w:rsidR="00F8391B">
        <w:t>8</w:t>
      </w:r>
      <w:r>
        <w:t>-item</w:t>
      </w:r>
      <w:r w:rsidRPr="00ED704F">
        <w:t xml:space="preserve"> </w:t>
      </w:r>
      <w:r w:rsidRPr="001431BC">
        <w:t xml:space="preserve">questionnaire designed to </w:t>
      </w:r>
      <w:r w:rsidRPr="00ED704F">
        <w:t xml:space="preserve">measure </w:t>
      </w:r>
      <w:r w:rsidRPr="001431BC">
        <w:t xml:space="preserve">overall </w:t>
      </w:r>
      <w:r w:rsidRPr="00ED704F">
        <w:t>psychological functioning</w:t>
      </w:r>
      <w:r w:rsidRPr="001431BC">
        <w:t xml:space="preserve"> from the point of view of respondents</w:t>
      </w:r>
      <w:r w:rsidRPr="00ED704F">
        <w:t xml:space="preserve">. </w:t>
      </w:r>
      <w:r w:rsidRPr="001431BC">
        <w:t>Based on theories of wellbeing</w:t>
      </w:r>
      <w:r w:rsidR="00311E4F">
        <w:t>,</w:t>
      </w:r>
      <w:r w:rsidRPr="001431BC">
        <w:t xml:space="preserve"> it includes measures of </w:t>
      </w:r>
      <w:r w:rsidRPr="00ED704F">
        <w:t>social relationships</w:t>
      </w:r>
      <w:r w:rsidR="00F8391B">
        <w:t xml:space="preserve"> – </w:t>
      </w:r>
      <w:r w:rsidRPr="00ED704F">
        <w:t xml:space="preserve">having supportive and rewarding relationships, contributing to the happiness of others, and being respected by others. </w:t>
      </w:r>
      <w:r w:rsidRPr="001431BC">
        <w:t xml:space="preserve">It </w:t>
      </w:r>
      <w:r w:rsidRPr="00ED704F">
        <w:t>also include</w:t>
      </w:r>
      <w:r w:rsidRPr="001431BC">
        <w:t>s</w:t>
      </w:r>
      <w:r w:rsidRPr="00ED704F">
        <w:t xml:space="preserve"> </w:t>
      </w:r>
      <w:r w:rsidRPr="001431BC">
        <w:t xml:space="preserve">other items that support wellbeing including </w:t>
      </w:r>
      <w:r w:rsidRPr="00ED704F">
        <w:t>having a purposeful and meaningful life, being engaged and interested in one</w:t>
      </w:r>
      <w:r w:rsidR="00F8391B">
        <w:t>’</w:t>
      </w:r>
      <w:r w:rsidRPr="00ED704F">
        <w:t>s activities</w:t>
      </w:r>
      <w:r w:rsidRPr="001431BC">
        <w:t xml:space="preserve">, </w:t>
      </w:r>
      <w:r w:rsidRPr="00ED704F">
        <w:t>feeling competent and capable in the activities that are important to the respondent</w:t>
      </w:r>
      <w:r w:rsidRPr="001431BC">
        <w:t>,</w:t>
      </w:r>
      <w:r w:rsidRPr="00ED704F">
        <w:t xml:space="preserve"> self</w:t>
      </w:r>
      <w:r w:rsidRPr="001431BC">
        <w:t>-</w:t>
      </w:r>
      <w:r w:rsidRPr="00ED704F">
        <w:t>respect and optimism.</w:t>
      </w:r>
    </w:p>
    <w:p w14:paraId="04A46F9E" w14:textId="01565702" w:rsidR="005B4FD6" w:rsidRDefault="005B4FD6" w:rsidP="005B4FD6">
      <w:r w:rsidRPr="001431BC">
        <w:t xml:space="preserve">The Flourishing </w:t>
      </w:r>
      <w:r w:rsidR="009E4B68">
        <w:t>S</w:t>
      </w:r>
      <w:r w:rsidRPr="001431BC">
        <w:t>cale has been shown to provide an effective assessment of overall self-reported psychological wellbeing (</w:t>
      </w:r>
      <w:r w:rsidRPr="001431BC">
        <w:rPr>
          <w:b/>
        </w:rPr>
        <w:t>Hone et al 2014</w:t>
      </w:r>
      <w:r w:rsidRPr="001431BC">
        <w:t>), although it does not accurately assess the individual components of psychological wellbeing due to the limited number of questions associated with each element (</w:t>
      </w:r>
      <w:r w:rsidRPr="001431BC">
        <w:rPr>
          <w:b/>
        </w:rPr>
        <w:t>Steer 2016</w:t>
      </w:r>
      <w:r w:rsidRPr="001431BC">
        <w:t>).</w:t>
      </w:r>
    </w:p>
    <w:p w14:paraId="35A57A41" w14:textId="69134D91" w:rsidR="00A764B1" w:rsidRPr="002725C4" w:rsidRDefault="3639DE54" w:rsidP="00581B86">
      <w:pPr>
        <w:pStyle w:val="Heading3"/>
        <w:ind w:left="0"/>
      </w:pPr>
      <w:bookmarkStart w:id="1164" w:name="_Toc132194124"/>
      <w:bookmarkStart w:id="1165" w:name="_Toc132194280"/>
      <w:bookmarkStart w:id="1166" w:name="_Toc132209561"/>
      <w:bookmarkStart w:id="1167" w:name="_Toc132209726"/>
      <w:bookmarkStart w:id="1168" w:name="_Toc132209891"/>
      <w:bookmarkStart w:id="1169" w:name="_Toc132647650"/>
      <w:bookmarkStart w:id="1170" w:name="_Toc132649030"/>
      <w:bookmarkStart w:id="1171" w:name="_Toc132650452"/>
      <w:bookmarkStart w:id="1172" w:name="_Toc108539260"/>
      <w:bookmarkStart w:id="1173" w:name="_Toc109822024"/>
      <w:bookmarkStart w:id="1174" w:name="_Toc109918506"/>
      <w:bookmarkStart w:id="1175" w:name="_Toc110249317"/>
      <w:bookmarkStart w:id="1176" w:name="_Toc110251358"/>
      <w:bookmarkStart w:id="1177" w:name="_Toc110264755"/>
      <w:bookmarkStart w:id="1178" w:name="_Toc110410933"/>
      <w:bookmarkStart w:id="1179" w:name="_Toc120273656"/>
      <w:bookmarkStart w:id="1180" w:name="_Toc106711821"/>
      <w:bookmarkStart w:id="1181" w:name="_Toc132650453"/>
      <w:bookmarkStart w:id="1182" w:name="_Toc146033484"/>
      <w:bookmarkStart w:id="1183" w:name="_Hlk116378417"/>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r>
        <w:t xml:space="preserve">Methodology </w:t>
      </w:r>
      <w:r w:rsidR="636EC1A2">
        <w:t xml:space="preserve">for </w:t>
      </w:r>
      <w:r>
        <w:t xml:space="preserve">EQ2: </w:t>
      </w:r>
      <w:r w:rsidR="006150C6">
        <w:t>Long-term</w:t>
      </w:r>
      <w:r w:rsidR="0DE03998">
        <w:t xml:space="preserve"> impact </w:t>
      </w:r>
      <w:bookmarkEnd w:id="1180"/>
      <w:r w:rsidR="5C89FC2E">
        <w:t>analysis</w:t>
      </w:r>
      <w:bookmarkEnd w:id="1181"/>
      <w:bookmarkEnd w:id="1182"/>
      <w:r w:rsidR="5C89FC2E">
        <w:t xml:space="preserve"> </w:t>
      </w:r>
    </w:p>
    <w:p w14:paraId="6F63B57E" w14:textId="77777777" w:rsidR="00701FC7" w:rsidRDefault="00701FC7" w:rsidP="00701FC7">
      <w:pPr>
        <w:pStyle w:val="Heading4"/>
        <w:numPr>
          <w:ilvl w:val="0"/>
          <w:numId w:val="0"/>
        </w:numPr>
      </w:pPr>
      <w:r>
        <w:t xml:space="preserve">Impact analysis methodology </w:t>
      </w:r>
    </w:p>
    <w:p w14:paraId="5F36A406" w14:textId="59B287DB" w:rsidR="00701FC7" w:rsidRDefault="00701FC7" w:rsidP="00701FC7">
      <w:r>
        <w:t xml:space="preserve">The impact analysis compared the outcomes of TtW </w:t>
      </w:r>
      <w:r w:rsidR="0036455F">
        <w:t xml:space="preserve">participants with a matched </w:t>
      </w:r>
      <w:r w:rsidR="00F200F7">
        <w:t>sample of jo</w:t>
      </w:r>
      <w:r>
        <w:t>bactive participants</w:t>
      </w:r>
      <w:r w:rsidR="00F200F7">
        <w:t xml:space="preserve"> (the comparison group)</w:t>
      </w:r>
      <w:r>
        <w:t xml:space="preserve">, taken from the inflow population of TtW and jobactive participants referred to services between 1 April 2016 and 31 March 2017 (see </w:t>
      </w:r>
      <w:r w:rsidRPr="00CD7319">
        <w:rPr>
          <w:b/>
          <w:bCs/>
        </w:rPr>
        <w:t>Appendix 4</w:t>
      </w:r>
      <w:r>
        <w:t xml:space="preserve">). </w:t>
      </w:r>
      <w:r w:rsidR="002465AF">
        <w:t>The populations and samples are discussed below</w:t>
      </w:r>
      <w:r>
        <w:t>.</w:t>
      </w:r>
    </w:p>
    <w:p w14:paraId="4E3F60C2" w14:textId="159E567C" w:rsidR="00701FC7" w:rsidRDefault="00701FC7" w:rsidP="00701FC7">
      <w:r>
        <w:t>This was followed by a regression analysis of the matched TtW and jobactive samples, which isolated the impact of TtW from the effects of participants</w:t>
      </w:r>
      <w:r w:rsidR="00F8391B">
        <w:t>’</w:t>
      </w:r>
      <w:r>
        <w:t xml:space="preserve"> demographic and socioeconomic characteristics for each outcome measure. The impact of TtW was estimated by calculating the probability of the average participant achieving an employment or LMA outcome – that is, the </w:t>
      </w:r>
      <w:r w:rsidR="00F8391B">
        <w:t>‘</w:t>
      </w:r>
      <w:r>
        <w:t>average marginal effect</w:t>
      </w:r>
      <w:r w:rsidR="00F8391B">
        <w:t>’</w:t>
      </w:r>
      <w:r>
        <w:t xml:space="preserve"> of TtW on each outcome.</w:t>
      </w:r>
    </w:p>
    <w:p w14:paraId="706FBF80" w14:textId="77777777" w:rsidR="00701FC7" w:rsidRDefault="00701FC7" w:rsidP="00701FC7">
      <w:r>
        <w:t xml:space="preserve">For detailed descriptions of the regression analysis, as well as a more detailed discussion of the outcome measures, </w:t>
      </w:r>
      <w:r w:rsidRPr="00F368AD">
        <w:t xml:space="preserve">see </w:t>
      </w:r>
      <w:r w:rsidRPr="00CD7319">
        <w:rPr>
          <w:b/>
          <w:bCs/>
        </w:rPr>
        <w:t>Appendix 6</w:t>
      </w:r>
      <w:r w:rsidRPr="00F368AD">
        <w:rPr>
          <w:b/>
          <w:bCs/>
        </w:rPr>
        <w:t>.1</w:t>
      </w:r>
      <w:r w:rsidRPr="00F368AD">
        <w:t>.</w:t>
      </w:r>
    </w:p>
    <w:p w14:paraId="14E3BD50" w14:textId="4F97F8AD" w:rsidR="005F4DA2" w:rsidRDefault="006C4359" w:rsidP="00F975E8">
      <w:pPr>
        <w:pStyle w:val="Heading4"/>
        <w:numPr>
          <w:ilvl w:val="0"/>
          <w:numId w:val="0"/>
        </w:numPr>
      </w:pPr>
      <w:r>
        <w:lastRenderedPageBreak/>
        <w:t>S</w:t>
      </w:r>
      <w:r w:rsidR="005F4DA2">
        <w:t>tudy population</w:t>
      </w:r>
    </w:p>
    <w:p w14:paraId="67033430" w14:textId="12907785" w:rsidR="00FE3B3C" w:rsidRDefault="00FE3B3C" w:rsidP="00FE3B3C">
      <w:bookmarkStart w:id="1184" w:name="_Hlk106635735"/>
      <w:r w:rsidRPr="002725C4">
        <w:t xml:space="preserve">In order to </w:t>
      </w:r>
      <w:r>
        <w:t xml:space="preserve">understand and attribute changes </w:t>
      </w:r>
      <w:bookmarkEnd w:id="1184"/>
      <w:r>
        <w:t>achieved over the longer</w:t>
      </w:r>
      <w:r w:rsidR="009E4B68">
        <w:t xml:space="preserve"> </w:t>
      </w:r>
      <w:r>
        <w:t xml:space="preserve">term </w:t>
      </w:r>
      <w:r w:rsidRPr="002725C4">
        <w:t xml:space="preserve">to TtW it </w:t>
      </w:r>
      <w:r w:rsidR="006739BF">
        <w:t>was</w:t>
      </w:r>
      <w:r w:rsidR="006739BF" w:rsidRPr="002725C4">
        <w:t xml:space="preserve"> </w:t>
      </w:r>
      <w:r w:rsidRPr="002725C4">
        <w:t xml:space="preserve">essential to </w:t>
      </w:r>
      <w:r>
        <w:t xml:space="preserve">also </w:t>
      </w:r>
      <w:r w:rsidRPr="002725C4">
        <w:t xml:space="preserve">identify and measure </w:t>
      </w:r>
      <w:r w:rsidR="00511336">
        <w:t>the impact</w:t>
      </w:r>
      <w:r w:rsidRPr="002725C4">
        <w:t xml:space="preserve"> f</w:t>
      </w:r>
      <w:r>
        <w:t>or</w:t>
      </w:r>
      <w:r w:rsidRPr="002725C4">
        <w:t xml:space="preserve"> a comparison (or control) grou</w:t>
      </w:r>
      <w:r>
        <w:t xml:space="preserve">p. </w:t>
      </w:r>
      <w:r w:rsidR="006C4359">
        <w:t>As y</w:t>
      </w:r>
      <w:r>
        <w:t>oung people on income support are required to participate in employment services</w:t>
      </w:r>
      <w:r w:rsidR="006C4359">
        <w:t xml:space="preserve">, there is no </w:t>
      </w:r>
      <w:r w:rsidR="00F8391B">
        <w:t>‘</w:t>
      </w:r>
      <w:r w:rsidR="006C4359">
        <w:t>no-program</w:t>
      </w:r>
      <w:r w:rsidR="00F8391B">
        <w:t>’</w:t>
      </w:r>
      <w:r w:rsidR="006C4359">
        <w:t xml:space="preserve"> alternative. Rather, there is an opportunity to compare impacts from TtW with those of the </w:t>
      </w:r>
      <w:r w:rsidR="00731918">
        <w:t xml:space="preserve">then </w:t>
      </w:r>
      <w:r w:rsidR="006C4359">
        <w:t>mainstream employment program, jobactive</w:t>
      </w:r>
      <w:r w:rsidR="009E4B68">
        <w:t>.</w:t>
      </w:r>
      <w:r w:rsidR="002113EA">
        <w:rPr>
          <w:rStyle w:val="FootnoteReference"/>
        </w:rPr>
        <w:footnoteReference w:id="37"/>
      </w:r>
      <w:r>
        <w:t xml:space="preserve"> For this reason, </w:t>
      </w:r>
      <w:bookmarkStart w:id="1185" w:name="_Hlk106635856"/>
      <w:r>
        <w:t>this analysis compare</w:t>
      </w:r>
      <w:r w:rsidR="006739BF">
        <w:t>d</w:t>
      </w:r>
      <w:r>
        <w:t xml:space="preserve"> the </w:t>
      </w:r>
      <w:r w:rsidR="00191978">
        <w:t>impact on</w:t>
      </w:r>
      <w:r>
        <w:t xml:space="preserve"> TtW participants</w:t>
      </w:r>
      <w:r w:rsidR="00191978">
        <w:t xml:space="preserve"> </w:t>
      </w:r>
      <w:r>
        <w:t>with a matched sample of jobactive participants</w:t>
      </w:r>
      <w:bookmarkEnd w:id="1185"/>
      <w:r w:rsidR="00175749">
        <w:t xml:space="preserve"> (the </w:t>
      </w:r>
      <w:r w:rsidR="00F8391B">
        <w:t>‘</w:t>
      </w:r>
      <w:r w:rsidR="00175749">
        <w:t>comparison</w:t>
      </w:r>
      <w:r w:rsidR="00F8391B">
        <w:t>’</w:t>
      </w:r>
      <w:r w:rsidR="00175749">
        <w:t xml:space="preserve"> </w:t>
      </w:r>
      <w:r w:rsidR="00304955">
        <w:t>sample</w:t>
      </w:r>
      <w:r w:rsidR="00175749">
        <w:t>)</w:t>
      </w:r>
      <w:r>
        <w:t>.</w:t>
      </w:r>
    </w:p>
    <w:p w14:paraId="00F60DB4" w14:textId="723B956E" w:rsidR="00FE3B3C" w:rsidRDefault="00FE3B3C" w:rsidP="00FE3B3C">
      <w:r w:rsidRPr="002725C4">
        <w:t xml:space="preserve">The </w:t>
      </w:r>
      <w:r w:rsidR="008274E5">
        <w:t xml:space="preserve">TtW </w:t>
      </w:r>
      <w:r w:rsidR="009E4B68">
        <w:t>f</w:t>
      </w:r>
      <w:r w:rsidR="008274E5">
        <w:t xml:space="preserve">inal </w:t>
      </w:r>
      <w:r w:rsidR="009E4B68">
        <w:t>e</w:t>
      </w:r>
      <w:r w:rsidR="008274E5">
        <w:t xml:space="preserve">valuation </w:t>
      </w:r>
      <w:r w:rsidRPr="002725C4">
        <w:t>us</w:t>
      </w:r>
      <w:r>
        <w:t>ed a population of</w:t>
      </w:r>
      <w:r w:rsidRPr="002725C4">
        <w:t xml:space="preserve"> young people referred to TtW between 1 April 2016 and 31 March 2017</w:t>
      </w:r>
      <w:r>
        <w:t>, and identified matched samples of TtW and jobactive participants, following them</w:t>
      </w:r>
      <w:r w:rsidRPr="002725C4">
        <w:t xml:space="preserve"> for at least 12 months to assess their study and labour market outcomes. </w:t>
      </w:r>
      <w:r>
        <w:t>For comparability, t</w:t>
      </w:r>
      <w:r w:rsidRPr="002725C4">
        <w:t>h</w:t>
      </w:r>
      <w:r>
        <w:t>is</w:t>
      </w:r>
      <w:r w:rsidRPr="002725C4">
        <w:t xml:space="preserve"> </w:t>
      </w:r>
      <w:r w:rsidR="003F32F8">
        <w:t>supplementary</w:t>
      </w:r>
      <w:r w:rsidRPr="002725C4">
        <w:t xml:space="preserve"> evaluation </w:t>
      </w:r>
      <w:r>
        <w:t>use</w:t>
      </w:r>
      <w:r w:rsidR="00894733">
        <w:t>d</w:t>
      </w:r>
      <w:r>
        <w:t xml:space="preserve"> </w:t>
      </w:r>
      <w:r w:rsidRPr="002725C4">
        <w:t>the</w:t>
      </w:r>
      <w:r>
        <w:t xml:space="preserve"> same</w:t>
      </w:r>
      <w:r w:rsidRPr="002725C4">
        <w:t xml:space="preserve"> TtW </w:t>
      </w:r>
      <w:r>
        <w:t xml:space="preserve">population, with slightly different sample selection criteria, identifying matched TtW and jobactive </w:t>
      </w:r>
      <w:r w:rsidR="004558FF">
        <w:t>participant</w:t>
      </w:r>
      <w:r>
        <w:t>s</w:t>
      </w:r>
      <w:r w:rsidRPr="002725C4">
        <w:t xml:space="preserve"> </w:t>
      </w:r>
      <w:r>
        <w:t xml:space="preserve">and following them </w:t>
      </w:r>
      <w:r w:rsidRPr="002725C4">
        <w:t xml:space="preserve">for 4 years </w:t>
      </w:r>
      <w:r>
        <w:t xml:space="preserve">from commencement </w:t>
      </w:r>
      <w:r w:rsidRPr="002725C4">
        <w:t>to examine longer</w:t>
      </w:r>
      <w:r w:rsidR="001273EC">
        <w:t>-</w:t>
      </w:r>
      <w:r w:rsidRPr="002725C4">
        <w:t xml:space="preserve">term impacts </w:t>
      </w:r>
      <w:r w:rsidR="006C4359">
        <w:t>of TtW relative to jobactive</w:t>
      </w:r>
      <w:r>
        <w:t>.</w:t>
      </w:r>
    </w:p>
    <w:p w14:paraId="7A7853F5" w14:textId="5B2F12B1" w:rsidR="00FE3B3C" w:rsidRDefault="00FE3B3C" w:rsidP="00F975E8">
      <w:pPr>
        <w:pStyle w:val="Heading5"/>
        <w:numPr>
          <w:ilvl w:val="0"/>
          <w:numId w:val="0"/>
        </w:numPr>
      </w:pPr>
      <w:r>
        <w:t>Study populations</w:t>
      </w:r>
      <w:r w:rsidR="006C4359">
        <w:t xml:space="preserve"> and samples</w:t>
      </w:r>
    </w:p>
    <w:p w14:paraId="7539C63A" w14:textId="144423FE" w:rsidR="00FE3B3C" w:rsidRDefault="00FE3B3C" w:rsidP="00FE3B3C">
      <w:r w:rsidRPr="008820D1">
        <w:t xml:space="preserve">The primary inflow population chosen for the </w:t>
      </w:r>
      <w:r w:rsidR="00731831">
        <w:t>long</w:t>
      </w:r>
      <w:r w:rsidR="006150C6">
        <w:t>-</w:t>
      </w:r>
      <w:r w:rsidR="00731831">
        <w:t>term</w:t>
      </w:r>
      <w:r w:rsidRPr="008820D1">
        <w:t xml:space="preserve"> impact analysis </w:t>
      </w:r>
      <w:r w:rsidR="009E4B68">
        <w:t>is</w:t>
      </w:r>
      <w:r w:rsidR="009E4B68" w:rsidRPr="008820D1">
        <w:t xml:space="preserve"> </w:t>
      </w:r>
      <w:r w:rsidRPr="008820D1">
        <w:t xml:space="preserve">participants referred to the TtW service between 1 April 2016 and 31 March 2017 who </w:t>
      </w:r>
      <w:r w:rsidR="006D4276">
        <w:t xml:space="preserve">had </w:t>
      </w:r>
      <w:r w:rsidRPr="008820D1">
        <w:t>commenced in the service. It excludes any initial caseload referrals from jobactive</w:t>
      </w:r>
      <w:r>
        <w:t>.</w:t>
      </w:r>
      <w:r w:rsidRPr="008820D1">
        <w:t xml:space="preserve"> </w:t>
      </w:r>
      <w:r w:rsidRPr="00770973">
        <w:t>An inflow population of jobactive participants was constructed for the same period as the TtW inflow population (</w:t>
      </w:r>
      <w:r>
        <w:t xml:space="preserve">referred </w:t>
      </w:r>
      <w:r w:rsidRPr="00770973">
        <w:t>between 1</w:t>
      </w:r>
      <w:r w:rsidR="00F6557E">
        <w:t> </w:t>
      </w:r>
      <w:r w:rsidRPr="00770973">
        <w:t xml:space="preserve">April 2016 and 31 March 2017). This population was restricted to </w:t>
      </w:r>
      <w:r>
        <w:t xml:space="preserve">commenced </w:t>
      </w:r>
      <w:r w:rsidRPr="00770973">
        <w:t>Stream</w:t>
      </w:r>
      <w:r w:rsidR="00F6557E">
        <w:t> </w:t>
      </w:r>
      <w:r w:rsidRPr="00770973">
        <w:t>B participants aged under 22 years at referral</w:t>
      </w:r>
      <w:r w:rsidR="00B61325">
        <w:t xml:space="preserve"> who ha</w:t>
      </w:r>
      <w:r w:rsidR="009E4B68">
        <w:t>d</w:t>
      </w:r>
      <w:r w:rsidR="00B61325">
        <w:t xml:space="preserve"> not previously participated in TtW</w:t>
      </w:r>
      <w:r w:rsidRPr="00770973">
        <w:t>.</w:t>
      </w:r>
      <w:r>
        <w:t xml:space="preserve"> For both populations, participants may have had more than one period of assistance. As the objective of this analysis is to examine whether engagement in TtW for 28 days or </w:t>
      </w:r>
      <w:r w:rsidR="009F1529">
        <w:t xml:space="preserve">more </w:t>
      </w:r>
      <w:r>
        <w:t>has had a differ</w:t>
      </w:r>
      <w:r w:rsidR="009E4B68">
        <w:t>ent</w:t>
      </w:r>
      <w:r>
        <w:t xml:space="preserve"> impact on participant</w:t>
      </w:r>
      <w:r w:rsidR="00191978">
        <w:t xml:space="preserve">s </w:t>
      </w:r>
      <w:r>
        <w:t>in the longer</w:t>
      </w:r>
      <w:r w:rsidR="009E4B68">
        <w:t xml:space="preserve"> </w:t>
      </w:r>
      <w:r>
        <w:t xml:space="preserve">term </w:t>
      </w:r>
      <w:r w:rsidR="009E4B68">
        <w:t xml:space="preserve">than the impact of </w:t>
      </w:r>
      <w:r>
        <w:t>no experience of TtW, only the first period of assistance of any individual is used.</w:t>
      </w:r>
    </w:p>
    <w:p w14:paraId="15955482" w14:textId="72E08BDA" w:rsidR="00FE3B3C" w:rsidRDefault="00FE3B3C" w:rsidP="009251AF">
      <w:pPr>
        <w:spacing w:after="0"/>
      </w:pPr>
      <w:r>
        <w:t xml:space="preserve">A matched TtW and jobactive sample was constructed from these </w:t>
      </w:r>
      <w:r w:rsidR="00F8391B">
        <w:t>2</w:t>
      </w:r>
      <w:r>
        <w:t xml:space="preserve"> inflow populations, with </w:t>
      </w:r>
      <w:r w:rsidR="00F8391B">
        <w:t>3</w:t>
      </w:r>
      <w:r>
        <w:t xml:space="preserve"> restrictions applied. Participants must:</w:t>
      </w:r>
    </w:p>
    <w:p w14:paraId="1CD7B6AD" w14:textId="2B080AAD" w:rsidR="00FE3B3C" w:rsidRDefault="00152B3F" w:rsidP="00456C86">
      <w:pPr>
        <w:pStyle w:val="ListBullet"/>
      </w:pPr>
      <w:r>
        <w:t>h</w:t>
      </w:r>
      <w:r w:rsidR="006C4359">
        <w:t xml:space="preserve">ave </w:t>
      </w:r>
      <w:r w:rsidR="00FE3B3C">
        <w:t>commenced in the program within 90 days from their initial referral date</w:t>
      </w:r>
    </w:p>
    <w:p w14:paraId="1A87CE36" w14:textId="6E8E4CD0" w:rsidR="00FE3B3C" w:rsidRDefault="00152B3F" w:rsidP="00456C86">
      <w:pPr>
        <w:pStyle w:val="ListBullet"/>
      </w:pPr>
      <w:r>
        <w:t>h</w:t>
      </w:r>
      <w:r w:rsidR="006C4359">
        <w:t xml:space="preserve">ave </w:t>
      </w:r>
      <w:r w:rsidR="00FE3B3C">
        <w:t>participated in the program for at least 28 days</w:t>
      </w:r>
    </w:p>
    <w:p w14:paraId="66FEAC68" w14:textId="0A57B6E3" w:rsidR="00FE3B3C" w:rsidRDefault="009E4B68" w:rsidP="00456C86">
      <w:pPr>
        <w:pStyle w:val="ListBullet"/>
      </w:pPr>
      <w:r>
        <w:t xml:space="preserve">have </w:t>
      </w:r>
      <w:r w:rsidR="00FE3B3C">
        <w:t>be</w:t>
      </w:r>
      <w:r>
        <w:t>en</w:t>
      </w:r>
      <w:r w:rsidR="00FE3B3C">
        <w:t xml:space="preserve"> receiving income support at day 28 from their commencement date</w:t>
      </w:r>
      <w:r>
        <w:t>.</w:t>
      </w:r>
      <w:r w:rsidR="00E62103">
        <w:rPr>
          <w:rStyle w:val="FootnoteReference"/>
        </w:rPr>
        <w:footnoteReference w:id="38"/>
      </w:r>
    </w:p>
    <w:p w14:paraId="7B2D6AF2" w14:textId="591DC52C" w:rsidR="00B3220F" w:rsidRPr="007F6263" w:rsidRDefault="00FE3B3C" w:rsidP="00CB6442">
      <w:r>
        <w:t xml:space="preserve">To ensure that the TtW and </w:t>
      </w:r>
      <w:r w:rsidR="00246F46">
        <w:t xml:space="preserve">comparison </w:t>
      </w:r>
      <w:r>
        <w:t xml:space="preserve">participant groups had similar levels of disadvantage, a number of different characteristics were investigated for use as matching variables. While all have shortcomings, the final comparison populations selected for analysis consisted of commenced participants from both programs matched on their education attainment (under Year 12 or Year 12 and above) </w:t>
      </w:r>
      <w:r w:rsidRPr="005013EF">
        <w:t xml:space="preserve">and </w:t>
      </w:r>
      <w:r w:rsidR="00B321DC" w:rsidRPr="00E3620C">
        <w:t xml:space="preserve">level of </w:t>
      </w:r>
      <w:r w:rsidR="00B321DC" w:rsidRPr="009D03A0">
        <w:t>employment disadvantage</w:t>
      </w:r>
      <w:r w:rsidR="007B04DA">
        <w:t xml:space="preserve"> (</w:t>
      </w:r>
      <w:r w:rsidR="00C50B15">
        <w:t xml:space="preserve">measured by their </w:t>
      </w:r>
      <w:r w:rsidR="007B04DA">
        <w:t>JSCI score)</w:t>
      </w:r>
      <w:r>
        <w:t xml:space="preserve">. Although the final </w:t>
      </w:r>
      <w:r>
        <w:lastRenderedPageBreak/>
        <w:t xml:space="preserve">matched TtW sample was found to be statistically different to the broader TtW inflow population, having the matched TtW and </w:t>
      </w:r>
      <w:r w:rsidR="00246F46">
        <w:t xml:space="preserve">comparison </w:t>
      </w:r>
      <w:r>
        <w:t xml:space="preserve">samples constructed </w:t>
      </w:r>
      <w:r w:rsidR="00137965">
        <w:t>in this way</w:t>
      </w:r>
      <w:r>
        <w:t xml:space="preserve"> minimise</w:t>
      </w:r>
      <w:r w:rsidR="00B321DC">
        <w:t>d</w:t>
      </w:r>
      <w:r>
        <w:t xml:space="preserve"> the characteristics that need</w:t>
      </w:r>
      <w:r w:rsidR="00B321DC">
        <w:t>ed</w:t>
      </w:r>
      <w:r>
        <w:t xml:space="preserve"> to be controlled for</w:t>
      </w:r>
      <w:r w:rsidR="00B321DC">
        <w:t xml:space="preserve"> through regression</w:t>
      </w:r>
      <w:r>
        <w:t xml:space="preserve"> analys</w:t>
      </w:r>
      <w:r w:rsidR="00137965">
        <w:t>i</w:t>
      </w:r>
      <w:r>
        <w:t>s.</w:t>
      </w:r>
      <w:r w:rsidR="00B3220F">
        <w:t xml:space="preserve"> Further details about the sampling methodology and population and sample demographic characteristics can be </w:t>
      </w:r>
      <w:r w:rsidR="00B3220F" w:rsidRPr="00CF455B">
        <w:t xml:space="preserve">found in </w:t>
      </w:r>
      <w:r w:rsidR="00B3220F" w:rsidRPr="004A440A">
        <w:rPr>
          <w:b/>
          <w:bCs/>
        </w:rPr>
        <w:t xml:space="preserve">Appendix </w:t>
      </w:r>
      <w:r w:rsidR="00CF455B" w:rsidRPr="00CF455B">
        <w:rPr>
          <w:b/>
          <w:bCs/>
        </w:rPr>
        <w:t>4</w:t>
      </w:r>
      <w:r w:rsidR="00B3220F" w:rsidRPr="00C239FD">
        <w:t>.</w:t>
      </w:r>
    </w:p>
    <w:p w14:paraId="798D7EB8" w14:textId="77777777" w:rsidR="007E0615" w:rsidRPr="00BE74FD" w:rsidRDefault="007E0615" w:rsidP="007E0615">
      <w:pPr>
        <w:keepNext/>
        <w:rPr>
          <w:rFonts w:ascii="Calibri" w:eastAsiaTheme="majorEastAsia" w:hAnsi="Calibri" w:cstheme="majorBidi"/>
          <w:iCs/>
          <w:color w:val="5F6369"/>
          <w:sz w:val="26"/>
        </w:rPr>
      </w:pPr>
      <w:r w:rsidRPr="00BE74FD">
        <w:rPr>
          <w:rFonts w:ascii="Calibri" w:eastAsiaTheme="majorEastAsia" w:hAnsi="Calibri" w:cstheme="majorBidi"/>
          <w:iCs/>
          <w:color w:val="5F6369"/>
          <w:sz w:val="26"/>
        </w:rPr>
        <w:t>Limitations and consi</w:t>
      </w:r>
      <w:r>
        <w:rPr>
          <w:rFonts w:ascii="Calibri" w:eastAsiaTheme="majorEastAsia" w:hAnsi="Calibri" w:cstheme="majorBidi"/>
          <w:iCs/>
          <w:color w:val="5F6369"/>
          <w:sz w:val="26"/>
        </w:rPr>
        <w:t>d</w:t>
      </w:r>
      <w:r w:rsidRPr="00BE74FD">
        <w:rPr>
          <w:rFonts w:ascii="Calibri" w:eastAsiaTheme="majorEastAsia" w:hAnsi="Calibri" w:cstheme="majorBidi"/>
          <w:iCs/>
          <w:color w:val="5F6369"/>
          <w:sz w:val="26"/>
        </w:rPr>
        <w:t>erations</w:t>
      </w:r>
    </w:p>
    <w:p w14:paraId="65203635" w14:textId="2B6223CE" w:rsidR="00FE3B3C" w:rsidRDefault="00E41F8E" w:rsidP="00FE3B3C">
      <w:r>
        <w:t xml:space="preserve">As noted </w:t>
      </w:r>
      <w:r w:rsidR="00F371EB">
        <w:t>in the discussion about the sample selection for EQ1, i</w:t>
      </w:r>
      <w:r w:rsidR="00FE3B3C" w:rsidRPr="00070E88">
        <w:t xml:space="preserve">t </w:t>
      </w:r>
      <w:r w:rsidR="00FE3B3C">
        <w:t>is</w:t>
      </w:r>
      <w:r w:rsidR="00FE3B3C" w:rsidRPr="00070E88">
        <w:t xml:space="preserve"> important to note that participants in </w:t>
      </w:r>
      <w:r w:rsidR="00FE3B3C">
        <w:t xml:space="preserve">the </w:t>
      </w:r>
      <w:r w:rsidR="00475004">
        <w:t xml:space="preserve">EQ2 </w:t>
      </w:r>
      <w:r w:rsidR="00FE3B3C">
        <w:t xml:space="preserve">TtW sample </w:t>
      </w:r>
      <w:r w:rsidR="00FE3B3C" w:rsidRPr="00070E88">
        <w:t xml:space="preserve">may still have been different in some ways from those in the </w:t>
      </w:r>
      <w:r w:rsidR="00B3016B">
        <w:t xml:space="preserve">comparison </w:t>
      </w:r>
      <w:r w:rsidR="00FE3B3C">
        <w:t>sample</w:t>
      </w:r>
      <w:r w:rsidR="00FE3B3C" w:rsidRPr="00070E88">
        <w:t xml:space="preserve">. For instance, </w:t>
      </w:r>
      <w:r w:rsidR="00F6557E">
        <w:t xml:space="preserve">while TtW does support young people to engage in work, </w:t>
      </w:r>
      <w:r w:rsidR="00FE3B3C" w:rsidRPr="00070E88">
        <w:t xml:space="preserve">young people who </w:t>
      </w:r>
      <w:r w:rsidR="009E4B68">
        <w:t>are</w:t>
      </w:r>
      <w:r w:rsidR="009055DC">
        <w:t xml:space="preserve"> strongly motivated to find work</w:t>
      </w:r>
      <w:r w:rsidR="0056207B">
        <w:t xml:space="preserve"> </w:t>
      </w:r>
      <w:r w:rsidR="00FE3B3C" w:rsidRPr="00070E88">
        <w:t xml:space="preserve">may opt to </w:t>
      </w:r>
      <w:r w:rsidR="009055DC">
        <w:t>b</w:t>
      </w:r>
      <w:r w:rsidR="00FE3B3C" w:rsidRPr="00070E88">
        <w:t>e referred to jobactive rather than participate in the</w:t>
      </w:r>
      <w:r w:rsidR="00043B32">
        <w:t xml:space="preserve"> </w:t>
      </w:r>
      <w:r w:rsidR="00FE3B3C" w:rsidRPr="00070E88">
        <w:t>activity-intensive services offered in TtW</w:t>
      </w:r>
      <w:r w:rsidR="00C20353">
        <w:t xml:space="preserve">. </w:t>
      </w:r>
      <w:r w:rsidR="0021060E">
        <w:t>Alternat</w:t>
      </w:r>
      <w:r w:rsidR="009E4B68">
        <w:t>iv</w:t>
      </w:r>
      <w:r w:rsidR="0021060E">
        <w:t>ely</w:t>
      </w:r>
      <w:r w:rsidR="00C20353">
        <w:t xml:space="preserve">, </w:t>
      </w:r>
      <w:r w:rsidR="0021060E">
        <w:t>as TtW is not a compulsory program and young people were required to opt</w:t>
      </w:r>
      <w:r w:rsidR="009E4B68">
        <w:t xml:space="preserve"> </w:t>
      </w:r>
      <w:r w:rsidR="0021060E">
        <w:t>in to participate</w:t>
      </w:r>
      <w:r>
        <w:t>,</w:t>
      </w:r>
      <w:r w:rsidR="0021060E">
        <w:t xml:space="preserve"> young people who are more disengaged may be more likely to remain in</w:t>
      </w:r>
      <w:r w:rsidR="00475004">
        <w:t xml:space="preserve"> jobactive</w:t>
      </w:r>
      <w:r w:rsidR="00FE3B3C" w:rsidRPr="00070E88">
        <w:t xml:space="preserve">. </w:t>
      </w:r>
      <w:r w:rsidR="00FE3B3C">
        <w:t>L</w:t>
      </w:r>
      <w:r w:rsidR="00FE3B3C" w:rsidRPr="00070E88">
        <w:t xml:space="preserve">ogistic regression analysis </w:t>
      </w:r>
      <w:r w:rsidR="005B1DB0">
        <w:t>wa</w:t>
      </w:r>
      <w:r w:rsidR="00731831">
        <w:t>s used</w:t>
      </w:r>
      <w:r w:rsidR="00731831" w:rsidRPr="00070E88">
        <w:t xml:space="preserve"> </w:t>
      </w:r>
      <w:r w:rsidR="00FE3B3C" w:rsidRPr="00070E88">
        <w:t xml:space="preserve">to mitigate differences between the TtW and </w:t>
      </w:r>
      <w:r w:rsidR="00043B32">
        <w:t>comparison</w:t>
      </w:r>
      <w:r w:rsidR="00043B32" w:rsidRPr="00070E88">
        <w:t xml:space="preserve"> </w:t>
      </w:r>
      <w:r w:rsidR="00FE3B3C" w:rsidRPr="00070E88">
        <w:t>participant samples by including a range of control factors (independent variables)</w:t>
      </w:r>
      <w:r w:rsidR="00885B00">
        <w:t>, though this did not include attitude to work</w:t>
      </w:r>
      <w:r w:rsidR="008C7AEA">
        <w:t xml:space="preserve"> or level of engagement</w:t>
      </w:r>
      <w:r w:rsidR="00FE3B3C" w:rsidRPr="00070E88">
        <w:t>.</w:t>
      </w:r>
    </w:p>
    <w:p w14:paraId="6C6C041B" w14:textId="126C8D12" w:rsidR="00F6557E" w:rsidRDefault="006C4359" w:rsidP="00FE3B3C">
      <w:r>
        <w:t>The impact</w:t>
      </w:r>
      <w:r w:rsidR="00FE3B3C">
        <w:t xml:space="preserve"> analysis examines the trajectory of participants who commenced in either TtW or jobactive during the inflow period, to test </w:t>
      </w:r>
      <w:r>
        <w:t xml:space="preserve">the relative </w:t>
      </w:r>
      <w:r w:rsidR="00FE3B3C">
        <w:t>impact an initial period of service with TtW may have on participant</w:t>
      </w:r>
      <w:r w:rsidR="00191978">
        <w:t xml:space="preserve"> employment or full-time study</w:t>
      </w:r>
      <w:r w:rsidR="0049602C">
        <w:t xml:space="preserve"> in the longer</w:t>
      </w:r>
      <w:r w:rsidR="009E4B68">
        <w:t xml:space="preserve"> </w:t>
      </w:r>
      <w:r w:rsidR="0049602C">
        <w:t>term (up to 4 years)</w:t>
      </w:r>
      <w:r w:rsidR="00FE3B3C">
        <w:t xml:space="preserve">. </w:t>
      </w:r>
      <w:r w:rsidR="0049602C">
        <w:t xml:space="preserve">This </w:t>
      </w:r>
      <w:r w:rsidR="00731831">
        <w:t>long</w:t>
      </w:r>
      <w:r w:rsidR="006150C6">
        <w:t>-</w:t>
      </w:r>
      <w:r w:rsidR="00731831">
        <w:t>term</w:t>
      </w:r>
      <w:r w:rsidR="00B50264">
        <w:t xml:space="preserve"> analysis </w:t>
      </w:r>
      <w:r w:rsidR="0049602C">
        <w:t xml:space="preserve">has </w:t>
      </w:r>
      <w:r w:rsidR="00F8391B">
        <w:t>2</w:t>
      </w:r>
      <w:r w:rsidR="0049602C">
        <w:t xml:space="preserve"> limitations.</w:t>
      </w:r>
    </w:p>
    <w:p w14:paraId="529352CE" w14:textId="6F04682E" w:rsidR="00F6557E" w:rsidRDefault="00BF6A00" w:rsidP="00456C86">
      <w:pPr>
        <w:pStyle w:val="ListBullet"/>
      </w:pPr>
      <w:r>
        <w:t xml:space="preserve">More broadly it should be acknowledged that </w:t>
      </w:r>
      <w:r w:rsidR="003005A4">
        <w:t xml:space="preserve">employment services are </w:t>
      </w:r>
      <w:r w:rsidR="00F6557E">
        <w:t>only</w:t>
      </w:r>
      <w:r w:rsidR="003005A4">
        <w:t xml:space="preserve"> one factor affecting participant behaviour, and over the longer</w:t>
      </w:r>
      <w:r w:rsidR="009E4B68">
        <w:t xml:space="preserve"> </w:t>
      </w:r>
      <w:r w:rsidR="003005A4">
        <w:t>term the influence of a service will diminish</w:t>
      </w:r>
      <w:r>
        <w:t xml:space="preserve">, so it is difficult to attribute any </w:t>
      </w:r>
      <w:r w:rsidR="00C2603C">
        <w:t>long-term</w:t>
      </w:r>
      <w:r>
        <w:t xml:space="preserve"> changes</w:t>
      </w:r>
      <w:r w:rsidR="003D58BA">
        <w:t xml:space="preserve"> to participation in any one program.</w:t>
      </w:r>
    </w:p>
    <w:p w14:paraId="3852EFAE" w14:textId="09D1EEF6" w:rsidR="00F6557E" w:rsidRDefault="00CC4BE8" w:rsidP="00456C86">
      <w:pPr>
        <w:pStyle w:val="ListBullet"/>
        <w:rPr>
          <w:rFonts w:eastAsia="Calibri" w:cstheme="minorHAnsi"/>
        </w:rPr>
      </w:pPr>
      <w:r>
        <w:t>S</w:t>
      </w:r>
      <w:r w:rsidR="00B50264">
        <w:t>econdly, w</w:t>
      </w:r>
      <w:r w:rsidR="00FE3B3C">
        <w:t xml:space="preserve">hile </w:t>
      </w:r>
      <w:r w:rsidR="00FE3B3C" w:rsidRPr="00F6557E">
        <w:rPr>
          <w:rFonts w:eastAsia="Calibri" w:cstheme="minorHAnsi"/>
        </w:rPr>
        <w:t xml:space="preserve">participants included in the sample were initially in either TtW or jobactive, TtW participants may have chosen at any time to transfer to jobactive, and those who did not exit income support within the time they were eligible for TtW were transferred to jobactive, so many of the TtW sample will have experience in jobactive at some time after their exposure to TtW. If they met eligibility requirements, there was also opportunity for jobactive participants to transfer to TtW. The sample was chosen to ensure that participants in the TtW sample did not have prior experience with jobactive, and participants from the jobactive sample did not have prior experience with TtW, but they may have experience in the other program sometime during the </w:t>
      </w:r>
      <w:r w:rsidR="00F8391B">
        <w:rPr>
          <w:rFonts w:eastAsia="Calibri" w:cstheme="minorHAnsi"/>
        </w:rPr>
        <w:t>4</w:t>
      </w:r>
      <w:r w:rsidR="00FE3B3C" w:rsidRPr="00F6557E">
        <w:rPr>
          <w:rFonts w:eastAsia="Calibri" w:cstheme="minorHAnsi"/>
        </w:rPr>
        <w:t>-year assessment period.</w:t>
      </w:r>
    </w:p>
    <w:p w14:paraId="1FCC6FB0" w14:textId="171D9E74" w:rsidR="00FE3B3C" w:rsidRPr="00F6557E" w:rsidRDefault="00CC4BE8" w:rsidP="009251AF">
      <w:pPr>
        <w:pStyle w:val="ListBullet2"/>
        <w:numPr>
          <w:ilvl w:val="0"/>
          <w:numId w:val="0"/>
        </w:numPr>
        <w:spacing w:before="240"/>
        <w:rPr>
          <w:rFonts w:eastAsia="Calibri" w:cstheme="minorHAnsi"/>
        </w:rPr>
      </w:pPr>
      <w:r w:rsidRPr="00F6557E">
        <w:rPr>
          <w:rFonts w:eastAsia="Calibri" w:cstheme="minorHAnsi"/>
        </w:rPr>
        <w:t>The results from this long</w:t>
      </w:r>
      <w:r w:rsidR="00731831" w:rsidRPr="00F6557E">
        <w:rPr>
          <w:rFonts w:eastAsia="Calibri" w:cstheme="minorHAnsi"/>
        </w:rPr>
        <w:t>-</w:t>
      </w:r>
      <w:r w:rsidRPr="00F6557E">
        <w:rPr>
          <w:rFonts w:eastAsia="Calibri" w:cstheme="minorHAnsi"/>
        </w:rPr>
        <w:t xml:space="preserve">term analysis </w:t>
      </w:r>
      <w:r w:rsidR="00234402" w:rsidRPr="00F6557E">
        <w:rPr>
          <w:rFonts w:eastAsia="Calibri" w:cstheme="minorHAnsi"/>
        </w:rPr>
        <w:t xml:space="preserve">are therefore </w:t>
      </w:r>
      <w:r w:rsidR="00621634" w:rsidRPr="00F6557E">
        <w:rPr>
          <w:rFonts w:eastAsia="Calibri" w:cstheme="minorHAnsi"/>
        </w:rPr>
        <w:t xml:space="preserve">indicative of the </w:t>
      </w:r>
      <w:r w:rsidR="006C4359" w:rsidRPr="00F6557E">
        <w:rPr>
          <w:rFonts w:eastAsia="Calibri" w:cstheme="minorHAnsi"/>
        </w:rPr>
        <w:t xml:space="preserve">relative </w:t>
      </w:r>
      <w:r w:rsidR="00621634" w:rsidRPr="00F6557E">
        <w:rPr>
          <w:rFonts w:eastAsia="Calibri" w:cstheme="minorHAnsi"/>
        </w:rPr>
        <w:t xml:space="preserve">impact of TtW </w:t>
      </w:r>
      <w:r w:rsidR="00D96B07" w:rsidRPr="00F6557E">
        <w:rPr>
          <w:rFonts w:eastAsia="Calibri" w:cstheme="minorHAnsi"/>
        </w:rPr>
        <w:t>on participan</w:t>
      </w:r>
      <w:r w:rsidR="00511336">
        <w:rPr>
          <w:rFonts w:eastAsia="Calibri" w:cstheme="minorHAnsi"/>
        </w:rPr>
        <w:t xml:space="preserve">ts over </w:t>
      </w:r>
      <w:r w:rsidR="009E4B68">
        <w:rPr>
          <w:rFonts w:eastAsia="Calibri" w:cstheme="minorHAnsi"/>
        </w:rPr>
        <w:t>the longer term</w:t>
      </w:r>
      <w:r w:rsidR="00D96B07" w:rsidRPr="00F6557E">
        <w:rPr>
          <w:rFonts w:eastAsia="Calibri" w:cstheme="minorHAnsi"/>
        </w:rPr>
        <w:t>.</w:t>
      </w:r>
    </w:p>
    <w:p w14:paraId="3E29ACE2" w14:textId="1FCBD25C" w:rsidR="00D00DEA" w:rsidRDefault="00C0729F" w:rsidP="00F975E8">
      <w:pPr>
        <w:pStyle w:val="Heading4"/>
        <w:numPr>
          <w:ilvl w:val="0"/>
          <w:numId w:val="0"/>
        </w:numPr>
      </w:pPr>
      <w:r>
        <w:t>Constructing m</w:t>
      </w:r>
      <w:r w:rsidR="00A764B1">
        <w:t xml:space="preserve">easures of </w:t>
      </w:r>
      <w:r w:rsidR="00731831">
        <w:t>long</w:t>
      </w:r>
      <w:r w:rsidR="006150C6">
        <w:t>-</w:t>
      </w:r>
      <w:r w:rsidR="00731831">
        <w:t>term</w:t>
      </w:r>
      <w:r w:rsidR="00BA6DCA">
        <w:t xml:space="preserve"> impact</w:t>
      </w:r>
    </w:p>
    <w:p w14:paraId="4E48EB65" w14:textId="665497CA" w:rsidR="00A764B1" w:rsidRDefault="00A764B1" w:rsidP="00BA6DCA">
      <w:pPr>
        <w:pStyle w:val="Body"/>
      </w:pPr>
      <w:bookmarkStart w:id="1186" w:name="_Hlk120090121"/>
      <w:r>
        <w:t>This analysis examine</w:t>
      </w:r>
      <w:r w:rsidR="00CF5771">
        <w:t>d</w:t>
      </w:r>
      <w:r>
        <w:t xml:space="preserve"> the impact of TtW on participants</w:t>
      </w:r>
      <w:r w:rsidR="00F8391B">
        <w:t>’</w:t>
      </w:r>
      <w:r w:rsidR="00511336">
        <w:t xml:space="preserve"> engagement in</w:t>
      </w:r>
      <w:r>
        <w:t xml:space="preserve"> </w:t>
      </w:r>
      <w:r w:rsidR="003D354E">
        <w:t xml:space="preserve">employment </w:t>
      </w:r>
      <w:r w:rsidR="00CE6B25">
        <w:t xml:space="preserve">and </w:t>
      </w:r>
      <w:r w:rsidR="00511336">
        <w:t>full-time education or an apprenticeship</w:t>
      </w:r>
      <w:r w:rsidR="00A9504B">
        <w:t xml:space="preserve"> </w:t>
      </w:r>
      <w:r w:rsidR="00892DF1">
        <w:t>over 4 years</w:t>
      </w:r>
      <w:r>
        <w:t xml:space="preserve">. </w:t>
      </w:r>
      <w:r w:rsidR="00CB4CDB">
        <w:t>T</w:t>
      </w:r>
      <w:r w:rsidR="00CE6B25">
        <w:t>hree</w:t>
      </w:r>
      <w:r w:rsidR="00CB4CDB">
        <w:t xml:space="preserve"> measures </w:t>
      </w:r>
      <w:r w:rsidR="00CF5771">
        <w:t>we</w:t>
      </w:r>
      <w:r w:rsidR="00CB4CDB">
        <w:t>re used in this analysis:</w:t>
      </w:r>
    </w:p>
    <w:p w14:paraId="3E029135" w14:textId="56F85522" w:rsidR="004558FF" w:rsidRDefault="00B939A8" w:rsidP="00456C86">
      <w:pPr>
        <w:pStyle w:val="ListBullet"/>
      </w:pPr>
      <w:r>
        <w:t>e</w:t>
      </w:r>
      <w:r w:rsidR="004953A0">
        <w:t xml:space="preserve">xit </w:t>
      </w:r>
      <w:r w:rsidR="003D354E">
        <w:t xml:space="preserve">from income support </w:t>
      </w:r>
      <w:r w:rsidR="006027B4">
        <w:t xml:space="preserve">as an indicator </w:t>
      </w:r>
      <w:r w:rsidR="005521FA">
        <w:t xml:space="preserve">of </w:t>
      </w:r>
      <w:r w:rsidR="005B055C">
        <w:t>employment</w:t>
      </w:r>
    </w:p>
    <w:p w14:paraId="155A70EF" w14:textId="6EC5BBF0" w:rsidR="003D354E" w:rsidRDefault="00625031" w:rsidP="00456C86">
      <w:pPr>
        <w:pStyle w:val="ListBullet"/>
      </w:pPr>
      <w:r>
        <w:lastRenderedPageBreak/>
        <w:t>reduction in income support reliance</w:t>
      </w:r>
      <w:r w:rsidR="00D63C4E">
        <w:t xml:space="preserve"> </w:t>
      </w:r>
      <w:r w:rsidR="006027B4">
        <w:t>as an indicator of increased labour market attachment</w:t>
      </w:r>
    </w:p>
    <w:p w14:paraId="67D5ECBF" w14:textId="7CAF1828" w:rsidR="00A9504B" w:rsidRDefault="006027B4" w:rsidP="00456C86">
      <w:pPr>
        <w:pStyle w:val="ListBullet"/>
      </w:pPr>
      <w:r>
        <w:t>movement to a study</w:t>
      </w:r>
      <w:r w:rsidR="009E4B68">
        <w:t>-</w:t>
      </w:r>
      <w:r>
        <w:t>related income support payment as an indicator of movement to full-time study or apprenticeship.</w:t>
      </w:r>
    </w:p>
    <w:p w14:paraId="2BE5564F" w14:textId="0FE6DD02" w:rsidR="006F4C1E" w:rsidRPr="00F975E8" w:rsidRDefault="004B184E" w:rsidP="009251AF">
      <w:pPr>
        <w:pStyle w:val="Heading5"/>
        <w:numPr>
          <w:ilvl w:val="0"/>
          <w:numId w:val="0"/>
        </w:numPr>
        <w:rPr>
          <w:rStyle w:val="Strong"/>
          <w:b/>
        </w:rPr>
      </w:pPr>
      <w:r w:rsidRPr="00F975E8">
        <w:rPr>
          <w:rStyle w:val="Strong"/>
          <w:b/>
        </w:rPr>
        <w:t>E</w:t>
      </w:r>
      <w:r w:rsidR="004953A0" w:rsidRPr="00F975E8">
        <w:rPr>
          <w:rStyle w:val="Strong"/>
          <w:b/>
        </w:rPr>
        <w:t>mployment</w:t>
      </w:r>
      <w:r w:rsidR="003E6F84" w:rsidRPr="00F975E8">
        <w:rPr>
          <w:rStyle w:val="Strong"/>
          <w:b/>
        </w:rPr>
        <w:t xml:space="preserve"> </w:t>
      </w:r>
    </w:p>
    <w:p w14:paraId="10D78403" w14:textId="564FFD71" w:rsidR="00F016F8" w:rsidRDefault="006F4C1E">
      <w:r>
        <w:t xml:space="preserve">This </w:t>
      </w:r>
      <w:r w:rsidRPr="005606B3">
        <w:t>analysis examine</w:t>
      </w:r>
      <w:r w:rsidR="00CF5771">
        <w:t>d</w:t>
      </w:r>
      <w:r w:rsidRPr="005606B3">
        <w:t xml:space="preserve"> the impact of TtW on supporting participants to move into employment in </w:t>
      </w:r>
      <w:r w:rsidR="009E4B68">
        <w:t>the longer term</w:t>
      </w:r>
      <w:r w:rsidR="00B963AD">
        <w:t>.</w:t>
      </w:r>
      <w:r w:rsidR="004953A0">
        <w:t xml:space="preserve"> </w:t>
      </w:r>
      <w:r w:rsidRPr="005606B3">
        <w:t>As no direct measure of employment status is available once a person leaves employment services, data on</w:t>
      </w:r>
      <w:r w:rsidR="004953A0">
        <w:t xml:space="preserve"> </w:t>
      </w:r>
      <w:r w:rsidRPr="005606B3">
        <w:t xml:space="preserve">exits from </w:t>
      </w:r>
      <w:r w:rsidR="00CB4CDB" w:rsidRPr="005606B3">
        <w:t xml:space="preserve">income support </w:t>
      </w:r>
      <w:r w:rsidR="00727407">
        <w:t>were</w:t>
      </w:r>
      <w:r w:rsidR="00727407" w:rsidRPr="005606B3">
        <w:t xml:space="preserve"> </w:t>
      </w:r>
      <w:r w:rsidRPr="005606B3">
        <w:t>used as an indicator</w:t>
      </w:r>
      <w:r w:rsidR="00CE6B25">
        <w:t xml:space="preserve"> of </w:t>
      </w:r>
      <w:r w:rsidR="00813D68">
        <w:t xml:space="preserve">a participant </w:t>
      </w:r>
      <w:r w:rsidR="00CE6B25">
        <w:t>taking up employment</w:t>
      </w:r>
      <w:r w:rsidRPr="005606B3">
        <w:t xml:space="preserve">. </w:t>
      </w:r>
      <w:r w:rsidR="00C3016A" w:rsidRPr="005606B3">
        <w:t>It is acknowledged that leaving income support can be a result of many factors</w:t>
      </w:r>
      <w:r w:rsidR="00C3016A">
        <w:t>, some of which are not related to employment</w:t>
      </w:r>
      <w:r w:rsidR="00283A95">
        <w:t xml:space="preserve"> (for example</w:t>
      </w:r>
      <w:r w:rsidR="009E4B68">
        <w:t>,</w:t>
      </w:r>
      <w:r w:rsidR="00283A95">
        <w:t xml:space="preserve"> moving overseas</w:t>
      </w:r>
      <w:r w:rsidR="007F7473">
        <w:t xml:space="preserve"> or disengaging from </w:t>
      </w:r>
      <w:r w:rsidR="00E45DCE">
        <w:t>income support</w:t>
      </w:r>
      <w:r w:rsidR="00283A95">
        <w:t>)</w:t>
      </w:r>
      <w:r w:rsidR="00C3016A" w:rsidRPr="005606B3">
        <w:t xml:space="preserve">. </w:t>
      </w:r>
      <w:r w:rsidR="0047078F">
        <w:t>T</w:t>
      </w:r>
      <w:r w:rsidR="00C3016A" w:rsidRPr="005606B3">
        <w:t>o refine the off-income support indicator, participants</w:t>
      </w:r>
      <w:r w:rsidR="00F8391B">
        <w:t>’</w:t>
      </w:r>
      <w:r w:rsidR="00C3016A" w:rsidRPr="005606B3">
        <w:t xml:space="preserve"> exit from income support was further linked to the associated reason for exiting employment services</w:t>
      </w:r>
      <w:r w:rsidR="00C3016A">
        <w:t xml:space="preserve">. Where someone exited income support and their reason for exiting employment services was linked to employment </w:t>
      </w:r>
      <w:r w:rsidR="00E31A21">
        <w:t>(</w:t>
      </w:r>
      <w:r w:rsidR="00C3016A">
        <w:t>or study</w:t>
      </w:r>
      <w:r w:rsidR="008C2F3A">
        <w:rPr>
          <w:rStyle w:val="FootnoteReference"/>
        </w:rPr>
        <w:footnoteReference w:id="39"/>
      </w:r>
      <w:r w:rsidR="00027804">
        <w:t>)</w:t>
      </w:r>
      <w:r w:rsidR="00C3016A">
        <w:t xml:space="preserve"> this </w:t>
      </w:r>
      <w:r w:rsidR="00C701F1">
        <w:t>was</w:t>
      </w:r>
      <w:r w:rsidR="00C3016A">
        <w:t xml:space="preserve"> defined as </w:t>
      </w:r>
      <w:r w:rsidR="00FA1F40">
        <w:t>a</w:t>
      </w:r>
      <w:r w:rsidR="005521FA">
        <w:t>n</w:t>
      </w:r>
      <w:r w:rsidR="00FA1F40">
        <w:t xml:space="preserve"> </w:t>
      </w:r>
      <w:r w:rsidR="00F8391B">
        <w:t>‘</w:t>
      </w:r>
      <w:r w:rsidR="005521FA">
        <w:t>employment</w:t>
      </w:r>
      <w:r w:rsidR="00DC36DB">
        <w:t>-</w:t>
      </w:r>
      <w:r w:rsidR="005521FA">
        <w:t xml:space="preserve">related </w:t>
      </w:r>
      <w:r w:rsidR="00C3016A">
        <w:t>IS exit</w:t>
      </w:r>
      <w:r w:rsidR="00F8391B">
        <w:t>’</w:t>
      </w:r>
      <w:r w:rsidR="00027804">
        <w:t xml:space="preserve">, which </w:t>
      </w:r>
      <w:r w:rsidR="00C701F1">
        <w:t xml:space="preserve">was </w:t>
      </w:r>
      <w:r w:rsidR="00027804">
        <w:t xml:space="preserve">used in this analysis </w:t>
      </w:r>
      <w:r w:rsidR="008C2F3A">
        <w:t>as an indicator of employment</w:t>
      </w:r>
      <w:r w:rsidR="00C3016A" w:rsidRPr="005606B3">
        <w:t>.</w:t>
      </w:r>
    </w:p>
    <w:p w14:paraId="36F01FAA" w14:textId="4136ABFC" w:rsidR="00F016F8" w:rsidRPr="005606B3" w:rsidRDefault="00F016F8" w:rsidP="00F016F8">
      <w:pPr>
        <w:rPr>
          <w:rFonts w:eastAsia="Times New Roman"/>
          <w:lang w:eastAsia="en-AU"/>
        </w:rPr>
      </w:pPr>
      <w:r>
        <w:t xml:space="preserve">Income support status for each </w:t>
      </w:r>
      <w:r>
        <w:rPr>
          <w:lang w:eastAsia="en-AU"/>
        </w:rPr>
        <w:t xml:space="preserve">participant was tracked across the study period each </w:t>
      </w:r>
      <w:r w:rsidR="00C2603C">
        <w:rPr>
          <w:lang w:eastAsia="en-AU"/>
        </w:rPr>
        <w:t>4-week</w:t>
      </w:r>
      <w:r>
        <w:rPr>
          <w:lang w:eastAsia="en-AU"/>
        </w:rPr>
        <w:t xml:space="preserve"> (28-day) period. Where an employment-related exit from income support was recorded in any </w:t>
      </w:r>
      <w:r w:rsidR="00C2603C">
        <w:rPr>
          <w:lang w:eastAsia="en-AU"/>
        </w:rPr>
        <w:t>4-week</w:t>
      </w:r>
      <w:r>
        <w:rPr>
          <w:lang w:eastAsia="en-AU"/>
        </w:rPr>
        <w:t xml:space="preserve"> period </w:t>
      </w:r>
      <w:r>
        <w:t>their employment indicator was set at 1</w:t>
      </w:r>
      <w:r w:rsidR="00C01C3D">
        <w:t>.</w:t>
      </w:r>
      <w:r>
        <w:rPr>
          <w:rStyle w:val="FootnoteReference"/>
        </w:rPr>
        <w:footnoteReference w:id="40"/>
      </w:r>
      <w:r>
        <w:t xml:space="preserve"> </w:t>
      </w:r>
      <w:r>
        <w:rPr>
          <w:lang w:eastAsia="en-AU"/>
        </w:rPr>
        <w:t>If there was no evidence of an employment-related IS exit in any 4-week period, their employment indicator was set at 0.</w:t>
      </w:r>
    </w:p>
    <w:p w14:paraId="538CB4F2" w14:textId="18703466" w:rsidR="00C3016A" w:rsidRDefault="00C3016A">
      <w:r w:rsidRPr="004A440A">
        <w:rPr>
          <w:b/>
          <w:bCs/>
        </w:rPr>
        <w:t xml:space="preserve">Appendix </w:t>
      </w:r>
      <w:r w:rsidRPr="00E62B01">
        <w:rPr>
          <w:b/>
          <w:bCs/>
        </w:rPr>
        <w:t>4</w:t>
      </w:r>
      <w:r>
        <w:rPr>
          <w:b/>
          <w:bCs/>
        </w:rPr>
        <w:t>.</w:t>
      </w:r>
      <w:r w:rsidR="00E62B01">
        <w:rPr>
          <w:b/>
          <w:bCs/>
        </w:rPr>
        <w:t>5</w:t>
      </w:r>
      <w:r w:rsidR="00E62B01" w:rsidRPr="005606B3">
        <w:t xml:space="preserve"> </w:t>
      </w:r>
      <w:r>
        <w:t>provides</w:t>
      </w:r>
      <w:r w:rsidRPr="005606B3">
        <w:t xml:space="preserve"> a detailed discussion of the definition and estimation of </w:t>
      </w:r>
      <w:r>
        <w:t>a</w:t>
      </w:r>
      <w:r w:rsidR="005837D0">
        <w:t>n</w:t>
      </w:r>
      <w:r>
        <w:t xml:space="preserve"> </w:t>
      </w:r>
      <w:r w:rsidR="00F8391B">
        <w:t>‘</w:t>
      </w:r>
      <w:r w:rsidR="005521FA">
        <w:t>employment</w:t>
      </w:r>
      <w:r w:rsidR="00DC36DB">
        <w:t>-</w:t>
      </w:r>
      <w:r w:rsidR="005521FA">
        <w:t xml:space="preserve">related </w:t>
      </w:r>
      <w:r>
        <w:t>IS exit</w:t>
      </w:r>
      <w:r w:rsidR="00F8391B">
        <w:t>’</w:t>
      </w:r>
      <w:r w:rsidRPr="005606B3">
        <w:t>.</w:t>
      </w:r>
    </w:p>
    <w:p w14:paraId="1DA8472E" w14:textId="6970BA5C" w:rsidR="00A44B84" w:rsidRPr="00F975E8" w:rsidRDefault="004953A0" w:rsidP="009251AF">
      <w:pPr>
        <w:pStyle w:val="Heading5"/>
        <w:numPr>
          <w:ilvl w:val="0"/>
          <w:numId w:val="0"/>
        </w:numPr>
        <w:rPr>
          <w:rStyle w:val="Strong"/>
          <w:b/>
        </w:rPr>
      </w:pPr>
      <w:r w:rsidRPr="00F975E8">
        <w:rPr>
          <w:rStyle w:val="Strong"/>
          <w:b/>
        </w:rPr>
        <w:t>Labour market attachment</w:t>
      </w:r>
      <w:r w:rsidR="004558FF" w:rsidRPr="00F975E8">
        <w:rPr>
          <w:rStyle w:val="Strong"/>
          <w:b/>
        </w:rPr>
        <w:t xml:space="preserve"> </w:t>
      </w:r>
    </w:p>
    <w:p w14:paraId="5471C1D9" w14:textId="55BAC8D1" w:rsidR="00BA6DCA" w:rsidRDefault="00892DF1" w:rsidP="001D461A">
      <w:pPr>
        <w:rPr>
          <w:bCs/>
        </w:rPr>
      </w:pPr>
      <w:r>
        <w:rPr>
          <w:lang w:eastAsia="en-AU"/>
        </w:rPr>
        <w:t>The use of exits from income support</w:t>
      </w:r>
      <w:r w:rsidR="00BA6DCA" w:rsidRPr="00381E3F">
        <w:rPr>
          <w:lang w:eastAsia="en-AU"/>
        </w:rPr>
        <w:t xml:space="preserve"> does not account for the part-time and casual nature of </w:t>
      </w:r>
      <w:r w:rsidR="000B3165">
        <w:rPr>
          <w:lang w:eastAsia="en-AU"/>
        </w:rPr>
        <w:t>some</w:t>
      </w:r>
      <w:r w:rsidR="000B3165" w:rsidRPr="00381E3F">
        <w:rPr>
          <w:lang w:eastAsia="en-AU"/>
        </w:rPr>
        <w:t xml:space="preserve"> </w:t>
      </w:r>
      <w:r w:rsidR="00BA6DCA" w:rsidRPr="00381E3F">
        <w:rPr>
          <w:lang w:eastAsia="en-AU"/>
        </w:rPr>
        <w:t>employment</w:t>
      </w:r>
      <w:r w:rsidR="005606B3">
        <w:rPr>
          <w:lang w:eastAsia="en-AU"/>
        </w:rPr>
        <w:t xml:space="preserve">, or for those with a partial work capacity </w:t>
      </w:r>
      <w:r w:rsidR="004953A0">
        <w:rPr>
          <w:lang w:eastAsia="en-AU"/>
        </w:rPr>
        <w:t xml:space="preserve">who </w:t>
      </w:r>
      <w:r w:rsidR="005606B3">
        <w:rPr>
          <w:lang w:eastAsia="en-AU"/>
        </w:rPr>
        <w:t>find employment</w:t>
      </w:r>
      <w:r w:rsidR="004953A0">
        <w:rPr>
          <w:lang w:eastAsia="en-AU"/>
        </w:rPr>
        <w:t xml:space="preserve"> but remain on income support</w:t>
      </w:r>
      <w:r w:rsidR="00BA6DCA" w:rsidRPr="00381E3F">
        <w:rPr>
          <w:lang w:eastAsia="en-AU"/>
        </w:rPr>
        <w:t>.</w:t>
      </w:r>
      <w:r w:rsidR="00BA6DCA">
        <w:rPr>
          <w:lang w:eastAsia="en-AU"/>
        </w:rPr>
        <w:t xml:space="preserve"> For this reason</w:t>
      </w:r>
      <w:r w:rsidR="000A3ADD">
        <w:rPr>
          <w:lang w:eastAsia="en-AU"/>
        </w:rPr>
        <w:t>,</w:t>
      </w:r>
      <w:r w:rsidR="00BA6DCA">
        <w:rPr>
          <w:lang w:eastAsia="en-AU"/>
        </w:rPr>
        <w:t xml:space="preserve"> a second indicator</w:t>
      </w:r>
      <w:r w:rsidR="005606B3">
        <w:rPr>
          <w:lang w:eastAsia="en-AU"/>
        </w:rPr>
        <w:t xml:space="preserve">, </w:t>
      </w:r>
      <w:r w:rsidR="004953A0">
        <w:rPr>
          <w:lang w:eastAsia="en-AU"/>
        </w:rPr>
        <w:t>LMA</w:t>
      </w:r>
      <w:r w:rsidR="005606B3">
        <w:rPr>
          <w:lang w:eastAsia="en-AU"/>
        </w:rPr>
        <w:t>,</w:t>
      </w:r>
      <w:r w:rsidR="00BA6DCA">
        <w:rPr>
          <w:lang w:eastAsia="en-AU"/>
        </w:rPr>
        <w:t xml:space="preserve"> was developed</w:t>
      </w:r>
      <w:r w:rsidR="005606B3">
        <w:rPr>
          <w:lang w:eastAsia="en-AU"/>
        </w:rPr>
        <w:t>.</w:t>
      </w:r>
      <w:r w:rsidR="00BA6DCA">
        <w:rPr>
          <w:lang w:eastAsia="en-AU"/>
        </w:rPr>
        <w:t xml:space="preserve"> </w:t>
      </w:r>
      <w:r w:rsidR="005606B3">
        <w:rPr>
          <w:lang w:eastAsia="en-AU"/>
        </w:rPr>
        <w:t>This indicator</w:t>
      </w:r>
      <w:r w:rsidR="005606B3" w:rsidRPr="00927B1C">
        <w:rPr>
          <w:lang w:eastAsia="en-AU"/>
        </w:rPr>
        <w:t xml:space="preserve"> </w:t>
      </w:r>
      <w:r w:rsidR="006D31CF" w:rsidRPr="009F1529">
        <w:rPr>
          <w:lang w:eastAsia="en-AU"/>
        </w:rPr>
        <w:t>utilise</w:t>
      </w:r>
      <w:r w:rsidR="00683994" w:rsidRPr="009F1529">
        <w:rPr>
          <w:lang w:eastAsia="en-AU"/>
        </w:rPr>
        <w:t>d</w:t>
      </w:r>
      <w:r w:rsidR="006D31CF">
        <w:rPr>
          <w:lang w:eastAsia="en-AU"/>
        </w:rPr>
        <w:t xml:space="preserve"> the following factors</w:t>
      </w:r>
      <w:r w:rsidR="00C01C3D">
        <w:rPr>
          <w:lang w:eastAsia="en-AU"/>
        </w:rPr>
        <w:t>:</w:t>
      </w:r>
      <w:r w:rsidR="009F2B41">
        <w:rPr>
          <w:lang w:eastAsia="en-AU"/>
        </w:rPr>
        <w:t xml:space="preserve"> </w:t>
      </w:r>
      <w:r w:rsidR="00C01C3D">
        <w:rPr>
          <w:lang w:eastAsia="en-AU"/>
        </w:rPr>
        <w:t>a</w:t>
      </w:r>
      <w:r w:rsidR="006D31CF" w:rsidRPr="00927B1C">
        <w:rPr>
          <w:lang w:eastAsia="en-AU"/>
        </w:rPr>
        <w:t xml:space="preserve"> </w:t>
      </w:r>
      <w:r w:rsidR="00333A21">
        <w:rPr>
          <w:lang w:eastAsia="en-AU"/>
        </w:rPr>
        <w:t xml:space="preserve">recorded </w:t>
      </w:r>
      <w:r w:rsidR="005606B3" w:rsidRPr="00927B1C">
        <w:rPr>
          <w:lang w:eastAsia="en-AU"/>
        </w:rPr>
        <w:t xml:space="preserve">reduction in income support </w:t>
      </w:r>
      <w:r w:rsidR="005606B3">
        <w:rPr>
          <w:lang w:eastAsia="en-AU"/>
        </w:rPr>
        <w:t xml:space="preserve">rate </w:t>
      </w:r>
      <w:r w:rsidR="00333A21">
        <w:rPr>
          <w:lang w:eastAsia="en-AU"/>
        </w:rPr>
        <w:t>from the</w:t>
      </w:r>
      <w:r w:rsidR="00C01C3D">
        <w:rPr>
          <w:lang w:eastAsia="en-AU"/>
        </w:rPr>
        <w:t xml:space="preserve"> participant’s</w:t>
      </w:r>
      <w:r w:rsidR="00333A21">
        <w:rPr>
          <w:lang w:eastAsia="en-AU"/>
        </w:rPr>
        <w:t xml:space="preserve"> </w:t>
      </w:r>
      <w:r w:rsidR="00D016F1">
        <w:rPr>
          <w:lang w:eastAsia="en-AU"/>
        </w:rPr>
        <w:t xml:space="preserve">initial </w:t>
      </w:r>
      <w:r w:rsidR="00333A21">
        <w:rPr>
          <w:lang w:eastAsia="en-AU"/>
        </w:rPr>
        <w:t xml:space="preserve">base rate </w:t>
      </w:r>
      <w:r w:rsidR="005606B3" w:rsidRPr="00927B1C">
        <w:rPr>
          <w:lang w:eastAsia="en-AU"/>
        </w:rPr>
        <w:t>(as a proxy for increased employment)</w:t>
      </w:r>
      <w:r w:rsidR="00C01C3D">
        <w:rPr>
          <w:lang w:eastAsia="en-AU"/>
        </w:rPr>
        <w:t>;</w:t>
      </w:r>
      <w:r w:rsidR="005606B3" w:rsidRPr="00927B1C">
        <w:rPr>
          <w:lang w:eastAsia="en-AU"/>
        </w:rPr>
        <w:t xml:space="preserve"> </w:t>
      </w:r>
      <w:r w:rsidR="00D63C4E">
        <w:rPr>
          <w:lang w:eastAsia="en-AU"/>
        </w:rPr>
        <w:t xml:space="preserve">any </w:t>
      </w:r>
      <w:r w:rsidR="005606B3" w:rsidRPr="00927B1C">
        <w:rPr>
          <w:lang w:eastAsia="en-AU"/>
        </w:rPr>
        <w:t>reported earnings (as evidence of engagement in the labour market)</w:t>
      </w:r>
      <w:r w:rsidR="00C01C3D">
        <w:rPr>
          <w:lang w:eastAsia="en-AU"/>
        </w:rPr>
        <w:t>;</w:t>
      </w:r>
      <w:r w:rsidR="005606B3" w:rsidRPr="00927B1C">
        <w:rPr>
          <w:lang w:eastAsia="en-AU"/>
        </w:rPr>
        <w:t xml:space="preserve"> </w:t>
      </w:r>
      <w:r w:rsidR="00232AF8">
        <w:rPr>
          <w:lang w:eastAsia="en-AU"/>
        </w:rPr>
        <w:t xml:space="preserve">and/or </w:t>
      </w:r>
      <w:r w:rsidR="00C01C3D">
        <w:rPr>
          <w:lang w:eastAsia="en-AU"/>
        </w:rPr>
        <w:t xml:space="preserve">a </w:t>
      </w:r>
      <w:r w:rsidR="00232AF8">
        <w:rPr>
          <w:lang w:eastAsia="en-AU"/>
        </w:rPr>
        <w:t xml:space="preserve">recorded </w:t>
      </w:r>
      <w:r w:rsidR="00C2603C">
        <w:rPr>
          <w:lang w:eastAsia="en-AU"/>
        </w:rPr>
        <w:t>employment</w:t>
      </w:r>
      <w:r w:rsidR="002113EA">
        <w:rPr>
          <w:lang w:eastAsia="en-AU"/>
        </w:rPr>
        <w:t>-</w:t>
      </w:r>
      <w:r w:rsidR="00C2603C">
        <w:rPr>
          <w:lang w:eastAsia="en-AU"/>
        </w:rPr>
        <w:t>related</w:t>
      </w:r>
      <w:r w:rsidR="004953A0">
        <w:rPr>
          <w:lang w:eastAsia="en-AU"/>
        </w:rPr>
        <w:t xml:space="preserve"> </w:t>
      </w:r>
      <w:r w:rsidR="00D63C4E">
        <w:rPr>
          <w:lang w:eastAsia="en-AU"/>
        </w:rPr>
        <w:t>IS exit</w:t>
      </w:r>
      <w:r w:rsidR="00C01C3D">
        <w:rPr>
          <w:lang w:eastAsia="en-AU"/>
        </w:rPr>
        <w:t xml:space="preserve"> (as</w:t>
      </w:r>
      <w:r w:rsidR="00232AF8">
        <w:rPr>
          <w:lang w:eastAsia="en-AU"/>
        </w:rPr>
        <w:t xml:space="preserve"> outlined above</w:t>
      </w:r>
      <w:r w:rsidR="00C01C3D">
        <w:rPr>
          <w:lang w:eastAsia="en-AU"/>
        </w:rPr>
        <w:t>)</w:t>
      </w:r>
      <w:r w:rsidR="005606B3" w:rsidRPr="00927B1C">
        <w:rPr>
          <w:lang w:eastAsia="en-AU"/>
        </w:rPr>
        <w:t>.</w:t>
      </w:r>
      <w:r w:rsidR="00AB094D">
        <w:rPr>
          <w:lang w:eastAsia="en-AU"/>
        </w:rPr>
        <w:t xml:space="preserve"> Each factor for each participant </w:t>
      </w:r>
      <w:r w:rsidR="00683994">
        <w:rPr>
          <w:lang w:eastAsia="en-AU"/>
        </w:rPr>
        <w:t xml:space="preserve">was </w:t>
      </w:r>
      <w:r w:rsidR="00AB094D">
        <w:rPr>
          <w:lang w:eastAsia="en-AU"/>
        </w:rPr>
        <w:t xml:space="preserve">tracked across the study period </w:t>
      </w:r>
      <w:r w:rsidR="00FE214A">
        <w:rPr>
          <w:lang w:eastAsia="en-AU"/>
        </w:rPr>
        <w:t>each</w:t>
      </w:r>
      <w:r w:rsidR="00AB094D">
        <w:rPr>
          <w:lang w:eastAsia="en-AU"/>
        </w:rPr>
        <w:t xml:space="preserve"> </w:t>
      </w:r>
      <w:r w:rsidR="00C2603C">
        <w:rPr>
          <w:lang w:eastAsia="en-AU"/>
        </w:rPr>
        <w:t>4-week</w:t>
      </w:r>
      <w:r w:rsidR="000A1705">
        <w:rPr>
          <w:lang w:eastAsia="en-AU"/>
        </w:rPr>
        <w:t xml:space="preserve"> (28-day</w:t>
      </w:r>
      <w:r w:rsidR="007A36F6">
        <w:rPr>
          <w:lang w:eastAsia="en-AU"/>
        </w:rPr>
        <w:t xml:space="preserve">) </w:t>
      </w:r>
      <w:r w:rsidR="00AB094D">
        <w:rPr>
          <w:lang w:eastAsia="en-AU"/>
        </w:rPr>
        <w:t>period</w:t>
      </w:r>
      <w:r w:rsidR="007A36F6">
        <w:rPr>
          <w:lang w:eastAsia="en-AU"/>
        </w:rPr>
        <w:t xml:space="preserve">. If any </w:t>
      </w:r>
      <w:r w:rsidR="00EE5D8B">
        <w:rPr>
          <w:lang w:eastAsia="en-AU"/>
        </w:rPr>
        <w:t xml:space="preserve">one of these factors applied during </w:t>
      </w:r>
      <w:r w:rsidR="00F40D4B">
        <w:rPr>
          <w:lang w:eastAsia="en-AU"/>
        </w:rPr>
        <w:t xml:space="preserve">a </w:t>
      </w:r>
      <w:r w:rsidR="00C2603C">
        <w:rPr>
          <w:lang w:eastAsia="en-AU"/>
        </w:rPr>
        <w:t>4-week</w:t>
      </w:r>
      <w:r w:rsidR="00EE5D8B">
        <w:rPr>
          <w:lang w:eastAsia="en-AU"/>
        </w:rPr>
        <w:t xml:space="preserve"> period, a participant was identified as engaged in some paid work and their LMA indicator was set at 1</w:t>
      </w:r>
      <w:r w:rsidR="004F03ED">
        <w:rPr>
          <w:lang w:eastAsia="en-AU"/>
        </w:rPr>
        <w:t>.</w:t>
      </w:r>
    </w:p>
    <w:p w14:paraId="6998FE05" w14:textId="426B4797" w:rsidR="00CE6B25" w:rsidRPr="00F975E8" w:rsidRDefault="00CE6B25" w:rsidP="009251AF">
      <w:pPr>
        <w:pStyle w:val="Heading5"/>
        <w:numPr>
          <w:ilvl w:val="0"/>
          <w:numId w:val="0"/>
        </w:numPr>
        <w:rPr>
          <w:rStyle w:val="Strong"/>
          <w:b/>
        </w:rPr>
      </w:pPr>
      <w:r w:rsidRPr="00F975E8">
        <w:rPr>
          <w:rStyle w:val="Strong"/>
          <w:b/>
        </w:rPr>
        <w:t>Uptake of full-time study or apprenticeship</w:t>
      </w:r>
    </w:p>
    <w:p w14:paraId="66295EDE" w14:textId="1C102547" w:rsidR="006027B4" w:rsidRDefault="006027B4" w:rsidP="001D461A">
      <w:r>
        <w:t xml:space="preserve">Again, there is no direct measure of participants moving to higher degree/longer-term accredited study or apprenticeships. Data on </w:t>
      </w:r>
      <w:r w:rsidR="009838B0">
        <w:t>the</w:t>
      </w:r>
      <w:r w:rsidR="00976DC4">
        <w:t xml:space="preserve"> </w:t>
      </w:r>
      <w:r>
        <w:t xml:space="preserve">income support payment types </w:t>
      </w:r>
      <w:r w:rsidR="00731831">
        <w:t xml:space="preserve">that </w:t>
      </w:r>
      <w:r w:rsidR="009838B0">
        <w:t xml:space="preserve">participants </w:t>
      </w:r>
      <w:r w:rsidR="00682387">
        <w:t xml:space="preserve">were </w:t>
      </w:r>
      <w:r w:rsidR="009838B0">
        <w:t xml:space="preserve">accessing </w:t>
      </w:r>
      <w:r w:rsidR="00764522">
        <w:t xml:space="preserve">(namely </w:t>
      </w:r>
      <w:bookmarkStart w:id="1187" w:name="_Hlk110412948"/>
      <w:r w:rsidR="00764522" w:rsidRPr="00764522">
        <w:t xml:space="preserve">Youth Allowance (Student), Youth </w:t>
      </w:r>
      <w:r w:rsidR="00C01C3D">
        <w:t>A</w:t>
      </w:r>
      <w:r w:rsidR="00764522" w:rsidRPr="00764522">
        <w:t>llowance (Apprenticeship), ABSTUDY</w:t>
      </w:r>
      <w:r w:rsidR="00764522">
        <w:t xml:space="preserve"> or</w:t>
      </w:r>
      <w:r w:rsidR="00764522" w:rsidRPr="00764522">
        <w:t xml:space="preserve"> </w:t>
      </w:r>
      <w:r w:rsidR="00764522" w:rsidRPr="00764522">
        <w:lastRenderedPageBreak/>
        <w:t>Austudy</w:t>
      </w:r>
      <w:bookmarkEnd w:id="1187"/>
      <w:r w:rsidR="00764522">
        <w:t>)</w:t>
      </w:r>
      <w:r w:rsidR="00764522" w:rsidRPr="00764522">
        <w:t xml:space="preserve"> </w:t>
      </w:r>
      <w:r w:rsidR="00682387">
        <w:t xml:space="preserve">was </w:t>
      </w:r>
      <w:r>
        <w:t xml:space="preserve">used as an indicator </w:t>
      </w:r>
      <w:r w:rsidR="00B76904">
        <w:t xml:space="preserve">of </w:t>
      </w:r>
      <w:r>
        <w:t>a participant taking up longer</w:t>
      </w:r>
      <w:r w:rsidR="004F276E">
        <w:t>-</w:t>
      </w:r>
      <w:r>
        <w:t xml:space="preserve">term </w:t>
      </w:r>
      <w:r w:rsidR="004558FF">
        <w:t xml:space="preserve">full-time </w:t>
      </w:r>
      <w:r>
        <w:t>study or a</w:t>
      </w:r>
      <w:r w:rsidR="004558FF">
        <w:t xml:space="preserve"> full-time</w:t>
      </w:r>
      <w:r>
        <w:t xml:space="preserve"> apprenticeship</w:t>
      </w:r>
      <w:r w:rsidR="00764522">
        <w:t>.</w:t>
      </w:r>
    </w:p>
    <w:p w14:paraId="4E78CE15" w14:textId="2AC1D0E9" w:rsidR="00CE6B25" w:rsidRDefault="00CE6B25" w:rsidP="001D461A">
      <w:pPr>
        <w:rPr>
          <w:bCs/>
        </w:rPr>
      </w:pPr>
      <w:r>
        <w:t xml:space="preserve">This assumes that everyone who was on income support at month 1 who </w:t>
      </w:r>
      <w:r w:rsidR="004953A0">
        <w:t xml:space="preserve">later </w:t>
      </w:r>
      <w:r>
        <w:t>took up an apprenticeship or full</w:t>
      </w:r>
      <w:r w:rsidR="00764522">
        <w:t>-</w:t>
      </w:r>
      <w:r>
        <w:t>time study moved on to a study</w:t>
      </w:r>
      <w:r w:rsidR="00C01C3D">
        <w:t>-</w:t>
      </w:r>
      <w:r>
        <w:t xml:space="preserve">related </w:t>
      </w:r>
      <w:r w:rsidR="00764522">
        <w:t>income support</w:t>
      </w:r>
      <w:r>
        <w:t xml:space="preserve"> payment</w:t>
      </w:r>
      <w:r w:rsidR="00764522">
        <w:t>. Som</w:t>
      </w:r>
      <w:r>
        <w:t xml:space="preserve">e apprentices may earn enough to leave </w:t>
      </w:r>
      <w:r w:rsidR="00764522">
        <w:t>income support</w:t>
      </w:r>
      <w:r w:rsidR="00C01C3D">
        <w:t>.</w:t>
      </w:r>
      <w:r w:rsidR="00681433">
        <w:rPr>
          <w:rStyle w:val="FootnoteReference"/>
        </w:rPr>
        <w:footnoteReference w:id="41"/>
      </w:r>
      <w:r w:rsidR="002B5F94">
        <w:t xml:space="preserve"> Similarly, some participants may not remain eligible for income support</w:t>
      </w:r>
      <w:r w:rsidR="00C01C3D">
        <w:t xml:space="preserve"> –</w:t>
      </w:r>
      <w:r w:rsidR="002B5F94">
        <w:t xml:space="preserve"> for example</w:t>
      </w:r>
      <w:r w:rsidR="00C01C3D">
        <w:t>,</w:t>
      </w:r>
      <w:r w:rsidR="002B5F94">
        <w:t xml:space="preserve"> if they partner with someone who has an income level that makes them ineligible. </w:t>
      </w:r>
      <w:r w:rsidR="00681433">
        <w:t>This analysi</w:t>
      </w:r>
      <w:r w:rsidR="00CA25A9">
        <w:t>s</w:t>
      </w:r>
      <w:r w:rsidR="00681433">
        <w:t xml:space="preserve"> assum</w:t>
      </w:r>
      <w:r w:rsidR="00CA25A9">
        <w:t>e</w:t>
      </w:r>
      <w:r w:rsidR="006D5BBF">
        <w:t>d</w:t>
      </w:r>
      <w:r w:rsidR="00681433">
        <w:t xml:space="preserve"> </w:t>
      </w:r>
      <w:r w:rsidR="00CA25A9">
        <w:t xml:space="preserve">the number of participants </w:t>
      </w:r>
      <w:r w:rsidR="000A1705">
        <w:t xml:space="preserve">who are missed by this indicator </w:t>
      </w:r>
      <w:r w:rsidR="00CA25A9">
        <w:t xml:space="preserve">would be </w:t>
      </w:r>
      <w:r w:rsidR="00681433">
        <w:t>insignificant and similar for both programs.</w:t>
      </w:r>
    </w:p>
    <w:bookmarkEnd w:id="1183"/>
    <w:bookmarkEnd w:id="1186"/>
    <w:p w14:paraId="0AB662B2" w14:textId="59E70C8D" w:rsidR="003E6F84" w:rsidRPr="003E6F84" w:rsidRDefault="006150C6" w:rsidP="00F975E8">
      <w:pPr>
        <w:pStyle w:val="Heading4"/>
        <w:numPr>
          <w:ilvl w:val="0"/>
          <w:numId w:val="0"/>
        </w:numPr>
      </w:pPr>
      <w:r>
        <w:t>Long-term</w:t>
      </w:r>
      <w:r w:rsidR="003E6F84" w:rsidRPr="003E6F84">
        <w:t xml:space="preserve"> impact for different </w:t>
      </w:r>
      <w:r w:rsidR="00A43987">
        <w:t>cohorts</w:t>
      </w:r>
    </w:p>
    <w:p w14:paraId="68684077" w14:textId="7204C6FA" w:rsidR="003E6F84" w:rsidRDefault="003E6F84" w:rsidP="003E6F84">
      <w:r>
        <w:t>The analysis examine</w:t>
      </w:r>
      <w:r w:rsidR="006D5BBF">
        <w:t>d</w:t>
      </w:r>
      <w:r>
        <w:t xml:space="preserve"> if</w:t>
      </w:r>
      <w:r w:rsidR="00C2603C">
        <w:t>,</w:t>
      </w:r>
      <w:r>
        <w:t xml:space="preserve"> and how</w:t>
      </w:r>
      <w:r w:rsidR="00C2603C">
        <w:t>,</w:t>
      </w:r>
      <w:r>
        <w:t xml:space="preserve"> the long</w:t>
      </w:r>
      <w:r w:rsidR="00731831">
        <w:t>-</w:t>
      </w:r>
      <w:r>
        <w:t xml:space="preserve">term impacts of TtW on </w:t>
      </w:r>
      <w:r w:rsidR="004953A0">
        <w:t xml:space="preserve">employment and </w:t>
      </w:r>
      <w:r>
        <w:t>labour market attachment differ</w:t>
      </w:r>
      <w:r w:rsidR="00C2603C">
        <w:t>ed</w:t>
      </w:r>
      <w:r>
        <w:t xml:space="preserve"> based on a young person</w:t>
      </w:r>
      <w:r w:rsidR="00F8391B">
        <w:t>’</w:t>
      </w:r>
      <w:r>
        <w:t xml:space="preserve">s specific characteristics, including gender, Indigenous status, disability, </w:t>
      </w:r>
      <w:r w:rsidR="004953A0">
        <w:t>e</w:t>
      </w:r>
      <w:r>
        <w:t>ducation level and JSCI score (level of disadvantage).</w:t>
      </w:r>
    </w:p>
    <w:p w14:paraId="305180A6" w14:textId="0D40D2BC" w:rsidR="009C7A6C" w:rsidRDefault="009C7A6C" w:rsidP="00F975E8">
      <w:pPr>
        <w:pStyle w:val="Heading4"/>
        <w:numPr>
          <w:ilvl w:val="0"/>
          <w:numId w:val="0"/>
        </w:numPr>
      </w:pPr>
      <w:r>
        <w:t xml:space="preserve">Contact with the criminal justice system </w:t>
      </w:r>
    </w:p>
    <w:p w14:paraId="41C13F2A" w14:textId="31E39582" w:rsidR="009C7A6C" w:rsidRDefault="006A6B4E" w:rsidP="009C7A6C">
      <w:r>
        <w:t xml:space="preserve">Analysis </w:t>
      </w:r>
      <w:r w:rsidR="002C2956">
        <w:t>was</w:t>
      </w:r>
      <w:r>
        <w:t xml:space="preserve"> undertaken with this matched sample of TtW and comparison participants </w:t>
      </w:r>
      <w:r w:rsidR="009C7A6C">
        <w:t xml:space="preserve">to examine the impact of TtW on the likelihood that participants </w:t>
      </w:r>
      <w:r w:rsidR="00CA66E4">
        <w:t xml:space="preserve">would </w:t>
      </w:r>
      <w:r w:rsidR="009C7A6C">
        <w:t>enter or re-enter the criminal justice system.</w:t>
      </w:r>
      <w:r>
        <w:t xml:space="preserve"> Income support data was used to identify participants</w:t>
      </w:r>
      <w:r w:rsidR="00F8391B">
        <w:t>’</w:t>
      </w:r>
      <w:r>
        <w:t xml:space="preserve"> </w:t>
      </w:r>
      <w:r w:rsidRPr="001431BC">
        <w:rPr>
          <w:b/>
          <w:bCs/>
        </w:rPr>
        <w:t>episodes of incarceration</w:t>
      </w:r>
      <w:r w:rsidR="008D0A38">
        <w:t>. I</w:t>
      </w:r>
      <w:r w:rsidR="002C2956">
        <w:t>ndividuals who</w:t>
      </w:r>
      <w:r w:rsidR="00C2603C">
        <w:t xml:space="preserve"> we</w:t>
      </w:r>
      <w:r w:rsidR="002C2956">
        <w:t xml:space="preserve">re incarcerated are exited from income support and their exit reason is recorded as </w:t>
      </w:r>
      <w:r w:rsidR="00F8391B">
        <w:t>‘</w:t>
      </w:r>
      <w:r w:rsidR="002C2956">
        <w:t>exited to prison</w:t>
      </w:r>
      <w:r w:rsidR="00F8391B">
        <w:t>’</w:t>
      </w:r>
      <w:r w:rsidR="00680FAE">
        <w:t xml:space="preserve"> in the department</w:t>
      </w:r>
      <w:r w:rsidR="00F8391B">
        <w:t>’</w:t>
      </w:r>
      <w:r w:rsidR="00680FAE">
        <w:t>s administrative data</w:t>
      </w:r>
      <w:r w:rsidR="002C2956">
        <w:t>.</w:t>
      </w:r>
    </w:p>
    <w:p w14:paraId="160E607C" w14:textId="7B171615" w:rsidR="008A331D" w:rsidRDefault="008A331D" w:rsidP="008A331D">
      <w:pPr>
        <w:rPr>
          <w:b/>
          <w:bCs/>
        </w:rPr>
      </w:pPr>
      <w:r>
        <w:t>Further details about the sampling methodology, analysis methodology and measures and research limitations for the long</w:t>
      </w:r>
      <w:r w:rsidR="004E07B5">
        <w:t>-</w:t>
      </w:r>
      <w:r>
        <w:t xml:space="preserve">term impact analysis can be found in </w:t>
      </w:r>
      <w:r w:rsidRPr="004A440A">
        <w:rPr>
          <w:b/>
          <w:bCs/>
        </w:rPr>
        <w:t xml:space="preserve">Appendix </w:t>
      </w:r>
      <w:r w:rsidR="00E62B01" w:rsidRPr="00E62B01">
        <w:rPr>
          <w:b/>
          <w:bCs/>
        </w:rPr>
        <w:t>4</w:t>
      </w:r>
      <w:r w:rsidRPr="00E62B01">
        <w:rPr>
          <w:b/>
          <w:bCs/>
        </w:rPr>
        <w:t>.</w:t>
      </w:r>
    </w:p>
    <w:p w14:paraId="49918041" w14:textId="150D9DF5" w:rsidR="005B4FD6" w:rsidRPr="003A5018" w:rsidRDefault="005B4FD6" w:rsidP="00295D72">
      <w:pPr>
        <w:pStyle w:val="Heading3"/>
        <w:ind w:left="0"/>
      </w:pPr>
      <w:bookmarkStart w:id="1188" w:name="_Toc132650454"/>
      <w:bookmarkStart w:id="1189" w:name="_Toc146033485"/>
      <w:r w:rsidRPr="008A048F">
        <w:t>Methodo</w:t>
      </w:r>
      <w:r w:rsidRPr="00BC44BA">
        <w:t>logy</w:t>
      </w:r>
      <w:r>
        <w:t xml:space="preserve"> for EQ3: Impact of increasing the maximum duration of service from 12 to 18 months</w:t>
      </w:r>
      <w:bookmarkEnd w:id="1188"/>
      <w:bookmarkEnd w:id="1189"/>
    </w:p>
    <w:p w14:paraId="6DF22B75" w14:textId="3BB8790E" w:rsidR="005B4FD6" w:rsidRDefault="005B4FD6" w:rsidP="00F975E8">
      <w:pPr>
        <w:pStyle w:val="Heading4"/>
        <w:numPr>
          <w:ilvl w:val="0"/>
          <w:numId w:val="0"/>
        </w:numPr>
      </w:pPr>
      <w:r>
        <w:t xml:space="preserve">Study population </w:t>
      </w:r>
    </w:p>
    <w:p w14:paraId="7E7A0C47" w14:textId="2DD09240" w:rsidR="005B4FD6" w:rsidRDefault="005B4FD6" w:rsidP="005B4FD6">
      <w:pPr>
        <w:spacing w:after="120"/>
      </w:pPr>
      <w:r>
        <w:t>Administrative data was used to examine the impact of increasing service duration on participant outcomes.</w:t>
      </w:r>
    </w:p>
    <w:p w14:paraId="2B360BD6" w14:textId="3587741F" w:rsidR="005B4FD6" w:rsidRDefault="005B4FD6" w:rsidP="005B4FD6">
      <w:pPr>
        <w:spacing w:after="120"/>
      </w:pPr>
      <w:bookmarkStart w:id="1190" w:name="_Hlk135924705"/>
      <w:r>
        <w:t xml:space="preserve">Participants potentially affected by increasing the service duration (the </w:t>
      </w:r>
      <w:r w:rsidR="00F8391B">
        <w:t>‘</w:t>
      </w:r>
      <w:r>
        <w:t>maximum 18 months</w:t>
      </w:r>
      <w:r w:rsidR="00F8391B">
        <w:t>’</w:t>
      </w:r>
      <w:r>
        <w:t xml:space="preserve"> population) </w:t>
      </w:r>
      <w:r w:rsidRPr="007F6263">
        <w:t xml:space="preserve">included participants </w:t>
      </w:r>
      <w:r>
        <w:t>who commenced</w:t>
      </w:r>
      <w:r w:rsidRPr="007F6263">
        <w:t xml:space="preserve"> </w:t>
      </w:r>
      <w:r>
        <w:t xml:space="preserve">in </w:t>
      </w:r>
      <w:r w:rsidRPr="007F6263">
        <w:t xml:space="preserve">the TtW service between </w:t>
      </w:r>
      <w:bookmarkStart w:id="1191" w:name="_Hlk135924781"/>
      <w:r w:rsidRPr="007F6263">
        <w:t>1 </w:t>
      </w:r>
      <w:r>
        <w:t>July</w:t>
      </w:r>
      <w:r w:rsidRPr="007F6263">
        <w:t xml:space="preserve"> 20</w:t>
      </w:r>
      <w:r>
        <w:t>19</w:t>
      </w:r>
      <w:r>
        <w:rPr>
          <w:rStyle w:val="FootnoteReference"/>
        </w:rPr>
        <w:footnoteReference w:id="42"/>
      </w:r>
      <w:r w:rsidRPr="007F6263">
        <w:t xml:space="preserve"> and </w:t>
      </w:r>
      <w:r>
        <w:t>30</w:t>
      </w:r>
      <w:r w:rsidRPr="007F6263">
        <w:t> </w:t>
      </w:r>
      <w:r>
        <w:t>June</w:t>
      </w:r>
      <w:r w:rsidRPr="007F6263">
        <w:t xml:space="preserve"> 20</w:t>
      </w:r>
      <w:r>
        <w:t>20</w:t>
      </w:r>
      <w:bookmarkEnd w:id="1191"/>
      <w:r w:rsidR="00C01C3D">
        <w:t>.</w:t>
      </w:r>
      <w:r>
        <w:rPr>
          <w:rStyle w:val="FootnoteReference"/>
        </w:rPr>
        <w:footnoteReference w:id="43"/>
      </w:r>
      <w:r w:rsidRPr="007F6263">
        <w:t xml:space="preserve"> </w:t>
      </w:r>
      <w:r>
        <w:t>The</w:t>
      </w:r>
      <w:r w:rsidRPr="007F6263">
        <w:t xml:space="preserve"> </w:t>
      </w:r>
      <w:r>
        <w:t xml:space="preserve">comparison population comprised TtW participants who were ineligible for the extension in program duration (the </w:t>
      </w:r>
      <w:r w:rsidR="00F8391B">
        <w:t>‘</w:t>
      </w:r>
      <w:r>
        <w:t>maximum 12 months</w:t>
      </w:r>
      <w:r w:rsidR="00F8391B">
        <w:t>’</w:t>
      </w:r>
      <w:r>
        <w:t xml:space="preserve"> population) and includes all participants who commenced in TtW between </w:t>
      </w:r>
      <w:bookmarkStart w:id="1192" w:name="_Hlk135924805"/>
      <w:r>
        <w:t>20 Jan</w:t>
      </w:r>
      <w:r w:rsidR="00C01C3D">
        <w:t>uary</w:t>
      </w:r>
      <w:r>
        <w:t xml:space="preserve"> 2018</w:t>
      </w:r>
      <w:r>
        <w:rPr>
          <w:rStyle w:val="FootnoteReference"/>
        </w:rPr>
        <w:footnoteReference w:id="44"/>
      </w:r>
      <w:r>
        <w:t xml:space="preserve"> and 30 June</w:t>
      </w:r>
      <w:r w:rsidRPr="007F6263">
        <w:t xml:space="preserve"> 20</w:t>
      </w:r>
      <w:r>
        <w:t>19</w:t>
      </w:r>
      <w:bookmarkEnd w:id="1192"/>
      <w:r>
        <w:t xml:space="preserve">. </w:t>
      </w:r>
      <w:bookmarkEnd w:id="1190"/>
      <w:r>
        <w:t xml:space="preserve">The total </w:t>
      </w:r>
      <w:r w:rsidR="00F8391B">
        <w:t>‘</w:t>
      </w:r>
      <w:r>
        <w:t xml:space="preserve">maximum 12 </w:t>
      </w:r>
      <w:r>
        <w:lastRenderedPageBreak/>
        <w:t>month</w:t>
      </w:r>
      <w:r w:rsidR="00F8391B">
        <w:t>’</w:t>
      </w:r>
      <w:r>
        <w:t xml:space="preserve"> and </w:t>
      </w:r>
      <w:r w:rsidR="00F8391B">
        <w:t>‘</w:t>
      </w:r>
      <w:r>
        <w:t>maximum 18 month</w:t>
      </w:r>
      <w:r w:rsidR="00F8391B">
        <w:t>’</w:t>
      </w:r>
      <w:r>
        <w:t xml:space="preserve"> inflow populations </w:t>
      </w:r>
      <w:r w:rsidR="00C01C3D">
        <w:t>numbered</w:t>
      </w:r>
      <w:r>
        <w:t>, respectively, 34,749 and 34,679 participants.</w:t>
      </w:r>
    </w:p>
    <w:p w14:paraId="5370D6F3" w14:textId="5F01346A" w:rsidR="005B4FD6" w:rsidRDefault="005B4FD6" w:rsidP="005B4FD6">
      <w:pPr>
        <w:spacing w:after="120"/>
      </w:pPr>
      <w:r w:rsidRPr="004B5487">
        <w:t xml:space="preserve">To compare the effectiveness of </w:t>
      </w:r>
      <w:r>
        <w:t>extending the maximum duration of service</w:t>
      </w:r>
      <w:r w:rsidRPr="004B5487">
        <w:t xml:space="preserve">, the evaluation isolated the impact of </w:t>
      </w:r>
      <w:r>
        <w:t>this change</w:t>
      </w:r>
      <w:r w:rsidRPr="004B5487">
        <w:t xml:space="preserve"> from the impact of participants</w:t>
      </w:r>
      <w:r w:rsidR="00F8391B">
        <w:t>’</w:t>
      </w:r>
      <w:r w:rsidRPr="004B5487">
        <w:t xml:space="preserve"> personal characteristics</w:t>
      </w:r>
      <w:r>
        <w:t xml:space="preserve"> by identifying </w:t>
      </w:r>
      <w:r w:rsidR="00F8391B">
        <w:t>2</w:t>
      </w:r>
      <w:r>
        <w:t xml:space="preserve"> matched samples from </w:t>
      </w:r>
      <w:r w:rsidRPr="00297B43">
        <w:t xml:space="preserve">the </w:t>
      </w:r>
      <w:r w:rsidR="00F8391B">
        <w:t>‘</w:t>
      </w:r>
      <w:r>
        <w:t>maximum 12 months</w:t>
      </w:r>
      <w:r w:rsidR="00F8391B">
        <w:t>’</w:t>
      </w:r>
      <w:r>
        <w:t xml:space="preserve"> and </w:t>
      </w:r>
      <w:r w:rsidR="00F8391B">
        <w:t>‘</w:t>
      </w:r>
      <w:r>
        <w:t>maximum 18 months</w:t>
      </w:r>
      <w:r w:rsidR="00F8391B">
        <w:t>’</w:t>
      </w:r>
      <w:r>
        <w:t xml:space="preserve"> </w:t>
      </w:r>
      <w:r w:rsidRPr="00297B43">
        <w:t>populations</w:t>
      </w:r>
      <w:r>
        <w:t xml:space="preserve">. </w:t>
      </w:r>
      <w:r w:rsidRPr="007F6263">
        <w:t xml:space="preserve">The </w:t>
      </w:r>
      <w:r>
        <w:t>analysis</w:t>
      </w:r>
      <w:r w:rsidRPr="007F6263">
        <w:t xml:space="preserve"> followed participants </w:t>
      </w:r>
      <w:r>
        <w:t>until they exited the program</w:t>
      </w:r>
      <w:r w:rsidR="00C01C3D">
        <w:t>.</w:t>
      </w:r>
      <w:r>
        <w:rPr>
          <w:rStyle w:val="FootnoteReference"/>
        </w:rPr>
        <w:footnoteReference w:id="45"/>
      </w:r>
    </w:p>
    <w:p w14:paraId="2AF309B0" w14:textId="287E9F0E" w:rsidR="005B4FD6" w:rsidRDefault="005B4FD6" w:rsidP="005B4FD6">
      <w:r>
        <w:t>M</w:t>
      </w:r>
      <w:r w:rsidRPr="00AE56DE">
        <w:t>atch</w:t>
      </w:r>
      <w:r>
        <w:t>ing was based</w:t>
      </w:r>
      <w:r w:rsidRPr="00AE56DE">
        <w:t xml:space="preserve"> on </w:t>
      </w:r>
      <w:r w:rsidR="00F8391B">
        <w:t>4</w:t>
      </w:r>
      <w:r>
        <w:t xml:space="preserve"> participant characteristics: </w:t>
      </w:r>
      <w:r w:rsidRPr="00AE56DE">
        <w:t>education attainment (under Year</w:t>
      </w:r>
      <w:r w:rsidR="00C01C3D">
        <w:t> </w:t>
      </w:r>
      <w:r w:rsidRPr="00AE56DE">
        <w:t>12 or Year 12 and above</w:t>
      </w:r>
      <w:r w:rsidRPr="005013EF">
        <w:t>)</w:t>
      </w:r>
      <w:r w:rsidRPr="00E3620C">
        <w:t>,</w:t>
      </w:r>
      <w:r w:rsidRPr="00532776">
        <w:t xml:space="preserve"> </w:t>
      </w:r>
      <w:r w:rsidRPr="001431BC">
        <w:t>level of employment disadvantage</w:t>
      </w:r>
      <w:r w:rsidR="00C01C3D">
        <w:t xml:space="preserve"> (</w:t>
      </w:r>
      <w:r w:rsidRPr="001431BC">
        <w:t>identified through</w:t>
      </w:r>
      <w:r w:rsidR="00C01C3D">
        <w:t xml:space="preserve"> the</w:t>
      </w:r>
      <w:r w:rsidRPr="001431BC">
        <w:t xml:space="preserve"> participant</w:t>
      </w:r>
      <w:r w:rsidR="00F8391B">
        <w:t>’</w:t>
      </w:r>
      <w:r w:rsidRPr="001431BC">
        <w:t>s JSCI score</w:t>
      </w:r>
      <w:r w:rsidR="00C01C3D">
        <w:t>,</w:t>
      </w:r>
      <w:r w:rsidRPr="001431BC">
        <w:rPr>
          <w:rStyle w:val="FootnoteReference"/>
        </w:rPr>
        <w:footnoteReference w:id="46"/>
      </w:r>
      <w:r>
        <w:t xml:space="preserve"> work experience (paid work, unpaid work or none) and available form of transport (private, public or no transport).</w:t>
      </w:r>
    </w:p>
    <w:p w14:paraId="48C75D82" w14:textId="1767F84E" w:rsidR="005B4FD6" w:rsidRDefault="005B4FD6" w:rsidP="005B4FD6">
      <w:r>
        <w:t xml:space="preserve">After matching, both the </w:t>
      </w:r>
      <w:r w:rsidR="00F8391B">
        <w:t>‘</w:t>
      </w:r>
      <w:r>
        <w:t>maximum 12 month</w:t>
      </w:r>
      <w:r w:rsidR="00F8391B">
        <w:t>’</w:t>
      </w:r>
      <w:r>
        <w:t xml:space="preserve"> and </w:t>
      </w:r>
      <w:r w:rsidR="00F8391B">
        <w:t>‘</w:t>
      </w:r>
      <w:r>
        <w:t>maximum 18 month</w:t>
      </w:r>
      <w:r w:rsidR="00F8391B">
        <w:t>’</w:t>
      </w:r>
      <w:r>
        <w:t xml:space="preserve"> samples contained 30,345 participants each. The matching process did not change the overall participant characteristics from the original inflow populations. Most of the characteristics (12 of 14) had less than 1 percentage point change after the matching process. The study participants represented more than 87% of the original inflow population, providing confidence that analyses based on these matched participants could represent characteristics of the original inflow populations.</w:t>
      </w:r>
    </w:p>
    <w:p w14:paraId="235B2363" w14:textId="77777777" w:rsidR="005B4FD6" w:rsidRDefault="005B4FD6" w:rsidP="00F975E8">
      <w:pPr>
        <w:pStyle w:val="Heading4"/>
        <w:numPr>
          <w:ilvl w:val="0"/>
          <w:numId w:val="0"/>
        </w:numPr>
      </w:pPr>
      <w:r>
        <w:t>Constructing the outcome m</w:t>
      </w:r>
      <w:r w:rsidRPr="00382551">
        <w:t>easure</w:t>
      </w:r>
    </w:p>
    <w:p w14:paraId="7A695AAA" w14:textId="38558AB2" w:rsidR="005B4FD6" w:rsidRDefault="005B4FD6" w:rsidP="005B4FD6">
      <w:r>
        <w:t xml:space="preserve">The analysis assessed the impact of extending the maximum time participants can spend in the service by examining the number of outcomes achieved by participants from the </w:t>
      </w:r>
      <w:r w:rsidR="00F8391B">
        <w:t>2</w:t>
      </w:r>
      <w:r>
        <w:t xml:space="preserve"> comparison groups</w:t>
      </w:r>
      <w:r w:rsidR="00C01C3D">
        <w:t>.</w:t>
      </w:r>
      <w:r>
        <w:rPr>
          <w:rStyle w:val="FootnoteReference"/>
        </w:rPr>
        <w:footnoteReference w:id="47"/>
      </w:r>
    </w:p>
    <w:p w14:paraId="36C81376" w14:textId="44B68FA0" w:rsidR="005B4FD6" w:rsidRDefault="005B4FD6" w:rsidP="009251AF">
      <w:pPr>
        <w:spacing w:after="0"/>
      </w:pPr>
      <w:r>
        <w:t xml:space="preserve">Outcomes that could be achieved through TtW, and were used in this analysis, </w:t>
      </w:r>
      <w:r w:rsidR="00C01C3D">
        <w:t xml:space="preserve">were </w:t>
      </w:r>
      <w:r>
        <w:t>a:</w:t>
      </w:r>
    </w:p>
    <w:p w14:paraId="349F5854" w14:textId="1CA8B51A" w:rsidR="005B4FD6" w:rsidRDefault="005B4FD6" w:rsidP="00456C86">
      <w:pPr>
        <w:pStyle w:val="ListBullet"/>
      </w:pPr>
      <w:r>
        <w:t>12</w:t>
      </w:r>
      <w:r w:rsidR="00C01C3D">
        <w:t>-</w:t>
      </w:r>
      <w:r>
        <w:t xml:space="preserve">week </w:t>
      </w:r>
      <w:r w:rsidRPr="007E4330">
        <w:rPr>
          <w:b/>
          <w:bCs/>
        </w:rPr>
        <w:t>employment</w:t>
      </w:r>
      <w:r>
        <w:t xml:space="preserve"> outcome</w:t>
      </w:r>
    </w:p>
    <w:p w14:paraId="600C6CC6" w14:textId="08BE4ACE" w:rsidR="005B4FD6" w:rsidRPr="001667C5" w:rsidRDefault="005B4FD6" w:rsidP="00456C86">
      <w:pPr>
        <w:pStyle w:val="ListBullet"/>
      </w:pPr>
      <w:r>
        <w:t>12</w:t>
      </w:r>
      <w:r w:rsidR="00C01C3D">
        <w:t>-</w:t>
      </w:r>
      <w:r>
        <w:t xml:space="preserve">week </w:t>
      </w:r>
      <w:r w:rsidRPr="007E4330">
        <w:rPr>
          <w:b/>
          <w:bCs/>
        </w:rPr>
        <w:t>hybrid</w:t>
      </w:r>
      <w:r w:rsidRPr="001667C5">
        <w:t xml:space="preserve"> outcome </w:t>
      </w:r>
      <w:r>
        <w:t>(</w:t>
      </w:r>
      <w:r w:rsidRPr="001667C5">
        <w:t>combining education and employment</w:t>
      </w:r>
      <w:r>
        <w:t>)</w:t>
      </w:r>
    </w:p>
    <w:p w14:paraId="57B5D519" w14:textId="07487883" w:rsidR="005B4FD6" w:rsidRDefault="005B4FD6" w:rsidP="00456C86">
      <w:pPr>
        <w:pStyle w:val="ListBullet"/>
      </w:pPr>
      <w:r>
        <w:t>26</w:t>
      </w:r>
      <w:r w:rsidR="00C01C3D">
        <w:t>-w</w:t>
      </w:r>
      <w:r>
        <w:t xml:space="preserve">eek </w:t>
      </w:r>
      <w:r w:rsidRPr="007E4330">
        <w:rPr>
          <w:b/>
          <w:bCs/>
        </w:rPr>
        <w:t>education</w:t>
      </w:r>
      <w:r>
        <w:t xml:space="preserve"> outcome</w:t>
      </w:r>
    </w:p>
    <w:p w14:paraId="75BD12DF" w14:textId="0243EB7F" w:rsidR="005B4FD6" w:rsidRDefault="005B4FD6" w:rsidP="00456C86">
      <w:pPr>
        <w:pStyle w:val="ListBullet"/>
      </w:pPr>
      <w:r>
        <w:t>26</w:t>
      </w:r>
      <w:r w:rsidR="00C01C3D">
        <w:t>-</w:t>
      </w:r>
      <w:r>
        <w:t xml:space="preserve">week </w:t>
      </w:r>
      <w:r w:rsidRPr="007E4330">
        <w:rPr>
          <w:b/>
          <w:bCs/>
        </w:rPr>
        <w:t>sustainability</w:t>
      </w:r>
      <w:r>
        <w:t xml:space="preserve"> outcome (</w:t>
      </w:r>
      <w:r w:rsidRPr="001667C5">
        <w:t>where a 12-week outcome (employment or hybri</w:t>
      </w:r>
      <w:r>
        <w:t>d) is followed by an additional consecutive 14 weeks of employment or</w:t>
      </w:r>
      <w:r w:rsidRPr="001667C5">
        <w:t xml:space="preserve"> combined employment and education</w:t>
      </w:r>
      <w:r>
        <w:t>)</w:t>
      </w:r>
      <w:r w:rsidR="00C01C3D">
        <w:t>.</w:t>
      </w:r>
    </w:p>
    <w:p w14:paraId="7189D957" w14:textId="77777777" w:rsidR="005B4FD6" w:rsidRDefault="005B4FD6" w:rsidP="009251AF">
      <w:pPr>
        <w:spacing w:after="0"/>
      </w:pPr>
      <w:r>
        <w:t>The analysis examined both:</w:t>
      </w:r>
    </w:p>
    <w:p w14:paraId="5063C0D6" w14:textId="77777777" w:rsidR="005B4FD6" w:rsidRDefault="005B4FD6" w:rsidP="00456C86">
      <w:pPr>
        <w:pStyle w:val="ListBullet"/>
      </w:pPr>
      <w:r>
        <w:t>the total number of outcomes achieved by participants in the study sample</w:t>
      </w:r>
    </w:p>
    <w:p w14:paraId="1DE9B0AE" w14:textId="32C7DD53" w:rsidR="005B4FD6" w:rsidRDefault="005B4FD6" w:rsidP="00456C86">
      <w:pPr>
        <w:pStyle w:val="ListBullet"/>
      </w:pPr>
      <w:r>
        <w:t xml:space="preserve">the number of participants from each study sample </w:t>
      </w:r>
      <w:r w:rsidR="00C01C3D">
        <w:t>who</w:t>
      </w:r>
      <w:r>
        <w:t xml:space="preserve"> achieved at least one outcome</w:t>
      </w:r>
      <w:r w:rsidR="00402040">
        <w:t>.</w:t>
      </w:r>
      <w:r>
        <w:rPr>
          <w:rStyle w:val="FootnoteReference"/>
        </w:rPr>
        <w:footnoteReference w:id="48"/>
      </w:r>
    </w:p>
    <w:p w14:paraId="292BBC02" w14:textId="77777777" w:rsidR="005B4FD6" w:rsidRDefault="005B4FD6" w:rsidP="005B4FD6">
      <w:pPr>
        <w:rPr>
          <w:b/>
          <w:bCs/>
        </w:rPr>
      </w:pPr>
      <w:r>
        <w:lastRenderedPageBreak/>
        <w:t xml:space="preserve">Further details about the sampling methodology, sample demographics and research limitations for the analysis of the impact of the change in service duration on participant outcomes can be found in </w:t>
      </w:r>
      <w:r w:rsidRPr="004A440A">
        <w:rPr>
          <w:b/>
          <w:bCs/>
        </w:rPr>
        <w:t xml:space="preserve">Appendix </w:t>
      </w:r>
      <w:r w:rsidRPr="00CF455B">
        <w:rPr>
          <w:b/>
          <w:bCs/>
        </w:rPr>
        <w:t>3</w:t>
      </w:r>
      <w:r w:rsidRPr="00C239FD">
        <w:t>.</w:t>
      </w:r>
    </w:p>
    <w:p w14:paraId="0DD8666E" w14:textId="6C178C84" w:rsidR="005B4FD6" w:rsidRPr="00CD7319" w:rsidRDefault="005B4FD6" w:rsidP="00F975E8">
      <w:pPr>
        <w:pStyle w:val="Heading4"/>
        <w:numPr>
          <w:ilvl w:val="0"/>
          <w:numId w:val="0"/>
        </w:numPr>
      </w:pPr>
      <w:r w:rsidRPr="00CD7319">
        <w:t xml:space="preserve">Other </w:t>
      </w:r>
      <w:r w:rsidR="00F27E77">
        <w:t>r</w:t>
      </w:r>
      <w:r w:rsidRPr="00CD7319">
        <w:t>esearch</w:t>
      </w:r>
    </w:p>
    <w:p w14:paraId="41DE4B4C" w14:textId="31CF3F82" w:rsidR="005B4FD6" w:rsidRDefault="005B4FD6" w:rsidP="005B4FD6">
      <w:r>
        <w:t xml:space="preserve">Additional data was collected through interviews with TtW participants and providers to understand and explore further </w:t>
      </w:r>
      <w:r w:rsidR="00402040">
        <w:t xml:space="preserve">the </w:t>
      </w:r>
      <w:r>
        <w:t xml:space="preserve">impact of the increase in duration on participant outcomes and provider behaviours. This fieldwork was carried out about 18 months after the change in maximum duration came into effect as part of the qualitative research undertaken by the SRC. Further data was collected from </w:t>
      </w:r>
      <w:r w:rsidR="00B34B4B">
        <w:t>p</w:t>
      </w:r>
      <w:r>
        <w:t>roviders through the 2021 provider survey.</w:t>
      </w:r>
    </w:p>
    <w:p w14:paraId="69B7673B" w14:textId="23745292" w:rsidR="007D2FBE" w:rsidRDefault="004A04DC" w:rsidP="00FA088D">
      <w:pPr>
        <w:pStyle w:val="Heading3"/>
        <w:ind w:left="0"/>
      </w:pPr>
      <w:bookmarkStart w:id="1193" w:name="_Toc109822184"/>
      <w:bookmarkStart w:id="1194" w:name="_Toc109918666"/>
      <w:bookmarkStart w:id="1195" w:name="_Toc110249477"/>
      <w:bookmarkStart w:id="1196" w:name="_Toc110251518"/>
      <w:bookmarkStart w:id="1197" w:name="_Toc110264915"/>
      <w:bookmarkStart w:id="1198" w:name="_Toc110411093"/>
      <w:bookmarkStart w:id="1199" w:name="_Toc109822191"/>
      <w:bookmarkStart w:id="1200" w:name="_Toc109918673"/>
      <w:bookmarkStart w:id="1201" w:name="_Toc110249484"/>
      <w:bookmarkStart w:id="1202" w:name="_Toc110251525"/>
      <w:bookmarkStart w:id="1203" w:name="_Toc110264922"/>
      <w:bookmarkStart w:id="1204" w:name="_Toc110411100"/>
      <w:bookmarkStart w:id="1205" w:name="_Toc109822192"/>
      <w:bookmarkStart w:id="1206" w:name="_Toc109918674"/>
      <w:bookmarkStart w:id="1207" w:name="_Toc110249485"/>
      <w:bookmarkStart w:id="1208" w:name="_Toc110251526"/>
      <w:bookmarkStart w:id="1209" w:name="_Toc110264923"/>
      <w:bookmarkStart w:id="1210" w:name="_Toc110411101"/>
      <w:bookmarkStart w:id="1211" w:name="_Toc109822193"/>
      <w:bookmarkStart w:id="1212" w:name="_Toc109918675"/>
      <w:bookmarkStart w:id="1213" w:name="_Toc110249486"/>
      <w:bookmarkStart w:id="1214" w:name="_Toc110251527"/>
      <w:bookmarkStart w:id="1215" w:name="_Toc110264924"/>
      <w:bookmarkStart w:id="1216" w:name="_Toc110411102"/>
      <w:bookmarkStart w:id="1217" w:name="_Toc109822194"/>
      <w:bookmarkStart w:id="1218" w:name="_Toc109918676"/>
      <w:bookmarkStart w:id="1219" w:name="_Toc110249487"/>
      <w:bookmarkStart w:id="1220" w:name="_Toc110251528"/>
      <w:bookmarkStart w:id="1221" w:name="_Toc110264925"/>
      <w:bookmarkStart w:id="1222" w:name="_Toc110411103"/>
      <w:bookmarkStart w:id="1223" w:name="_Toc109822195"/>
      <w:bookmarkStart w:id="1224" w:name="_Toc109918677"/>
      <w:bookmarkStart w:id="1225" w:name="_Toc110249488"/>
      <w:bookmarkStart w:id="1226" w:name="_Toc110251529"/>
      <w:bookmarkStart w:id="1227" w:name="_Toc110264926"/>
      <w:bookmarkStart w:id="1228" w:name="_Toc110411104"/>
      <w:bookmarkStart w:id="1229" w:name="_Toc109822196"/>
      <w:bookmarkStart w:id="1230" w:name="_Toc109918678"/>
      <w:bookmarkStart w:id="1231" w:name="_Toc110249489"/>
      <w:bookmarkStart w:id="1232" w:name="_Toc110251530"/>
      <w:bookmarkStart w:id="1233" w:name="_Toc110264927"/>
      <w:bookmarkStart w:id="1234" w:name="_Toc110411105"/>
      <w:bookmarkStart w:id="1235" w:name="_Toc109822197"/>
      <w:bookmarkStart w:id="1236" w:name="_Toc109918679"/>
      <w:bookmarkStart w:id="1237" w:name="_Toc110249490"/>
      <w:bookmarkStart w:id="1238" w:name="_Toc110251531"/>
      <w:bookmarkStart w:id="1239" w:name="_Toc110264928"/>
      <w:bookmarkStart w:id="1240" w:name="_Toc110411106"/>
      <w:bookmarkStart w:id="1241" w:name="_Toc109822198"/>
      <w:bookmarkStart w:id="1242" w:name="_Toc109918680"/>
      <w:bookmarkStart w:id="1243" w:name="_Toc110249491"/>
      <w:bookmarkStart w:id="1244" w:name="_Toc110251532"/>
      <w:bookmarkStart w:id="1245" w:name="_Toc110264929"/>
      <w:bookmarkStart w:id="1246" w:name="_Toc110411107"/>
      <w:bookmarkStart w:id="1247" w:name="_Toc109822199"/>
      <w:bookmarkStart w:id="1248" w:name="_Toc109918681"/>
      <w:bookmarkStart w:id="1249" w:name="_Toc110249492"/>
      <w:bookmarkStart w:id="1250" w:name="_Toc110251533"/>
      <w:bookmarkStart w:id="1251" w:name="_Toc110264930"/>
      <w:bookmarkStart w:id="1252" w:name="_Toc110411108"/>
      <w:bookmarkStart w:id="1253" w:name="_Toc132650455"/>
      <w:bookmarkStart w:id="1254" w:name="_Toc146033486"/>
      <w:bookmarkStart w:id="1255" w:name="_Toc106711826"/>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r>
        <w:t>Methodology for examining the value for money of TtW</w:t>
      </w:r>
      <w:bookmarkEnd w:id="1253"/>
      <w:bookmarkEnd w:id="1254"/>
    </w:p>
    <w:p w14:paraId="5A2A1741" w14:textId="0F387832" w:rsidR="007D2FBE" w:rsidRPr="00322A2E" w:rsidRDefault="003079F0" w:rsidP="007D2FBE">
      <w:r w:rsidRPr="00322A2E">
        <w:t>Assessment of the v</w:t>
      </w:r>
      <w:r w:rsidR="006E5A24" w:rsidRPr="00322A2E">
        <w:t xml:space="preserve">alue for money of TtW </w:t>
      </w:r>
      <w:r w:rsidRPr="00322A2E">
        <w:t xml:space="preserve">used </w:t>
      </w:r>
      <w:r w:rsidR="006E5A24" w:rsidRPr="00322A2E">
        <w:t xml:space="preserve">a </w:t>
      </w:r>
      <w:r w:rsidRPr="00322A2E">
        <w:t xml:space="preserve">social </w:t>
      </w:r>
      <w:r w:rsidR="006E5A24" w:rsidRPr="00322A2E">
        <w:t>cost</w:t>
      </w:r>
      <w:r w:rsidR="00164133">
        <w:t>-</w:t>
      </w:r>
      <w:r w:rsidR="006E5A24" w:rsidRPr="00322A2E">
        <w:t xml:space="preserve">benefit analysis </w:t>
      </w:r>
      <w:r w:rsidRPr="00322A2E">
        <w:t xml:space="preserve">(SCBA) </w:t>
      </w:r>
      <w:r w:rsidR="006E5A24" w:rsidRPr="00322A2E">
        <w:t>framework</w:t>
      </w:r>
      <w:r w:rsidRPr="00322A2E">
        <w:t xml:space="preserve"> to estimate the economic value and social benefit of the TtW service. The research was exploratory in nature, identifying methods to monetise the additional costs and benefits associated with the TtW program</w:t>
      </w:r>
      <w:r w:rsidR="00564B17" w:rsidRPr="00322A2E">
        <w:t>,</w:t>
      </w:r>
      <w:r w:rsidRPr="00322A2E">
        <w:t xml:space="preserve"> compared to jobactive</w:t>
      </w:r>
      <w:r w:rsidR="00D57474" w:rsidRPr="00322A2E">
        <w:t>, over 12 months</w:t>
      </w:r>
      <w:r w:rsidRPr="00322A2E">
        <w:t>.</w:t>
      </w:r>
    </w:p>
    <w:p w14:paraId="7D691580" w14:textId="090B5046" w:rsidR="00497443" w:rsidRPr="00322A2E" w:rsidRDefault="00497443" w:rsidP="003079F0">
      <w:bookmarkStart w:id="1256" w:name="_Hlk100674933"/>
      <w:r w:rsidRPr="00322A2E">
        <w:t>Previous evaluation research, and analysis undertaken to answer evaluation questions EQ2 and EQ3</w:t>
      </w:r>
      <w:r w:rsidR="00F27E77">
        <w:t>,</w:t>
      </w:r>
      <w:r w:rsidRPr="00322A2E">
        <w:t xml:space="preserve"> was used to provide data for this </w:t>
      </w:r>
      <w:r w:rsidRPr="009F1529">
        <w:t>value</w:t>
      </w:r>
      <w:r w:rsidR="009F1529">
        <w:t>-</w:t>
      </w:r>
      <w:r w:rsidRPr="009F1529">
        <w:t>for</w:t>
      </w:r>
      <w:r w:rsidR="009F1529">
        <w:t>-</w:t>
      </w:r>
      <w:r w:rsidRPr="009F1529">
        <w:t>money</w:t>
      </w:r>
      <w:r w:rsidRPr="00322A2E">
        <w:t xml:space="preserve"> assessment.</w:t>
      </w:r>
    </w:p>
    <w:p w14:paraId="216FD572" w14:textId="38828BCD" w:rsidR="003079F0" w:rsidRPr="00322A2E" w:rsidRDefault="00497443" w:rsidP="003079F0">
      <w:r w:rsidRPr="00322A2E">
        <w:t>The following steps, which guide a</w:t>
      </w:r>
      <w:r w:rsidR="009F1529">
        <w:t>n</w:t>
      </w:r>
      <w:r w:rsidRPr="00322A2E">
        <w:t xml:space="preserve"> </w:t>
      </w:r>
      <w:r w:rsidRPr="009F1529">
        <w:t>SCBA</w:t>
      </w:r>
      <w:r w:rsidRPr="00322A2E">
        <w:t>, were followed in this analysis</w:t>
      </w:r>
      <w:r w:rsidR="003079F0" w:rsidRPr="00322A2E">
        <w:t>:</w:t>
      </w:r>
    </w:p>
    <w:p w14:paraId="5A5C2E16" w14:textId="0467D02A" w:rsidR="003079F0" w:rsidRPr="007F37E0" w:rsidRDefault="003079F0" w:rsidP="007F37E0">
      <w:pPr>
        <w:pStyle w:val="ListNumber3"/>
      </w:pPr>
      <w:r w:rsidRPr="007F37E0">
        <w:t xml:space="preserve">Define the </w:t>
      </w:r>
      <w:r w:rsidR="00F8391B" w:rsidRPr="007F37E0">
        <w:t>‘</w:t>
      </w:r>
      <w:r w:rsidR="00497443" w:rsidRPr="007F37E0">
        <w:t>no-program</w:t>
      </w:r>
      <w:r w:rsidR="00F8391B" w:rsidRPr="007F37E0">
        <w:t>’</w:t>
      </w:r>
      <w:r w:rsidR="00497443" w:rsidRPr="007F37E0">
        <w:t xml:space="preserve"> comparison.</w:t>
      </w:r>
    </w:p>
    <w:p w14:paraId="1D60DA43" w14:textId="264E987B" w:rsidR="003079F0" w:rsidRPr="007F37E0" w:rsidRDefault="003079F0" w:rsidP="007F37E0">
      <w:pPr>
        <w:pStyle w:val="ListNumber3"/>
      </w:pPr>
      <w:r w:rsidRPr="007F37E0">
        <w:t>Identify benefits and costs:</w:t>
      </w:r>
    </w:p>
    <w:p w14:paraId="27A1EEC5" w14:textId="50111CF4" w:rsidR="003079F0" w:rsidRPr="007F37E0" w:rsidRDefault="003079F0" w:rsidP="007F37E0">
      <w:pPr>
        <w:pStyle w:val="ListNumber3"/>
      </w:pPr>
      <w:r w:rsidRPr="007F37E0">
        <w:t xml:space="preserve">identify and define </w:t>
      </w:r>
      <w:r w:rsidR="00497443" w:rsidRPr="007F37E0">
        <w:t xml:space="preserve">relative </w:t>
      </w:r>
      <w:r w:rsidRPr="007F37E0">
        <w:t xml:space="preserve">outcomes </w:t>
      </w:r>
      <w:r w:rsidR="00497443" w:rsidRPr="007F37E0">
        <w:t xml:space="preserve">that can be attributed to </w:t>
      </w:r>
      <w:r w:rsidR="00564B17" w:rsidRPr="007F37E0">
        <w:t>the intervention</w:t>
      </w:r>
      <w:r w:rsidR="00497443" w:rsidRPr="007F37E0">
        <w:t xml:space="preserve">, </w:t>
      </w:r>
      <w:r w:rsidRPr="007F37E0">
        <w:t xml:space="preserve">and how they will be measured </w:t>
      </w:r>
    </w:p>
    <w:p w14:paraId="0A51B869" w14:textId="63A7E6EC" w:rsidR="003079F0" w:rsidRPr="007F37E0" w:rsidRDefault="003079F0" w:rsidP="007F37E0">
      <w:pPr>
        <w:pStyle w:val="ListNumber3"/>
      </w:pPr>
      <w:r w:rsidRPr="007F37E0">
        <w:t xml:space="preserve">identify </w:t>
      </w:r>
      <w:r w:rsidR="00497443" w:rsidRPr="007F37E0">
        <w:t xml:space="preserve">additional costs </w:t>
      </w:r>
      <w:r w:rsidRPr="007F37E0">
        <w:t xml:space="preserve">associated with the </w:t>
      </w:r>
      <w:r w:rsidR="00564B17" w:rsidRPr="007F37E0">
        <w:t>intervention</w:t>
      </w:r>
      <w:r w:rsidR="00AD7011" w:rsidRPr="007F37E0">
        <w:t>.</w:t>
      </w:r>
    </w:p>
    <w:p w14:paraId="7C1C5A80" w14:textId="0421034F" w:rsidR="003079F0" w:rsidRPr="007F37E0" w:rsidRDefault="003079F0" w:rsidP="007F37E0">
      <w:pPr>
        <w:pStyle w:val="ListNumber3"/>
      </w:pPr>
      <w:r w:rsidRPr="007F37E0">
        <w:t>Quantify and value costs and benefits</w:t>
      </w:r>
      <w:r w:rsidR="00AD7011" w:rsidRPr="007F37E0">
        <w:t>.</w:t>
      </w:r>
      <w:r w:rsidRPr="007F37E0">
        <w:t xml:space="preserve"> </w:t>
      </w:r>
    </w:p>
    <w:p w14:paraId="66C8CFD7" w14:textId="1F32B8D1" w:rsidR="003079F0" w:rsidRPr="007F37E0" w:rsidRDefault="003079F0" w:rsidP="007F37E0">
      <w:pPr>
        <w:pStyle w:val="ListNumber3"/>
      </w:pPr>
      <w:r w:rsidRPr="007F37E0">
        <w:t xml:space="preserve">Estimate the </w:t>
      </w:r>
      <w:r w:rsidR="00AA1B99" w:rsidRPr="007F37E0">
        <w:t>cost</w:t>
      </w:r>
      <w:r w:rsidR="00F27E77" w:rsidRPr="007F37E0">
        <w:t xml:space="preserve"> </w:t>
      </w:r>
      <w:r w:rsidR="00AA1B99" w:rsidRPr="007F37E0">
        <w:t>:</w:t>
      </w:r>
      <w:r w:rsidR="00F27E77" w:rsidRPr="007F37E0">
        <w:t xml:space="preserve"> </w:t>
      </w:r>
      <w:r w:rsidR="00AA1B99" w:rsidRPr="007F37E0">
        <w:t>benefit</w:t>
      </w:r>
      <w:r w:rsidRPr="007F37E0">
        <w:t xml:space="preserve"> ratio</w:t>
      </w:r>
      <w:r w:rsidR="00AD7011" w:rsidRPr="007F37E0">
        <w:t>.</w:t>
      </w:r>
    </w:p>
    <w:p w14:paraId="40DA6850" w14:textId="24E2DAF5" w:rsidR="003079F0" w:rsidRPr="007F37E0" w:rsidRDefault="003079F0" w:rsidP="007F37E0">
      <w:pPr>
        <w:pStyle w:val="ListNumber3"/>
      </w:pPr>
      <w:r w:rsidRPr="007F37E0">
        <w:t>Assess risks and test sensitivities</w:t>
      </w:r>
      <w:r w:rsidR="00AD7011" w:rsidRPr="007F37E0">
        <w:t>.</w:t>
      </w:r>
    </w:p>
    <w:p w14:paraId="15E08C8C" w14:textId="62D00285" w:rsidR="003079F0" w:rsidRPr="007F37E0" w:rsidRDefault="003079F0" w:rsidP="007F37E0">
      <w:pPr>
        <w:pStyle w:val="ListNumber3"/>
      </w:pPr>
      <w:r w:rsidRPr="007F37E0">
        <w:t>Identify qualitative factors and distributional impacts</w:t>
      </w:r>
      <w:r w:rsidR="00AD7011" w:rsidRPr="007F37E0">
        <w:t>.</w:t>
      </w:r>
    </w:p>
    <w:p w14:paraId="627C9546" w14:textId="2623CE98" w:rsidR="003079F0" w:rsidRPr="007F37E0" w:rsidRDefault="003079F0" w:rsidP="007F37E0">
      <w:pPr>
        <w:pStyle w:val="ListNumber3"/>
      </w:pPr>
      <w:r w:rsidRPr="007F37E0">
        <w:t>Consider what future research is needed</w:t>
      </w:r>
      <w:r w:rsidR="00AD7011" w:rsidRPr="007F37E0">
        <w:t>.</w:t>
      </w:r>
    </w:p>
    <w:bookmarkEnd w:id="1256"/>
    <w:p w14:paraId="16FD92D5" w14:textId="5CBD65DD" w:rsidR="00497443" w:rsidRPr="00322A2E" w:rsidRDefault="00BA7BC3" w:rsidP="007D2FBE">
      <w:r w:rsidRPr="00322A2E">
        <w:t xml:space="preserve">Further details about the methodology can be found in </w:t>
      </w:r>
      <w:r w:rsidRPr="00322A2E">
        <w:rPr>
          <w:b/>
          <w:bCs/>
        </w:rPr>
        <w:t>Appendix 5</w:t>
      </w:r>
      <w:r w:rsidRPr="00322A2E">
        <w:t>.</w:t>
      </w:r>
    </w:p>
    <w:p w14:paraId="23EAE97B" w14:textId="722DE994" w:rsidR="006412C2" w:rsidRDefault="00BA7BC3" w:rsidP="00F975E8">
      <w:pPr>
        <w:pStyle w:val="Heading4"/>
        <w:numPr>
          <w:ilvl w:val="0"/>
          <w:numId w:val="0"/>
        </w:numPr>
      </w:pPr>
      <w:r>
        <w:t xml:space="preserve">Key </w:t>
      </w:r>
      <w:r w:rsidR="00AD6879">
        <w:t>costs and benefits examined</w:t>
      </w:r>
    </w:p>
    <w:p w14:paraId="1ABA47B2" w14:textId="3C995D8C" w:rsidR="00AD6879" w:rsidRPr="00322A2E" w:rsidRDefault="006412C2" w:rsidP="006412C2">
      <w:r w:rsidRPr="00322A2E">
        <w:t xml:space="preserve">This analysis explored how benefits </w:t>
      </w:r>
      <w:r w:rsidR="00D57474" w:rsidRPr="00322A2E">
        <w:t>attributable to</w:t>
      </w:r>
      <w:r w:rsidRPr="00322A2E">
        <w:t xml:space="preserve"> TtW </w:t>
      </w:r>
      <w:r w:rsidR="00AD6879" w:rsidRPr="00322A2E">
        <w:t xml:space="preserve">(relative to jobactive) </w:t>
      </w:r>
      <w:r w:rsidRPr="00322A2E">
        <w:t>could be valued</w:t>
      </w:r>
      <w:r w:rsidR="00AD7011">
        <w:t xml:space="preserve"> </w:t>
      </w:r>
      <w:r w:rsidRPr="00322A2E">
        <w:t xml:space="preserve">and compared these to the relative cost of TtW compared to jobactive. </w:t>
      </w:r>
      <w:r w:rsidR="004C14C0" w:rsidRPr="00322A2E">
        <w:t>The following costs and benefits were identified</w:t>
      </w:r>
      <w:r w:rsidR="00AD6879" w:rsidRPr="00322A2E">
        <w:rPr>
          <w:rStyle w:val="FootnoteReference"/>
        </w:rPr>
        <w:footnoteReference w:id="49"/>
      </w:r>
      <w:r w:rsidR="00AD6879" w:rsidRPr="00322A2E">
        <w:t xml:space="preserve"> </w:t>
      </w:r>
      <w:r w:rsidR="004C14C0" w:rsidRPr="00322A2E">
        <w:t>as relevant to the value</w:t>
      </w:r>
      <w:r w:rsidR="009F1529">
        <w:t>-</w:t>
      </w:r>
      <w:r w:rsidR="004C14C0" w:rsidRPr="00322A2E">
        <w:t>for</w:t>
      </w:r>
      <w:r w:rsidR="009F1529">
        <w:t>-</w:t>
      </w:r>
      <w:r w:rsidR="004C14C0" w:rsidRPr="00322A2E">
        <w:t>money assessment</w:t>
      </w:r>
      <w:r w:rsidR="00CF24A8" w:rsidRPr="00322A2E">
        <w:t>:</w:t>
      </w:r>
    </w:p>
    <w:p w14:paraId="2903C6FF" w14:textId="77777777" w:rsidR="00CF24A8" w:rsidRPr="00322A2E" w:rsidRDefault="00CF24A8" w:rsidP="007F37E0">
      <w:pPr>
        <w:pStyle w:val="ListBullet"/>
      </w:pPr>
      <w:r w:rsidRPr="00322A2E">
        <w:t xml:space="preserve">additional costs associated with servicing participants in TtW </w:t>
      </w:r>
    </w:p>
    <w:p w14:paraId="2FB486BC" w14:textId="2542C489" w:rsidR="00CF24A8" w:rsidRPr="00322A2E" w:rsidRDefault="00CF24A8" w:rsidP="007F37E0">
      <w:pPr>
        <w:pStyle w:val="ListBullet"/>
      </w:pPr>
      <w:r w:rsidRPr="00322A2E">
        <w:t>cost</w:t>
      </w:r>
      <w:r w:rsidR="00F27E77">
        <w:t>s</w:t>
      </w:r>
      <w:r w:rsidRPr="00322A2E">
        <w:t xml:space="preserve"> associated with additional income support payments received by TtW participants</w:t>
      </w:r>
    </w:p>
    <w:p w14:paraId="32AC2F38" w14:textId="38A73978" w:rsidR="006412C2" w:rsidRPr="00322A2E" w:rsidRDefault="00F54DCC" w:rsidP="007F37E0">
      <w:pPr>
        <w:pStyle w:val="ListBullet"/>
      </w:pPr>
      <w:r>
        <w:t xml:space="preserve">value of </w:t>
      </w:r>
      <w:r w:rsidR="00CF24A8" w:rsidRPr="00322A2E">
        <w:t xml:space="preserve">improvements in human capability </w:t>
      </w:r>
      <w:r w:rsidR="006412C2" w:rsidRPr="00322A2E">
        <w:t>attributable to TtW</w:t>
      </w:r>
    </w:p>
    <w:p w14:paraId="129C48F2" w14:textId="20BABACB" w:rsidR="006412C2" w:rsidRPr="00322A2E" w:rsidRDefault="006412C2" w:rsidP="007F37E0">
      <w:pPr>
        <w:pStyle w:val="ListBullet"/>
      </w:pPr>
      <w:r w:rsidRPr="00322A2E">
        <w:lastRenderedPageBreak/>
        <w:t>savings associated with reduced offending</w:t>
      </w:r>
      <w:r w:rsidR="007F37E0">
        <w:t>.</w:t>
      </w:r>
    </w:p>
    <w:p w14:paraId="62AB264A" w14:textId="4649ED59" w:rsidR="00BA51A2" w:rsidRDefault="00CF24A8">
      <w:pPr>
        <w:spacing w:after="160" w:line="259" w:lineRule="auto"/>
        <w:sectPr w:rsidR="00BA51A2" w:rsidSect="007F40D6">
          <w:headerReference w:type="default" r:id="rId24"/>
          <w:footerReference w:type="default" r:id="rId25"/>
          <w:pgSz w:w="11906" w:h="16838"/>
          <w:pgMar w:top="1560" w:right="1440" w:bottom="1440" w:left="1440" w:header="0" w:footer="708" w:gutter="0"/>
          <w:cols w:space="708"/>
          <w:docGrid w:linePitch="360"/>
        </w:sectPr>
      </w:pPr>
      <w:r w:rsidRPr="00322A2E">
        <w:t xml:space="preserve">It is acknowledged that many </w:t>
      </w:r>
      <w:r w:rsidR="00F8391B">
        <w:t>‘</w:t>
      </w:r>
      <w:r w:rsidRPr="00322A2E">
        <w:t>human capability</w:t>
      </w:r>
      <w:r w:rsidR="00F8391B">
        <w:t>’</w:t>
      </w:r>
      <w:r w:rsidRPr="00322A2E">
        <w:t xml:space="preserve"> benefits are difficult to both measure and value in a robust way. T</w:t>
      </w:r>
      <w:r w:rsidR="006710DD" w:rsidRPr="00322A2E">
        <w:t>his research uses wellbeing as an overarching and composite indicator of the impact of TtW on the human capabilities of participants</w:t>
      </w:r>
      <w:r w:rsidRPr="00322A2E">
        <w:t>, in line with broader academic and practitioner practice</w:t>
      </w:r>
      <w:r w:rsidR="006710DD" w:rsidRPr="00322A2E">
        <w:t>.</w:t>
      </w:r>
      <w:r w:rsidRPr="00322A2E">
        <w:t xml:space="preserve"> </w:t>
      </w:r>
      <w:r w:rsidR="00AD6879" w:rsidRPr="00322A2E">
        <w:rPr>
          <w:b/>
          <w:bCs/>
        </w:rPr>
        <w:t>Section 7.3</w:t>
      </w:r>
      <w:r w:rsidR="00AD6879" w:rsidRPr="00322A2E">
        <w:t xml:space="preserve"> </w:t>
      </w:r>
      <w:r w:rsidR="006710DD" w:rsidRPr="00322A2E">
        <w:t>provides an overview of the debate around</w:t>
      </w:r>
      <w:r w:rsidR="004C14C0" w:rsidRPr="00322A2E">
        <w:t xml:space="preserve"> the use of wellbeing to value human capability outcomes</w:t>
      </w:r>
      <w:r w:rsidR="006710DD" w:rsidRPr="00322A2E">
        <w:t>, and describes the methodology used in this analysis to</w:t>
      </w:r>
      <w:r w:rsidR="00322A2E">
        <w:t xml:space="preserve"> </w:t>
      </w:r>
      <w:r w:rsidR="006710DD" w:rsidRPr="00322A2E">
        <w:t xml:space="preserve">value wellbeing. </w:t>
      </w:r>
      <w:r w:rsidR="004C14C0" w:rsidRPr="00322A2E">
        <w:t xml:space="preserve">Given the </w:t>
      </w:r>
      <w:r w:rsidR="00322A2E">
        <w:t>contention around placing a value on wellbeing</w:t>
      </w:r>
      <w:r w:rsidR="009F03A0">
        <w:t>,</w:t>
      </w:r>
      <w:r w:rsidR="00322A2E">
        <w:t xml:space="preserve"> a range of values for wellbeing, identified through a review of recent literature, are used in this analysis.</w:t>
      </w:r>
    </w:p>
    <w:p w14:paraId="32CFDEE8" w14:textId="6DA3EFB0" w:rsidR="006150C6" w:rsidRDefault="00477DF1" w:rsidP="00897071">
      <w:pPr>
        <w:pStyle w:val="Heading1"/>
      </w:pPr>
      <w:bookmarkStart w:id="1257" w:name="_Toc132650456"/>
      <w:bookmarkStart w:id="1258" w:name="_Toc146033487"/>
      <w:r w:rsidRPr="00BC5965">
        <w:lastRenderedPageBreak/>
        <w:t>–</w:t>
      </w:r>
      <w:bookmarkStart w:id="1259" w:name="_Toc109822217"/>
      <w:bookmarkStart w:id="1260" w:name="_Toc109918699"/>
      <w:bookmarkStart w:id="1261" w:name="_Toc110249510"/>
      <w:bookmarkStart w:id="1262" w:name="_Toc110251551"/>
      <w:bookmarkStart w:id="1263" w:name="_Toc110264948"/>
      <w:bookmarkStart w:id="1264" w:name="_Toc110411126"/>
      <w:bookmarkStart w:id="1265" w:name="_Toc109822218"/>
      <w:bookmarkStart w:id="1266" w:name="_Toc109918700"/>
      <w:bookmarkStart w:id="1267" w:name="_Toc110249511"/>
      <w:bookmarkStart w:id="1268" w:name="_Toc110251552"/>
      <w:bookmarkStart w:id="1269" w:name="_Toc110264949"/>
      <w:bookmarkStart w:id="1270" w:name="_Toc110411127"/>
      <w:bookmarkStart w:id="1271" w:name="_Toc108539445"/>
      <w:bookmarkStart w:id="1272" w:name="_Toc109822219"/>
      <w:bookmarkStart w:id="1273" w:name="_Toc109918701"/>
      <w:bookmarkStart w:id="1274" w:name="_Toc110249512"/>
      <w:bookmarkStart w:id="1275" w:name="_Toc110251553"/>
      <w:bookmarkStart w:id="1276" w:name="_Toc110264950"/>
      <w:bookmarkStart w:id="1277" w:name="_Toc110411128"/>
      <w:bookmarkStart w:id="1278" w:name="_Toc108539446"/>
      <w:bookmarkStart w:id="1279" w:name="_Toc109822220"/>
      <w:bookmarkStart w:id="1280" w:name="_Toc109918702"/>
      <w:bookmarkStart w:id="1281" w:name="_Toc110249513"/>
      <w:bookmarkStart w:id="1282" w:name="_Toc110251554"/>
      <w:bookmarkStart w:id="1283" w:name="_Toc110264951"/>
      <w:bookmarkStart w:id="1284" w:name="_Toc110411129"/>
      <w:bookmarkStart w:id="1285" w:name="_Toc108539447"/>
      <w:bookmarkStart w:id="1286" w:name="_Toc109822221"/>
      <w:bookmarkStart w:id="1287" w:name="_Toc109918703"/>
      <w:bookmarkStart w:id="1288" w:name="_Toc110249514"/>
      <w:bookmarkStart w:id="1289" w:name="_Toc110251555"/>
      <w:bookmarkStart w:id="1290" w:name="_Toc110264952"/>
      <w:bookmarkStart w:id="1291" w:name="_Toc110411130"/>
      <w:bookmarkStart w:id="1292" w:name="_Toc108539448"/>
      <w:bookmarkStart w:id="1293" w:name="_Toc109822222"/>
      <w:bookmarkStart w:id="1294" w:name="_Toc109918704"/>
      <w:bookmarkStart w:id="1295" w:name="_Toc110249515"/>
      <w:bookmarkStart w:id="1296" w:name="_Toc110251556"/>
      <w:bookmarkStart w:id="1297" w:name="_Toc110264953"/>
      <w:bookmarkStart w:id="1298" w:name="_Toc110411131"/>
      <w:bookmarkStart w:id="1299" w:name="_Toc108539449"/>
      <w:bookmarkStart w:id="1300" w:name="_Toc109822223"/>
      <w:bookmarkStart w:id="1301" w:name="_Toc109918705"/>
      <w:bookmarkStart w:id="1302" w:name="_Toc110249516"/>
      <w:bookmarkStart w:id="1303" w:name="_Toc110251557"/>
      <w:bookmarkStart w:id="1304" w:name="_Toc110264954"/>
      <w:bookmarkStart w:id="1305" w:name="_Toc110411132"/>
      <w:bookmarkStart w:id="1306" w:name="_Toc108539450"/>
      <w:bookmarkStart w:id="1307" w:name="_Toc109822224"/>
      <w:bookmarkStart w:id="1308" w:name="_Toc109918706"/>
      <w:bookmarkStart w:id="1309" w:name="_Toc110249517"/>
      <w:bookmarkStart w:id="1310" w:name="_Toc110251558"/>
      <w:bookmarkStart w:id="1311" w:name="_Toc110264955"/>
      <w:bookmarkStart w:id="1312" w:name="_Toc110411133"/>
      <w:bookmarkStart w:id="1313" w:name="_Toc108539451"/>
      <w:bookmarkStart w:id="1314" w:name="_Toc109822225"/>
      <w:bookmarkStart w:id="1315" w:name="_Toc109918707"/>
      <w:bookmarkStart w:id="1316" w:name="_Toc110249518"/>
      <w:bookmarkStart w:id="1317" w:name="_Toc110251559"/>
      <w:bookmarkStart w:id="1318" w:name="_Toc110264956"/>
      <w:bookmarkStart w:id="1319" w:name="_Toc110411134"/>
      <w:bookmarkStart w:id="1320" w:name="_Toc108539452"/>
      <w:bookmarkStart w:id="1321" w:name="_Toc109822226"/>
      <w:bookmarkStart w:id="1322" w:name="_Toc109918708"/>
      <w:bookmarkStart w:id="1323" w:name="_Toc110249519"/>
      <w:bookmarkStart w:id="1324" w:name="_Toc110251560"/>
      <w:bookmarkStart w:id="1325" w:name="_Toc110264957"/>
      <w:bookmarkStart w:id="1326" w:name="_Toc110411135"/>
      <w:bookmarkStart w:id="1327" w:name="_Toc108539453"/>
      <w:bookmarkStart w:id="1328" w:name="_Toc109822227"/>
      <w:bookmarkStart w:id="1329" w:name="_Toc109918709"/>
      <w:bookmarkStart w:id="1330" w:name="_Toc110249520"/>
      <w:bookmarkStart w:id="1331" w:name="_Toc110251561"/>
      <w:bookmarkStart w:id="1332" w:name="_Toc110264958"/>
      <w:bookmarkStart w:id="1333" w:name="_Toc110411136"/>
      <w:bookmarkStart w:id="1334" w:name="_Toc108539454"/>
      <w:bookmarkStart w:id="1335" w:name="_Toc109822228"/>
      <w:bookmarkStart w:id="1336" w:name="_Toc109918710"/>
      <w:bookmarkStart w:id="1337" w:name="_Toc110249521"/>
      <w:bookmarkStart w:id="1338" w:name="_Toc110251562"/>
      <w:bookmarkStart w:id="1339" w:name="_Toc110264959"/>
      <w:bookmarkStart w:id="1340" w:name="_Toc110411137"/>
      <w:bookmarkStart w:id="1341" w:name="_Toc108539455"/>
      <w:bookmarkStart w:id="1342" w:name="_Toc109822229"/>
      <w:bookmarkStart w:id="1343" w:name="_Toc109918711"/>
      <w:bookmarkStart w:id="1344" w:name="_Toc110249522"/>
      <w:bookmarkStart w:id="1345" w:name="_Toc110251563"/>
      <w:bookmarkStart w:id="1346" w:name="_Toc110264960"/>
      <w:bookmarkStart w:id="1347" w:name="_Toc110411138"/>
      <w:bookmarkStart w:id="1348" w:name="_Toc108539456"/>
      <w:bookmarkStart w:id="1349" w:name="_Toc109822230"/>
      <w:bookmarkStart w:id="1350" w:name="_Toc109918712"/>
      <w:bookmarkStart w:id="1351" w:name="_Toc110249523"/>
      <w:bookmarkStart w:id="1352" w:name="_Toc110251564"/>
      <w:bookmarkStart w:id="1353" w:name="_Toc110264961"/>
      <w:bookmarkStart w:id="1354" w:name="_Toc110411139"/>
      <w:bookmarkStart w:id="1355" w:name="_Toc108539457"/>
      <w:bookmarkStart w:id="1356" w:name="_Toc109822231"/>
      <w:bookmarkStart w:id="1357" w:name="_Toc109918713"/>
      <w:bookmarkStart w:id="1358" w:name="_Toc110249524"/>
      <w:bookmarkStart w:id="1359" w:name="_Toc110251565"/>
      <w:bookmarkStart w:id="1360" w:name="_Toc110264962"/>
      <w:bookmarkStart w:id="1361" w:name="_Toc110411140"/>
      <w:bookmarkStart w:id="1362" w:name="_Toc108539458"/>
      <w:bookmarkStart w:id="1363" w:name="_Toc109822232"/>
      <w:bookmarkStart w:id="1364" w:name="_Toc109918714"/>
      <w:bookmarkStart w:id="1365" w:name="_Toc110249525"/>
      <w:bookmarkStart w:id="1366" w:name="_Toc110251566"/>
      <w:bookmarkStart w:id="1367" w:name="_Toc110264963"/>
      <w:bookmarkStart w:id="1368" w:name="_Toc110411141"/>
      <w:bookmarkStart w:id="1369" w:name="_Toc108539459"/>
      <w:bookmarkStart w:id="1370" w:name="_Toc109822233"/>
      <w:bookmarkStart w:id="1371" w:name="_Toc109918715"/>
      <w:bookmarkStart w:id="1372" w:name="_Toc110249526"/>
      <w:bookmarkStart w:id="1373" w:name="_Toc110251567"/>
      <w:bookmarkStart w:id="1374" w:name="_Toc110264964"/>
      <w:bookmarkStart w:id="1375" w:name="_Toc110411142"/>
      <w:bookmarkStart w:id="1376" w:name="_Toc108539460"/>
      <w:bookmarkStart w:id="1377" w:name="_Toc109822234"/>
      <w:bookmarkStart w:id="1378" w:name="_Toc109918716"/>
      <w:bookmarkStart w:id="1379" w:name="_Toc110249527"/>
      <w:bookmarkStart w:id="1380" w:name="_Toc110251568"/>
      <w:bookmarkStart w:id="1381" w:name="_Toc110264965"/>
      <w:bookmarkStart w:id="1382" w:name="_Toc110411143"/>
      <w:bookmarkStart w:id="1383" w:name="_Toc108539461"/>
      <w:bookmarkStart w:id="1384" w:name="_Toc109822235"/>
      <w:bookmarkStart w:id="1385" w:name="_Toc109918717"/>
      <w:bookmarkStart w:id="1386" w:name="_Toc110249528"/>
      <w:bookmarkStart w:id="1387" w:name="_Toc110251569"/>
      <w:bookmarkStart w:id="1388" w:name="_Toc110264966"/>
      <w:bookmarkStart w:id="1389" w:name="_Toc110411144"/>
      <w:bookmarkStart w:id="1390" w:name="_Toc108539462"/>
      <w:bookmarkStart w:id="1391" w:name="_Toc109822236"/>
      <w:bookmarkStart w:id="1392" w:name="_Toc109918718"/>
      <w:bookmarkStart w:id="1393" w:name="_Toc110249529"/>
      <w:bookmarkStart w:id="1394" w:name="_Toc110251570"/>
      <w:bookmarkStart w:id="1395" w:name="_Toc110264967"/>
      <w:bookmarkStart w:id="1396" w:name="_Toc110411145"/>
      <w:bookmarkStart w:id="1397" w:name="_Toc108539463"/>
      <w:bookmarkStart w:id="1398" w:name="_Toc109822237"/>
      <w:bookmarkStart w:id="1399" w:name="_Toc109918719"/>
      <w:bookmarkStart w:id="1400" w:name="_Toc110249530"/>
      <w:bookmarkStart w:id="1401" w:name="_Toc110251571"/>
      <w:bookmarkStart w:id="1402" w:name="_Toc110264968"/>
      <w:bookmarkStart w:id="1403" w:name="_Toc110411146"/>
      <w:bookmarkStart w:id="1404" w:name="_Toc108539464"/>
      <w:bookmarkStart w:id="1405" w:name="_Toc109822238"/>
      <w:bookmarkStart w:id="1406" w:name="_Toc109918720"/>
      <w:bookmarkStart w:id="1407" w:name="_Toc110249531"/>
      <w:bookmarkStart w:id="1408" w:name="_Toc110251572"/>
      <w:bookmarkStart w:id="1409" w:name="_Toc110264969"/>
      <w:bookmarkStart w:id="1410" w:name="_Toc110411147"/>
      <w:bookmarkStart w:id="1411" w:name="_Toc108539465"/>
      <w:bookmarkStart w:id="1412" w:name="_Toc109822239"/>
      <w:bookmarkStart w:id="1413" w:name="_Toc109918721"/>
      <w:bookmarkStart w:id="1414" w:name="_Toc110249532"/>
      <w:bookmarkStart w:id="1415" w:name="_Toc110251573"/>
      <w:bookmarkStart w:id="1416" w:name="_Toc110264970"/>
      <w:bookmarkStart w:id="1417" w:name="_Toc110411148"/>
      <w:bookmarkStart w:id="1418" w:name="_Toc108539466"/>
      <w:bookmarkStart w:id="1419" w:name="_Toc109822240"/>
      <w:bookmarkStart w:id="1420" w:name="_Toc109918722"/>
      <w:bookmarkStart w:id="1421" w:name="_Toc110249533"/>
      <w:bookmarkStart w:id="1422" w:name="_Toc110251574"/>
      <w:bookmarkStart w:id="1423" w:name="_Toc110264971"/>
      <w:bookmarkStart w:id="1424" w:name="_Toc110411149"/>
      <w:bookmarkStart w:id="1425" w:name="_Toc108539467"/>
      <w:bookmarkStart w:id="1426" w:name="_Toc109822241"/>
      <w:bookmarkStart w:id="1427" w:name="_Toc109918723"/>
      <w:bookmarkStart w:id="1428" w:name="_Toc110249534"/>
      <w:bookmarkStart w:id="1429" w:name="_Toc110251575"/>
      <w:bookmarkStart w:id="1430" w:name="_Toc110264972"/>
      <w:bookmarkStart w:id="1431" w:name="_Toc110411150"/>
      <w:bookmarkStart w:id="1432" w:name="_Toc108539468"/>
      <w:bookmarkStart w:id="1433" w:name="_Toc109822242"/>
      <w:bookmarkStart w:id="1434" w:name="_Toc109918724"/>
      <w:bookmarkStart w:id="1435" w:name="_Toc110249535"/>
      <w:bookmarkStart w:id="1436" w:name="_Toc110251576"/>
      <w:bookmarkStart w:id="1437" w:name="_Toc110264973"/>
      <w:bookmarkStart w:id="1438" w:name="_Toc110411151"/>
      <w:bookmarkStart w:id="1439" w:name="_Toc108539469"/>
      <w:bookmarkStart w:id="1440" w:name="_Toc109822243"/>
      <w:bookmarkStart w:id="1441" w:name="_Toc109918725"/>
      <w:bookmarkStart w:id="1442" w:name="_Toc110249536"/>
      <w:bookmarkStart w:id="1443" w:name="_Toc110251577"/>
      <w:bookmarkStart w:id="1444" w:name="_Toc110264974"/>
      <w:bookmarkStart w:id="1445" w:name="_Toc110411152"/>
      <w:bookmarkStart w:id="1446" w:name="_Toc108539470"/>
      <w:bookmarkStart w:id="1447" w:name="_Toc109822244"/>
      <w:bookmarkStart w:id="1448" w:name="_Toc109918726"/>
      <w:bookmarkStart w:id="1449" w:name="_Toc110249537"/>
      <w:bookmarkStart w:id="1450" w:name="_Toc110251578"/>
      <w:bookmarkStart w:id="1451" w:name="_Toc110264975"/>
      <w:bookmarkStart w:id="1452" w:name="_Toc110411153"/>
      <w:bookmarkStart w:id="1453" w:name="_Toc108539471"/>
      <w:bookmarkStart w:id="1454" w:name="_Toc109822245"/>
      <w:bookmarkStart w:id="1455" w:name="_Toc109918727"/>
      <w:bookmarkStart w:id="1456" w:name="_Toc110249538"/>
      <w:bookmarkStart w:id="1457" w:name="_Toc110251579"/>
      <w:bookmarkStart w:id="1458" w:name="_Toc110264976"/>
      <w:bookmarkStart w:id="1459" w:name="_Toc110411154"/>
      <w:bookmarkStart w:id="1460" w:name="_Toc108539472"/>
      <w:bookmarkStart w:id="1461" w:name="_Toc109822246"/>
      <w:bookmarkStart w:id="1462" w:name="_Toc109918728"/>
      <w:bookmarkStart w:id="1463" w:name="_Toc110249539"/>
      <w:bookmarkStart w:id="1464" w:name="_Toc110251580"/>
      <w:bookmarkStart w:id="1465" w:name="_Toc110264977"/>
      <w:bookmarkStart w:id="1466" w:name="_Toc110411155"/>
      <w:bookmarkStart w:id="1467" w:name="_Toc108539473"/>
      <w:bookmarkStart w:id="1468" w:name="_Toc109822247"/>
      <w:bookmarkStart w:id="1469" w:name="_Toc109918729"/>
      <w:bookmarkStart w:id="1470" w:name="_Toc110249540"/>
      <w:bookmarkStart w:id="1471" w:name="_Toc110251581"/>
      <w:bookmarkStart w:id="1472" w:name="_Toc110264978"/>
      <w:bookmarkStart w:id="1473" w:name="_Toc110411156"/>
      <w:bookmarkStart w:id="1474" w:name="_Toc108539474"/>
      <w:bookmarkStart w:id="1475" w:name="_Toc109822248"/>
      <w:bookmarkStart w:id="1476" w:name="_Toc109918730"/>
      <w:bookmarkStart w:id="1477" w:name="_Toc110249541"/>
      <w:bookmarkStart w:id="1478" w:name="_Toc110251582"/>
      <w:bookmarkStart w:id="1479" w:name="_Toc110264979"/>
      <w:bookmarkStart w:id="1480" w:name="_Toc110411157"/>
      <w:bookmarkStart w:id="1481" w:name="_Toc108539475"/>
      <w:bookmarkStart w:id="1482" w:name="_Toc109822249"/>
      <w:bookmarkStart w:id="1483" w:name="_Toc109918731"/>
      <w:bookmarkStart w:id="1484" w:name="_Toc110249542"/>
      <w:bookmarkStart w:id="1485" w:name="_Toc110251583"/>
      <w:bookmarkStart w:id="1486" w:name="_Toc110264980"/>
      <w:bookmarkStart w:id="1487" w:name="_Toc110411158"/>
      <w:bookmarkStart w:id="1488" w:name="_Toc108539476"/>
      <w:bookmarkStart w:id="1489" w:name="_Toc109822250"/>
      <w:bookmarkStart w:id="1490" w:name="_Toc109918732"/>
      <w:bookmarkStart w:id="1491" w:name="_Toc110249543"/>
      <w:bookmarkStart w:id="1492" w:name="_Toc110251584"/>
      <w:bookmarkStart w:id="1493" w:name="_Toc110264981"/>
      <w:bookmarkStart w:id="1494" w:name="_Toc110411159"/>
      <w:bookmarkStart w:id="1495" w:name="_Toc106711830"/>
      <w:bookmarkEnd w:id="1255"/>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r w:rsidR="006150C6">
        <w:t xml:space="preserve"> What impact does TtW have on participants</w:t>
      </w:r>
      <w:r w:rsidR="00F8391B">
        <w:t>’</w:t>
      </w:r>
      <w:r w:rsidR="006150C6">
        <w:t xml:space="preserve"> human capabilities</w:t>
      </w:r>
      <w:r w:rsidR="00D5196D" w:rsidRPr="00BC5965">
        <w:t>?</w:t>
      </w:r>
      <w:bookmarkEnd w:id="1257"/>
      <w:bookmarkEnd w:id="1258"/>
    </w:p>
    <w:p w14:paraId="6BA72D6A" w14:textId="77777777" w:rsidR="006150C6" w:rsidRDefault="006150C6" w:rsidP="006E41FD">
      <w:pPr>
        <w:pStyle w:val="Heading2"/>
      </w:pPr>
      <w:bookmarkStart w:id="1496" w:name="_Toc132650457"/>
      <w:bookmarkStart w:id="1497" w:name="_Toc146033488"/>
      <w:r>
        <w:t>Introduction</w:t>
      </w:r>
      <w:bookmarkEnd w:id="1496"/>
      <w:bookmarkEnd w:id="1497"/>
    </w:p>
    <w:p w14:paraId="07863220" w14:textId="3DE987EA" w:rsidR="006150C6" w:rsidRDefault="006150C6" w:rsidP="009251AF">
      <w:pPr>
        <w:spacing w:after="0"/>
      </w:pPr>
      <w:r w:rsidRPr="001431BC">
        <w:t xml:space="preserve">This section </w:t>
      </w:r>
      <w:r>
        <w:t>examines</w:t>
      </w:r>
      <w:r w:rsidRPr="001431BC">
        <w:t xml:space="preserve"> the impact of the TtW program on participants</w:t>
      </w:r>
      <w:r w:rsidR="00F8391B">
        <w:t>’</w:t>
      </w:r>
      <w:r w:rsidRPr="001431BC">
        <w:t xml:space="preserve"> human capabilities, and their overall wellbeing and satisfaction with life. It examines the following questions:</w:t>
      </w:r>
    </w:p>
    <w:p w14:paraId="423D976B" w14:textId="53BF5561" w:rsidR="006150C6" w:rsidRDefault="006150C6" w:rsidP="007F37E0">
      <w:pPr>
        <w:pStyle w:val="ListBullet"/>
      </w:pPr>
      <w:r>
        <w:t>What is the impact of TtW on the development of participants</w:t>
      </w:r>
      <w:r w:rsidR="00F8391B">
        <w:t>’</w:t>
      </w:r>
      <w:r>
        <w:t xml:space="preserve"> human capabilities?</w:t>
      </w:r>
    </w:p>
    <w:p w14:paraId="4FE6BAA3" w14:textId="718D31FF" w:rsidR="006150C6" w:rsidRDefault="006150C6" w:rsidP="007F37E0">
      <w:pPr>
        <w:pStyle w:val="ListBullet"/>
      </w:pPr>
      <w:r>
        <w:t>What is the broader impact of TtW on participants</w:t>
      </w:r>
      <w:r w:rsidR="00F8391B">
        <w:t>’</w:t>
      </w:r>
      <w:r>
        <w:t xml:space="preserve"> wellbeing?</w:t>
      </w:r>
    </w:p>
    <w:p w14:paraId="6192E617" w14:textId="77777777" w:rsidR="006150C6" w:rsidRDefault="006150C6" w:rsidP="007F37E0">
      <w:pPr>
        <w:pStyle w:val="ListBullet"/>
      </w:pPr>
      <w:r>
        <w:t>What elements of the TtW model are associated with the development of human capabilities and wellbeing?</w:t>
      </w:r>
    </w:p>
    <w:p w14:paraId="5B91E941" w14:textId="09E86B76" w:rsidR="006150C6" w:rsidRDefault="006150C6" w:rsidP="006150C6">
      <w:r>
        <w:t xml:space="preserve">The analysis utilises the human capability framework </w:t>
      </w:r>
      <w:r w:rsidRPr="00CD6FB8">
        <w:t xml:space="preserve">outlined in </w:t>
      </w:r>
      <w:r w:rsidRPr="004A440A">
        <w:rPr>
          <w:b/>
          <w:bCs/>
        </w:rPr>
        <w:t>Section 1.4.1</w:t>
      </w:r>
      <w:r w:rsidRPr="00CD6FB8">
        <w:t>,</w:t>
      </w:r>
      <w:r>
        <w:t xml:space="preserve"> specifically examining the impact TtW has on young people</w:t>
      </w:r>
      <w:r w:rsidR="00F8391B">
        <w:t>’</w:t>
      </w:r>
      <w:r>
        <w:t>s psychosocial capabilities (confidence, r</w:t>
      </w:r>
      <w:r w:rsidRPr="00090A53">
        <w:t>esilience</w:t>
      </w:r>
      <w:r>
        <w:t>, motivation, empowerment, m</w:t>
      </w:r>
      <w:r w:rsidRPr="00090A53">
        <w:t>ental health</w:t>
      </w:r>
      <w:r>
        <w:t xml:space="preserve"> and physical health) and capability influencers (social connectedness and availability of and access to support services).</w:t>
      </w:r>
    </w:p>
    <w:p w14:paraId="07AE47D8" w14:textId="1DA97F00" w:rsidR="006150C6" w:rsidRDefault="006150C6" w:rsidP="009251AF">
      <w:pPr>
        <w:spacing w:after="0"/>
      </w:pPr>
      <w:r>
        <w:t>Data used to examine the impact of TtW on participants</w:t>
      </w:r>
      <w:r w:rsidR="00F8391B">
        <w:t>’</w:t>
      </w:r>
      <w:r>
        <w:t xml:space="preserve"> human capabilities and wellbeing was drawn from a number of sources, to enable triangulation and test responses</w:t>
      </w:r>
      <w:r w:rsidR="00F27E77">
        <w:t>;</w:t>
      </w:r>
      <w:r>
        <w:t xml:space="preserve"> these included:</w:t>
      </w:r>
    </w:p>
    <w:p w14:paraId="4406EC28" w14:textId="75ADCA2F" w:rsidR="006150C6" w:rsidRDefault="00BF34F1" w:rsidP="007F37E0">
      <w:pPr>
        <w:pStyle w:val="ListBullet"/>
      </w:pPr>
      <w:r>
        <w:t>i</w:t>
      </w:r>
      <w:r w:rsidR="006150C6">
        <w:t>nterviews and group discussions with a sample of TtW participants and TtW provider staff</w:t>
      </w:r>
    </w:p>
    <w:p w14:paraId="589E8755" w14:textId="2A844A27" w:rsidR="006150C6" w:rsidRDefault="006150C6" w:rsidP="007F37E0">
      <w:pPr>
        <w:pStyle w:val="ListBullet"/>
      </w:pPr>
      <w:r>
        <w:t>a participant survey with a representative sample of TtW</w:t>
      </w:r>
      <w:r w:rsidRPr="007677C5">
        <w:t xml:space="preserve"> participants</w:t>
      </w:r>
      <w:r>
        <w:t xml:space="preserve"> and a comparison group of </w:t>
      </w:r>
      <w:r w:rsidRPr="007677C5">
        <w:t>jobactive participants</w:t>
      </w:r>
    </w:p>
    <w:p w14:paraId="54BAA8AF" w14:textId="0A79EF21" w:rsidR="006150C6" w:rsidRDefault="006150C6" w:rsidP="007F37E0">
      <w:pPr>
        <w:pStyle w:val="ListBullet"/>
        <w:rPr>
          <w:b/>
          <w:bCs/>
        </w:rPr>
      </w:pPr>
      <w:r>
        <w:t xml:space="preserve">a census survey of TtW </w:t>
      </w:r>
      <w:r w:rsidR="00F27E77">
        <w:t>p</w:t>
      </w:r>
      <w:r>
        <w:t>roviders</w:t>
      </w:r>
    </w:p>
    <w:p w14:paraId="17E6357E" w14:textId="2DE580DD" w:rsidR="006150C6" w:rsidRPr="005C1DEC" w:rsidRDefault="00BF34F1" w:rsidP="007F37E0">
      <w:pPr>
        <w:pStyle w:val="ListBullet"/>
      </w:pPr>
      <w:r>
        <w:t>a</w:t>
      </w:r>
      <w:r w:rsidR="006150C6" w:rsidRPr="005C1DEC">
        <w:t>dministrative data</w:t>
      </w:r>
      <w:r w:rsidR="00F27E77">
        <w:t>.</w:t>
      </w:r>
    </w:p>
    <w:p w14:paraId="759ED62C" w14:textId="02D78D73" w:rsidR="006150C6" w:rsidRDefault="006150C6" w:rsidP="006150C6">
      <w:r w:rsidRPr="004A440A">
        <w:rPr>
          <w:b/>
          <w:bCs/>
        </w:rPr>
        <w:t>Section 2.</w:t>
      </w:r>
      <w:r w:rsidR="00F54DCC">
        <w:rPr>
          <w:b/>
          <w:bCs/>
        </w:rPr>
        <w:t>4.2</w:t>
      </w:r>
      <w:r w:rsidRPr="00CD6FB8">
        <w:t xml:space="preserve"> contains</w:t>
      </w:r>
      <w:r>
        <w:t xml:space="preserve"> an overview of the research methodology</w:t>
      </w:r>
      <w:r w:rsidRPr="00175C7F">
        <w:t>.</w:t>
      </w:r>
    </w:p>
    <w:p w14:paraId="75F72BA6" w14:textId="225A1AB1" w:rsidR="005A1F19" w:rsidRPr="005A1F19" w:rsidRDefault="005A1F19" w:rsidP="006150C6">
      <w:pPr>
        <w:rPr>
          <w:b/>
          <w:bCs/>
        </w:rPr>
      </w:pPr>
      <w:r w:rsidRPr="005A1F19">
        <w:rPr>
          <w:b/>
          <w:bCs/>
        </w:rPr>
        <w:t xml:space="preserve">Appendix </w:t>
      </w:r>
      <w:r w:rsidR="00EE102E">
        <w:rPr>
          <w:b/>
          <w:bCs/>
        </w:rPr>
        <w:t>8</w:t>
      </w:r>
      <w:r w:rsidRPr="005A1F19">
        <w:rPr>
          <w:b/>
          <w:bCs/>
        </w:rPr>
        <w:t xml:space="preserve"> </w:t>
      </w:r>
      <w:r w:rsidR="00EE102E">
        <w:t>presents relevant data</w:t>
      </w:r>
      <w:r w:rsidR="000754C4">
        <w:t xml:space="preserve"> from the 2021 provider and participant surveys.</w:t>
      </w:r>
    </w:p>
    <w:p w14:paraId="698B470D" w14:textId="7B506E84" w:rsidR="006150C6" w:rsidRDefault="006150C6" w:rsidP="006E41FD">
      <w:pPr>
        <w:pStyle w:val="Heading2"/>
      </w:pPr>
      <w:bookmarkStart w:id="1498" w:name="_Toc109823336"/>
      <w:bookmarkStart w:id="1499" w:name="_Toc109919818"/>
      <w:bookmarkStart w:id="1500" w:name="_Toc110250629"/>
      <w:bookmarkStart w:id="1501" w:name="_Toc110252670"/>
      <w:bookmarkStart w:id="1502" w:name="_Toc110266068"/>
      <w:bookmarkStart w:id="1503" w:name="_Toc110412305"/>
      <w:bookmarkStart w:id="1504" w:name="_Toc132650458"/>
      <w:bookmarkStart w:id="1505" w:name="_Toc146033489"/>
      <w:bookmarkEnd w:id="1498"/>
      <w:bookmarkEnd w:id="1499"/>
      <w:bookmarkEnd w:id="1500"/>
      <w:bookmarkEnd w:id="1501"/>
      <w:bookmarkEnd w:id="1502"/>
      <w:bookmarkEnd w:id="1503"/>
      <w:r>
        <w:t xml:space="preserve">Human </w:t>
      </w:r>
      <w:r w:rsidR="00F27E77">
        <w:t>c</w:t>
      </w:r>
      <w:r>
        <w:t xml:space="preserve">apabilities: </w:t>
      </w:r>
      <w:bookmarkStart w:id="1506" w:name="_Toc108540098"/>
      <w:bookmarkStart w:id="1507" w:name="_Toc108540099"/>
      <w:bookmarkStart w:id="1508" w:name="_Toc109823338"/>
      <w:bookmarkStart w:id="1509" w:name="_Toc109919820"/>
      <w:bookmarkStart w:id="1510" w:name="_Toc110250631"/>
      <w:bookmarkStart w:id="1511" w:name="_Toc110252672"/>
      <w:bookmarkStart w:id="1512" w:name="_Toc110266070"/>
      <w:bookmarkStart w:id="1513" w:name="_Toc110412307"/>
      <w:bookmarkStart w:id="1514" w:name="_Toc108540100"/>
      <w:bookmarkStart w:id="1515" w:name="_Toc109823339"/>
      <w:bookmarkStart w:id="1516" w:name="_Toc109919821"/>
      <w:bookmarkStart w:id="1517" w:name="_Toc110250632"/>
      <w:bookmarkStart w:id="1518" w:name="_Toc110252673"/>
      <w:bookmarkStart w:id="1519" w:name="_Toc110266071"/>
      <w:bookmarkStart w:id="1520" w:name="_Toc110412308"/>
      <w:bookmarkStart w:id="1521" w:name="_Toc108540101"/>
      <w:bookmarkStart w:id="1522" w:name="_Toc109823340"/>
      <w:bookmarkStart w:id="1523" w:name="_Toc109919822"/>
      <w:bookmarkStart w:id="1524" w:name="_Toc110250633"/>
      <w:bookmarkStart w:id="1525" w:name="_Toc110252674"/>
      <w:bookmarkStart w:id="1526" w:name="_Toc110266072"/>
      <w:bookmarkStart w:id="1527" w:name="_Toc110412309"/>
      <w:bookmarkStart w:id="1528" w:name="_Toc108540102"/>
      <w:bookmarkStart w:id="1529" w:name="_Toc109823341"/>
      <w:bookmarkStart w:id="1530" w:name="_Toc109919823"/>
      <w:bookmarkStart w:id="1531" w:name="_Toc110250634"/>
      <w:bookmarkStart w:id="1532" w:name="_Toc110252675"/>
      <w:bookmarkStart w:id="1533" w:name="_Toc110266073"/>
      <w:bookmarkStart w:id="1534" w:name="_Toc110412310"/>
      <w:bookmarkStart w:id="1535" w:name="_Toc108540103"/>
      <w:bookmarkStart w:id="1536" w:name="_Toc109823342"/>
      <w:bookmarkStart w:id="1537" w:name="_Toc109919824"/>
      <w:bookmarkStart w:id="1538" w:name="_Toc110250635"/>
      <w:bookmarkStart w:id="1539" w:name="_Toc110252676"/>
      <w:bookmarkStart w:id="1540" w:name="_Toc110266074"/>
      <w:bookmarkStart w:id="1541" w:name="_Toc110412311"/>
      <w:bookmarkStart w:id="1542" w:name="_Toc108540104"/>
      <w:bookmarkStart w:id="1543" w:name="_Toc109823343"/>
      <w:bookmarkStart w:id="1544" w:name="_Toc109919825"/>
      <w:bookmarkStart w:id="1545" w:name="_Toc110250636"/>
      <w:bookmarkStart w:id="1546" w:name="_Toc110252677"/>
      <w:bookmarkStart w:id="1547" w:name="_Toc110266075"/>
      <w:bookmarkStart w:id="1548" w:name="_Toc110412312"/>
      <w:bookmarkStart w:id="1549" w:name="_Toc108540105"/>
      <w:bookmarkStart w:id="1550" w:name="_Toc109823344"/>
      <w:bookmarkStart w:id="1551" w:name="_Toc109919826"/>
      <w:bookmarkStart w:id="1552" w:name="_Toc110250637"/>
      <w:bookmarkStart w:id="1553" w:name="_Toc110252678"/>
      <w:bookmarkStart w:id="1554" w:name="_Toc110266076"/>
      <w:bookmarkStart w:id="1555" w:name="_Toc110412313"/>
      <w:bookmarkStart w:id="1556" w:name="_Toc108540106"/>
      <w:bookmarkStart w:id="1557" w:name="_Toc109823345"/>
      <w:bookmarkStart w:id="1558" w:name="_Toc109919827"/>
      <w:bookmarkStart w:id="1559" w:name="_Toc110250638"/>
      <w:bookmarkStart w:id="1560" w:name="_Toc110252679"/>
      <w:bookmarkStart w:id="1561" w:name="_Toc110266077"/>
      <w:bookmarkStart w:id="1562" w:name="_Toc110412314"/>
      <w:bookmarkStart w:id="1563" w:name="_Toc108540107"/>
      <w:bookmarkStart w:id="1564" w:name="_Toc109823346"/>
      <w:bookmarkStart w:id="1565" w:name="_Toc109919828"/>
      <w:bookmarkStart w:id="1566" w:name="_Toc110250639"/>
      <w:bookmarkStart w:id="1567" w:name="_Toc110252680"/>
      <w:bookmarkStart w:id="1568" w:name="_Toc110266078"/>
      <w:bookmarkStart w:id="1569" w:name="_Toc110412315"/>
      <w:bookmarkStart w:id="1570" w:name="_Toc108540108"/>
      <w:bookmarkStart w:id="1571" w:name="_Toc109823347"/>
      <w:bookmarkStart w:id="1572" w:name="_Toc109919829"/>
      <w:bookmarkStart w:id="1573" w:name="_Toc110250640"/>
      <w:bookmarkStart w:id="1574" w:name="_Toc110252681"/>
      <w:bookmarkStart w:id="1575" w:name="_Toc110266079"/>
      <w:bookmarkStart w:id="1576" w:name="_Toc110412316"/>
      <w:bookmarkStart w:id="1577" w:name="_Toc108540109"/>
      <w:bookmarkStart w:id="1578" w:name="_Toc109823348"/>
      <w:bookmarkStart w:id="1579" w:name="_Toc109919830"/>
      <w:bookmarkStart w:id="1580" w:name="_Toc110250641"/>
      <w:bookmarkStart w:id="1581" w:name="_Toc110252682"/>
      <w:bookmarkStart w:id="1582" w:name="_Toc110266080"/>
      <w:bookmarkStart w:id="1583" w:name="_Toc110412317"/>
      <w:bookmarkStart w:id="1584" w:name="_Toc108540110"/>
      <w:bookmarkStart w:id="1585" w:name="_Toc109823349"/>
      <w:bookmarkStart w:id="1586" w:name="_Toc109919831"/>
      <w:bookmarkStart w:id="1587" w:name="_Toc110250642"/>
      <w:bookmarkStart w:id="1588" w:name="_Toc110252683"/>
      <w:bookmarkStart w:id="1589" w:name="_Toc110266081"/>
      <w:bookmarkStart w:id="1590" w:name="_Toc110412318"/>
      <w:bookmarkStart w:id="1591" w:name="_Toc108540111"/>
      <w:bookmarkStart w:id="1592" w:name="_Toc109823350"/>
      <w:bookmarkStart w:id="1593" w:name="_Toc109919832"/>
      <w:bookmarkStart w:id="1594" w:name="_Toc110250643"/>
      <w:bookmarkStart w:id="1595" w:name="_Toc110252684"/>
      <w:bookmarkStart w:id="1596" w:name="_Toc110266082"/>
      <w:bookmarkStart w:id="1597" w:name="_Toc110412319"/>
      <w:bookmarkStart w:id="1598" w:name="_Toc108540112"/>
      <w:bookmarkStart w:id="1599" w:name="_Toc109823351"/>
      <w:bookmarkStart w:id="1600" w:name="_Toc109919833"/>
      <w:bookmarkStart w:id="1601" w:name="_Toc110250644"/>
      <w:bookmarkStart w:id="1602" w:name="_Toc110252685"/>
      <w:bookmarkStart w:id="1603" w:name="_Toc110266083"/>
      <w:bookmarkStart w:id="1604" w:name="_Toc110412320"/>
      <w:bookmarkStart w:id="1605" w:name="_Toc108540113"/>
      <w:bookmarkStart w:id="1606" w:name="_Toc109823352"/>
      <w:bookmarkStart w:id="1607" w:name="_Toc109919834"/>
      <w:bookmarkStart w:id="1608" w:name="_Toc110250645"/>
      <w:bookmarkStart w:id="1609" w:name="_Toc110252686"/>
      <w:bookmarkStart w:id="1610" w:name="_Toc110266084"/>
      <w:bookmarkStart w:id="1611" w:name="_Toc110412321"/>
      <w:bookmarkStart w:id="1612" w:name="_Toc108540114"/>
      <w:bookmarkStart w:id="1613" w:name="_Toc109823353"/>
      <w:bookmarkStart w:id="1614" w:name="_Toc109919835"/>
      <w:bookmarkStart w:id="1615" w:name="_Toc110250646"/>
      <w:bookmarkStart w:id="1616" w:name="_Toc110252687"/>
      <w:bookmarkStart w:id="1617" w:name="_Toc110266085"/>
      <w:bookmarkStart w:id="1618" w:name="_Toc110412322"/>
      <w:bookmarkStart w:id="1619" w:name="_Toc108540115"/>
      <w:bookmarkStart w:id="1620" w:name="_Toc109823354"/>
      <w:bookmarkStart w:id="1621" w:name="_Toc109919836"/>
      <w:bookmarkStart w:id="1622" w:name="_Toc110250647"/>
      <w:bookmarkStart w:id="1623" w:name="_Toc110252688"/>
      <w:bookmarkStart w:id="1624" w:name="_Toc110266086"/>
      <w:bookmarkStart w:id="1625" w:name="_Toc110412323"/>
      <w:bookmarkStart w:id="1626" w:name="_Toc108540116"/>
      <w:bookmarkStart w:id="1627" w:name="_Toc109823355"/>
      <w:bookmarkStart w:id="1628" w:name="_Toc109919837"/>
      <w:bookmarkStart w:id="1629" w:name="_Toc110250648"/>
      <w:bookmarkStart w:id="1630" w:name="_Toc110252689"/>
      <w:bookmarkStart w:id="1631" w:name="_Toc110266087"/>
      <w:bookmarkStart w:id="1632" w:name="_Toc110412324"/>
      <w:bookmarkStart w:id="1633" w:name="_Toc108540117"/>
      <w:bookmarkStart w:id="1634" w:name="_Toc109823356"/>
      <w:bookmarkStart w:id="1635" w:name="_Toc109919838"/>
      <w:bookmarkStart w:id="1636" w:name="_Toc110250649"/>
      <w:bookmarkStart w:id="1637" w:name="_Toc110252690"/>
      <w:bookmarkStart w:id="1638" w:name="_Toc110266088"/>
      <w:bookmarkStart w:id="1639" w:name="_Toc110412325"/>
      <w:bookmarkStart w:id="1640" w:name="_Toc108540118"/>
      <w:bookmarkStart w:id="1641" w:name="_Toc109823357"/>
      <w:bookmarkStart w:id="1642" w:name="_Toc109919839"/>
      <w:bookmarkStart w:id="1643" w:name="_Toc110250650"/>
      <w:bookmarkStart w:id="1644" w:name="_Toc110252691"/>
      <w:bookmarkStart w:id="1645" w:name="_Toc110266089"/>
      <w:bookmarkStart w:id="1646" w:name="_Toc110412326"/>
      <w:bookmarkStart w:id="1647" w:name="_Toc108540119"/>
      <w:bookmarkStart w:id="1648" w:name="_Toc109823358"/>
      <w:bookmarkStart w:id="1649" w:name="_Toc109919840"/>
      <w:bookmarkStart w:id="1650" w:name="_Toc110250651"/>
      <w:bookmarkStart w:id="1651" w:name="_Toc110252692"/>
      <w:bookmarkStart w:id="1652" w:name="_Toc110266090"/>
      <w:bookmarkStart w:id="1653" w:name="_Toc110412327"/>
      <w:bookmarkStart w:id="1654" w:name="_Toc108540120"/>
      <w:bookmarkStart w:id="1655" w:name="_Toc109823359"/>
      <w:bookmarkStart w:id="1656" w:name="_Toc109919841"/>
      <w:bookmarkStart w:id="1657" w:name="_Toc110250652"/>
      <w:bookmarkStart w:id="1658" w:name="_Toc110252693"/>
      <w:bookmarkStart w:id="1659" w:name="_Toc110266091"/>
      <w:bookmarkStart w:id="1660" w:name="_Toc110412328"/>
      <w:bookmarkStart w:id="1661" w:name="_Toc108540121"/>
      <w:bookmarkStart w:id="1662" w:name="_Toc109823360"/>
      <w:bookmarkStart w:id="1663" w:name="_Toc109919842"/>
      <w:bookmarkStart w:id="1664" w:name="_Toc110250653"/>
      <w:bookmarkStart w:id="1665" w:name="_Toc110252694"/>
      <w:bookmarkStart w:id="1666" w:name="_Toc110266092"/>
      <w:bookmarkStart w:id="1667" w:name="_Toc110412329"/>
      <w:bookmarkStart w:id="1668" w:name="_Toc108540122"/>
      <w:bookmarkStart w:id="1669" w:name="_Toc109823361"/>
      <w:bookmarkStart w:id="1670" w:name="_Toc109919843"/>
      <w:bookmarkStart w:id="1671" w:name="_Toc110250654"/>
      <w:bookmarkStart w:id="1672" w:name="_Toc110252695"/>
      <w:bookmarkStart w:id="1673" w:name="_Toc110266093"/>
      <w:bookmarkStart w:id="1674" w:name="_Toc110412330"/>
      <w:bookmarkStart w:id="1675" w:name="_Toc106711861"/>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r>
        <w:t>the impact of TtW on participants</w:t>
      </w:r>
      <w:r w:rsidR="00F8391B">
        <w:t>’</w:t>
      </w:r>
      <w:r>
        <w:t xml:space="preserve"> psychological capabilities</w:t>
      </w:r>
      <w:bookmarkEnd w:id="1504"/>
      <w:bookmarkEnd w:id="1505"/>
      <w:bookmarkEnd w:id="1675"/>
    </w:p>
    <w:p w14:paraId="1F319B4F" w14:textId="77777777" w:rsidR="006150C6" w:rsidRDefault="006150C6" w:rsidP="0090154A">
      <w:pPr>
        <w:pStyle w:val="Heading3"/>
        <w:ind w:left="0"/>
      </w:pPr>
      <w:bookmarkStart w:id="1676" w:name="_Toc106711862"/>
      <w:bookmarkStart w:id="1677" w:name="_Toc132650459"/>
      <w:bookmarkStart w:id="1678" w:name="_Toc146033490"/>
      <w:r>
        <w:t>Confidence</w:t>
      </w:r>
      <w:bookmarkEnd w:id="1676"/>
      <w:bookmarkEnd w:id="1677"/>
      <w:bookmarkEnd w:id="1678"/>
    </w:p>
    <w:p w14:paraId="4D1FFA84" w14:textId="3E8F95A5" w:rsidR="006150C6" w:rsidRPr="004B63F6" w:rsidRDefault="006150C6" w:rsidP="006150C6">
      <w:pPr>
        <w:rPr>
          <w:rFonts w:eastAsiaTheme="majorEastAsia"/>
        </w:rPr>
      </w:pPr>
      <w:r>
        <w:t>During the 2021 participant survey, participants were asked what impact participation in TtW had on them overall. Respondents</w:t>
      </w:r>
      <w:r w:rsidR="00F8391B">
        <w:t>’</w:t>
      </w:r>
      <w:r>
        <w:t xml:space="preserve"> most common first response was that it increased their confidence</w:t>
      </w:r>
      <w:r>
        <w:rPr>
          <w:rFonts w:eastAsiaTheme="majorEastAsia"/>
        </w:rPr>
        <w:t xml:space="preserve"> in relation to both vocational and non-vocational aspects of their lives. TtW respondents were more likely to report that </w:t>
      </w:r>
      <w:r w:rsidR="00A95707">
        <w:rPr>
          <w:rFonts w:eastAsiaTheme="majorEastAsia"/>
        </w:rPr>
        <w:t>their provide</w:t>
      </w:r>
      <w:r w:rsidR="004E02A3">
        <w:rPr>
          <w:rFonts w:eastAsiaTheme="majorEastAsia"/>
        </w:rPr>
        <w:t>r</w:t>
      </w:r>
      <w:r>
        <w:rPr>
          <w:rStyle w:val="FootnoteReference"/>
          <w:rFonts w:eastAsiaTheme="majorEastAsia"/>
        </w:rPr>
        <w:footnoteReference w:id="50"/>
      </w:r>
      <w:r>
        <w:rPr>
          <w:rFonts w:eastAsiaTheme="majorEastAsia"/>
        </w:rPr>
        <w:t xml:space="preserve"> had a positive impact on their confidence than </w:t>
      </w:r>
      <w:r w:rsidR="00A95707">
        <w:rPr>
          <w:rFonts w:eastAsiaTheme="majorEastAsia"/>
        </w:rPr>
        <w:t>the comparison group</w:t>
      </w:r>
      <w:r>
        <w:rPr>
          <w:rFonts w:eastAsiaTheme="majorEastAsia"/>
        </w:rPr>
        <w:t>, with just over two</w:t>
      </w:r>
      <w:r w:rsidR="00CF1890">
        <w:rPr>
          <w:rFonts w:eastAsiaTheme="majorEastAsia"/>
        </w:rPr>
        <w:t>-</w:t>
      </w:r>
      <w:r>
        <w:rPr>
          <w:rFonts w:eastAsiaTheme="majorEastAsia"/>
        </w:rPr>
        <w:t xml:space="preserve">thirds of TtW respondents (69%) noting that caseworkers had a positive or very positive impact on their self-confidence, compared to just over half of the comparison group (55%). Conversely, fewer TtW participants (4%) felt that their caseworker had a negative or very </w:t>
      </w:r>
      <w:r>
        <w:rPr>
          <w:rFonts w:eastAsiaTheme="majorEastAsia"/>
        </w:rPr>
        <w:lastRenderedPageBreak/>
        <w:t>negative impact on their self-confidence than the comparison group (</w:t>
      </w:r>
      <w:r w:rsidRPr="00CD6FB8">
        <w:rPr>
          <w:rFonts w:eastAsiaTheme="majorEastAsia"/>
        </w:rPr>
        <w:t>9%) (</w:t>
      </w:r>
      <w:r w:rsidRPr="00403636">
        <w:rPr>
          <w:rFonts w:eastAsiaTheme="majorEastAsia"/>
          <w:b/>
          <w:bCs/>
        </w:rPr>
        <w:fldChar w:fldCharType="begin"/>
      </w:r>
      <w:r w:rsidRPr="00403636">
        <w:rPr>
          <w:rFonts w:eastAsiaTheme="majorEastAsia"/>
          <w:b/>
          <w:bCs/>
        </w:rPr>
        <w:instrText xml:space="preserve"> REF _Ref110962126 \h  \* MERGEFORMAT </w:instrText>
      </w:r>
      <w:r w:rsidRPr="00403636">
        <w:rPr>
          <w:rFonts w:eastAsiaTheme="majorEastAsia"/>
          <w:b/>
          <w:bCs/>
        </w:rPr>
      </w:r>
      <w:r w:rsidRPr="00403636">
        <w:rPr>
          <w:rFonts w:eastAsiaTheme="majorEastAsia"/>
          <w:b/>
          <w:bCs/>
        </w:rPr>
        <w:fldChar w:fldCharType="separate"/>
      </w:r>
      <w:r w:rsidR="00180E14" w:rsidRPr="00180E14">
        <w:rPr>
          <w:b/>
          <w:bCs/>
        </w:rPr>
        <w:t xml:space="preserve">Figure </w:t>
      </w:r>
      <w:r w:rsidR="00180E14" w:rsidRPr="00180E14">
        <w:rPr>
          <w:b/>
          <w:bCs/>
          <w:noProof/>
        </w:rPr>
        <w:t>3</w:t>
      </w:r>
      <w:r w:rsidRPr="00403636">
        <w:rPr>
          <w:rFonts w:eastAsiaTheme="majorEastAsia"/>
          <w:b/>
          <w:bCs/>
        </w:rPr>
        <w:fldChar w:fldCharType="end"/>
      </w:r>
      <w:r w:rsidRPr="00CD6FB8">
        <w:rPr>
          <w:rFonts w:eastAsiaTheme="majorEastAsia"/>
        </w:rPr>
        <w:t>).</w:t>
      </w:r>
      <w:r>
        <w:rPr>
          <w:rFonts w:eastAsiaTheme="majorEastAsia"/>
        </w:rPr>
        <w:t xml:space="preserve"> A</w:t>
      </w:r>
      <w:r w:rsidRPr="004B63F6">
        <w:rPr>
          <w:rFonts w:eastAsiaTheme="majorEastAsia"/>
        </w:rPr>
        <w:t>lmost three</w:t>
      </w:r>
      <w:r w:rsidR="00FF1229">
        <w:rPr>
          <w:rFonts w:eastAsiaTheme="majorEastAsia"/>
        </w:rPr>
        <w:t>-</w:t>
      </w:r>
      <w:r w:rsidRPr="004B63F6">
        <w:rPr>
          <w:rFonts w:eastAsiaTheme="majorEastAsia"/>
        </w:rPr>
        <w:t xml:space="preserve">quarters (71%) of TtW participants felt that their caseworker had a positive or very positive impact on their ability to </w:t>
      </w:r>
      <w:r w:rsidR="00F8391B">
        <w:rPr>
          <w:rFonts w:eastAsiaTheme="majorEastAsia"/>
        </w:rPr>
        <w:t>‘</w:t>
      </w:r>
      <w:r w:rsidRPr="004B63F6">
        <w:rPr>
          <w:rFonts w:eastAsiaTheme="majorEastAsia"/>
        </w:rPr>
        <w:t>put themselves out there</w:t>
      </w:r>
      <w:r w:rsidR="00F8391B">
        <w:rPr>
          <w:rFonts w:eastAsiaTheme="majorEastAsia"/>
        </w:rPr>
        <w:t>’</w:t>
      </w:r>
      <w:r w:rsidRPr="004B63F6">
        <w:rPr>
          <w:rFonts w:eastAsiaTheme="majorEastAsia"/>
        </w:rPr>
        <w:t>, compared to 61% of the comparison group</w:t>
      </w:r>
      <w:r w:rsidR="00F27E77">
        <w:rPr>
          <w:rFonts w:eastAsiaTheme="majorEastAsia"/>
        </w:rPr>
        <w:t>.</w:t>
      </w:r>
      <w:r w:rsidR="00EE102E">
        <w:rPr>
          <w:rStyle w:val="FootnoteReference"/>
          <w:rFonts w:eastAsiaTheme="majorEastAsia"/>
        </w:rPr>
        <w:footnoteReference w:id="51"/>
      </w:r>
    </w:p>
    <w:p w14:paraId="5EDA8B78" w14:textId="7A669C9D" w:rsidR="006150C6" w:rsidRDefault="006150C6" w:rsidP="006150C6">
      <w:pPr>
        <w:rPr>
          <w:rFonts w:eastAsiaTheme="majorEastAsia"/>
        </w:rPr>
      </w:pPr>
      <w:r>
        <w:rPr>
          <w:rFonts w:eastAsiaTheme="majorEastAsia"/>
        </w:rPr>
        <w:t>Respondents to the provider survey had a more positive view of the impact of the program on participants</w:t>
      </w:r>
      <w:r w:rsidR="00F27E77">
        <w:rPr>
          <w:rFonts w:eastAsiaTheme="majorEastAsia"/>
        </w:rPr>
        <w:t>’</w:t>
      </w:r>
      <w:r>
        <w:rPr>
          <w:rFonts w:eastAsiaTheme="majorEastAsia"/>
        </w:rPr>
        <w:t xml:space="preserve"> confidence, with 94% noting that engagement in TtW had a </w:t>
      </w:r>
      <w:r w:rsidR="00F8391B">
        <w:rPr>
          <w:rFonts w:eastAsiaTheme="majorEastAsia"/>
        </w:rPr>
        <w:t>‘</w:t>
      </w:r>
      <w:r>
        <w:rPr>
          <w:rFonts w:eastAsiaTheme="majorEastAsia"/>
        </w:rPr>
        <w:t>very good</w:t>
      </w:r>
      <w:r w:rsidR="00F8391B">
        <w:rPr>
          <w:rFonts w:eastAsiaTheme="majorEastAsia"/>
        </w:rPr>
        <w:t>’</w:t>
      </w:r>
      <w:r>
        <w:rPr>
          <w:rFonts w:eastAsiaTheme="majorEastAsia"/>
        </w:rPr>
        <w:t xml:space="preserve"> or </w:t>
      </w:r>
      <w:r w:rsidR="00F8391B">
        <w:rPr>
          <w:rFonts w:eastAsiaTheme="majorEastAsia"/>
        </w:rPr>
        <w:t>‘</w:t>
      </w:r>
      <w:r>
        <w:rPr>
          <w:rFonts w:eastAsiaTheme="majorEastAsia"/>
        </w:rPr>
        <w:t>good</w:t>
      </w:r>
      <w:r w:rsidR="00F8391B">
        <w:rPr>
          <w:rFonts w:eastAsiaTheme="majorEastAsia"/>
        </w:rPr>
        <w:t>’</w:t>
      </w:r>
      <w:r>
        <w:rPr>
          <w:rFonts w:eastAsiaTheme="majorEastAsia"/>
        </w:rPr>
        <w:t xml:space="preserve"> impact on participants self-confidence</w:t>
      </w:r>
      <w:r w:rsidR="00F27E77">
        <w:rPr>
          <w:rFonts w:eastAsiaTheme="majorEastAsia"/>
        </w:rPr>
        <w:t>.</w:t>
      </w:r>
      <w:r w:rsidR="00EE102E">
        <w:rPr>
          <w:rStyle w:val="FootnoteReference"/>
          <w:rFonts w:eastAsiaTheme="majorEastAsia"/>
        </w:rPr>
        <w:footnoteReference w:id="52"/>
      </w:r>
      <w:r w:rsidR="00EE102E">
        <w:rPr>
          <w:rFonts w:eastAsiaTheme="majorEastAsia"/>
        </w:rPr>
        <w:t xml:space="preserve"> </w:t>
      </w:r>
      <w:r>
        <w:rPr>
          <w:rFonts w:eastAsiaTheme="majorEastAsia"/>
        </w:rPr>
        <w:t>This may be due to caseworkers being more likely to remember the successful interactions with participants</w:t>
      </w:r>
      <w:r w:rsidR="00F77D6F">
        <w:rPr>
          <w:rFonts w:eastAsiaTheme="majorEastAsia"/>
        </w:rPr>
        <w:t xml:space="preserve">, or to </w:t>
      </w:r>
      <w:r w:rsidR="00190BF5">
        <w:rPr>
          <w:rFonts w:eastAsiaTheme="majorEastAsia"/>
        </w:rPr>
        <w:t>talk up the benefits of the program</w:t>
      </w:r>
      <w:r>
        <w:rPr>
          <w:rFonts w:eastAsiaTheme="majorEastAsia"/>
        </w:rPr>
        <w:t>.</w:t>
      </w:r>
    </w:p>
    <w:p w14:paraId="01255B8E" w14:textId="1CE85491" w:rsidR="006150C6" w:rsidRDefault="006150C6" w:rsidP="006150C6">
      <w:pPr>
        <w:pStyle w:val="Caption"/>
        <w:keepNext/>
      </w:pPr>
      <w:bookmarkStart w:id="1679" w:name="_Ref110962126"/>
      <w:bookmarkStart w:id="1680" w:name="_Toc132647843"/>
      <w:bookmarkStart w:id="1681" w:name="_Toc145883313"/>
      <w:bookmarkStart w:id="1682" w:name="_Hlk110420886"/>
      <w:bookmarkStart w:id="1683" w:name="_Hlk124845345"/>
      <w:r>
        <w:t xml:space="preserve">Figure </w:t>
      </w:r>
      <w:r w:rsidR="00BE71D4">
        <w:fldChar w:fldCharType="begin"/>
      </w:r>
      <w:r w:rsidR="00BE71D4">
        <w:instrText xml:space="preserve"> SEQ Figure \* ARABIC </w:instrText>
      </w:r>
      <w:r w:rsidR="00BE71D4">
        <w:fldChar w:fldCharType="separate"/>
      </w:r>
      <w:r w:rsidR="00180E14">
        <w:rPr>
          <w:noProof/>
        </w:rPr>
        <w:t>3</w:t>
      </w:r>
      <w:r w:rsidR="00BE71D4">
        <w:rPr>
          <w:noProof/>
        </w:rPr>
        <w:fldChar w:fldCharType="end"/>
      </w:r>
      <w:bookmarkEnd w:id="1679"/>
      <w:r>
        <w:t>: Participant views on c</w:t>
      </w:r>
      <w:r w:rsidRPr="00BF25C6">
        <w:t>aseworker imp</w:t>
      </w:r>
      <w:r>
        <w:t>a</w:t>
      </w:r>
      <w:r w:rsidRPr="00BF25C6">
        <w:t xml:space="preserve">ct on </w:t>
      </w:r>
      <w:r>
        <w:t xml:space="preserve">their </w:t>
      </w:r>
      <w:r w:rsidRPr="00BF25C6">
        <w:t>self</w:t>
      </w:r>
      <w:r>
        <w:t>-</w:t>
      </w:r>
      <w:r w:rsidRPr="00BF25C6">
        <w:t xml:space="preserve">confidence </w:t>
      </w:r>
      <w:r>
        <w:t>(% of participants)</w:t>
      </w:r>
      <w:bookmarkEnd w:id="1680"/>
      <w:bookmarkEnd w:id="1681"/>
    </w:p>
    <w:bookmarkEnd w:id="1682"/>
    <w:p w14:paraId="11360BB7" w14:textId="69D4EC1C" w:rsidR="006150C6" w:rsidRDefault="00B14A99" w:rsidP="006150C6">
      <w:r>
        <w:rPr>
          <w:noProof/>
        </w:rPr>
        <w:drawing>
          <wp:inline distT="0" distB="0" distL="0" distR="0" wp14:anchorId="3C6FFC86" wp14:editId="4A9AE900">
            <wp:extent cx="5560060" cy="2176145"/>
            <wp:effectExtent l="0" t="0" r="0" b="0"/>
            <wp:docPr id="7" name="Picture 7" descr="TtW: Very positive 17.0%, Positive 52.1%, no impact 25.4% Negative 3.6% and very negative 0.8%&#10;Comparison: Very positive 13.4%, Positive 41.8%, no impact 33.7% Negative 5.3% and very negative 3.8%&#10;Positive and no impact significantly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tW: Very positive 17.0%, Positive 52.1%, no impact 25.4% Negative 3.6% and very negative 0.8%&#10;Comparison: Very positive 13.4%, Positive 41.8%, no impact 33.7% Negative 5.3% and very negative 3.8%&#10;Positive and no impact significantly differ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60060" cy="2176145"/>
                    </a:xfrm>
                    <a:prstGeom prst="rect">
                      <a:avLst/>
                    </a:prstGeom>
                    <a:noFill/>
                  </pic:spPr>
                </pic:pic>
              </a:graphicData>
            </a:graphic>
          </wp:inline>
        </w:drawing>
      </w:r>
    </w:p>
    <w:p w14:paraId="616C16A3" w14:textId="77777777" w:rsidR="006150C6" w:rsidRDefault="006150C6" w:rsidP="006150C6">
      <w:pPr>
        <w:pStyle w:val="SourceandNotes"/>
      </w:pPr>
      <w:r>
        <w:t>Source: Participant survey 2021</w:t>
      </w:r>
    </w:p>
    <w:p w14:paraId="0AAD6889" w14:textId="4D93290C" w:rsidR="006150C6" w:rsidRPr="00C2459A" w:rsidRDefault="006150C6" w:rsidP="006150C6">
      <w:pPr>
        <w:pStyle w:val="SourceandNotes"/>
      </w:pPr>
      <w:r w:rsidRPr="00C2459A">
        <w:t>Base: TtW participants who had contact with their provider (n=1,494), jobactive participants who had contact with their provider (n=578)</w:t>
      </w:r>
    </w:p>
    <w:p w14:paraId="39900E8F" w14:textId="41596F82" w:rsidR="006150C6" w:rsidRDefault="006150C6" w:rsidP="006150C6">
      <w:pPr>
        <w:pStyle w:val="SourceandNotes"/>
      </w:pPr>
      <w:r w:rsidRPr="00C2459A">
        <w:t xml:space="preserve">QTTB4 In your opinion, has your &lt;TtW / jobactive&gt; caseworker(s) had a positive or negative impact on your… </w:t>
      </w:r>
    </w:p>
    <w:p w14:paraId="0CD611D5" w14:textId="29067C92" w:rsidR="006150C6" w:rsidRPr="00C2459A" w:rsidRDefault="006150C6" w:rsidP="006150C6">
      <w:pPr>
        <w:pStyle w:val="SourceandNotes"/>
      </w:pPr>
      <w:r>
        <w:t>Notes:</w:t>
      </w:r>
      <w:r w:rsidR="00D01922">
        <w:t xml:space="preserve"> </w:t>
      </w:r>
      <w:r w:rsidRPr="003F6ED3">
        <w:rPr>
          <w:color w:val="F26322" w:themeColor="accent2"/>
        </w:rPr>
        <w:t>*</w:t>
      </w:r>
      <w:r w:rsidRPr="00C2459A">
        <w:t>Indicates result is significantly different to TtW participants (</w:t>
      </w:r>
      <w:r w:rsidRPr="00C239FD">
        <w:rPr>
          <w:i/>
          <w:iCs/>
        </w:rPr>
        <w:t>p</w:t>
      </w:r>
      <w:r w:rsidRPr="00C2459A">
        <w:t>&lt;0.05)</w:t>
      </w:r>
      <w:r w:rsidR="00D01922">
        <w:t xml:space="preserve">. </w:t>
      </w:r>
      <w:r w:rsidRPr="00C2459A">
        <w:t xml:space="preserve">Percentages shown. Responses of </w:t>
      </w:r>
      <w:r w:rsidR="00F8391B">
        <w:t>‘</w:t>
      </w:r>
      <w:r w:rsidRPr="00C2459A">
        <w:t>don</w:t>
      </w:r>
      <w:r w:rsidR="00F8391B">
        <w:t>’</w:t>
      </w:r>
      <w:r w:rsidRPr="00C2459A">
        <w:t>t know</w:t>
      </w:r>
      <w:r w:rsidR="00F8391B">
        <w:t>’</w:t>
      </w:r>
      <w:r w:rsidRPr="00C2459A">
        <w:t xml:space="preserve"> and </w:t>
      </w:r>
      <w:r w:rsidR="00F8391B">
        <w:t>‘</w:t>
      </w:r>
      <w:r w:rsidRPr="00C2459A">
        <w:t>refused</w:t>
      </w:r>
      <w:r w:rsidR="00F8391B">
        <w:t>’</w:t>
      </w:r>
      <w:r w:rsidRPr="00C2459A">
        <w:t xml:space="preserve"> not shown</w:t>
      </w:r>
      <w:r w:rsidR="004D2082">
        <w:t>.</w:t>
      </w:r>
    </w:p>
    <w:bookmarkEnd w:id="1683"/>
    <w:p w14:paraId="0B76D274" w14:textId="2F300C16" w:rsidR="006150C6" w:rsidRDefault="006150C6" w:rsidP="006150C6">
      <w:r>
        <w:t>Interview and focus group discussions with participants and providers allowed for a more nuanced view of the impact of TtW on participants</w:t>
      </w:r>
      <w:r w:rsidR="00F27E77">
        <w:t>’</w:t>
      </w:r>
      <w:r>
        <w:t xml:space="preserve"> human capabilities.</w:t>
      </w:r>
    </w:p>
    <w:p w14:paraId="687456D9" w14:textId="77777777" w:rsidR="006150C6" w:rsidRDefault="006150C6" w:rsidP="009251AF">
      <w:pPr>
        <w:pStyle w:val="Heading4"/>
        <w:numPr>
          <w:ilvl w:val="0"/>
          <w:numId w:val="0"/>
        </w:numPr>
      </w:pPr>
      <w:r>
        <w:t>Vocational impacts</w:t>
      </w:r>
    </w:p>
    <w:p w14:paraId="5234B133" w14:textId="7DAF1EDE" w:rsidR="006150C6" w:rsidRPr="00262595" w:rsidRDefault="006150C6" w:rsidP="006150C6">
      <w:pPr>
        <w:rPr>
          <w:rFonts w:eastAsiaTheme="majorEastAsia"/>
          <w:highlight w:val="yellow"/>
        </w:rPr>
      </w:pPr>
      <w:r>
        <w:t xml:space="preserve">Many participants claimed that </w:t>
      </w:r>
      <w:r w:rsidRPr="00F66B3E">
        <w:t xml:space="preserve">TtW had improved their confidence in their ability to find work. Some participants mentioned that their caseworker fostered a </w:t>
      </w:r>
      <w:r w:rsidR="00F8391B">
        <w:t>‘</w:t>
      </w:r>
      <w:r w:rsidRPr="00F66B3E">
        <w:t>you can do it</w:t>
      </w:r>
      <w:r w:rsidR="00F8391B">
        <w:t>’</w:t>
      </w:r>
      <w:r w:rsidRPr="00F66B3E">
        <w:t xml:space="preserve"> attitude and encouraged them to </w:t>
      </w:r>
      <w:r w:rsidR="00F8391B">
        <w:t>‘</w:t>
      </w:r>
      <w:r w:rsidRPr="00F66B3E">
        <w:t>put themselves out there</w:t>
      </w:r>
      <w:r w:rsidR="00F8391B">
        <w:t>’</w:t>
      </w:r>
      <w:r w:rsidRPr="00F66B3E">
        <w:t xml:space="preserve"> to ap</w:t>
      </w:r>
      <w:r>
        <w:t>ply for jobs. This instilled participants with the confidence necessary to face unfamiliar situations and potential rejection from job applications. A number of participants said that the passion their caseworker had for their job, and their genuine interest in the participants</w:t>
      </w:r>
      <w:r w:rsidR="00F8391B">
        <w:t>’</w:t>
      </w:r>
      <w:r>
        <w:t xml:space="preserve"> success, made them feel more confident about themselves and their abilities.</w:t>
      </w:r>
    </w:p>
    <w:p w14:paraId="4A7EE0B8" w14:textId="78E5C72D" w:rsidR="006150C6" w:rsidRDefault="006150C6" w:rsidP="006150C6">
      <w:pPr>
        <w:pStyle w:val="Quote"/>
      </w:pPr>
      <w:r>
        <w:t>[It</w:t>
      </w:r>
      <w:r w:rsidR="00F8391B">
        <w:t>’</w:t>
      </w:r>
      <w:r>
        <w:t>s] j</w:t>
      </w:r>
      <w:r w:rsidRPr="00846E1E">
        <w:t>ust good to boost your confidence a bit. Give it a go, get out there. Give it a try</w:t>
      </w:r>
      <w:r w:rsidR="00F27E77">
        <w:t xml:space="preserve"> </w:t>
      </w:r>
      <w:r>
        <w:t>…</w:t>
      </w:r>
      <w:r w:rsidRPr="00846E1E">
        <w:t xml:space="preserve"> </w:t>
      </w:r>
      <w:r>
        <w:t>[My caseworker was]</w:t>
      </w:r>
      <w:r w:rsidRPr="00B040FA">
        <w:t xml:space="preserve"> just telling me I could do it. And I was just like I suppose I can just do it. What</w:t>
      </w:r>
      <w:r w:rsidR="00F8391B">
        <w:t>’</w:t>
      </w:r>
      <w:r w:rsidRPr="00B040FA">
        <w:t>s the worst thing that can happen</w:t>
      </w:r>
      <w:r>
        <w:t xml:space="preserve">? … </w:t>
      </w:r>
      <w:r w:rsidRPr="00B040FA">
        <w:t xml:space="preserve">They just kept telling me to give it a </w:t>
      </w:r>
      <w:r w:rsidRPr="00B040FA">
        <w:lastRenderedPageBreak/>
        <w:t xml:space="preserve">shot, just see what happens. Just kept telling me to put my </w:t>
      </w:r>
      <w:r w:rsidRPr="00651741">
        <w:t>résumés</w:t>
      </w:r>
      <w:r>
        <w:t xml:space="preserve"> </w:t>
      </w:r>
      <w:r w:rsidRPr="00B040FA">
        <w:t>in here and there. Just give it a shot and hope for the best. And eventually I was just like, you know what, that</w:t>
      </w:r>
      <w:r w:rsidR="00F8391B">
        <w:t>’</w:t>
      </w:r>
      <w:r w:rsidRPr="00B040FA">
        <w:t>s what I need to do. So, I did. I ended up getting a job. And I was happy.</w:t>
      </w:r>
      <w:r>
        <w:t xml:space="preserve"> (Participant 25, </w:t>
      </w:r>
      <w:r w:rsidR="00ED248D">
        <w:t>m</w:t>
      </w:r>
      <w:r>
        <w:t>ale, 22+ years old, regional NSW, Group 1)</w:t>
      </w:r>
    </w:p>
    <w:p w14:paraId="007FE1F7" w14:textId="2216F6E5" w:rsidR="006150C6" w:rsidRDefault="006150C6" w:rsidP="006150C6">
      <w:r>
        <w:t>One of the main ways in which TtW caseworkers helped to improve the confidence of participants was to highlight their skills and positive attributes and provide practical help. Some participants mentioned that their caseworker helped them to identify what roles they would be most suited for, and in some cases, linked them with education to improve their skills, which also provided a confidence boost. Some participants stated that their caseworker had helped them to improve their résumé, practi</w:t>
      </w:r>
      <w:r w:rsidR="00F27E77">
        <w:t>s</w:t>
      </w:r>
      <w:r>
        <w:t>ed mock interviews and</w:t>
      </w:r>
      <w:r w:rsidR="00F27E77">
        <w:t xml:space="preserve"> arranged</w:t>
      </w:r>
      <w:r>
        <w:t xml:space="preserve"> direct exposure via attending real interviews, which made them more confident to apply for jobs.</w:t>
      </w:r>
    </w:p>
    <w:p w14:paraId="450C8284" w14:textId="7E41FB55" w:rsidR="006150C6" w:rsidRPr="00861A4B" w:rsidRDefault="006150C6" w:rsidP="006150C6">
      <w:pPr>
        <w:pStyle w:val="Quote"/>
      </w:pPr>
      <w:r w:rsidRPr="00861A4B">
        <w:t>So, getting that certificate</w:t>
      </w:r>
      <w:r w:rsidR="00F27E77">
        <w:t xml:space="preserve"> – </w:t>
      </w:r>
      <w:r w:rsidRPr="00861A4B">
        <w:t>which they helped me get that certificate</w:t>
      </w:r>
      <w:r w:rsidR="00F27E77">
        <w:t xml:space="preserve"> – </w:t>
      </w:r>
      <w:r w:rsidRPr="00861A4B">
        <w:t>has given me even more confidence in applying for a better job</w:t>
      </w:r>
      <w:r w:rsidR="00507B59">
        <w:t xml:space="preserve"> </w:t>
      </w:r>
      <w:r>
        <w:t xml:space="preserve">… </w:t>
      </w:r>
      <w:r w:rsidRPr="00A3152F">
        <w:t>So now that I</w:t>
      </w:r>
      <w:r w:rsidR="00F8391B">
        <w:t>’</w:t>
      </w:r>
      <w:r w:rsidRPr="00A3152F">
        <w:t>ve got a Certificate III in Business, it makes me feel a little bit good because I</w:t>
      </w:r>
      <w:r w:rsidR="00F8391B">
        <w:t>’</w:t>
      </w:r>
      <w:r w:rsidRPr="00A3152F">
        <w:t xml:space="preserve">ve got at least something to have on my </w:t>
      </w:r>
      <w:r w:rsidRPr="00651741">
        <w:t>résumé</w:t>
      </w:r>
      <w:r>
        <w:t xml:space="preserve">. (Participant 13, </w:t>
      </w:r>
      <w:r w:rsidR="00ED248D">
        <w:t>m</w:t>
      </w:r>
      <w:r>
        <w:t>ale, 19</w:t>
      </w:r>
      <w:r w:rsidR="00ED248D">
        <w:t>–</w:t>
      </w:r>
      <w:r>
        <w:t>21 years old, regional Qld, Group 1)</w:t>
      </w:r>
    </w:p>
    <w:p w14:paraId="0BF7EE3B" w14:textId="63B42671" w:rsidR="006150C6" w:rsidRPr="000E34F7" w:rsidRDefault="006150C6" w:rsidP="006150C6">
      <w:pPr>
        <w:pStyle w:val="Quote"/>
      </w:pPr>
      <w:r>
        <w:t xml:space="preserve">She re-wrote my </w:t>
      </w:r>
      <w:r w:rsidRPr="00651741">
        <w:t>résumé</w:t>
      </w:r>
      <w:r>
        <w:t xml:space="preserve"> and she put my skills down in a way that she said</w:t>
      </w:r>
      <w:r w:rsidR="00AE4B69">
        <w:t xml:space="preserve"> </w:t>
      </w:r>
      <w:r>
        <w:t xml:space="preserve">… I would stand out, and then, after she did that, I started getting more response from the employers, so, yeah, I had more confidence with my </w:t>
      </w:r>
      <w:r w:rsidRPr="00651741">
        <w:t>résumé</w:t>
      </w:r>
      <w:r>
        <w:t xml:space="preserve">. (Participant 8, </w:t>
      </w:r>
      <w:r w:rsidR="00ED248D">
        <w:t>f</w:t>
      </w:r>
      <w:r>
        <w:t>emale, 19</w:t>
      </w:r>
      <w:r w:rsidR="00ED248D">
        <w:t>–</w:t>
      </w:r>
      <w:r>
        <w:t>21 years old, metro NSW, Group 2)</w:t>
      </w:r>
    </w:p>
    <w:p w14:paraId="417AF811" w14:textId="138B597F" w:rsidR="006150C6" w:rsidRDefault="006150C6" w:rsidP="006150C6">
      <w:r>
        <w:t>For some participants, this new-found confidence motivated them to approach employers, helped develop their soft skills and improved their ability to socialise in the workplace.</w:t>
      </w:r>
    </w:p>
    <w:p w14:paraId="258B8B94" w14:textId="77777777" w:rsidR="006150C6" w:rsidRPr="00292158" w:rsidRDefault="006150C6" w:rsidP="009251AF">
      <w:pPr>
        <w:pStyle w:val="Heading4"/>
        <w:numPr>
          <w:ilvl w:val="0"/>
          <w:numId w:val="0"/>
        </w:numPr>
      </w:pPr>
      <w:r>
        <w:t>Broader impacts</w:t>
      </w:r>
    </w:p>
    <w:p w14:paraId="757679B7" w14:textId="63F51F4C" w:rsidR="006150C6" w:rsidRDefault="006150C6" w:rsidP="006150C6">
      <w:r>
        <w:t>The improvements in confidence experienced by participants also flowed through to broader areas of their lives. For example, some participants felt that TtW had helped to improve their overall self-esteem. Others reported that TtW had helped them to improve their confidence in other aspects of their life, including overcoming the fear of driving to obtain a licence, feeling more confident and supported while going through court proceedings, and developing greater confidence in their parenting abilities.</w:t>
      </w:r>
    </w:p>
    <w:p w14:paraId="5D285039" w14:textId="05A5FE2E" w:rsidR="006150C6" w:rsidRDefault="006150C6" w:rsidP="006150C6">
      <w:pPr>
        <w:pStyle w:val="Quote"/>
      </w:pPr>
      <w:r>
        <w:t>It has boosted my confidence a lot actually. I wasn</w:t>
      </w:r>
      <w:r w:rsidR="00F8391B">
        <w:t>’</w:t>
      </w:r>
      <w:r>
        <w:t>t a very confident person, I always had doubt in myself, but [caseworker] has helped me a long way with that and everyone there, they</w:t>
      </w:r>
      <w:r w:rsidR="00F8391B">
        <w:t>’</w:t>
      </w:r>
      <w:r>
        <w:t>ve all lovely and kind. You can talk to them all if you</w:t>
      </w:r>
      <w:r w:rsidR="00F8391B">
        <w:t>’</w:t>
      </w:r>
      <w:r>
        <w:t xml:space="preserve">ve got any doubts on yourself. (Participant 43, </w:t>
      </w:r>
      <w:r w:rsidR="00ED248D">
        <w:t>f</w:t>
      </w:r>
      <w:r>
        <w:t>emale, 16</w:t>
      </w:r>
      <w:r w:rsidR="00F27E77">
        <w:t>–</w:t>
      </w:r>
      <w:r>
        <w:t>18 years old, regional Tas, Group 1)</w:t>
      </w:r>
    </w:p>
    <w:p w14:paraId="6E9A8687" w14:textId="474078A6" w:rsidR="006150C6" w:rsidRDefault="006150C6" w:rsidP="006150C6">
      <w:pPr>
        <w:pStyle w:val="Quote"/>
      </w:pPr>
      <w:r>
        <w:t>He has made me more confident in myself, and the things that I can do</w:t>
      </w:r>
      <w:r w:rsidR="00F8391B">
        <w:t xml:space="preserve"> – </w:t>
      </w:r>
      <w:r>
        <w:t>it</w:t>
      </w:r>
      <w:r w:rsidR="00F8391B">
        <w:t>’</w:t>
      </w:r>
      <w:r>
        <w:t xml:space="preserve">s not limited. (Participant 24, </w:t>
      </w:r>
      <w:r w:rsidR="00ED248D">
        <w:t>f</w:t>
      </w:r>
      <w:r>
        <w:t>emale, 16</w:t>
      </w:r>
      <w:r w:rsidR="00F27E77">
        <w:t>–</w:t>
      </w:r>
      <w:r>
        <w:t>18 years old, metro NSW, Group 1, CALD)</w:t>
      </w:r>
      <w:r w:rsidRPr="00F639D8">
        <w:t xml:space="preserve"> </w:t>
      </w:r>
    </w:p>
    <w:p w14:paraId="3927D17E" w14:textId="4DBE8F5C" w:rsidR="006150C6" w:rsidRDefault="006150C6" w:rsidP="006150C6">
      <w:pPr>
        <w:pStyle w:val="Quote"/>
      </w:pPr>
      <w:r>
        <w:t>Being able to connect with the right kind of driving instructor</w:t>
      </w:r>
      <w:r w:rsidR="00952B66">
        <w:t xml:space="preserve"> </w:t>
      </w:r>
      <w:r>
        <w:t>… it really helped me in my confidence</w:t>
      </w:r>
      <w:r w:rsidR="00952B66">
        <w:t xml:space="preserve"> </w:t>
      </w:r>
      <w:r>
        <w:t>… I know that I can do it. I</w:t>
      </w:r>
      <w:r w:rsidR="00F8391B">
        <w:t>’</w:t>
      </w:r>
      <w:r>
        <w:t>m not scared to try it anymore</w:t>
      </w:r>
      <w:r w:rsidR="00952B66">
        <w:t xml:space="preserve"> </w:t>
      </w:r>
      <w:r>
        <w:t>… I was able to build up confidence to return to something I was so scared of doing</w:t>
      </w:r>
      <w:r w:rsidR="00952B66">
        <w:t xml:space="preserve"> </w:t>
      </w:r>
      <w:r>
        <w:t xml:space="preserve">… When I got my Ps, [my caseworker] was the first person to congratulate me [caseworker accompanied her to the test] … she waited there and when I called her, the smile on her face was just … </w:t>
      </w:r>
      <w:r>
        <w:lastRenderedPageBreak/>
        <w:t>they have helped me grow further and more confident. And I</w:t>
      </w:r>
      <w:r w:rsidR="00F8391B">
        <w:t>’</w:t>
      </w:r>
      <w:r>
        <w:t>m not as sad because I don</w:t>
      </w:r>
      <w:r w:rsidR="00F8391B">
        <w:t>’</w:t>
      </w:r>
      <w:r>
        <w:t>t feel as useless anymore. Because I</w:t>
      </w:r>
      <w:r w:rsidR="00F8391B">
        <w:t>’</w:t>
      </w:r>
      <w:r>
        <w:t xml:space="preserve">m working. (Participant 16, </w:t>
      </w:r>
      <w:r w:rsidR="00ED248D">
        <w:t>f</w:t>
      </w:r>
      <w:r>
        <w:t>emale, 19</w:t>
      </w:r>
      <w:r w:rsidR="00625CBE">
        <w:t>–</w:t>
      </w:r>
      <w:r>
        <w:t>21 years old, regional Qld, Group 1, homeless)</w:t>
      </w:r>
    </w:p>
    <w:p w14:paraId="479CB0B4" w14:textId="391845F3" w:rsidR="006150C6" w:rsidRDefault="006150C6" w:rsidP="006150C6">
      <w:r>
        <w:t>A few participants, who felt that their caseworkers were not positively engaged with their needs, reported experiencing a strong negative impact on their confidence which extended to their sense of wellbeing more broadly. This is an important reminder of the fragility of some participants</w:t>
      </w:r>
      <w:r w:rsidR="00F8391B">
        <w:t>’</w:t>
      </w:r>
      <w:r>
        <w:t xml:space="preserve"> self-esteem and the significant role TtW caseworkers can play.</w:t>
      </w:r>
    </w:p>
    <w:p w14:paraId="6133D2BD" w14:textId="5B24D844" w:rsidR="006150C6" w:rsidRPr="00355610" w:rsidRDefault="006150C6" w:rsidP="006150C6">
      <w:pPr>
        <w:pStyle w:val="Quote"/>
      </w:pPr>
      <w:r w:rsidRPr="00AC4CDF">
        <w:t>When it came down to it, their lack of wanting to help made me feel like I</w:t>
      </w:r>
      <w:r w:rsidR="00F8391B">
        <w:t>’</w:t>
      </w:r>
      <w:r w:rsidRPr="00AC4CDF">
        <w:t>m not overly worth helping. It made me feel worthless in the end</w:t>
      </w:r>
      <w:r w:rsidR="00BC3B85">
        <w:t xml:space="preserve"> </w:t>
      </w:r>
      <w:r>
        <w:t>… [</w:t>
      </w:r>
      <w:r w:rsidRPr="00AC4CDF">
        <w:t xml:space="preserve">it </w:t>
      </w:r>
      <w:r>
        <w:t>was like my caseworker]</w:t>
      </w:r>
      <w:r w:rsidRPr="00AC4CDF">
        <w:t xml:space="preserve"> couldn</w:t>
      </w:r>
      <w:r w:rsidR="00F8391B">
        <w:t>’</w:t>
      </w:r>
      <w:r w:rsidRPr="00AC4CDF">
        <w:t>t really give two s</w:t>
      </w:r>
      <w:r w:rsidR="00BC3B85">
        <w:t>*</w:t>
      </w:r>
      <w:r w:rsidRPr="00AC4CDF">
        <w:t>s whether you get a job or not, they just want to tick their boxes and get their pay cheque, it ruins your confidence.</w:t>
      </w:r>
      <w:r w:rsidRPr="00355610">
        <w:t xml:space="preserve"> </w:t>
      </w:r>
      <w:r>
        <w:t>(</w:t>
      </w:r>
      <w:hyperlink r:id="rId27" w:history="1">
        <w:r w:rsidRPr="00355610">
          <w:t>Participant 11</w:t>
        </w:r>
        <w:r>
          <w:t xml:space="preserve">, </w:t>
        </w:r>
        <w:r w:rsidR="00ED248D">
          <w:t>m</w:t>
        </w:r>
        <w:r>
          <w:t>ale, 22+ years old, r</w:t>
        </w:r>
        <w:r w:rsidRPr="00355610">
          <w:t>egional</w:t>
        </w:r>
        <w:r>
          <w:t xml:space="preserve"> Vic, </w:t>
        </w:r>
        <w:r w:rsidRPr="00355610">
          <w:t>Group 1</w:t>
        </w:r>
      </w:hyperlink>
      <w:r>
        <w:t>)</w:t>
      </w:r>
    </w:p>
    <w:p w14:paraId="1C288556" w14:textId="77777777" w:rsidR="006150C6" w:rsidRDefault="006150C6" w:rsidP="00DF4A08">
      <w:pPr>
        <w:pStyle w:val="Heading3"/>
        <w:ind w:left="0"/>
      </w:pPr>
      <w:bookmarkStart w:id="1684" w:name="_Toc106711863"/>
      <w:bookmarkStart w:id="1685" w:name="_Toc132650460"/>
      <w:bookmarkStart w:id="1686" w:name="_Toc146033491"/>
      <w:r>
        <w:t>Motivation</w:t>
      </w:r>
      <w:bookmarkEnd w:id="1684"/>
      <w:bookmarkEnd w:id="1685"/>
      <w:bookmarkEnd w:id="1686"/>
    </w:p>
    <w:p w14:paraId="59900490" w14:textId="228E93B7" w:rsidR="006150C6" w:rsidRDefault="006150C6" w:rsidP="006150C6">
      <w:r>
        <w:t>Motivation, or the stimulus or a sense of purpose to act, is strongly related to confidence. Increased motivation to participate in work and/or study was commonly reported by participants in interviews as a benefit of participating in TtW. The impact of the program on participants</w:t>
      </w:r>
      <w:r w:rsidR="00F8391B">
        <w:t>’</w:t>
      </w:r>
      <w:r>
        <w:t xml:space="preserve"> broader sense of motivation (i.e. beyond vocational settings) was less apparent.</w:t>
      </w:r>
    </w:p>
    <w:p w14:paraId="050BFDBB" w14:textId="197BD19D" w:rsidR="006150C6" w:rsidRDefault="006150C6" w:rsidP="006150C6">
      <w:r>
        <w:t xml:space="preserve">Survey participants were asked if their caseworker had a positive or negative impact on their motivation to work towards their goals. Four out of </w:t>
      </w:r>
      <w:r w:rsidR="00625CBE">
        <w:t>5</w:t>
      </w:r>
      <w:r>
        <w:t xml:space="preserve"> TtW participants (80%) felt that their caseworkers</w:t>
      </w:r>
      <w:r w:rsidR="00F8391B">
        <w:t>’</w:t>
      </w:r>
      <w:r>
        <w:t xml:space="preserve"> influence had been positive or very positive (compared to 66% of the comparison </w:t>
      </w:r>
      <w:r w:rsidR="00A271A5">
        <w:t xml:space="preserve">participant </w:t>
      </w:r>
      <w:r>
        <w:t xml:space="preserve">group). As with confidence, there was a small proportion of </w:t>
      </w:r>
      <w:r w:rsidR="00782659">
        <w:t xml:space="preserve">TtW </w:t>
      </w:r>
      <w:r>
        <w:t>participants who felt that their caseworkers had a negative or very negative influence on their motivation (3%)</w:t>
      </w:r>
      <w:r w:rsidR="00625CBE">
        <w:t>,</w:t>
      </w:r>
      <w:r>
        <w:t xml:space="preserve"> which was much lower than the comparison </w:t>
      </w:r>
      <w:r w:rsidR="00782659">
        <w:t xml:space="preserve">group </w:t>
      </w:r>
      <w:r>
        <w:t>(7</w:t>
      </w:r>
      <w:r w:rsidRPr="00CD6FB8">
        <w:t>%) (</w:t>
      </w:r>
      <w:r w:rsidRPr="00403636">
        <w:rPr>
          <w:b/>
          <w:bCs/>
        </w:rPr>
        <w:fldChar w:fldCharType="begin"/>
      </w:r>
      <w:r w:rsidRPr="00403636">
        <w:rPr>
          <w:b/>
          <w:bCs/>
        </w:rPr>
        <w:instrText xml:space="preserve"> REF _Ref110962137 \h  \* MERGEFORMAT </w:instrText>
      </w:r>
      <w:r w:rsidRPr="00403636">
        <w:rPr>
          <w:b/>
          <w:bCs/>
        </w:rPr>
      </w:r>
      <w:r w:rsidRPr="00403636">
        <w:rPr>
          <w:b/>
          <w:bCs/>
        </w:rPr>
        <w:fldChar w:fldCharType="separate"/>
      </w:r>
      <w:r w:rsidR="00180E14" w:rsidRPr="00180E14">
        <w:rPr>
          <w:b/>
          <w:bCs/>
        </w:rPr>
        <w:t xml:space="preserve">Figure </w:t>
      </w:r>
      <w:r w:rsidR="00180E14" w:rsidRPr="00180E14">
        <w:rPr>
          <w:b/>
          <w:bCs/>
          <w:noProof/>
        </w:rPr>
        <w:t>4</w:t>
      </w:r>
      <w:r w:rsidRPr="00403636">
        <w:rPr>
          <w:b/>
          <w:bCs/>
        </w:rPr>
        <w:fldChar w:fldCharType="end"/>
      </w:r>
      <w:r w:rsidRPr="00CD6FB8">
        <w:t>).</w:t>
      </w:r>
    </w:p>
    <w:p w14:paraId="38119440" w14:textId="33E0B8F7" w:rsidR="006150C6" w:rsidRDefault="006150C6" w:rsidP="006150C6">
      <w:pPr>
        <w:pStyle w:val="Caption"/>
        <w:keepNext/>
      </w:pPr>
      <w:bookmarkStart w:id="1687" w:name="_Ref110962137"/>
      <w:bookmarkStart w:id="1688" w:name="_Toc132647844"/>
      <w:bookmarkStart w:id="1689" w:name="_Toc145883314"/>
      <w:bookmarkStart w:id="1690" w:name="_Hlk110421844"/>
      <w:bookmarkStart w:id="1691" w:name="_Hlk124845389"/>
      <w:r>
        <w:t xml:space="preserve">Figure </w:t>
      </w:r>
      <w:r w:rsidR="00BE71D4">
        <w:fldChar w:fldCharType="begin"/>
      </w:r>
      <w:r w:rsidR="00BE71D4">
        <w:instrText xml:space="preserve"> SEQ Figure \* ARABIC </w:instrText>
      </w:r>
      <w:r w:rsidR="00BE71D4">
        <w:fldChar w:fldCharType="separate"/>
      </w:r>
      <w:r w:rsidR="00180E14">
        <w:rPr>
          <w:noProof/>
        </w:rPr>
        <w:t>4</w:t>
      </w:r>
      <w:r w:rsidR="00BE71D4">
        <w:rPr>
          <w:noProof/>
        </w:rPr>
        <w:fldChar w:fldCharType="end"/>
      </w:r>
      <w:bookmarkEnd w:id="1687"/>
      <w:r>
        <w:t>: Participant views on c</w:t>
      </w:r>
      <w:r w:rsidRPr="00B84A90">
        <w:t xml:space="preserve">aseworker impact on </w:t>
      </w:r>
      <w:r>
        <w:t>their</w:t>
      </w:r>
      <w:r w:rsidRPr="00B84A90">
        <w:t xml:space="preserve"> </w:t>
      </w:r>
      <w:r>
        <w:t>motivation to work towards their goals (% of participants)</w:t>
      </w:r>
      <w:bookmarkEnd w:id="1688"/>
      <w:bookmarkEnd w:id="1689"/>
    </w:p>
    <w:p w14:paraId="15712043" w14:textId="3AFC9DD1" w:rsidR="006150C6" w:rsidRPr="001B664B" w:rsidRDefault="00B14A99" w:rsidP="006150C6">
      <w:r>
        <w:rPr>
          <w:noProof/>
        </w:rPr>
        <w:drawing>
          <wp:inline distT="0" distB="0" distL="0" distR="0" wp14:anchorId="28DB9E73" wp14:editId="066EC913">
            <wp:extent cx="5372100" cy="2225053"/>
            <wp:effectExtent l="0" t="0" r="0" b="0"/>
            <wp:docPr id="8" name="Picture 8" descr="TtW: Very positive 24.7%, Positive 54.9%, no impact 16.7% Negative 2.6% and very negative 0.5%&#10;Comparison: Very positive 16.6%, Positive 49.9%, no impact 24.5% Negative 4.0% and very negative 3.0%. &#10;Very positive/positive and no impact significantly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tW: Very positive 24.7%, Positive 54.9%, no impact 16.7% Negative 2.6% and very negative 0.5%&#10;Comparison: Very positive 16.6%, Positive 49.9%, no impact 24.5% Negative 4.0% and very negative 3.0%. &#10;Very positive/positive and no impact significantly differ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88556" cy="2231869"/>
                    </a:xfrm>
                    <a:prstGeom prst="rect">
                      <a:avLst/>
                    </a:prstGeom>
                    <a:noFill/>
                  </pic:spPr>
                </pic:pic>
              </a:graphicData>
            </a:graphic>
          </wp:inline>
        </w:drawing>
      </w:r>
    </w:p>
    <w:bookmarkEnd w:id="1690"/>
    <w:p w14:paraId="0E9B3955" w14:textId="77777777" w:rsidR="006150C6" w:rsidRDefault="006150C6" w:rsidP="006150C6">
      <w:pPr>
        <w:pStyle w:val="SourceandNotes"/>
      </w:pPr>
      <w:r>
        <w:t>Source: Participant survey 2021</w:t>
      </w:r>
    </w:p>
    <w:p w14:paraId="73F324AD" w14:textId="4DBA4E1E" w:rsidR="006150C6" w:rsidRPr="00D14A39" w:rsidRDefault="006150C6" w:rsidP="006150C6">
      <w:pPr>
        <w:pStyle w:val="SourceandNotes"/>
      </w:pPr>
      <w:r w:rsidRPr="00D14A39">
        <w:t>Base: TtW participants who had contact with their provider (n=1,494), jobactive participants who had contact with their provider (n=578)</w:t>
      </w:r>
    </w:p>
    <w:p w14:paraId="51D306E5" w14:textId="4AC79EC9" w:rsidR="006150C6" w:rsidRPr="00D14A39" w:rsidRDefault="006150C6" w:rsidP="006150C6">
      <w:pPr>
        <w:pStyle w:val="SourceandNotes"/>
      </w:pPr>
      <w:r w:rsidRPr="00D14A39">
        <w:t xml:space="preserve">QTTB4 In your opinion, has your &lt;TtW / jobactive&gt; caseworker(s) had a positive or negative impact on your… </w:t>
      </w:r>
    </w:p>
    <w:p w14:paraId="7F711C6B" w14:textId="6723630D" w:rsidR="006150C6" w:rsidRPr="00D14A39" w:rsidRDefault="006150C6" w:rsidP="006150C6">
      <w:pPr>
        <w:pStyle w:val="SourceandNotes"/>
      </w:pPr>
      <w:r>
        <w:t xml:space="preserve">Notes: </w:t>
      </w:r>
      <w:r w:rsidRPr="00D14A39">
        <w:rPr>
          <w:color w:val="FF0000"/>
        </w:rPr>
        <w:t>*</w:t>
      </w:r>
      <w:r w:rsidRPr="00D14A39">
        <w:t>Indicates result is significantly different to TtW participants (</w:t>
      </w:r>
      <w:r w:rsidRPr="00C239FD">
        <w:rPr>
          <w:i/>
          <w:iCs/>
        </w:rPr>
        <w:t>p</w:t>
      </w:r>
      <w:r w:rsidRPr="00D14A39">
        <w:t>&lt;0.05).</w:t>
      </w:r>
      <w:r w:rsidR="00D01922">
        <w:t xml:space="preserve"> </w:t>
      </w:r>
      <w:r>
        <w:t xml:space="preserve">Percentages shown. Responses of </w:t>
      </w:r>
      <w:r w:rsidR="00F8391B">
        <w:t>‘</w:t>
      </w:r>
      <w:r>
        <w:t>don</w:t>
      </w:r>
      <w:r w:rsidR="00F8391B">
        <w:t>’</w:t>
      </w:r>
      <w:r>
        <w:t>t know</w:t>
      </w:r>
      <w:r w:rsidR="00F8391B">
        <w:t>’</w:t>
      </w:r>
      <w:r>
        <w:t xml:space="preserve"> and </w:t>
      </w:r>
      <w:r w:rsidR="00F8391B">
        <w:t>‘</w:t>
      </w:r>
      <w:r>
        <w:t>refused</w:t>
      </w:r>
      <w:r w:rsidR="00F8391B">
        <w:t>’</w:t>
      </w:r>
      <w:r>
        <w:t xml:space="preserve"> not shown</w:t>
      </w:r>
      <w:r w:rsidR="00A12957">
        <w:t>.</w:t>
      </w:r>
    </w:p>
    <w:bookmarkEnd w:id="1691"/>
    <w:p w14:paraId="315C4290" w14:textId="539BE85A" w:rsidR="006150C6" w:rsidRDefault="006150C6" w:rsidP="006150C6">
      <w:r>
        <w:lastRenderedPageBreak/>
        <w:t>More TtW participants felt that their caseworkers had a positive or very positive impact on their ability to keep trying and not give up than did those in the comparison group (76% compared to 66%)</w:t>
      </w:r>
      <w:r w:rsidR="00625CBE">
        <w:t>.</w:t>
      </w:r>
      <w:r w:rsidR="00974261">
        <w:rPr>
          <w:rStyle w:val="FootnoteReference"/>
        </w:rPr>
        <w:footnoteReference w:id="53"/>
      </w:r>
    </w:p>
    <w:p w14:paraId="06288616" w14:textId="6A9B5B4D" w:rsidR="009251AF" w:rsidRDefault="006150C6" w:rsidP="006150C6">
      <w:pPr>
        <w:rPr>
          <w:rFonts w:eastAsiaTheme="majorEastAsia"/>
        </w:rPr>
      </w:pPr>
      <w:r>
        <w:t xml:space="preserve">Providers responding to the provider survey were </w:t>
      </w:r>
      <w:r w:rsidR="00A271A5">
        <w:t xml:space="preserve">again </w:t>
      </w:r>
      <w:r>
        <w:t xml:space="preserve">more positive than participants, with the vast majority </w:t>
      </w:r>
      <w:r>
        <w:rPr>
          <w:rFonts w:eastAsiaTheme="majorEastAsia"/>
        </w:rPr>
        <w:t xml:space="preserve">responding that engagement in TtW had a </w:t>
      </w:r>
      <w:r w:rsidR="00F8391B">
        <w:rPr>
          <w:rFonts w:eastAsiaTheme="majorEastAsia"/>
        </w:rPr>
        <w:t>‘</w:t>
      </w:r>
      <w:r>
        <w:rPr>
          <w:rFonts w:eastAsiaTheme="majorEastAsia"/>
        </w:rPr>
        <w:t>very good</w:t>
      </w:r>
      <w:r w:rsidR="00F8391B">
        <w:rPr>
          <w:rFonts w:eastAsiaTheme="majorEastAsia"/>
        </w:rPr>
        <w:t>’</w:t>
      </w:r>
      <w:r>
        <w:rPr>
          <w:rFonts w:eastAsiaTheme="majorEastAsia"/>
        </w:rPr>
        <w:t xml:space="preserve"> or </w:t>
      </w:r>
      <w:r w:rsidR="00F8391B">
        <w:rPr>
          <w:rFonts w:eastAsiaTheme="majorEastAsia"/>
        </w:rPr>
        <w:t>‘</w:t>
      </w:r>
      <w:r>
        <w:rPr>
          <w:rFonts w:eastAsiaTheme="majorEastAsia"/>
        </w:rPr>
        <w:t>good</w:t>
      </w:r>
      <w:r w:rsidR="00F8391B">
        <w:rPr>
          <w:rFonts w:eastAsiaTheme="majorEastAsia"/>
        </w:rPr>
        <w:t>’</w:t>
      </w:r>
      <w:r>
        <w:rPr>
          <w:rFonts w:eastAsiaTheme="majorEastAsia"/>
        </w:rPr>
        <w:t xml:space="preserve"> impact on participants</w:t>
      </w:r>
      <w:r w:rsidR="00625CBE">
        <w:rPr>
          <w:rFonts w:eastAsiaTheme="majorEastAsia"/>
        </w:rPr>
        <w:t>’</w:t>
      </w:r>
      <w:r>
        <w:rPr>
          <w:rFonts w:eastAsiaTheme="majorEastAsia"/>
        </w:rPr>
        <w:t xml:space="preserve"> ability to keep trying and not give up (</w:t>
      </w:r>
      <w:r>
        <w:t>96%)</w:t>
      </w:r>
      <w:r>
        <w:rPr>
          <w:rFonts w:eastAsiaTheme="majorEastAsia"/>
        </w:rPr>
        <w:t xml:space="preserve">, and their motivation to work towards their </w:t>
      </w:r>
      <w:r w:rsidRPr="00231923">
        <w:rPr>
          <w:rFonts w:eastAsiaTheme="majorEastAsia"/>
        </w:rPr>
        <w:t>goals (97%)</w:t>
      </w:r>
      <w:r w:rsidR="00625CBE">
        <w:rPr>
          <w:rFonts w:eastAsiaTheme="majorEastAsia"/>
        </w:rPr>
        <w:t>.</w:t>
      </w:r>
      <w:r w:rsidR="00EE102E">
        <w:rPr>
          <w:rStyle w:val="FootnoteReference"/>
          <w:rFonts w:eastAsiaTheme="majorEastAsia"/>
        </w:rPr>
        <w:footnoteReference w:id="54"/>
      </w:r>
      <w:r w:rsidR="00EE102E">
        <w:rPr>
          <w:rStyle w:val="FootnoteReference"/>
          <w:rFonts w:eastAsiaTheme="majorEastAsia"/>
        </w:rPr>
        <w:t>.</w:t>
      </w:r>
    </w:p>
    <w:p w14:paraId="2C1B93FC" w14:textId="025AEE33" w:rsidR="006150C6" w:rsidRDefault="006150C6" w:rsidP="006150C6">
      <w:r>
        <w:t>During interviews for the participant survey, many participants highlighted that the constant support and contact from their TtW casework</w:t>
      </w:r>
      <w:r w:rsidR="00625CBE">
        <w:t>er</w:t>
      </w:r>
      <w:r>
        <w:t xml:space="preserve"> helped them to push through periods of low motivation. Participants spoke of the benefits and the boost to their morale of having someone who believed in them to contact during difficult periods. The support they received made them more confident and motivated to participate in activities they may not have previously felt comfortable undertaking.</w:t>
      </w:r>
    </w:p>
    <w:p w14:paraId="3908EB5C" w14:textId="7570DC03" w:rsidR="006150C6" w:rsidRDefault="006150C6" w:rsidP="006150C6">
      <w:pPr>
        <w:pStyle w:val="Quote"/>
      </w:pPr>
      <w:r>
        <w:t xml:space="preserve">After I spoke to her, I felt like I was like, </w:t>
      </w:r>
      <w:r w:rsidR="000C50D1">
        <w:t>‘</w:t>
      </w:r>
      <w:r>
        <w:t>No, I</w:t>
      </w:r>
      <w:r w:rsidR="00F8391B">
        <w:t>’</w:t>
      </w:r>
      <w:r>
        <w:t>m getting my life sorted, I need to devote all my energy into this job</w:t>
      </w:r>
      <w:r w:rsidR="000C50D1">
        <w:t>’</w:t>
      </w:r>
      <w:r>
        <w:t xml:space="preserve"> … It only lasted a couple of days, though, and then I would slip back into my old ways, but then I</w:t>
      </w:r>
      <w:r w:rsidR="00F8391B">
        <w:t>’</w:t>
      </w:r>
      <w:r>
        <w:t xml:space="preserve">d go back for my next appointment, and it would do that top-up. (Participant 13, </w:t>
      </w:r>
      <w:r w:rsidR="00ED248D">
        <w:t>m</w:t>
      </w:r>
      <w:r>
        <w:t>ale, 19</w:t>
      </w:r>
      <w:r w:rsidR="00625CBE">
        <w:t>–</w:t>
      </w:r>
      <w:r>
        <w:t>21 years old, regional Qld, Group 1)</w:t>
      </w:r>
    </w:p>
    <w:p w14:paraId="263A06D5" w14:textId="4F906CF6" w:rsidR="006150C6" w:rsidRDefault="006150C6" w:rsidP="006150C6">
      <w:pPr>
        <w:pStyle w:val="Quote"/>
      </w:pPr>
      <w:r>
        <w:t>It has definitely motivated me more, having someone contact me every month to see how I</w:t>
      </w:r>
      <w:r w:rsidR="00F8391B">
        <w:t>’</w:t>
      </w:r>
      <w:r>
        <w:t xml:space="preserve">m going and how I feel about getting back to work. (Participant 14, </w:t>
      </w:r>
      <w:r w:rsidR="00ED248D">
        <w:t>f</w:t>
      </w:r>
      <w:r>
        <w:t>emale, 19</w:t>
      </w:r>
      <w:r w:rsidR="00625CBE">
        <w:t>–</w:t>
      </w:r>
      <w:r>
        <w:t>21 years old, metro SA, Group 1)</w:t>
      </w:r>
    </w:p>
    <w:p w14:paraId="1B24EE20" w14:textId="0C1E1968" w:rsidR="006150C6" w:rsidRPr="00D26ECD" w:rsidRDefault="006150C6" w:rsidP="006150C6">
      <w:pPr>
        <w:pStyle w:val="Quote"/>
      </w:pPr>
      <w:r>
        <w:t>More motivated, and like energised. The day does get the better of me, sometimes, but yeah</w:t>
      </w:r>
      <w:r w:rsidR="0088561A">
        <w:t xml:space="preserve"> </w:t>
      </w:r>
      <w:r>
        <w:t>… they</w:t>
      </w:r>
      <w:r w:rsidR="00F8391B">
        <w:t>’</w:t>
      </w:r>
      <w:r>
        <w:t>re supportive and they help me and they just push me to like motivate myself, and, yeah. It</w:t>
      </w:r>
      <w:r w:rsidR="00F8391B">
        <w:t>’</w:t>
      </w:r>
      <w:r>
        <w:t>s the support that I</w:t>
      </w:r>
      <w:r w:rsidR="00F8391B">
        <w:t>’</w:t>
      </w:r>
      <w:r>
        <w:t>ve got that makes my motivation come up. I guess it</w:t>
      </w:r>
      <w:r w:rsidR="00F8391B">
        <w:t>’</w:t>
      </w:r>
      <w:r>
        <w:t>s the advice, it</w:t>
      </w:r>
      <w:r w:rsidR="00F8391B">
        <w:t>’</w:t>
      </w:r>
      <w:r>
        <w:t>s the vibe they give. And that some of that that they give, it</w:t>
      </w:r>
      <w:r w:rsidR="00F8391B">
        <w:t>’</w:t>
      </w:r>
      <w:r>
        <w:t>s really personal advice</w:t>
      </w:r>
      <w:r w:rsidR="0088561A">
        <w:t xml:space="preserve"> </w:t>
      </w:r>
      <w:r>
        <w:t>… No matter what, every situation that</w:t>
      </w:r>
      <w:r w:rsidR="00F8391B">
        <w:t>’</w:t>
      </w:r>
      <w:r>
        <w:t>s going on, they</w:t>
      </w:r>
      <w:r w:rsidR="00F8391B">
        <w:t>’</w:t>
      </w:r>
      <w:r>
        <w:t xml:space="preserve">ve always got a way to help me, and like push me to just get away from it and like, you know, do better. (Participant 31, </w:t>
      </w:r>
      <w:r w:rsidR="00ED248D">
        <w:t>f</w:t>
      </w:r>
      <w:r>
        <w:t xml:space="preserve">emale, </w:t>
      </w:r>
      <w:r w:rsidR="00625CBE">
        <w:t>19–21</w:t>
      </w:r>
      <w:r>
        <w:t xml:space="preserve"> years old, metro SA, Group 3, Indigenous)</w:t>
      </w:r>
    </w:p>
    <w:p w14:paraId="72D005CF" w14:textId="79C16599" w:rsidR="006150C6" w:rsidRDefault="006150C6" w:rsidP="006150C6">
      <w:r>
        <w:t>Some participants mentioned that identifying long-term goals with their caseworker was helpful, as this gave them something meaningful to work towards. When TtW activities were aligned with these goals, motivation increased and they felt more confident to aim higher.</w:t>
      </w:r>
    </w:p>
    <w:p w14:paraId="317BBB47" w14:textId="0570D1FC" w:rsidR="006150C6" w:rsidRDefault="006150C6" w:rsidP="006150C6">
      <w:pPr>
        <w:pStyle w:val="Quote"/>
      </w:pPr>
      <w:r w:rsidRPr="006645D4">
        <w:t>It got me more motivated in my thinking around what I wanted to do, what skills I already have, and how to put it forward. And what careers I can aim for.</w:t>
      </w:r>
      <w:r>
        <w:t xml:space="preserve"> (Participant 15, </w:t>
      </w:r>
      <w:r w:rsidR="00ED248D">
        <w:t>f</w:t>
      </w:r>
      <w:r>
        <w:t xml:space="preserve">emale, </w:t>
      </w:r>
      <w:r w:rsidR="00625CBE">
        <w:t>19–21</w:t>
      </w:r>
      <w:r>
        <w:t xml:space="preserve"> years old, metro WA, Group 1, Indigenous)</w:t>
      </w:r>
    </w:p>
    <w:p w14:paraId="72CC6DFA" w14:textId="76F142BD" w:rsidR="006150C6" w:rsidRPr="00F03169" w:rsidRDefault="006150C6" w:rsidP="006150C6">
      <w:pPr>
        <w:pStyle w:val="Quote"/>
      </w:pPr>
      <w:r w:rsidRPr="005A10AE">
        <w:t>I think it motivated me with pushing through my limits. Not just being content with what is available</w:t>
      </w:r>
      <w:r w:rsidR="00E3650C">
        <w:t xml:space="preserve"> </w:t>
      </w:r>
      <w:r w:rsidRPr="005A10AE">
        <w:t>… it motivated me in searching for jobs with better opportunities.</w:t>
      </w:r>
      <w:r>
        <w:t xml:space="preserve"> (Focus group 1, 18</w:t>
      </w:r>
      <w:r w:rsidR="00625CBE">
        <w:t>–</w:t>
      </w:r>
      <w:r>
        <w:t>22 year</w:t>
      </w:r>
      <w:r w:rsidR="00625CBE">
        <w:t>s</w:t>
      </w:r>
      <w:r>
        <w:t xml:space="preserve"> old, Australia-wide, Group 1)</w:t>
      </w:r>
    </w:p>
    <w:p w14:paraId="27A41233" w14:textId="5A866BD4" w:rsidR="006150C6" w:rsidRDefault="006150C6" w:rsidP="006150C6">
      <w:r>
        <w:lastRenderedPageBreak/>
        <w:t>Participants noted in interviews that their motivation levels fluctuated day</w:t>
      </w:r>
      <w:r w:rsidR="00625CBE">
        <w:t xml:space="preserve"> </w:t>
      </w:r>
      <w:r>
        <w:t>to</w:t>
      </w:r>
      <w:r w:rsidR="00625CBE">
        <w:t xml:space="preserve"> </w:t>
      </w:r>
      <w:r>
        <w:t>day. Many participants were facing challenging circumstances, such as mental health difficulties, homelessness, domestic violence and COVID-19, that impacted on their motivation levels. Some participants explained that it was difficult to maintain motivation for work or study when the activity was demanding and/or monotonous.</w:t>
      </w:r>
    </w:p>
    <w:p w14:paraId="5C5AE41A" w14:textId="1BFAD192" w:rsidR="006150C6" w:rsidRDefault="006150C6" w:rsidP="006150C6">
      <w:pPr>
        <w:pStyle w:val="Quote"/>
      </w:pPr>
      <w:r>
        <w:t>With my kind of work, it</w:t>
      </w:r>
      <w:r w:rsidR="00F8391B">
        <w:t>’</w:t>
      </w:r>
      <w:r>
        <w:t>s hard to stay motivated when you</w:t>
      </w:r>
      <w:r w:rsidR="00F8391B">
        <w:t>’</w:t>
      </w:r>
      <w:r>
        <w:t>re doing long shifts</w:t>
      </w:r>
      <w:r w:rsidR="00E3650C">
        <w:t xml:space="preserve"> </w:t>
      </w:r>
      <w:r>
        <w:t>… I went through a fair bit</w:t>
      </w:r>
      <w:r w:rsidR="00E3650C">
        <w:t xml:space="preserve"> </w:t>
      </w:r>
      <w:r>
        <w:t xml:space="preserve">… </w:t>
      </w:r>
      <w:r w:rsidRPr="006612F8">
        <w:t xml:space="preserve">and then I lost the will to do a lot of things. </w:t>
      </w:r>
      <w:r w:rsidR="009F1529">
        <w:t>’</w:t>
      </w:r>
      <w:r w:rsidRPr="009F1529">
        <w:t>Cos</w:t>
      </w:r>
      <w:r w:rsidRPr="006612F8">
        <w:t xml:space="preserve"> I had two friends pass away on me</w:t>
      </w:r>
      <w:r w:rsidR="00E3650C">
        <w:t xml:space="preserve"> </w:t>
      </w:r>
      <w:r>
        <w:t xml:space="preserve">… </w:t>
      </w:r>
      <w:r w:rsidRPr="006612F8">
        <w:t xml:space="preserve">One was 19, the other was 16 at the time. I lost some friends. And it really impacts you, when you lose someone so close. </w:t>
      </w:r>
      <w:r>
        <w:t xml:space="preserve">(Participant 16, </w:t>
      </w:r>
      <w:r w:rsidR="00ED248D">
        <w:t>f</w:t>
      </w:r>
      <w:r>
        <w:t xml:space="preserve">emale, </w:t>
      </w:r>
      <w:r w:rsidR="00625CBE">
        <w:t>19–21</w:t>
      </w:r>
      <w:r>
        <w:t xml:space="preserve"> years old, regional </w:t>
      </w:r>
      <w:r w:rsidRPr="009F1529">
        <w:t>Qld</w:t>
      </w:r>
      <w:r>
        <w:t>, Group 1, homeless)</w:t>
      </w:r>
    </w:p>
    <w:p w14:paraId="25ED8E6A" w14:textId="77777777" w:rsidR="006150C6" w:rsidRDefault="006150C6" w:rsidP="006150C6">
      <w:r>
        <w:t>A few participants stated that TtW had negatively impacted their motivation. Some participants reported negative impacts on motivation due to being involved in study or being placed in jobs that were not aligned with their interests. For example, one participant felt discouraged that his caseworker did not seem to understand that study was not a good fit for him, and that he was better at learning on the job.</w:t>
      </w:r>
    </w:p>
    <w:p w14:paraId="257D5199" w14:textId="2581EB77" w:rsidR="006150C6" w:rsidRPr="00CE6BC7" w:rsidRDefault="006150C6" w:rsidP="006150C6">
      <w:pPr>
        <w:pStyle w:val="Quote"/>
      </w:pPr>
      <w:r w:rsidRPr="00736306">
        <w:t>She tried to set me up with a TAFE course and I went there for a bit, but it was just</w:t>
      </w:r>
      <w:r w:rsidR="00F27E77">
        <w:t xml:space="preserve"> – </w:t>
      </w:r>
      <w:r w:rsidRPr="00736306">
        <w:t xml:space="preserve">it felt like it was just a place for naughty kids or some </w:t>
      </w:r>
      <w:r>
        <w:t>s**t</w:t>
      </w:r>
      <w:r w:rsidR="00B04BB1">
        <w:t xml:space="preserve"> </w:t>
      </w:r>
      <w:r w:rsidR="008B2565">
        <w:t>…</w:t>
      </w:r>
      <w:r w:rsidRPr="00736306">
        <w:t xml:space="preserve"> I just didn</w:t>
      </w:r>
      <w:r w:rsidR="00F8391B">
        <w:t>’</w:t>
      </w:r>
      <w:r w:rsidRPr="00736306">
        <w:t>t fit in there</w:t>
      </w:r>
      <w:r w:rsidR="00B04BB1">
        <w:t xml:space="preserve"> </w:t>
      </w:r>
      <w:r w:rsidR="008B2565">
        <w:t>…</w:t>
      </w:r>
      <w:r w:rsidRPr="00736306">
        <w:t xml:space="preserve"> I was like, </w:t>
      </w:r>
      <w:r w:rsidR="000C50D1">
        <w:t>‘</w:t>
      </w:r>
      <w:r w:rsidRPr="00736306">
        <w:t>I don</w:t>
      </w:r>
      <w:r w:rsidR="00F8391B">
        <w:t>’</w:t>
      </w:r>
      <w:r w:rsidRPr="00736306">
        <w:t>t want to go here</w:t>
      </w:r>
      <w:r w:rsidR="000C50D1">
        <w:t>’</w:t>
      </w:r>
      <w:r>
        <w:t xml:space="preserve"> […] </w:t>
      </w:r>
      <w:r w:rsidRPr="00736306">
        <w:t>It</w:t>
      </w:r>
      <w:r w:rsidR="00F8391B">
        <w:t>’</w:t>
      </w:r>
      <w:r w:rsidRPr="00736306">
        <w:t>s not their fault</w:t>
      </w:r>
      <w:r w:rsidR="00B04BB1">
        <w:t xml:space="preserve"> </w:t>
      </w:r>
      <w:r>
        <w:t xml:space="preserve">… </w:t>
      </w:r>
      <w:r w:rsidRPr="00736306">
        <w:t>it</w:t>
      </w:r>
      <w:r w:rsidR="00F8391B">
        <w:t>’</w:t>
      </w:r>
      <w:r w:rsidRPr="00736306">
        <w:t>s me: I</w:t>
      </w:r>
      <w:r w:rsidR="00F8391B">
        <w:t>’</w:t>
      </w:r>
      <w:r w:rsidRPr="00736306">
        <w:t>ve never found anything that</w:t>
      </w:r>
      <w:r w:rsidR="00F8391B">
        <w:t>’</w:t>
      </w:r>
      <w:r w:rsidRPr="00736306">
        <w:t>s suited to me</w:t>
      </w:r>
      <w:r>
        <w:t>.</w:t>
      </w:r>
      <w:r w:rsidRPr="00736306">
        <w:t xml:space="preserve"> (Participant 20</w:t>
      </w:r>
      <w:r>
        <w:t xml:space="preserve">, </w:t>
      </w:r>
      <w:r w:rsidR="00ED248D">
        <w:t>m</w:t>
      </w:r>
      <w:r>
        <w:t xml:space="preserve">ale, </w:t>
      </w:r>
      <w:r w:rsidR="00625CBE">
        <w:t>16–18</w:t>
      </w:r>
      <w:r>
        <w:t xml:space="preserve"> years old, metro WA, Group 2)</w:t>
      </w:r>
    </w:p>
    <w:p w14:paraId="53B0334C" w14:textId="52343123" w:rsidR="006150C6" w:rsidRPr="0070648B" w:rsidRDefault="006150C6" w:rsidP="006150C6">
      <w:r w:rsidRPr="0070648B">
        <w:t xml:space="preserve">Another respondent felt that </w:t>
      </w:r>
      <w:r w:rsidR="004929F7" w:rsidRPr="0070648B">
        <w:t xml:space="preserve">her </w:t>
      </w:r>
      <w:r w:rsidRPr="0070648B">
        <w:t>motivation had fallen when her case worker changed (from one she had a strong rapport with to one she did not get along with).</w:t>
      </w:r>
    </w:p>
    <w:p w14:paraId="29ACC6D9" w14:textId="043301EF" w:rsidR="006150C6" w:rsidRPr="00755D81" w:rsidRDefault="006150C6" w:rsidP="006150C6">
      <w:pPr>
        <w:pStyle w:val="Quote"/>
      </w:pPr>
      <w:r w:rsidRPr="0070648B">
        <w:t>With the change of people, yes, that did affect my motivation quite a lot and it made me disappointed because I had someone who was willing and wanting me to go somewhere to having people who couldn</w:t>
      </w:r>
      <w:r w:rsidR="00F8391B" w:rsidRPr="0070648B">
        <w:t>’</w:t>
      </w:r>
      <w:r w:rsidRPr="0070648B">
        <w:t xml:space="preserve">t really give two s**ts about it. (Participant 11, </w:t>
      </w:r>
      <w:r w:rsidR="0070648B" w:rsidRPr="00C239FD">
        <w:t>fe</w:t>
      </w:r>
      <w:r w:rsidR="00ED248D" w:rsidRPr="00C239FD">
        <w:t>m</w:t>
      </w:r>
      <w:r w:rsidRPr="0070648B">
        <w:t>ale,</w:t>
      </w:r>
      <w:r>
        <w:t xml:space="preserve"> 22+ years old, regional Vic, Group 1)</w:t>
      </w:r>
    </w:p>
    <w:p w14:paraId="64553D4F" w14:textId="4187BE7C" w:rsidR="006150C6" w:rsidRDefault="006150C6" w:rsidP="006150C6">
      <w:r>
        <w:t>This highlights the important role of caseworker rapport and consistency in support over the course of participants</w:t>
      </w:r>
      <w:r w:rsidR="00F8391B">
        <w:t>’</w:t>
      </w:r>
      <w:r>
        <w:t xml:space="preserve"> engagement in the program.</w:t>
      </w:r>
    </w:p>
    <w:p w14:paraId="351DEEAB" w14:textId="77777777" w:rsidR="006150C6" w:rsidRDefault="006150C6" w:rsidP="00193894">
      <w:pPr>
        <w:pStyle w:val="Heading3"/>
        <w:ind w:left="0"/>
      </w:pPr>
      <w:bookmarkStart w:id="1692" w:name="_Toc106711864"/>
      <w:bookmarkStart w:id="1693" w:name="_Toc132650461"/>
      <w:bookmarkStart w:id="1694" w:name="_Toc146033492"/>
      <w:r>
        <w:t>Empowerment</w:t>
      </w:r>
      <w:bookmarkEnd w:id="1692"/>
      <w:bookmarkEnd w:id="1693"/>
      <w:bookmarkEnd w:id="1694"/>
    </w:p>
    <w:p w14:paraId="5859F055" w14:textId="33DDEF2A" w:rsidR="006150C6" w:rsidRDefault="006150C6" w:rsidP="006150C6">
      <w:r>
        <w:t>Empowerment describes a sense of agency or control over one</w:t>
      </w:r>
      <w:r w:rsidR="00F8391B">
        <w:t>’</w:t>
      </w:r>
      <w:r>
        <w:t>s life which enables people to make positive decisions which drive the direction of their life</w:t>
      </w:r>
      <w:r w:rsidR="00625CBE">
        <w:t>.</w:t>
      </w:r>
      <w:r>
        <w:rPr>
          <w:rStyle w:val="FootnoteReference"/>
          <w:rFonts w:eastAsiaTheme="majorEastAsia"/>
        </w:rPr>
        <w:footnoteReference w:id="55"/>
      </w:r>
      <w:r>
        <w:t xml:space="preserve"> Some participants mentioned in interviews that TtW helped them to make their own choices and take control of their life. Involvement in the program helped some participants to develop a positive sense of self and to identify objectives and pursue goals that were meaningful to them.</w:t>
      </w:r>
    </w:p>
    <w:p w14:paraId="0D65E165" w14:textId="28B5D11B" w:rsidR="006150C6" w:rsidRDefault="006150C6" w:rsidP="006150C6">
      <w:pPr>
        <w:pStyle w:val="Quote"/>
      </w:pPr>
      <w:r>
        <w:t>She</w:t>
      </w:r>
      <w:r w:rsidR="00F8391B">
        <w:t>’</w:t>
      </w:r>
      <w:r>
        <w:t>s helping me strive towards the goals I want to make, rather than making me set some that I don</w:t>
      </w:r>
      <w:r w:rsidR="00F8391B">
        <w:t>’</w:t>
      </w:r>
      <w:r>
        <w:t>t want to hit towards. She</w:t>
      </w:r>
      <w:r w:rsidR="00F8391B">
        <w:t>’</w:t>
      </w:r>
      <w:r>
        <w:t xml:space="preserve">s more for me finding my path and where I want to go. (Participant 16, </w:t>
      </w:r>
      <w:r w:rsidR="00ED248D">
        <w:t>f</w:t>
      </w:r>
      <w:r>
        <w:t xml:space="preserve">emale, </w:t>
      </w:r>
      <w:r w:rsidR="00625CBE">
        <w:t>19–21</w:t>
      </w:r>
      <w:r>
        <w:t xml:space="preserve"> years old, regional Qld, Group 1, homeless)</w:t>
      </w:r>
    </w:p>
    <w:p w14:paraId="1884A47A" w14:textId="6223BF9D" w:rsidR="006150C6" w:rsidRPr="001F4C74" w:rsidRDefault="006150C6" w:rsidP="006150C6">
      <w:pPr>
        <w:pStyle w:val="Quote"/>
      </w:pPr>
      <w:r>
        <w:lastRenderedPageBreak/>
        <w:t>Before I started with this program, I didn</w:t>
      </w:r>
      <w:r w:rsidR="00F8391B">
        <w:t>’</w:t>
      </w:r>
      <w:r>
        <w:t xml:space="preserve">t really know what objectives I wanted to achieve in life, other </w:t>
      </w:r>
      <w:r w:rsidR="00A4008E">
        <w:t>than</w:t>
      </w:r>
      <w:r>
        <w:t xml:space="preserve"> not be in debt and I wanted to own a home, but since starting with the program, I</w:t>
      </w:r>
      <w:r w:rsidR="00F8391B">
        <w:t>’</w:t>
      </w:r>
      <w:r>
        <w:t>ve had a very different change of outlook on my life, and where I</w:t>
      </w:r>
      <w:r w:rsidR="00F8391B">
        <w:t>’</w:t>
      </w:r>
      <w:r>
        <w:t>ve wanted to go</w:t>
      </w:r>
      <w:r w:rsidR="00986D24">
        <w:t xml:space="preserve"> </w:t>
      </w:r>
      <w:r>
        <w:t>… I believe that if I went to Transition to Work a lot earlier in my life I would be a lot better. It</w:t>
      </w:r>
      <w:r w:rsidR="00F8391B">
        <w:t>’</w:t>
      </w:r>
      <w:r>
        <w:t>s something that I believe that young people should go to if they don</w:t>
      </w:r>
      <w:r w:rsidR="00F8391B">
        <w:t>’</w:t>
      </w:r>
      <w:r>
        <w:t>t have a sense of direction in life. (</w:t>
      </w:r>
      <w:r w:rsidRPr="00243A93">
        <w:t xml:space="preserve">Participant 38, </w:t>
      </w:r>
      <w:r w:rsidR="00ED248D">
        <w:t>m</w:t>
      </w:r>
      <w:r>
        <w:t>ale</w:t>
      </w:r>
      <w:r w:rsidRPr="00243A93">
        <w:t>,</w:t>
      </w:r>
      <w:r>
        <w:t xml:space="preserve"> 22+ years old,</w:t>
      </w:r>
      <w:r w:rsidRPr="00243A93">
        <w:t xml:space="preserve"> regional Q</w:t>
      </w:r>
      <w:r>
        <w:t>ld</w:t>
      </w:r>
      <w:r w:rsidRPr="00243A93">
        <w:t>, Group 1, Indigenous)</w:t>
      </w:r>
    </w:p>
    <w:p w14:paraId="53DE1E74" w14:textId="5E8C7557" w:rsidR="008F35FC" w:rsidRDefault="006150C6" w:rsidP="006150C6">
      <w:pPr>
        <w:pStyle w:val="Quote"/>
      </w:pPr>
      <w:r>
        <w:t>[Before TtW], I wasn</w:t>
      </w:r>
      <w:r w:rsidR="00F8391B">
        <w:t>’</w:t>
      </w:r>
      <w:r>
        <w:t>t really happy</w:t>
      </w:r>
      <w:r w:rsidR="00986D24">
        <w:t xml:space="preserve"> </w:t>
      </w:r>
      <w:r>
        <w:t>… It was like I was left in limbo; I didn</w:t>
      </w:r>
      <w:r w:rsidR="00F8391B">
        <w:t>’</w:t>
      </w:r>
      <w:r>
        <w:t>t know where things would go and didn</w:t>
      </w:r>
      <w:r w:rsidR="00F8391B">
        <w:t>’</w:t>
      </w:r>
      <w:r>
        <w:t>t have that direction. Whereas TtW provided that direction and how to get there, which was very beneficial</w:t>
      </w:r>
      <w:r w:rsidR="00986D24">
        <w:t xml:space="preserve"> </w:t>
      </w:r>
      <w:r>
        <w:t>… Now that I</w:t>
      </w:r>
      <w:r w:rsidR="00F8391B">
        <w:t>’</w:t>
      </w:r>
      <w:r>
        <w:t>ve seen</w:t>
      </w:r>
      <w:r w:rsidR="00F27E77">
        <w:t xml:space="preserve"> – </w:t>
      </w:r>
      <w:r>
        <w:t>that I</w:t>
      </w:r>
      <w:r w:rsidR="00F8391B">
        <w:t>’</w:t>
      </w:r>
      <w:r>
        <w:t>ve had that</w:t>
      </w:r>
      <w:r w:rsidR="00986D24">
        <w:t xml:space="preserve"> </w:t>
      </w:r>
      <w:r>
        <w:t>… guidance, it</w:t>
      </w:r>
      <w:r w:rsidR="00F8391B">
        <w:t>’</w:t>
      </w:r>
      <w:r>
        <w:t>s sort of easier to see potential outcomes of things or potential opportunities, I guess, so</w:t>
      </w:r>
      <w:r w:rsidR="00986D24">
        <w:t xml:space="preserve"> </w:t>
      </w:r>
      <w:r>
        <w:t xml:space="preserve">… that was very good. (Participant 39, </w:t>
      </w:r>
      <w:r w:rsidR="00ED248D">
        <w:t>m</w:t>
      </w:r>
      <w:r>
        <w:t xml:space="preserve">ale, </w:t>
      </w:r>
      <w:r w:rsidR="00625CBE">
        <w:t>19–21</w:t>
      </w:r>
      <w:r>
        <w:t xml:space="preserve"> years old, regional Qld, Group 1, Indigenous)</w:t>
      </w:r>
      <w:r w:rsidR="008F35FC" w:rsidRPr="008F35FC">
        <w:t xml:space="preserve"> </w:t>
      </w:r>
    </w:p>
    <w:p w14:paraId="33A6AC6B" w14:textId="7620D339" w:rsidR="006150C6" w:rsidRDefault="008F35FC" w:rsidP="006150C6">
      <w:pPr>
        <w:pStyle w:val="Quote"/>
      </w:pPr>
      <w:r w:rsidRPr="008F35FC">
        <w:t>I</w:t>
      </w:r>
      <w:r w:rsidR="00F8391B">
        <w:t>’</w:t>
      </w:r>
      <w:r w:rsidRPr="008F35FC">
        <w:t>ve come more</w:t>
      </w:r>
      <w:r w:rsidR="00F27E77">
        <w:t xml:space="preserve"> – </w:t>
      </w:r>
      <w:r w:rsidRPr="008F35FC">
        <w:t>what</w:t>
      </w:r>
      <w:r w:rsidR="00F8391B">
        <w:t>’</w:t>
      </w:r>
      <w:r w:rsidRPr="008F35FC">
        <w:t>s the word, assertive and more like wanting to actually think to participate, and be involved, where I never wanted to … It was always something I just sort of felt I</w:t>
      </w:r>
      <w:r w:rsidR="00F8391B">
        <w:t>’</w:t>
      </w:r>
      <w:r w:rsidRPr="008F35FC">
        <w:t>d let it go, but this time around I</w:t>
      </w:r>
      <w:r w:rsidR="00F8391B">
        <w:t>’</w:t>
      </w:r>
      <w:r w:rsidRPr="008F35FC">
        <w:t xml:space="preserve">ve actually stuck with it … (Participant 31, </w:t>
      </w:r>
      <w:r w:rsidR="00ED248D">
        <w:t>f</w:t>
      </w:r>
      <w:r w:rsidRPr="008F35FC">
        <w:t xml:space="preserve">emale, </w:t>
      </w:r>
      <w:r w:rsidR="00625CBE">
        <w:t>19–21</w:t>
      </w:r>
      <w:r w:rsidRPr="008F35FC">
        <w:t xml:space="preserve"> years old, metro SA, Group 3, Indigenous)</w:t>
      </w:r>
    </w:p>
    <w:p w14:paraId="1C316562" w14:textId="61F9C6CC" w:rsidR="006150C6" w:rsidRDefault="006150C6" w:rsidP="006150C6">
      <w:r>
        <w:t>Empowerment is also closely related to confidence. It was apparent that, upon building a greater sense of confidence, participants felt more empowered to pursue their goals and make their own choices in life.</w:t>
      </w:r>
    </w:p>
    <w:p w14:paraId="2E0B1248" w14:textId="464C7719" w:rsidR="006150C6" w:rsidRDefault="006150C6" w:rsidP="006150C6">
      <w:r>
        <w:t>In interviews, providers offered examples of participants who had changed their lives significantly following engagement with the program. These participants faced particularly complex barriers including drug taking, homelessness, criminal offenses, and mental health issues. The program helped them to reorient their lives and impacted their broader wellbeing.</w:t>
      </w:r>
    </w:p>
    <w:p w14:paraId="79C9180A" w14:textId="2A547072" w:rsidR="006150C6" w:rsidRDefault="006150C6" w:rsidP="006150C6">
      <w:pPr>
        <w:pStyle w:val="Quote"/>
      </w:pPr>
      <w:r w:rsidRPr="00F4308E">
        <w:t>We</w:t>
      </w:r>
      <w:r w:rsidR="00F8391B">
        <w:t>’</w:t>
      </w:r>
      <w:r w:rsidRPr="00F4308E">
        <w:t xml:space="preserve">ll have the kids that will ring us up and say, </w:t>
      </w:r>
      <w:r w:rsidR="00F8391B">
        <w:t>‘</w:t>
      </w:r>
      <w:r w:rsidRPr="00F4308E">
        <w:t>Oh my God, I just saw this job! Do you think I should apply for it?</w:t>
      </w:r>
      <w:r w:rsidR="00F8391B">
        <w:t>’</w:t>
      </w:r>
      <w:r w:rsidRPr="00F4308E">
        <w:t xml:space="preserve"> </w:t>
      </w:r>
      <w:r w:rsidR="00F8391B">
        <w:t>‘</w:t>
      </w:r>
      <w:r w:rsidRPr="00F4308E">
        <w:t>Yes! Do you want to come in? I</w:t>
      </w:r>
      <w:r w:rsidR="00F8391B">
        <w:t>’</w:t>
      </w:r>
      <w:r w:rsidRPr="00F4308E">
        <w:t>ll help you!</w:t>
      </w:r>
      <w:r w:rsidR="00F8391B">
        <w:t>’</w:t>
      </w:r>
      <w:r w:rsidRPr="00F4308E">
        <w:t xml:space="preserve"> And down the track, that same kid will go, </w:t>
      </w:r>
      <w:r w:rsidR="00F8391B">
        <w:t>‘</w:t>
      </w:r>
      <w:r w:rsidRPr="00F4308E">
        <w:t>No, I can do it myself now. You</w:t>
      </w:r>
      <w:r w:rsidR="00F8391B">
        <w:t>’</w:t>
      </w:r>
      <w:r w:rsidRPr="00F4308E">
        <w:t>ve showed me too many times. I want to do it myself!</w:t>
      </w:r>
      <w:r w:rsidR="00F8391B">
        <w:t>’</w:t>
      </w:r>
      <w:r w:rsidRPr="00F4308E">
        <w:t xml:space="preserve"> That sort of stuff. We share that. It</w:t>
      </w:r>
      <w:r w:rsidR="00F8391B">
        <w:t>’</w:t>
      </w:r>
      <w:r w:rsidRPr="00F4308E">
        <w:t>s a big buzz, those ones.</w:t>
      </w:r>
      <w:r>
        <w:t xml:space="preserve"> (Provider 1, regional Qld, large size)</w:t>
      </w:r>
    </w:p>
    <w:p w14:paraId="32AC2734" w14:textId="09D84E54" w:rsidR="006150C6" w:rsidRPr="000410B6" w:rsidRDefault="006150C6" w:rsidP="006150C6">
      <w:r>
        <w:t>One Aboriginal and/or Torres Strait Islander participant joined TtW not long after fleeing an abusive relationship. She noted that TtW had been integral to helping her regaining control and direction in her life (independence, financial security and emotional wellbeing).</w:t>
      </w:r>
    </w:p>
    <w:p w14:paraId="1168BB34" w14:textId="4A419EB8" w:rsidR="006150C6" w:rsidRPr="009C3AB7" w:rsidRDefault="006150C6" w:rsidP="006150C6">
      <w:pPr>
        <w:pStyle w:val="Quote"/>
      </w:pPr>
      <w:r w:rsidRPr="00461903">
        <w:t>[B]efore I was with them [TtW], I</w:t>
      </w:r>
      <w:r w:rsidR="00986D24">
        <w:t xml:space="preserve"> </w:t>
      </w:r>
      <w:r w:rsidRPr="00461903">
        <w:t>… was as low as you could get</w:t>
      </w:r>
      <w:r w:rsidR="00986D24">
        <w:t xml:space="preserve"> </w:t>
      </w:r>
      <w:r w:rsidRPr="00461903">
        <w:t>… I wasn</w:t>
      </w:r>
      <w:r w:rsidR="00F8391B">
        <w:t>’</w:t>
      </w:r>
      <w:r w:rsidRPr="00461903">
        <w:t>t allowed to leave the house I lived in; I wasn</w:t>
      </w:r>
      <w:r w:rsidR="00F8391B">
        <w:t>’</w:t>
      </w:r>
      <w:r w:rsidRPr="00461903">
        <w:t>t allowed to talk; I wasn</w:t>
      </w:r>
      <w:r w:rsidR="00F8391B">
        <w:t>’</w:t>
      </w:r>
      <w:r w:rsidRPr="00461903">
        <w:t>t allowed to go outside; I wasn</w:t>
      </w:r>
      <w:r w:rsidR="00F8391B">
        <w:t>’</w:t>
      </w:r>
      <w:r w:rsidRPr="00461903">
        <w:t>t allowed to do anything. I was in an abusive relationship</w:t>
      </w:r>
      <w:r w:rsidR="00986D24">
        <w:t xml:space="preserve"> </w:t>
      </w:r>
      <w:r w:rsidRPr="00461903">
        <w:t>… [GRAPHIC DETAIL REDACTED] That was at my worst. Transition to Work – they actually helped me start to get a job and stuff. I was actually pretty happy going there and everything because I was doing something and then I got a job and stuff like that and</w:t>
      </w:r>
      <w:r w:rsidR="00986D24">
        <w:t xml:space="preserve"> </w:t>
      </w:r>
      <w:r w:rsidRPr="00461903">
        <w:t>… [inaudible] now I</w:t>
      </w:r>
      <w:r w:rsidR="00F8391B">
        <w:t>’</w:t>
      </w:r>
      <w:r w:rsidRPr="00461903">
        <w:t>m</w:t>
      </w:r>
      <w:r w:rsidR="00986D24">
        <w:t xml:space="preserve"> </w:t>
      </w:r>
      <w:r w:rsidRPr="00461903">
        <w:t xml:space="preserve">… happy. (Participant 34, </w:t>
      </w:r>
      <w:r w:rsidR="00ED248D">
        <w:t>f</w:t>
      </w:r>
      <w:r w:rsidR="008E4377">
        <w:t>emale</w:t>
      </w:r>
      <w:r w:rsidRPr="00461903">
        <w:t>, regional Q</w:t>
      </w:r>
      <w:r>
        <w:t>ld</w:t>
      </w:r>
      <w:r w:rsidRPr="00461903">
        <w:t>, Group 1, Indigenous)</w:t>
      </w:r>
    </w:p>
    <w:p w14:paraId="79E26E0A" w14:textId="7870A126" w:rsidR="006150C6" w:rsidRDefault="006150C6" w:rsidP="006150C6">
      <w:r>
        <w:lastRenderedPageBreak/>
        <w:t xml:space="preserve">The participant survey results confirmed that TtW had a stronger effect on empowering participants than jobactive. When asked during the participant survey if employment services had </w:t>
      </w:r>
      <w:bookmarkStart w:id="1695" w:name="_Hlk142570395"/>
      <w:r>
        <w:t>empowered them in any way</w:t>
      </w:r>
      <w:bookmarkEnd w:id="1695"/>
      <w:r>
        <w:t>, over two</w:t>
      </w:r>
      <w:r w:rsidR="00986D24">
        <w:t>-</w:t>
      </w:r>
      <w:r>
        <w:t xml:space="preserve">thirds (69%) of TtW participants agreed it had, compared with half (50%) of the comparison group. Related to this, TtW participants were more likely to agree that that their caseworker had </w:t>
      </w:r>
      <w:bookmarkStart w:id="1696" w:name="_Hlk142570411"/>
      <w:r>
        <w:t xml:space="preserve">discussed their hopes and plans for the future (85% compared to 67%), </w:t>
      </w:r>
      <w:bookmarkStart w:id="1697" w:name="_Hlk142570438"/>
      <w:bookmarkEnd w:id="1696"/>
      <w:r>
        <w:t>supported them to set work and study goals (85% compared to 74%), and supported them to set other personal goals (71% compared to 58</w:t>
      </w:r>
      <w:r w:rsidRPr="00CD6FB8">
        <w:t xml:space="preserve">%) </w:t>
      </w:r>
      <w:bookmarkEnd w:id="1697"/>
      <w:r w:rsidRPr="00CD6FB8">
        <w:t>(</w:t>
      </w:r>
      <w:r w:rsidRPr="00403636">
        <w:rPr>
          <w:b/>
          <w:bCs/>
        </w:rPr>
        <w:fldChar w:fldCharType="begin"/>
      </w:r>
      <w:r w:rsidRPr="00403636">
        <w:rPr>
          <w:b/>
          <w:bCs/>
        </w:rPr>
        <w:instrText xml:space="preserve"> REF _Ref110962157 \h  \* MERGEFORMAT </w:instrText>
      </w:r>
      <w:r w:rsidRPr="00403636">
        <w:rPr>
          <w:b/>
          <w:bCs/>
        </w:rPr>
      </w:r>
      <w:r w:rsidRPr="00403636">
        <w:rPr>
          <w:b/>
          <w:bCs/>
        </w:rPr>
        <w:fldChar w:fldCharType="separate"/>
      </w:r>
      <w:r w:rsidR="00180E14" w:rsidRPr="00180E14">
        <w:rPr>
          <w:b/>
          <w:bCs/>
        </w:rPr>
        <w:t xml:space="preserve">Figure </w:t>
      </w:r>
      <w:r w:rsidR="00180E14" w:rsidRPr="00180E14">
        <w:rPr>
          <w:b/>
          <w:bCs/>
          <w:noProof/>
        </w:rPr>
        <w:t>5</w:t>
      </w:r>
      <w:r w:rsidRPr="00403636">
        <w:rPr>
          <w:b/>
          <w:bCs/>
        </w:rPr>
        <w:fldChar w:fldCharType="end"/>
      </w:r>
      <w:r w:rsidRPr="00CD6FB8">
        <w:t>).</w:t>
      </w:r>
    </w:p>
    <w:p w14:paraId="7EA45FA7" w14:textId="069CDC72" w:rsidR="006150C6" w:rsidRDefault="006150C6" w:rsidP="006150C6">
      <w:pPr>
        <w:pStyle w:val="Caption"/>
        <w:keepNext/>
        <w:jc w:val="both"/>
      </w:pPr>
      <w:bookmarkStart w:id="1698" w:name="_Ref110962157"/>
      <w:bookmarkStart w:id="1699" w:name="_Toc132647845"/>
      <w:bookmarkStart w:id="1700" w:name="_Toc145883315"/>
      <w:bookmarkStart w:id="1701" w:name="_Hlk124849766"/>
      <w:bookmarkStart w:id="1702" w:name="_Hlk124845431"/>
      <w:r>
        <w:t xml:space="preserve">Figure </w:t>
      </w:r>
      <w:r w:rsidR="00BE71D4">
        <w:fldChar w:fldCharType="begin"/>
      </w:r>
      <w:r w:rsidR="00BE71D4">
        <w:instrText xml:space="preserve"> SEQ Figure \* ARABIC </w:instrText>
      </w:r>
      <w:r w:rsidR="00BE71D4">
        <w:fldChar w:fldCharType="separate"/>
      </w:r>
      <w:r w:rsidR="00180E14">
        <w:rPr>
          <w:noProof/>
        </w:rPr>
        <w:t>5</w:t>
      </w:r>
      <w:r w:rsidR="00BE71D4">
        <w:rPr>
          <w:noProof/>
        </w:rPr>
        <w:fldChar w:fldCharType="end"/>
      </w:r>
      <w:bookmarkEnd w:id="1698"/>
      <w:r>
        <w:t>: Participant views on support provided by caseworkers (% yes)</w:t>
      </w:r>
      <w:bookmarkEnd w:id="1699"/>
      <w:bookmarkEnd w:id="1700"/>
    </w:p>
    <w:bookmarkEnd w:id="1701"/>
    <w:p w14:paraId="02F68AC6" w14:textId="54085993" w:rsidR="006150C6" w:rsidRDefault="00B14A99" w:rsidP="00B14A99">
      <w:pPr>
        <w:pStyle w:val="Body"/>
        <w:spacing w:after="0"/>
      </w:pPr>
      <w:r>
        <w:rPr>
          <w:noProof/>
        </w:rPr>
        <w:drawing>
          <wp:inline distT="0" distB="0" distL="0" distR="0" wp14:anchorId="103D225A" wp14:editId="249B5153">
            <wp:extent cx="5572125" cy="3963035"/>
            <wp:effectExtent l="0" t="0" r="0" b="0"/>
            <wp:docPr id="10" name="Picture 10" descr="Empowered you in any way: TtW 69%, comparison 50%&#10;Discussed your hopes and plans for the future: TtW 85%, comparison 67%,&#10;Supported you to set work and study goals: TtW 85%, comparison 74%&#10;Supported you to set other personal goals: TtW 71%, comparison 58%&#10;All categories significantly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mpowered you in any way: TtW 69%, comparison 50%&#10;Discussed your hopes and plans for the future: TtW 85%, comparison 67%,&#10;Supported you to set work and study goals: TtW 85%, comparison 74%&#10;Supported you to set other personal goals: TtW 71%, comparison 58%&#10;All categories significantly differ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72125" cy="3963035"/>
                    </a:xfrm>
                    <a:prstGeom prst="rect">
                      <a:avLst/>
                    </a:prstGeom>
                    <a:noFill/>
                  </pic:spPr>
                </pic:pic>
              </a:graphicData>
            </a:graphic>
          </wp:inline>
        </w:drawing>
      </w:r>
    </w:p>
    <w:p w14:paraId="47368035" w14:textId="77777777" w:rsidR="006150C6" w:rsidRDefault="006150C6" w:rsidP="00B14A99">
      <w:pPr>
        <w:pStyle w:val="SourceandNotes"/>
        <w:spacing w:before="0"/>
      </w:pPr>
      <w:bookmarkStart w:id="1703" w:name="_Hlk124849779"/>
      <w:r>
        <w:t>Source: Participant survey 2021</w:t>
      </w:r>
    </w:p>
    <w:p w14:paraId="10E14687" w14:textId="5272C725" w:rsidR="006150C6" w:rsidRDefault="006150C6" w:rsidP="006150C6">
      <w:pPr>
        <w:pStyle w:val="SourceandNotes"/>
      </w:pPr>
      <w:r w:rsidRPr="000C6690">
        <w:t>Base: TtW participants who had contact with their provider (n=1,494), jobactive participants who had contact with their provider (n=578)</w:t>
      </w:r>
    </w:p>
    <w:p w14:paraId="2D5B6849" w14:textId="1CBC781E" w:rsidR="006150C6" w:rsidRPr="000C6690" w:rsidRDefault="006150C6" w:rsidP="006150C6">
      <w:pPr>
        <w:pStyle w:val="SourceandNotes"/>
        <w:rPr>
          <w:noProof/>
        </w:rPr>
      </w:pPr>
      <w:r w:rsidRPr="000C6690">
        <w:t>QTTA7 Since you started seeing your &lt;TtW / jobactive&gt; caseworker(s), have they…</w:t>
      </w:r>
    </w:p>
    <w:p w14:paraId="27485323" w14:textId="3B7529BF" w:rsidR="006150C6" w:rsidRPr="000C6690" w:rsidRDefault="006150C6" w:rsidP="006150C6">
      <w:pPr>
        <w:pStyle w:val="SourceandNotes"/>
      </w:pPr>
      <w:r>
        <w:t xml:space="preserve">Notes: </w:t>
      </w:r>
      <w:r w:rsidRPr="000C6690">
        <w:rPr>
          <w:color w:val="FF0000"/>
        </w:rPr>
        <w:t>*</w:t>
      </w:r>
      <w:r w:rsidRPr="000C6690">
        <w:t>Indicates result is significantly different to TtW participants (</w:t>
      </w:r>
      <w:r w:rsidRPr="00C239FD">
        <w:rPr>
          <w:i/>
          <w:iCs/>
        </w:rPr>
        <w:t>p</w:t>
      </w:r>
      <w:r w:rsidRPr="000C6690">
        <w:t>&lt;0.05)</w:t>
      </w:r>
      <w:r w:rsidR="006E0C6B">
        <w:t xml:space="preserve">. </w:t>
      </w:r>
      <w:r>
        <w:t>% yes</w:t>
      </w:r>
      <w:r w:rsidR="002646EB">
        <w:t>.</w:t>
      </w:r>
    </w:p>
    <w:bookmarkEnd w:id="1702"/>
    <w:bookmarkEnd w:id="1703"/>
    <w:p w14:paraId="1CAA2209" w14:textId="0CE1C2D3" w:rsidR="006150C6" w:rsidRDefault="006150C6" w:rsidP="006150C6">
      <w:r>
        <w:t xml:space="preserve">TtW participants were also more likely to agree that their caseworker had a positive or very positive impact on their </w:t>
      </w:r>
      <w:bookmarkStart w:id="1704" w:name="_Hlk142570604"/>
      <w:r>
        <w:t xml:space="preserve">understanding of what they wanted to do in the future (73% compared to 59%) and their ability to put themselves </w:t>
      </w:r>
      <w:r w:rsidR="00F8391B">
        <w:t>‘</w:t>
      </w:r>
      <w:r>
        <w:t>out there</w:t>
      </w:r>
      <w:r w:rsidR="00F8391B">
        <w:t>’</w:t>
      </w:r>
      <w:r>
        <w:t xml:space="preserve"> (71% compared to 61%) </w:t>
      </w:r>
      <w:bookmarkEnd w:id="1704"/>
      <w:r>
        <w:t>(</w:t>
      </w:r>
      <w:r w:rsidRPr="00403636">
        <w:rPr>
          <w:b/>
          <w:bCs/>
        </w:rPr>
        <w:fldChar w:fldCharType="begin"/>
      </w:r>
      <w:r w:rsidRPr="00403636">
        <w:rPr>
          <w:b/>
          <w:bCs/>
        </w:rPr>
        <w:instrText xml:space="preserve"> REF _Ref110962173 \h  \* MERGEFORMAT </w:instrText>
      </w:r>
      <w:r w:rsidRPr="00403636">
        <w:rPr>
          <w:b/>
          <w:bCs/>
        </w:rPr>
      </w:r>
      <w:r w:rsidRPr="00403636">
        <w:rPr>
          <w:b/>
          <w:bCs/>
        </w:rPr>
        <w:fldChar w:fldCharType="separate"/>
      </w:r>
      <w:r w:rsidR="00180E14" w:rsidRPr="00180E14">
        <w:rPr>
          <w:b/>
          <w:bCs/>
        </w:rPr>
        <w:t xml:space="preserve">Figure </w:t>
      </w:r>
      <w:r w:rsidR="00180E14" w:rsidRPr="00180E14">
        <w:rPr>
          <w:b/>
          <w:bCs/>
          <w:noProof/>
        </w:rPr>
        <w:t>6</w:t>
      </w:r>
      <w:r w:rsidRPr="00403636">
        <w:rPr>
          <w:b/>
          <w:bCs/>
        </w:rPr>
        <w:fldChar w:fldCharType="end"/>
      </w:r>
      <w:r w:rsidRPr="00CD6FB8">
        <w:t>).</w:t>
      </w:r>
    </w:p>
    <w:p w14:paraId="45E86F36" w14:textId="18CF456D" w:rsidR="006150C6" w:rsidRDefault="006150C6" w:rsidP="006150C6">
      <w:r>
        <w:rPr>
          <w:rFonts w:eastAsiaTheme="majorEastAsia"/>
        </w:rPr>
        <w:t xml:space="preserve">Providers had a more positive view of the impact of the program, with 95% responding that engagement in TtW had a </w:t>
      </w:r>
      <w:r w:rsidR="00F8391B">
        <w:rPr>
          <w:rFonts w:eastAsiaTheme="majorEastAsia"/>
        </w:rPr>
        <w:t>‘</w:t>
      </w:r>
      <w:r>
        <w:rPr>
          <w:rFonts w:eastAsiaTheme="majorEastAsia"/>
        </w:rPr>
        <w:t>very good</w:t>
      </w:r>
      <w:r w:rsidR="00F8391B">
        <w:rPr>
          <w:rFonts w:eastAsiaTheme="majorEastAsia"/>
        </w:rPr>
        <w:t>’</w:t>
      </w:r>
      <w:r>
        <w:rPr>
          <w:rFonts w:eastAsiaTheme="majorEastAsia"/>
        </w:rPr>
        <w:t xml:space="preserve"> or </w:t>
      </w:r>
      <w:r w:rsidR="00F8391B">
        <w:rPr>
          <w:rFonts w:eastAsiaTheme="majorEastAsia"/>
        </w:rPr>
        <w:t>‘</w:t>
      </w:r>
      <w:r>
        <w:rPr>
          <w:rFonts w:eastAsiaTheme="majorEastAsia"/>
        </w:rPr>
        <w:t>good</w:t>
      </w:r>
      <w:r w:rsidR="00F8391B">
        <w:rPr>
          <w:rFonts w:eastAsiaTheme="majorEastAsia"/>
        </w:rPr>
        <w:t>’</w:t>
      </w:r>
      <w:r>
        <w:rPr>
          <w:rFonts w:eastAsiaTheme="majorEastAsia"/>
        </w:rPr>
        <w:t xml:space="preserve"> impact on participants</w:t>
      </w:r>
      <w:r w:rsidR="00F00C95">
        <w:rPr>
          <w:rFonts w:eastAsiaTheme="majorEastAsia"/>
        </w:rPr>
        <w:t>’</w:t>
      </w:r>
      <w:r>
        <w:rPr>
          <w:rFonts w:eastAsiaTheme="majorEastAsia"/>
        </w:rPr>
        <w:t xml:space="preserve"> </w:t>
      </w:r>
      <w:r>
        <w:t>understanding of what they wanted to do in the future</w:t>
      </w:r>
      <w:r w:rsidR="00F00C95">
        <w:t>.</w:t>
      </w:r>
      <w:r w:rsidR="00EE102E">
        <w:rPr>
          <w:rStyle w:val="FootnoteReference"/>
        </w:rPr>
        <w:footnoteReference w:id="56"/>
      </w:r>
    </w:p>
    <w:p w14:paraId="00FF5073" w14:textId="205838B2" w:rsidR="006150C6" w:rsidRDefault="006150C6" w:rsidP="00C239FD">
      <w:pPr>
        <w:pStyle w:val="Caption"/>
        <w:keepNext/>
      </w:pPr>
      <w:bookmarkStart w:id="1705" w:name="_Ref110962173"/>
      <w:bookmarkStart w:id="1706" w:name="_Toc132647846"/>
      <w:bookmarkStart w:id="1707" w:name="_Toc145883316"/>
      <w:bookmarkStart w:id="1708" w:name="_Hlk124849820"/>
      <w:r>
        <w:lastRenderedPageBreak/>
        <w:t xml:space="preserve">Figure </w:t>
      </w:r>
      <w:r w:rsidR="00BE71D4">
        <w:fldChar w:fldCharType="begin"/>
      </w:r>
      <w:r w:rsidR="00BE71D4">
        <w:instrText xml:space="preserve"> SEQ Figure \* ARABIC </w:instrText>
      </w:r>
      <w:r w:rsidR="00BE71D4">
        <w:fldChar w:fldCharType="separate"/>
      </w:r>
      <w:r w:rsidR="00180E14">
        <w:rPr>
          <w:noProof/>
        </w:rPr>
        <w:t>6</w:t>
      </w:r>
      <w:r w:rsidR="00BE71D4">
        <w:rPr>
          <w:noProof/>
        </w:rPr>
        <w:fldChar w:fldCharType="end"/>
      </w:r>
      <w:bookmarkEnd w:id="1705"/>
      <w:r>
        <w:t>: Participant views on caseworker impacts on development of human capabilities (%</w:t>
      </w:r>
      <w:r w:rsidR="00F00C95">
        <w:t> </w:t>
      </w:r>
      <w:r>
        <w:t>positive / very positive)</w:t>
      </w:r>
      <w:bookmarkEnd w:id="1706"/>
      <w:bookmarkEnd w:id="1707"/>
    </w:p>
    <w:p w14:paraId="5DBDF97B" w14:textId="0A883B04" w:rsidR="006150C6" w:rsidRDefault="00B14A99" w:rsidP="00B14A99">
      <w:pPr>
        <w:pStyle w:val="Body"/>
        <w:spacing w:after="0"/>
      </w:pPr>
      <w:r>
        <w:rPr>
          <w:noProof/>
        </w:rPr>
        <w:drawing>
          <wp:inline distT="0" distB="0" distL="0" distR="0" wp14:anchorId="2CCBF18C" wp14:editId="1EFEDDF1">
            <wp:extent cx="5596890" cy="2463165"/>
            <wp:effectExtent l="0" t="0" r="0" b="0"/>
            <wp:docPr id="21" name="Picture 21" descr="Understanding of what you wanted to do in the future: TtW 73%, comparison 59%&#10;Ability to put yourself ‘out there’: TtW 71%,  comparison 61%&#10;Both categories significantly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Understanding of what you wanted to do in the future: TtW 73%, comparison 59%&#10;Ability to put yourself ‘out there’: TtW 71%,  comparison 61%&#10;Both categories significantly differen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6890" cy="2463165"/>
                    </a:xfrm>
                    <a:prstGeom prst="rect">
                      <a:avLst/>
                    </a:prstGeom>
                    <a:noFill/>
                  </pic:spPr>
                </pic:pic>
              </a:graphicData>
            </a:graphic>
          </wp:inline>
        </w:drawing>
      </w:r>
    </w:p>
    <w:p w14:paraId="5C18DC3E" w14:textId="77777777" w:rsidR="006150C6" w:rsidRDefault="006150C6" w:rsidP="00B14A99">
      <w:pPr>
        <w:pStyle w:val="SourceandNotes"/>
        <w:spacing w:before="0"/>
      </w:pPr>
      <w:r>
        <w:t>Source: Participant survey 2021</w:t>
      </w:r>
    </w:p>
    <w:p w14:paraId="40C625CB" w14:textId="71F9AF9D" w:rsidR="006150C6" w:rsidRPr="00D14A39" w:rsidRDefault="006150C6" w:rsidP="006150C6">
      <w:pPr>
        <w:pStyle w:val="SourceandNotes"/>
      </w:pPr>
      <w:r w:rsidRPr="00D14A39">
        <w:t>Base: TtW participants who had contact with their provider (n=1,494), jobactive participants who had contact with their provider (n=578)</w:t>
      </w:r>
    </w:p>
    <w:p w14:paraId="0CA4AC79" w14:textId="43A8D3BE" w:rsidR="006150C6" w:rsidRPr="00D14A39" w:rsidRDefault="006150C6" w:rsidP="006150C6">
      <w:pPr>
        <w:pStyle w:val="SourceandNotes"/>
      </w:pPr>
      <w:r w:rsidRPr="00D14A39">
        <w:t>QTTB4 In your opinion, has your &lt;TtW / jobactive&gt; caseworker(s) had a positive or negative impact on your…</w:t>
      </w:r>
    </w:p>
    <w:p w14:paraId="5EBCCF68" w14:textId="3AC2389E" w:rsidR="006150C6" w:rsidRPr="002B0227" w:rsidRDefault="006150C6" w:rsidP="006150C6">
      <w:pPr>
        <w:pStyle w:val="SourceandNotes"/>
      </w:pPr>
      <w:r w:rsidRPr="001D461A">
        <w:rPr>
          <w:color w:val="auto"/>
        </w:rPr>
        <w:t xml:space="preserve">Notes: </w:t>
      </w:r>
      <w:r w:rsidRPr="002B0227">
        <w:rPr>
          <w:color w:val="FF0000"/>
        </w:rPr>
        <w:t>*</w:t>
      </w:r>
      <w:r w:rsidRPr="002B0227">
        <w:t>Indicates result is significantly different to TtW participants (</w:t>
      </w:r>
      <w:r w:rsidRPr="00C239FD">
        <w:rPr>
          <w:i/>
          <w:iCs/>
        </w:rPr>
        <w:t>p</w:t>
      </w:r>
      <w:r w:rsidRPr="002B0227">
        <w:t>&lt;0.05)</w:t>
      </w:r>
      <w:r w:rsidR="002646EB">
        <w:t xml:space="preserve">. </w:t>
      </w:r>
      <w:r w:rsidRPr="002B0227">
        <w:t>% Very positive / Positive shown.</w:t>
      </w:r>
    </w:p>
    <w:p w14:paraId="0C6DB129" w14:textId="77777777" w:rsidR="006150C6" w:rsidRDefault="006150C6" w:rsidP="000D01DE">
      <w:pPr>
        <w:pStyle w:val="Heading3"/>
        <w:ind w:left="0"/>
      </w:pPr>
      <w:bookmarkStart w:id="1709" w:name="_Toc106711865"/>
      <w:bookmarkStart w:id="1710" w:name="_Toc132650462"/>
      <w:bookmarkStart w:id="1711" w:name="_Toc146033493"/>
      <w:bookmarkEnd w:id="1708"/>
      <w:r>
        <w:t>Resilience</w:t>
      </w:r>
      <w:bookmarkEnd w:id="1709"/>
      <w:bookmarkEnd w:id="1710"/>
      <w:bookmarkEnd w:id="1711"/>
    </w:p>
    <w:p w14:paraId="67322658" w14:textId="01807107" w:rsidR="006150C6" w:rsidRDefault="006150C6" w:rsidP="006150C6">
      <w:bookmarkStart w:id="1712" w:name="_Hlk88495610"/>
      <w:r>
        <w:t>Resilience is a person</w:t>
      </w:r>
      <w:r w:rsidR="00F8391B">
        <w:t>’</w:t>
      </w:r>
      <w:r>
        <w:t>s ability to maintain or regain mental health, despite experiencing adversity (</w:t>
      </w:r>
      <w:r w:rsidRPr="008354BB">
        <w:rPr>
          <w:b/>
          <w:bCs/>
        </w:rPr>
        <w:t>Herman et al 2011</w:t>
      </w:r>
      <w:r>
        <w:t>). The participant survey included a well-established and validated tool, the Brief Resilience Scale, that assesses a person</w:t>
      </w:r>
      <w:r w:rsidR="00F8391B">
        <w:t>’</w:t>
      </w:r>
      <w:r>
        <w:t>s perceived ability to bounce back or recover from stress (</w:t>
      </w:r>
      <w:r w:rsidRPr="00F25C8C">
        <w:rPr>
          <w:b/>
          <w:bCs/>
        </w:rPr>
        <w:t>Smith et al 2008</w:t>
      </w:r>
      <w:r>
        <w:t>). Survey parti</w:t>
      </w:r>
      <w:r w:rsidRPr="00CB509A">
        <w:t xml:space="preserve">cipants were asked to agree or disagree with </w:t>
      </w:r>
      <w:r w:rsidR="00F8391B">
        <w:t>6</w:t>
      </w:r>
      <w:r w:rsidRPr="00CB509A">
        <w:t xml:space="preserve"> statements</w:t>
      </w:r>
      <w:r>
        <w:t>, including both positively and negatively worded items,</w:t>
      </w:r>
      <w:r w:rsidRPr="00CB509A">
        <w:t xml:space="preserve"> designed to measure </w:t>
      </w:r>
      <w:r>
        <w:t>traits associated with</w:t>
      </w:r>
      <w:r w:rsidRPr="00CB509A">
        <w:t xml:space="preserve"> </w:t>
      </w:r>
      <w:r>
        <w:t>resilience</w:t>
      </w:r>
      <w:r w:rsidRPr="00CB509A">
        <w:t xml:space="preserve">. </w:t>
      </w:r>
      <w:bookmarkStart w:id="1713" w:name="_Hlk88495644"/>
      <w:bookmarkEnd w:id="1712"/>
      <w:r>
        <w:t xml:space="preserve">Responses to these items were combined together to produce a score for the </w:t>
      </w:r>
      <w:r w:rsidR="00475677">
        <w:t>B</w:t>
      </w:r>
      <w:r>
        <w:t xml:space="preserve">rief </w:t>
      </w:r>
      <w:r w:rsidR="00475677">
        <w:t>R</w:t>
      </w:r>
      <w:r>
        <w:t xml:space="preserve">esilience </w:t>
      </w:r>
      <w:r w:rsidR="00475677">
        <w:t>S</w:t>
      </w:r>
      <w:r>
        <w:t>cale</w:t>
      </w:r>
      <w:r w:rsidR="00475677">
        <w:t>.</w:t>
      </w:r>
      <w:r>
        <w:rPr>
          <w:rStyle w:val="FootnoteReference"/>
        </w:rPr>
        <w:footnoteReference w:id="57"/>
      </w:r>
      <w:r>
        <w:t xml:space="preserve"> </w:t>
      </w:r>
      <w:r w:rsidRPr="009159F5">
        <w:t xml:space="preserve">This is a score </w:t>
      </w:r>
      <w:r>
        <w:t>from 1 to 5</w:t>
      </w:r>
      <w:r w:rsidRPr="009159F5">
        <w:t xml:space="preserve"> where higher scores indicate higher levels of </w:t>
      </w:r>
      <w:r>
        <w:t xml:space="preserve">resilience. TtW participants had an average </w:t>
      </w:r>
      <w:r w:rsidR="00475677">
        <w:t>B</w:t>
      </w:r>
      <w:r>
        <w:t xml:space="preserve">rief </w:t>
      </w:r>
      <w:r w:rsidR="00475677">
        <w:t>R</w:t>
      </w:r>
      <w:r>
        <w:t xml:space="preserve">esilience </w:t>
      </w:r>
      <w:r w:rsidR="00475677">
        <w:t>S</w:t>
      </w:r>
      <w:r>
        <w:t xml:space="preserve">cale </w:t>
      </w:r>
      <w:r w:rsidRPr="00512F77">
        <w:t>score of 3.3.</w:t>
      </w:r>
    </w:p>
    <w:p w14:paraId="09F5DD82" w14:textId="377CC3CE" w:rsidR="006150C6" w:rsidRDefault="006150C6" w:rsidP="006150C6">
      <w:bookmarkStart w:id="1714" w:name="_Hlk85808407"/>
      <w:bookmarkStart w:id="1715" w:name="_Hlk85718010"/>
      <w:bookmarkEnd w:id="1713"/>
      <w:r w:rsidRPr="006C6D2A">
        <w:t xml:space="preserve">TtW participants showed </w:t>
      </w:r>
      <w:bookmarkStart w:id="1716" w:name="_Hlk84500669"/>
      <w:r w:rsidRPr="006C6D2A">
        <w:t xml:space="preserve">a </w:t>
      </w:r>
      <w:r w:rsidR="00D31FF0">
        <w:t>slightly</w:t>
      </w:r>
      <w:r w:rsidRPr="006C6D2A">
        <w:t xml:space="preserve"> higher </w:t>
      </w:r>
      <w:r>
        <w:t>resilience</w:t>
      </w:r>
      <w:r w:rsidRPr="006C6D2A">
        <w:t xml:space="preserve"> score than </w:t>
      </w:r>
      <w:r>
        <w:t>the comparison group</w:t>
      </w:r>
      <w:r w:rsidRPr="006C6D2A">
        <w:t xml:space="preserve"> (</w:t>
      </w:r>
      <w:r>
        <w:t xml:space="preserve">average </w:t>
      </w:r>
      <w:r w:rsidRPr="00512F77">
        <w:t>3.3</w:t>
      </w:r>
      <w:r>
        <w:t xml:space="preserve"> v</w:t>
      </w:r>
      <w:r w:rsidR="00A70400">
        <w:t>ersus</w:t>
      </w:r>
      <w:r>
        <w:t xml:space="preserve"> 3.1</w:t>
      </w:r>
      <w:r w:rsidRPr="006C6D2A">
        <w:t>).</w:t>
      </w:r>
      <w:r>
        <w:t xml:space="preserve"> </w:t>
      </w:r>
      <w:bookmarkEnd w:id="1714"/>
      <w:bookmarkEnd w:id="1716"/>
      <w:r>
        <w:t>This difference</w:t>
      </w:r>
      <w:r w:rsidR="00D31FF0">
        <w:t xml:space="preserve"> is statistically significant, and</w:t>
      </w:r>
      <w:r>
        <w:t xml:space="preserve"> remained after adjusting for number of stressful life events in the past 12 months</w:t>
      </w:r>
      <w:r w:rsidR="00A77309">
        <w:rPr>
          <w:rStyle w:val="FootnoteReference"/>
        </w:rPr>
        <w:footnoteReference w:id="58"/>
      </w:r>
      <w:r>
        <w:t xml:space="preserve"> and length of time in program.</w:t>
      </w:r>
    </w:p>
    <w:bookmarkEnd w:id="1715"/>
    <w:p w14:paraId="383F680B" w14:textId="6BAB4465" w:rsidR="006150C6" w:rsidRDefault="006150C6" w:rsidP="006150C6">
      <w:r w:rsidRPr="00403636">
        <w:rPr>
          <w:b/>
          <w:bCs/>
        </w:rPr>
        <w:fldChar w:fldCharType="begin"/>
      </w:r>
      <w:r w:rsidRPr="00403636">
        <w:rPr>
          <w:b/>
          <w:bCs/>
        </w:rPr>
        <w:instrText xml:space="preserve"> REF _Ref110962184 \h  \* MERGEFORMAT </w:instrText>
      </w:r>
      <w:r w:rsidRPr="00403636">
        <w:rPr>
          <w:b/>
          <w:bCs/>
        </w:rPr>
      </w:r>
      <w:r w:rsidRPr="00403636">
        <w:rPr>
          <w:b/>
          <w:bCs/>
        </w:rPr>
        <w:fldChar w:fldCharType="separate"/>
      </w:r>
      <w:r w:rsidR="00180E14" w:rsidRPr="00180E14">
        <w:rPr>
          <w:b/>
          <w:bCs/>
        </w:rPr>
        <w:t xml:space="preserve">Figure </w:t>
      </w:r>
      <w:r w:rsidR="00180E14" w:rsidRPr="00180E14">
        <w:rPr>
          <w:b/>
          <w:bCs/>
          <w:noProof/>
        </w:rPr>
        <w:t>7</w:t>
      </w:r>
      <w:r w:rsidRPr="00403636">
        <w:rPr>
          <w:b/>
          <w:bCs/>
        </w:rPr>
        <w:fldChar w:fldCharType="end"/>
      </w:r>
      <w:r w:rsidRPr="00CD6FB8">
        <w:t xml:space="preserve"> displays</w:t>
      </w:r>
      <w:r w:rsidRPr="00CB509A">
        <w:t xml:space="preserve"> the</w:t>
      </w:r>
      <w:r>
        <w:t xml:space="preserve"> proportion of participants who agreed or strongly agreed with each of the items. Three in </w:t>
      </w:r>
      <w:r w:rsidR="00F8391B">
        <w:t>4</w:t>
      </w:r>
      <w:r>
        <w:t xml:space="preserve"> TtW respondents (76%) agreed that they tend</w:t>
      </w:r>
      <w:r w:rsidR="00A70400">
        <w:t>ed</w:t>
      </w:r>
      <w:r>
        <w:t xml:space="preserve"> to bounce back after hard times, while </w:t>
      </w:r>
      <w:r w:rsidR="00A70400">
        <w:t xml:space="preserve">1 </w:t>
      </w:r>
      <w:r>
        <w:t xml:space="preserve">in </w:t>
      </w:r>
      <w:r w:rsidR="00F8391B">
        <w:t>3</w:t>
      </w:r>
      <w:r>
        <w:t xml:space="preserve"> (33%) agreed</w:t>
      </w:r>
      <w:r w:rsidR="00A70400">
        <w:t xml:space="preserve"> that</w:t>
      </w:r>
      <w:r>
        <w:t xml:space="preserve"> they tend</w:t>
      </w:r>
      <w:r w:rsidR="00A4079D">
        <w:t>ed</w:t>
      </w:r>
      <w:r>
        <w:t xml:space="preserve"> to take a long time to get over setbacks in their life.</w:t>
      </w:r>
    </w:p>
    <w:p w14:paraId="73874117" w14:textId="4E12C98A" w:rsidR="006150C6" w:rsidRPr="008B00CA" w:rsidRDefault="006150C6" w:rsidP="006150C6">
      <w:r w:rsidRPr="008B00CA">
        <w:t xml:space="preserve">TtW participants were less likely than </w:t>
      </w:r>
      <w:r>
        <w:t>the comparison group</w:t>
      </w:r>
      <w:r w:rsidRPr="008B00CA">
        <w:t xml:space="preserve"> to agree that </w:t>
      </w:r>
      <w:r>
        <w:t xml:space="preserve">it was </w:t>
      </w:r>
      <w:r w:rsidR="00A4079D">
        <w:t>‘</w:t>
      </w:r>
      <w:r w:rsidRPr="008B00CA">
        <w:t>hard</w:t>
      </w:r>
      <w:r>
        <w:t xml:space="preserve"> </w:t>
      </w:r>
      <w:r w:rsidRPr="008B00CA">
        <w:t>to snap back when something bad happens</w:t>
      </w:r>
      <w:r w:rsidR="00F8391B">
        <w:t>’</w:t>
      </w:r>
      <w:r>
        <w:t xml:space="preserve"> </w:t>
      </w:r>
      <w:r w:rsidRPr="008B00CA">
        <w:t xml:space="preserve">(34% </w:t>
      </w:r>
      <w:r w:rsidR="00B55045">
        <w:t>versus</w:t>
      </w:r>
      <w:r w:rsidRPr="008B00CA">
        <w:t xml:space="preserve"> 41%).</w:t>
      </w:r>
    </w:p>
    <w:p w14:paraId="26D8FA0E" w14:textId="2E4674F7" w:rsidR="006150C6" w:rsidRDefault="006150C6" w:rsidP="006150C6">
      <w:pPr>
        <w:pStyle w:val="Caption"/>
        <w:keepNext/>
      </w:pPr>
      <w:bookmarkStart w:id="1717" w:name="_Ref110962184"/>
      <w:bookmarkStart w:id="1718" w:name="_Toc88815185"/>
      <w:bookmarkStart w:id="1719" w:name="_Toc132647847"/>
      <w:bookmarkStart w:id="1720" w:name="_Toc145883317"/>
      <w:bookmarkStart w:id="1721" w:name="_Hlk110422315"/>
      <w:bookmarkStart w:id="1722" w:name="_Hlk124849829"/>
      <w:r>
        <w:lastRenderedPageBreak/>
        <w:t xml:space="preserve">Figure </w:t>
      </w:r>
      <w:r w:rsidR="00BE71D4">
        <w:fldChar w:fldCharType="begin"/>
      </w:r>
      <w:r w:rsidR="00BE71D4">
        <w:instrText xml:space="preserve"> SEQ Figure \* ARABIC </w:instrText>
      </w:r>
      <w:r w:rsidR="00BE71D4">
        <w:fldChar w:fldCharType="separate"/>
      </w:r>
      <w:r w:rsidR="00180E14">
        <w:rPr>
          <w:noProof/>
        </w:rPr>
        <w:t>7</w:t>
      </w:r>
      <w:r w:rsidR="00BE71D4">
        <w:rPr>
          <w:noProof/>
        </w:rPr>
        <w:fldChar w:fldCharType="end"/>
      </w:r>
      <w:bookmarkEnd w:id="1717"/>
      <w:r>
        <w:t xml:space="preserve">: Participant </w:t>
      </w:r>
      <w:r w:rsidR="00A07579">
        <w:t>i</w:t>
      </w:r>
      <w:r>
        <w:t>ndividual Brief Resilience Scale items (% agree / strongly agree)</w:t>
      </w:r>
      <w:bookmarkEnd w:id="1718"/>
      <w:bookmarkEnd w:id="1719"/>
      <w:bookmarkEnd w:id="1720"/>
    </w:p>
    <w:bookmarkEnd w:id="1721"/>
    <w:p w14:paraId="6CFDB7BC" w14:textId="144341A4" w:rsidR="006150C6" w:rsidRPr="003562C4" w:rsidRDefault="00B14A99" w:rsidP="00B14A99">
      <w:pPr>
        <w:spacing w:after="0"/>
      </w:pPr>
      <w:r>
        <w:rPr>
          <w:noProof/>
        </w:rPr>
        <w:drawing>
          <wp:inline distT="0" distB="0" distL="0" distR="0" wp14:anchorId="68C39E82" wp14:editId="140C277C">
            <wp:extent cx="5840730" cy="4097020"/>
            <wp:effectExtent l="0" t="0" r="0" b="0"/>
            <wp:docPr id="25" name="Picture 25" descr="Tend to bounce back after hard times: TtW 78%, comparison 72%&#10;It does not take me long to recover from a stressful event: TtW 55%, comparison 49%&#10;I usually come through difficult times with little trouble: TtW 46%, comparison 43%&#10;I have a hard time making it through a stressful event: TtW 45%, comparison 51%&#10;It is hard for me to snap back when something bad happened: TtW 34%, comparison 41% (significantly different)&#10;I tend to take a long time to get over setbacks in my life: TtW 33%, compariso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nd to bounce back after hard times: TtW 78%, comparison 72%&#10;It does not take me long to recover from a stressful event: TtW 55%, comparison 49%&#10;I usually come through difficult times with little trouble: TtW 46%, comparison 43%&#10;I have a hard time making it through a stressful event: TtW 45%, comparison 51%&#10;It is hard for me to snap back when something bad happened: TtW 34%, comparison 41% (significantly different)&#10;I tend to take a long time to get over setbacks in my life: TtW 33%, comparison 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40730" cy="4097020"/>
                    </a:xfrm>
                    <a:prstGeom prst="rect">
                      <a:avLst/>
                    </a:prstGeom>
                    <a:noFill/>
                  </pic:spPr>
                </pic:pic>
              </a:graphicData>
            </a:graphic>
          </wp:inline>
        </w:drawing>
      </w:r>
    </w:p>
    <w:p w14:paraId="5C7EA088" w14:textId="50588231" w:rsidR="006150C6" w:rsidRDefault="006150C6" w:rsidP="00B14A99">
      <w:pPr>
        <w:pStyle w:val="SourceandNotes"/>
        <w:spacing w:before="0"/>
      </w:pPr>
      <w:r>
        <w:t xml:space="preserve">Source: Participant </w:t>
      </w:r>
      <w:r w:rsidR="00A86EEA">
        <w:t>s</w:t>
      </w:r>
      <w:r>
        <w:t>urvey 2021</w:t>
      </w:r>
    </w:p>
    <w:p w14:paraId="00E1575A" w14:textId="5D055B11" w:rsidR="006150C6" w:rsidRPr="00862FA5" w:rsidRDefault="006150C6" w:rsidP="006150C6">
      <w:pPr>
        <w:pStyle w:val="SourceandNotes"/>
        <w:rPr>
          <w:strike/>
          <w:szCs w:val="18"/>
        </w:rPr>
      </w:pPr>
      <w:r w:rsidRPr="00862FA5">
        <w:rPr>
          <w:szCs w:val="18"/>
        </w:rPr>
        <w:t>Base: All respondents</w:t>
      </w:r>
      <w:r w:rsidR="00F8391B">
        <w:rPr>
          <w:szCs w:val="18"/>
        </w:rPr>
        <w:t xml:space="preserve"> – </w:t>
      </w:r>
      <w:r w:rsidRPr="00862FA5">
        <w:rPr>
          <w:szCs w:val="18"/>
        </w:rPr>
        <w:t>TtW participants (n=1,502), jobactive participants (n=580)</w:t>
      </w:r>
    </w:p>
    <w:p w14:paraId="5FE0D848" w14:textId="1D439413" w:rsidR="006150C6" w:rsidRPr="00560D18" w:rsidRDefault="006150C6" w:rsidP="006150C6">
      <w:pPr>
        <w:pStyle w:val="SourceandNotes"/>
        <w:rPr>
          <w:strike/>
        </w:rPr>
      </w:pPr>
      <w:r w:rsidRPr="00560D18">
        <w:t>QHC</w:t>
      </w:r>
      <w:r>
        <w:t>4</w:t>
      </w:r>
      <w:r w:rsidRPr="00560D18">
        <w:t xml:space="preserve"> </w:t>
      </w:r>
      <w:r>
        <w:t>How strongly do you agree or disagree with the following statements…</w:t>
      </w:r>
    </w:p>
    <w:p w14:paraId="6749FCC0" w14:textId="449450AE" w:rsidR="006150C6" w:rsidRDefault="006150C6" w:rsidP="006150C6">
      <w:pPr>
        <w:pStyle w:val="SourceandNotes"/>
      </w:pPr>
      <w:r w:rsidRPr="001D461A">
        <w:rPr>
          <w:color w:val="000000" w:themeColor="text1"/>
        </w:rPr>
        <w:t xml:space="preserve">Notes: </w:t>
      </w:r>
      <w:r w:rsidRPr="00D14A39">
        <w:rPr>
          <w:color w:val="FF0000"/>
        </w:rPr>
        <w:t>*</w:t>
      </w:r>
      <w:r w:rsidRPr="00D14A39">
        <w:t>Indicates result is significantly different to TtW participants (</w:t>
      </w:r>
      <w:r w:rsidRPr="00C239FD">
        <w:rPr>
          <w:i/>
          <w:iCs/>
        </w:rPr>
        <w:t>p</w:t>
      </w:r>
      <w:r w:rsidRPr="00D14A39">
        <w:t>&lt;0.05).</w:t>
      </w:r>
      <w:r w:rsidR="00CA7516">
        <w:t xml:space="preserve"> </w:t>
      </w:r>
      <w:r>
        <w:t>% Strongly agree / Agree shown.</w:t>
      </w:r>
    </w:p>
    <w:bookmarkEnd w:id="1722"/>
    <w:p w14:paraId="1C723329" w14:textId="41CA9537" w:rsidR="006150C6" w:rsidRDefault="006150C6" w:rsidP="006150C6">
      <w:r>
        <w:t>Provider respondents in interviews discussed how participants often do not have positive role models to frame constructive and resilient thinking when it comes to managing setbacks</w:t>
      </w:r>
      <w:r w:rsidR="009B25FC">
        <w:t>.</w:t>
      </w:r>
    </w:p>
    <w:p w14:paraId="64216477" w14:textId="08E7EA66" w:rsidR="006150C6" w:rsidRDefault="006150C6" w:rsidP="006150C6">
      <w:pPr>
        <w:pStyle w:val="Quote"/>
      </w:pPr>
      <w:r>
        <w:t>A</w:t>
      </w:r>
      <w:r w:rsidRPr="00BB5126">
        <w:t xml:space="preserve"> lot of them are going through significant issues: whether it</w:t>
      </w:r>
      <w:r w:rsidR="00F8391B">
        <w:t>’</w:t>
      </w:r>
      <w:r w:rsidRPr="00BB5126">
        <w:t>s personal crisis; family crisis.</w:t>
      </w:r>
      <w:r>
        <w:t xml:space="preserve"> </w:t>
      </w:r>
      <w:r w:rsidRPr="00BB5126">
        <w:t>And sometimes they</w:t>
      </w:r>
      <w:r w:rsidR="00F8391B">
        <w:t>’</w:t>
      </w:r>
      <w:r w:rsidRPr="00BB5126">
        <w:t>re not taught how to deal with that the right way. So, it</w:t>
      </w:r>
      <w:r w:rsidR="00F8391B">
        <w:t>’</w:t>
      </w:r>
      <w:r w:rsidRPr="00BB5126">
        <w:t>s trying to, in a sense</w:t>
      </w:r>
      <w:r w:rsidR="00F27E77">
        <w:t xml:space="preserve"> – </w:t>
      </w:r>
      <w:r w:rsidRPr="00BB5126">
        <w:t>for some of them, not all of them, we</w:t>
      </w:r>
      <w:r w:rsidR="00F8391B">
        <w:t>’</w:t>
      </w:r>
      <w:r w:rsidRPr="00BB5126">
        <w:t>ve got to take on that parenting role and help develop those skills and build that resilience.</w:t>
      </w:r>
      <w:r>
        <w:t xml:space="preserve"> (Provider 14, regional Qld, small size)</w:t>
      </w:r>
    </w:p>
    <w:p w14:paraId="70180863" w14:textId="77777777" w:rsidR="006150C6" w:rsidRDefault="006150C6" w:rsidP="009251AF">
      <w:pPr>
        <w:pStyle w:val="Heading4"/>
        <w:numPr>
          <w:ilvl w:val="0"/>
          <w:numId w:val="0"/>
        </w:numPr>
      </w:pPr>
      <w:r>
        <w:t>Vocational impacts</w:t>
      </w:r>
    </w:p>
    <w:p w14:paraId="6506B207" w14:textId="13CB2FE8" w:rsidR="006150C6" w:rsidRPr="00DA7048" w:rsidRDefault="006150C6" w:rsidP="006150C6">
      <w:r>
        <w:t>The focus of providers in managing setbacks was to step through what had happened, to put the experience in context (such as to point out the other opportunities available) and to identify areas for improvement in a consistent manner.</w:t>
      </w:r>
    </w:p>
    <w:p w14:paraId="4CE89E51" w14:textId="6502D64E" w:rsidR="006150C6" w:rsidRPr="00795EF8" w:rsidRDefault="006150C6" w:rsidP="006150C6">
      <w:pPr>
        <w:pStyle w:val="Quote"/>
      </w:pPr>
      <w:r w:rsidRPr="00707020">
        <w:t xml:space="preserve">We also have specific workshops on resilience. And goalsetting and what to do if you get a setback. </w:t>
      </w:r>
      <w:r>
        <w:t xml:space="preserve">[…] </w:t>
      </w:r>
      <w:r w:rsidRPr="00707020">
        <w:t xml:space="preserve">So, we do concentrate a lot on looking at that, and building that up in young people, </w:t>
      </w:r>
      <w:r>
        <w:t>cause</w:t>
      </w:r>
      <w:r w:rsidRPr="00707020">
        <w:t xml:space="preserve"> we know they don</w:t>
      </w:r>
      <w:r w:rsidR="00F8391B">
        <w:t>’</w:t>
      </w:r>
      <w:r w:rsidRPr="00707020">
        <w:t>t have it. It</w:t>
      </w:r>
      <w:r w:rsidR="00F8391B">
        <w:t>’</w:t>
      </w:r>
      <w:r w:rsidRPr="00707020">
        <w:t>s not built in. A lot of people don</w:t>
      </w:r>
      <w:r w:rsidR="00F8391B">
        <w:t>’</w:t>
      </w:r>
      <w:r w:rsidRPr="00707020">
        <w:t>t have it. They get one knockback and that</w:t>
      </w:r>
      <w:r w:rsidR="00F8391B">
        <w:t>’</w:t>
      </w:r>
      <w:r w:rsidRPr="00707020">
        <w:t>s it. That</w:t>
      </w:r>
      <w:r w:rsidR="00F8391B">
        <w:t>’</w:t>
      </w:r>
      <w:r w:rsidRPr="00707020">
        <w:t>s the end of the world. I</w:t>
      </w:r>
      <w:r w:rsidR="00F8391B">
        <w:t>’</w:t>
      </w:r>
      <w:r w:rsidRPr="00707020">
        <w:t>m never going to get a job. I</w:t>
      </w:r>
      <w:r w:rsidR="00F8391B">
        <w:t>’</w:t>
      </w:r>
      <w:r w:rsidRPr="00707020">
        <w:t>ve applied to twenty jobs, and I haven</w:t>
      </w:r>
      <w:r w:rsidR="00F8391B">
        <w:t>’</w:t>
      </w:r>
      <w:r w:rsidRPr="00707020">
        <w:t>t had an interview, blah blah blah. So, we unpack all of that and find out exactly why they</w:t>
      </w:r>
      <w:r w:rsidR="00F8391B">
        <w:t>’</w:t>
      </w:r>
      <w:r w:rsidRPr="00707020">
        <w:t xml:space="preserve">re not getting an interview. </w:t>
      </w:r>
      <w:r w:rsidRPr="00707020">
        <w:lastRenderedPageBreak/>
        <w:t>What are they doing when they have an interview? What</w:t>
      </w:r>
      <w:r w:rsidR="00F8391B">
        <w:t>’</w:t>
      </w:r>
      <w:r w:rsidRPr="00707020">
        <w:t xml:space="preserve">s holding them back? </w:t>
      </w:r>
      <w:r>
        <w:t xml:space="preserve">(Provider 11, metro WA, small size, </w:t>
      </w:r>
      <w:r w:rsidR="00EE28AB">
        <w:t>c</w:t>
      </w:r>
      <w:r>
        <w:t xml:space="preserve">ommunity of </w:t>
      </w:r>
      <w:r w:rsidR="00EE28AB">
        <w:t>p</w:t>
      </w:r>
      <w:r>
        <w:t>ractice)</w:t>
      </w:r>
    </w:p>
    <w:p w14:paraId="130E7939" w14:textId="74F99159" w:rsidR="006150C6" w:rsidRPr="00FD0E64" w:rsidRDefault="006150C6" w:rsidP="006150C6">
      <w:r>
        <w:t>This perspective was reiterated in the participant interviews, with many participants explaining how their caseworkers framed setbacks constructively</w:t>
      </w:r>
      <w:r w:rsidR="00A57179">
        <w:t>,</w:t>
      </w:r>
      <w:r>
        <w:t xml:space="preserve"> which helped to start building resilience.</w:t>
      </w:r>
    </w:p>
    <w:p w14:paraId="2D4D337C" w14:textId="24A7680F" w:rsidR="006150C6" w:rsidRDefault="006150C6" w:rsidP="006150C6">
      <w:pPr>
        <w:pStyle w:val="Quote"/>
      </w:pPr>
      <w:r>
        <w:t>She was constantly speaking about resilience and giving me ways on handling stress and how to deal with people saying negative things</w:t>
      </w:r>
      <w:r w:rsidR="00300AFE">
        <w:t xml:space="preserve"> </w:t>
      </w:r>
      <w:r>
        <w:t>… I could call my mum and tell her about the problems I</w:t>
      </w:r>
      <w:r w:rsidR="00F8391B">
        <w:t>’</w:t>
      </w:r>
      <w:r>
        <w:t>m having, but she</w:t>
      </w:r>
      <w:r w:rsidR="00F8391B">
        <w:t>’</w:t>
      </w:r>
      <w:r>
        <w:t xml:space="preserve">s going to be like, </w:t>
      </w:r>
      <w:r w:rsidR="000C50D1">
        <w:t>‘</w:t>
      </w:r>
      <w:r>
        <w:t>Shut up and stop whinging. Deal with it. Stick up the stick to it,</w:t>
      </w:r>
      <w:r w:rsidR="000C50D1">
        <w:t>’</w:t>
      </w:r>
      <w:r>
        <w:t xml:space="preserve"> whereas [my caseworker] was giving me constructive advice and just keeping me hanging in there and I would have not worked there for as long as what I did without her or the support, I got from Transition to Work</w:t>
      </w:r>
      <w:r w:rsidR="00300AFE">
        <w:t xml:space="preserve"> </w:t>
      </w:r>
      <w:r>
        <w:t>… Every time I felt like I was going to make an impulse decision [and quit my job], I</w:t>
      </w:r>
      <w:r w:rsidR="00F8391B">
        <w:t>’</w:t>
      </w:r>
      <w:r>
        <w:t>d give her a call and she</w:t>
      </w:r>
      <w:r w:rsidR="00F8391B">
        <w:t>’</w:t>
      </w:r>
      <w:r>
        <w:t xml:space="preserve">d pull me back to my place and tell me what we need to do to strategically quit and not just quit and then go and do nothing; I found that helpful. (Participant 13, </w:t>
      </w:r>
      <w:r w:rsidR="00ED248D">
        <w:t>m</w:t>
      </w:r>
      <w:r>
        <w:t xml:space="preserve">ale, </w:t>
      </w:r>
      <w:r w:rsidR="00625CBE">
        <w:t>19–21</w:t>
      </w:r>
      <w:r>
        <w:t xml:space="preserve"> years old, regional Qld, Group 1)</w:t>
      </w:r>
    </w:p>
    <w:p w14:paraId="05BCE33C" w14:textId="77777777" w:rsidR="006150C6" w:rsidRDefault="006150C6" w:rsidP="006150C6">
      <w:r w:rsidRPr="009F5AC4">
        <w:t>Many participants explained that their caseworkers talk</w:t>
      </w:r>
      <w:r>
        <w:t>ed</w:t>
      </w:r>
      <w:r w:rsidRPr="009F5AC4">
        <w:t xml:space="preserve"> them through job application rejections</w:t>
      </w:r>
      <w:r>
        <w:t xml:space="preserve"> in ways that bolstered their confidence. The repeated experience of job rejections coupled with that positive debriefing with the caseworker seems to have helped participants frame a more positive mindset in managing those setbacks.</w:t>
      </w:r>
    </w:p>
    <w:p w14:paraId="3A661757" w14:textId="454FC09F" w:rsidR="006150C6" w:rsidRDefault="006150C6" w:rsidP="006150C6">
      <w:pPr>
        <w:pStyle w:val="Quote"/>
      </w:pPr>
      <w:r w:rsidRPr="00F9429D">
        <w:t>Whenever I get rejected, they would say there</w:t>
      </w:r>
      <w:r w:rsidR="00F8391B">
        <w:t>’</w:t>
      </w:r>
      <w:r w:rsidRPr="00F9429D">
        <w:t>s still lots of opportunities out there. Just keep on searching</w:t>
      </w:r>
      <w:r w:rsidR="00300AFE">
        <w:t xml:space="preserve"> </w:t>
      </w:r>
      <w:r w:rsidRPr="00F9429D">
        <w:t>… it</w:t>
      </w:r>
      <w:r w:rsidR="00F8391B">
        <w:t>’</w:t>
      </w:r>
      <w:r w:rsidRPr="00F9429D">
        <w:t>s made me feel a lot better about myself. It doesn</w:t>
      </w:r>
      <w:r w:rsidR="00F8391B">
        <w:t>’</w:t>
      </w:r>
      <w:r w:rsidRPr="00F9429D">
        <w:t xml:space="preserve">t really phase me when it happens now. I just brush it over and get ready to apply for the next job, or next interview. </w:t>
      </w:r>
      <w:r>
        <w:t>[…] R</w:t>
      </w:r>
      <w:r w:rsidRPr="007A4DA6">
        <w:t>ejection was a big thing for me. At first, whenever I feel rejected, I lose my motivation and confidence. So, she helped me and said it</w:t>
      </w:r>
      <w:r w:rsidR="00F8391B">
        <w:t>’</w:t>
      </w:r>
      <w:r w:rsidRPr="007A4DA6">
        <w:t>s a normal thing. Not everyone would accept you. But it doesn</w:t>
      </w:r>
      <w:r w:rsidR="00F8391B">
        <w:t>’</w:t>
      </w:r>
      <w:r w:rsidRPr="007A4DA6">
        <w:t xml:space="preserve">t mean that you should stop looking for work. </w:t>
      </w:r>
      <w:r>
        <w:t>(Focus group 1, 18</w:t>
      </w:r>
      <w:r w:rsidR="009251AF">
        <w:t xml:space="preserve"> to </w:t>
      </w:r>
      <w:r>
        <w:t>22</w:t>
      </w:r>
      <w:r w:rsidR="00B83E79">
        <w:t xml:space="preserve"> </w:t>
      </w:r>
      <w:r>
        <w:t>year olds, Australia-wide, Group 1)</w:t>
      </w:r>
    </w:p>
    <w:p w14:paraId="799A3453" w14:textId="1F9D5DF1" w:rsidR="006150C6" w:rsidRPr="00337C18" w:rsidRDefault="006150C6" w:rsidP="006150C6">
      <w:pPr>
        <w:pStyle w:val="Quote"/>
      </w:pPr>
      <w:r w:rsidRPr="00337C18">
        <w:t>I used to let opportunities slide because I couldn</w:t>
      </w:r>
      <w:r w:rsidR="00F8391B">
        <w:t>’</w:t>
      </w:r>
      <w:r w:rsidRPr="00337C18">
        <w:t>t, I didn</w:t>
      </w:r>
      <w:r w:rsidR="00F8391B">
        <w:t>’</w:t>
      </w:r>
      <w:r w:rsidRPr="00337C18">
        <w:t>t think I was good enough or I didn</w:t>
      </w:r>
      <w:r w:rsidR="00F8391B">
        <w:t>’</w:t>
      </w:r>
      <w:r w:rsidRPr="00337C18">
        <w:t>t think I didn</w:t>
      </w:r>
      <w:r w:rsidR="00F8391B">
        <w:t>’</w:t>
      </w:r>
      <w:r w:rsidRPr="00337C18">
        <w:t xml:space="preserve">t want to be turned down. </w:t>
      </w:r>
      <w:r>
        <w:t>[…]</w:t>
      </w:r>
      <w:r w:rsidRPr="00337C18">
        <w:t>. So, in a way they</w:t>
      </w:r>
      <w:r w:rsidR="00F8391B">
        <w:t>’</w:t>
      </w:r>
      <w:r w:rsidRPr="00337C18">
        <w:t>ve just sort of pushed me to, sometimes in life, you don</w:t>
      </w:r>
      <w:r w:rsidR="00F8391B">
        <w:t>’</w:t>
      </w:r>
      <w:r w:rsidRPr="00337C18">
        <w:t>t get what you</w:t>
      </w:r>
      <w:r w:rsidR="00F8391B">
        <w:t>’</w:t>
      </w:r>
      <w:r w:rsidRPr="00337C18">
        <w:t>ve wanted, and you just keep going and keep applying for more and eventually something will come up. So, they did help me with that.</w:t>
      </w:r>
      <w:r>
        <w:t xml:space="preserve"> (Participant 3, </w:t>
      </w:r>
      <w:r w:rsidR="00ED248D">
        <w:t>f</w:t>
      </w:r>
      <w:r>
        <w:t>emale, 22+ years old regional Vic, Group 2)</w:t>
      </w:r>
    </w:p>
    <w:p w14:paraId="2BD65E8C" w14:textId="4DE3EB4E" w:rsidR="006150C6" w:rsidRDefault="006150C6" w:rsidP="006150C6">
      <w:pPr>
        <w:pStyle w:val="Quote"/>
      </w:pPr>
      <w:r w:rsidRPr="000D6A4D">
        <w:t>I didn</w:t>
      </w:r>
      <w:r w:rsidR="00F8391B">
        <w:t>’</w:t>
      </w:r>
      <w:r w:rsidRPr="000D6A4D">
        <w:t xml:space="preserve">t get the job, and so then she just said, </w:t>
      </w:r>
      <w:r w:rsidR="000C50D1">
        <w:t>‘</w:t>
      </w:r>
      <w:r w:rsidRPr="000D6A4D">
        <w:t>It might not be you, your skillset, your personality; it might just be something else,</w:t>
      </w:r>
      <w:r w:rsidR="000C50D1">
        <w:t>’</w:t>
      </w:r>
      <w:r w:rsidRPr="000D6A4D">
        <w:t xml:space="preserve"> like my availability, which has nothing to do with my personality or my skills</w:t>
      </w:r>
      <w:r w:rsidR="00662E1A">
        <w:t xml:space="preserve"> </w:t>
      </w:r>
      <w:r>
        <w:t xml:space="preserve">… </w:t>
      </w:r>
      <w:r w:rsidRPr="000D6A4D">
        <w:t>so what I</w:t>
      </w:r>
      <w:r w:rsidR="00F8391B">
        <w:t>’</w:t>
      </w:r>
      <w:r w:rsidRPr="000D6A4D">
        <w:t>ve learnt is even if a situation seems negative, if you just keep trying, then it can turn positive.</w:t>
      </w:r>
      <w:r>
        <w:t xml:space="preserve"> (</w:t>
      </w:r>
      <w:r w:rsidRPr="0085635C">
        <w:t>Participant</w:t>
      </w:r>
      <w:r>
        <w:t xml:space="preserve"> </w:t>
      </w:r>
      <w:r w:rsidRPr="0085635C">
        <w:t>8</w:t>
      </w:r>
      <w:r>
        <w:t xml:space="preserve">, </w:t>
      </w:r>
      <w:r w:rsidR="00ED248D">
        <w:t>f</w:t>
      </w:r>
      <w:r>
        <w:t>emale, 19</w:t>
      </w:r>
      <w:r w:rsidR="00ED248D">
        <w:t>–</w:t>
      </w:r>
      <w:r>
        <w:t>21 years old, metro NSW, Group 2)</w:t>
      </w:r>
    </w:p>
    <w:p w14:paraId="59F5E737" w14:textId="77777777" w:rsidR="006150C6" w:rsidRDefault="006150C6" w:rsidP="009251AF">
      <w:pPr>
        <w:pStyle w:val="Heading4"/>
        <w:numPr>
          <w:ilvl w:val="0"/>
          <w:numId w:val="0"/>
        </w:numPr>
      </w:pPr>
      <w:r>
        <w:t>Broader impacts</w:t>
      </w:r>
    </w:p>
    <w:p w14:paraId="49B41853" w14:textId="2549FAC5" w:rsidR="006150C6" w:rsidRPr="004E0E1D" w:rsidRDefault="006150C6" w:rsidP="006150C6">
      <w:r w:rsidRPr="004E0E1D">
        <w:t xml:space="preserve">Survey participants were asked </w:t>
      </w:r>
      <w:r>
        <w:t>what impact, if any,</w:t>
      </w:r>
      <w:r w:rsidRPr="004E0E1D">
        <w:t xml:space="preserve"> their caseworker had on </w:t>
      </w:r>
      <w:r>
        <w:t xml:space="preserve">their </w:t>
      </w:r>
      <w:r w:rsidRPr="004E0E1D">
        <w:t>resilience. Around three</w:t>
      </w:r>
      <w:r w:rsidR="00F8391B">
        <w:t>-</w:t>
      </w:r>
      <w:r w:rsidRPr="004E0E1D">
        <w:t xml:space="preserve">quarters of TtW participants felt that their caseworkers had a positive or very positive </w:t>
      </w:r>
      <w:r w:rsidRPr="004E0E1D">
        <w:lastRenderedPageBreak/>
        <w:t>influence on their ability to keep trying and not give up (76%) and their understanding of their strengths and weaknesses (73%)</w:t>
      </w:r>
      <w:r w:rsidR="00364310">
        <w:rPr>
          <w:rStyle w:val="FootnoteReference"/>
        </w:rPr>
        <w:footnoteReference w:id="59"/>
      </w:r>
    </w:p>
    <w:p w14:paraId="6A6A31D7" w14:textId="01390689" w:rsidR="006150C6" w:rsidRDefault="006150C6" w:rsidP="006150C6">
      <w:r w:rsidRPr="00804F18">
        <w:t>Providers had a more positive view</w:t>
      </w:r>
      <w:r>
        <w:t xml:space="preserve"> of the impact of TtW on participants, with 96% reporting that TtW had a </w:t>
      </w:r>
      <w:r w:rsidR="00F8391B">
        <w:t>‘</w:t>
      </w:r>
      <w:r>
        <w:t>good</w:t>
      </w:r>
      <w:r w:rsidR="00F8391B">
        <w:t>’</w:t>
      </w:r>
      <w:r>
        <w:t xml:space="preserve"> or </w:t>
      </w:r>
      <w:r w:rsidR="00F8391B">
        <w:t>‘</w:t>
      </w:r>
      <w:r>
        <w:t>very good</w:t>
      </w:r>
      <w:r w:rsidR="00F8391B">
        <w:t>’</w:t>
      </w:r>
      <w:r>
        <w:t xml:space="preserve"> impact on participants</w:t>
      </w:r>
      <w:r w:rsidR="00284F40">
        <w:t>’</w:t>
      </w:r>
      <w:r>
        <w:t xml:space="preserve"> ability to</w:t>
      </w:r>
      <w:r w:rsidRPr="004E0E1D">
        <w:t xml:space="preserve"> keep trying and not give up</w:t>
      </w:r>
      <w:r>
        <w:t xml:space="preserve">, and 95% reporting that TtW had a </w:t>
      </w:r>
      <w:r w:rsidR="00F8391B">
        <w:t>‘</w:t>
      </w:r>
      <w:r>
        <w:t>good</w:t>
      </w:r>
      <w:r w:rsidR="00F8391B">
        <w:t>’</w:t>
      </w:r>
      <w:r>
        <w:t xml:space="preserve"> or </w:t>
      </w:r>
      <w:r w:rsidR="00F8391B">
        <w:t>‘</w:t>
      </w:r>
      <w:r>
        <w:t>very good</w:t>
      </w:r>
      <w:r w:rsidR="00F8391B">
        <w:t>’</w:t>
      </w:r>
      <w:r>
        <w:t xml:space="preserve"> impact on participants</w:t>
      </w:r>
      <w:r w:rsidR="00284F40">
        <w:t>’</w:t>
      </w:r>
      <w:r>
        <w:t xml:space="preserve"> </w:t>
      </w:r>
      <w:r w:rsidRPr="004E0E1D">
        <w:t>understanding of their strengths and weaknesses</w:t>
      </w:r>
      <w:r w:rsidR="00284F40">
        <w:t>.</w:t>
      </w:r>
      <w:r w:rsidR="00EE102E">
        <w:rPr>
          <w:rStyle w:val="FootnoteReference"/>
        </w:rPr>
        <w:footnoteReference w:id="60"/>
      </w:r>
    </w:p>
    <w:p w14:paraId="0706E491" w14:textId="360EEAD4" w:rsidR="006150C6" w:rsidRPr="00582441" w:rsidRDefault="006150C6" w:rsidP="006150C6">
      <w:r>
        <w:t>In interviews</w:t>
      </w:r>
      <w:r w:rsidR="002113EA">
        <w:t xml:space="preserve"> for the qualitative research</w:t>
      </w:r>
      <w:r>
        <w:t>, while most participants discussed resilience in terms of managing job application rejections, some participants did feel that the positive framing that they were developing with the support of their caseworkers could have a broader impact.</w:t>
      </w:r>
    </w:p>
    <w:p w14:paraId="2E7B51E3" w14:textId="6BC2C2B7" w:rsidR="006150C6" w:rsidRPr="00FF386E" w:rsidRDefault="006150C6" w:rsidP="006150C6">
      <w:pPr>
        <w:pStyle w:val="Quote"/>
      </w:pPr>
      <w:r>
        <w:t>It</w:t>
      </w:r>
      <w:r w:rsidR="00F8391B">
        <w:t>’</w:t>
      </w:r>
      <w:r>
        <w:t>s helped with knowing that there is bigger and better things out there and it can push through it because I</w:t>
      </w:r>
      <w:r w:rsidR="00F8391B">
        <w:t>’</w:t>
      </w:r>
      <w:r>
        <w:t>ve got that support and … kind of like a voice that sits there to say, no there is better out there, like that sucks you</w:t>
      </w:r>
      <w:r w:rsidR="00F8391B">
        <w:t>’</w:t>
      </w:r>
      <w:r>
        <w:t>re going through that right now, you can push past it and there is better things out there</w:t>
      </w:r>
      <w:r w:rsidR="001A7E84">
        <w:t>.</w:t>
      </w:r>
      <w:r>
        <w:t xml:space="preserve"> […] Instead of me just sitting there and dwelling in what I</w:t>
      </w:r>
      <w:r w:rsidR="00F8391B">
        <w:t>’</w:t>
      </w:r>
      <w:r>
        <w:t>m going through and not knowing how to progress forward. I feel that</w:t>
      </w:r>
      <w:r w:rsidR="00F8391B">
        <w:t>’</w:t>
      </w:r>
      <w:r>
        <w:t>s what they</w:t>
      </w:r>
      <w:r w:rsidR="00F8391B">
        <w:t>’</w:t>
      </w:r>
      <w:r>
        <w:t xml:space="preserve">ve really helped with. (Participant 18, </w:t>
      </w:r>
      <w:r w:rsidR="00ED248D">
        <w:t>f</w:t>
      </w:r>
      <w:r>
        <w:t xml:space="preserve">emale, </w:t>
      </w:r>
      <w:r w:rsidR="00625CBE">
        <w:t>19–21</w:t>
      </w:r>
      <w:r>
        <w:t xml:space="preserve"> years old, metro NSW, Group 1)</w:t>
      </w:r>
    </w:p>
    <w:p w14:paraId="4C0148AE" w14:textId="29B4E0CC" w:rsidR="006150C6" w:rsidRDefault="006150C6" w:rsidP="009C6857">
      <w:pPr>
        <w:pStyle w:val="Heading3"/>
        <w:ind w:left="0"/>
      </w:pPr>
      <w:bookmarkStart w:id="1723" w:name="_Toc106711866"/>
      <w:bookmarkStart w:id="1724" w:name="_Toc132650463"/>
      <w:bookmarkStart w:id="1725" w:name="_Toc146033494"/>
      <w:r>
        <w:t xml:space="preserve">Mental </w:t>
      </w:r>
      <w:r w:rsidR="0047405C">
        <w:t>h</w:t>
      </w:r>
      <w:r>
        <w:t>ealth</w:t>
      </w:r>
      <w:bookmarkEnd w:id="1723"/>
      <w:bookmarkEnd w:id="1724"/>
      <w:bookmarkEnd w:id="1725"/>
    </w:p>
    <w:p w14:paraId="684E2588" w14:textId="77777777" w:rsidR="006150C6" w:rsidRDefault="006150C6" w:rsidP="00023E59">
      <w:pPr>
        <w:pStyle w:val="Heading4"/>
        <w:numPr>
          <w:ilvl w:val="0"/>
          <w:numId w:val="0"/>
        </w:numPr>
        <w:ind w:left="864" w:hanging="864"/>
      </w:pPr>
      <w:bookmarkStart w:id="1726" w:name="_Hlk104555952"/>
      <w:r>
        <w:t>Mental health outcomes</w:t>
      </w:r>
    </w:p>
    <w:p w14:paraId="1902C8F2" w14:textId="043FC3CD" w:rsidR="006150C6" w:rsidRDefault="006150C6" w:rsidP="006150C6">
      <w:r>
        <w:t>P</w:t>
      </w:r>
      <w:r w:rsidRPr="00572297">
        <w:t xml:space="preserve">articipants were asked </w:t>
      </w:r>
      <w:r>
        <w:t xml:space="preserve">in the 2021 </w:t>
      </w:r>
      <w:r w:rsidR="00A86EEA">
        <w:t>p</w:t>
      </w:r>
      <w:r>
        <w:t xml:space="preserve">articipant </w:t>
      </w:r>
      <w:r w:rsidR="00A86EEA">
        <w:t>s</w:t>
      </w:r>
      <w:r>
        <w:t xml:space="preserve">urvey </w:t>
      </w:r>
      <w:r w:rsidRPr="00572297">
        <w:t xml:space="preserve">to provide an overall rating of their mental health and </w:t>
      </w:r>
      <w:r w:rsidRPr="00CD6FB8">
        <w:t xml:space="preserve">wellbeing. </w:t>
      </w:r>
      <w:r w:rsidRPr="00403636">
        <w:rPr>
          <w:b/>
          <w:bCs/>
        </w:rPr>
        <w:fldChar w:fldCharType="begin"/>
      </w:r>
      <w:r w:rsidRPr="00403636">
        <w:rPr>
          <w:b/>
          <w:bCs/>
        </w:rPr>
        <w:instrText xml:space="preserve"> REF _Ref110962214 \h  \* MERGEFORMAT </w:instrText>
      </w:r>
      <w:r w:rsidRPr="00403636">
        <w:rPr>
          <w:b/>
          <w:bCs/>
        </w:rPr>
      </w:r>
      <w:r w:rsidRPr="00403636">
        <w:rPr>
          <w:b/>
          <w:bCs/>
        </w:rPr>
        <w:fldChar w:fldCharType="separate"/>
      </w:r>
      <w:r w:rsidR="00180E14" w:rsidRPr="00180E14">
        <w:rPr>
          <w:b/>
          <w:bCs/>
        </w:rPr>
        <w:t xml:space="preserve">Figure </w:t>
      </w:r>
      <w:r w:rsidR="00180E14" w:rsidRPr="00180E14">
        <w:rPr>
          <w:b/>
          <w:bCs/>
          <w:noProof/>
        </w:rPr>
        <w:t>8</w:t>
      </w:r>
      <w:r w:rsidRPr="00403636">
        <w:rPr>
          <w:b/>
          <w:bCs/>
        </w:rPr>
        <w:fldChar w:fldCharType="end"/>
      </w:r>
      <w:r w:rsidRPr="00CD6FB8">
        <w:t xml:space="preserve"> displays</w:t>
      </w:r>
      <w:r w:rsidRPr="00572297">
        <w:t xml:space="preserve"> the </w:t>
      </w:r>
      <w:r>
        <w:t>responses participants provided when self-rating their mental health and wellbeing.</w:t>
      </w:r>
    </w:p>
    <w:p w14:paraId="1AE3AD08" w14:textId="2B9BD2FA" w:rsidR="006150C6" w:rsidRDefault="006150C6" w:rsidP="006150C6">
      <w:bookmarkStart w:id="1727" w:name="_Hlk85808352"/>
      <w:r>
        <w:t xml:space="preserve">Only 1 in 4 (26%) TtW </w:t>
      </w:r>
      <w:r w:rsidRPr="009E507F">
        <w:t xml:space="preserve">participants </w:t>
      </w:r>
      <w:r>
        <w:t>reported</w:t>
      </w:r>
      <w:r w:rsidRPr="009E507F">
        <w:t xml:space="preserve"> their mental health as </w:t>
      </w:r>
      <w:r w:rsidR="00F8391B">
        <w:t>‘</w:t>
      </w:r>
      <w:r w:rsidRPr="009E507F">
        <w:t>excellent</w:t>
      </w:r>
      <w:r w:rsidR="00F8391B">
        <w:t>’</w:t>
      </w:r>
      <w:r w:rsidRPr="009E507F">
        <w:t xml:space="preserve"> </w:t>
      </w:r>
      <w:r>
        <w:t xml:space="preserve">or </w:t>
      </w:r>
      <w:r w:rsidR="00F8391B">
        <w:t>‘</w:t>
      </w:r>
      <w:r>
        <w:t xml:space="preserve">very </w:t>
      </w:r>
      <w:r w:rsidRPr="009E507F">
        <w:t>good</w:t>
      </w:r>
      <w:r w:rsidR="00F8391B">
        <w:t>’</w:t>
      </w:r>
      <w:r>
        <w:t xml:space="preserve">, and almost 1 in 5 (19%) reported that their mental health was </w:t>
      </w:r>
      <w:r w:rsidR="00F8391B">
        <w:t>‘</w:t>
      </w:r>
      <w:r>
        <w:t>poor</w:t>
      </w:r>
      <w:r w:rsidR="00F8391B">
        <w:t>’</w:t>
      </w:r>
      <w:r>
        <w:t xml:space="preserve">. The comparison group had significantly </w:t>
      </w:r>
      <w:r w:rsidR="00F07BBF">
        <w:t>fewer</w:t>
      </w:r>
      <w:r>
        <w:t xml:space="preserve"> respondents reporting </w:t>
      </w:r>
      <w:r w:rsidR="00F8391B">
        <w:t>‘</w:t>
      </w:r>
      <w:r>
        <w:t>very good</w:t>
      </w:r>
      <w:r w:rsidR="00AE5234">
        <w:t>’</w:t>
      </w:r>
      <w:r>
        <w:t xml:space="preserve"> or </w:t>
      </w:r>
      <w:r w:rsidR="00AE5234">
        <w:t>‘</w:t>
      </w:r>
      <w:r>
        <w:t>good</w:t>
      </w:r>
      <w:r w:rsidR="00F8391B">
        <w:t>’</w:t>
      </w:r>
      <w:r>
        <w:t xml:space="preserve"> mental health (19% </w:t>
      </w:r>
      <w:r w:rsidR="00A4079D">
        <w:t>versus</w:t>
      </w:r>
      <w:r>
        <w:t xml:space="preserve"> 26%) and significantly more reporting that their mental health was </w:t>
      </w:r>
      <w:r w:rsidR="00F8391B">
        <w:t>‘</w:t>
      </w:r>
      <w:r>
        <w:t>poor</w:t>
      </w:r>
      <w:r w:rsidR="00F8391B">
        <w:t>’</w:t>
      </w:r>
      <w:r w:rsidRPr="009E507F">
        <w:t xml:space="preserve"> (2</w:t>
      </w:r>
      <w:r>
        <w:t>7</w:t>
      </w:r>
      <w:r w:rsidRPr="009E507F">
        <w:t xml:space="preserve">% </w:t>
      </w:r>
      <w:r w:rsidR="00A4079D">
        <w:t>versus</w:t>
      </w:r>
      <w:r w:rsidRPr="009E507F">
        <w:t xml:space="preserve"> 19%). </w:t>
      </w:r>
      <w:bookmarkEnd w:id="1727"/>
      <w:r w:rsidRPr="00440B4B">
        <w:t>These differences remained after adjusting for number of stressful life events</w:t>
      </w:r>
      <w:r w:rsidR="00A77309" w:rsidRPr="00440B4B">
        <w:t xml:space="preserve"> </w:t>
      </w:r>
      <w:r w:rsidRPr="00440B4B">
        <w:t>in the past 12 months and length of time in program.</w:t>
      </w:r>
      <w:r w:rsidR="00E53BE2" w:rsidRPr="00440B4B">
        <w:rPr>
          <w:rStyle w:val="FootnoteReference"/>
        </w:rPr>
        <w:footnoteReference w:id="61"/>
      </w:r>
    </w:p>
    <w:p w14:paraId="2B71B977" w14:textId="200C59CF" w:rsidR="006150C6" w:rsidRDefault="006150C6" w:rsidP="006150C6">
      <w:pPr>
        <w:pStyle w:val="Caption"/>
        <w:keepNext/>
      </w:pPr>
      <w:bookmarkStart w:id="1728" w:name="_Ref110962214"/>
      <w:bookmarkStart w:id="1729" w:name="_Toc86416697"/>
      <w:bookmarkStart w:id="1730" w:name="_Toc132647849"/>
      <w:bookmarkStart w:id="1731" w:name="_Toc145883318"/>
      <w:bookmarkStart w:id="1732" w:name="_Hlk110422563"/>
      <w:bookmarkStart w:id="1733" w:name="_Hlk124849851"/>
      <w:r>
        <w:lastRenderedPageBreak/>
        <w:t xml:space="preserve">Figure </w:t>
      </w:r>
      <w:r w:rsidR="00BE71D4">
        <w:fldChar w:fldCharType="begin"/>
      </w:r>
      <w:r w:rsidR="00BE71D4">
        <w:instrText xml:space="preserve"> SEQ Figure \* ARABIC </w:instrText>
      </w:r>
      <w:r w:rsidR="00BE71D4">
        <w:fldChar w:fldCharType="separate"/>
      </w:r>
      <w:r w:rsidR="00180E14">
        <w:rPr>
          <w:noProof/>
        </w:rPr>
        <w:t>8</w:t>
      </w:r>
      <w:r w:rsidR="00BE71D4">
        <w:rPr>
          <w:noProof/>
        </w:rPr>
        <w:fldChar w:fldCharType="end"/>
      </w:r>
      <w:bookmarkEnd w:id="1728"/>
      <w:r>
        <w:t>: Participant self-rated mental health and wellbeing</w:t>
      </w:r>
      <w:bookmarkEnd w:id="1729"/>
      <w:r>
        <w:t xml:space="preserve"> (% of participants)</w:t>
      </w:r>
      <w:bookmarkEnd w:id="1730"/>
      <w:bookmarkEnd w:id="1731"/>
    </w:p>
    <w:p w14:paraId="44E4CE7D" w14:textId="015D91E6" w:rsidR="006150C6" w:rsidRDefault="00B14A99" w:rsidP="007E48EB">
      <w:pPr>
        <w:spacing w:after="0"/>
      </w:pPr>
      <w:r>
        <w:rPr>
          <w:noProof/>
        </w:rPr>
        <w:drawing>
          <wp:inline distT="0" distB="0" distL="0" distR="0" wp14:anchorId="37AFB2E6" wp14:editId="518557E7">
            <wp:extent cx="5487035" cy="2383790"/>
            <wp:effectExtent l="0" t="0" r="0" b="0"/>
            <wp:docPr id="28" name="Picture 28" descr="TtW: Excellent 11.1%, Very good 15.2%, Good 27.2%, Fair 26.3%, Poor 18.6%&#10;Comparison: Excellent 9.5%, Very good 9.1%, Good 19.8%, Fair 32.3%, Poor 27.3%&#10;Very good and good are significantly differ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tW: Excellent 11.1%, Very good 15.2%, Good 27.2%, Fair 26.3%, Poor 18.6%&#10;Comparison: Excellent 9.5%, Very good 9.1%, Good 19.8%, Fair 32.3%, Poor 27.3%&#10;Very good and good are significantly different&#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7035" cy="2383790"/>
                    </a:xfrm>
                    <a:prstGeom prst="rect">
                      <a:avLst/>
                    </a:prstGeom>
                    <a:noFill/>
                  </pic:spPr>
                </pic:pic>
              </a:graphicData>
            </a:graphic>
          </wp:inline>
        </w:drawing>
      </w:r>
    </w:p>
    <w:bookmarkEnd w:id="1732"/>
    <w:p w14:paraId="18D27D76" w14:textId="104EBF05" w:rsidR="006150C6" w:rsidRDefault="006150C6" w:rsidP="006150C6">
      <w:pPr>
        <w:pStyle w:val="SourceandNotes"/>
      </w:pPr>
      <w:r>
        <w:t xml:space="preserve">Source: Participant </w:t>
      </w:r>
      <w:r w:rsidR="00A86EEA">
        <w:t>s</w:t>
      </w:r>
      <w:r>
        <w:t>urvey 2021</w:t>
      </w:r>
    </w:p>
    <w:p w14:paraId="5E23C87E" w14:textId="5FCCCDF3" w:rsidR="006150C6" w:rsidRPr="00862FA5" w:rsidRDefault="006150C6" w:rsidP="006150C6">
      <w:pPr>
        <w:pStyle w:val="SourceandNotes"/>
        <w:rPr>
          <w:strike/>
          <w:szCs w:val="18"/>
        </w:rPr>
      </w:pPr>
      <w:r w:rsidRPr="00862FA5">
        <w:rPr>
          <w:szCs w:val="18"/>
        </w:rPr>
        <w:t>Base: All respondents</w:t>
      </w:r>
      <w:r w:rsidR="00F8391B">
        <w:rPr>
          <w:szCs w:val="18"/>
        </w:rPr>
        <w:t xml:space="preserve"> – </w:t>
      </w:r>
      <w:r w:rsidRPr="00862FA5">
        <w:rPr>
          <w:szCs w:val="18"/>
        </w:rPr>
        <w:t>TtW participants (n=1,502), jobactive participants (n=580)</w:t>
      </w:r>
    </w:p>
    <w:p w14:paraId="1DCF858F" w14:textId="2F148172" w:rsidR="006150C6" w:rsidRPr="00560D18" w:rsidRDefault="006150C6" w:rsidP="006150C6">
      <w:pPr>
        <w:pStyle w:val="SourceandNotes"/>
        <w:rPr>
          <w:strike/>
        </w:rPr>
      </w:pPr>
      <w:r w:rsidRPr="00560D18">
        <w:t>QHC</w:t>
      </w:r>
      <w:r>
        <w:t>3</w:t>
      </w:r>
      <w:r w:rsidRPr="00560D18">
        <w:t xml:space="preserve"> </w:t>
      </w:r>
      <w:r>
        <w:t>How would you rate your mental health and wellbeing?</w:t>
      </w:r>
    </w:p>
    <w:p w14:paraId="3D43751F" w14:textId="40B6B3FA" w:rsidR="006150C6" w:rsidRDefault="006150C6" w:rsidP="006150C6">
      <w:pPr>
        <w:pStyle w:val="SourceandNotes"/>
      </w:pPr>
      <w:r>
        <w:rPr>
          <w:szCs w:val="18"/>
        </w:rPr>
        <w:t xml:space="preserve">Note: </w:t>
      </w:r>
      <w:r w:rsidRPr="00D14A39">
        <w:rPr>
          <w:color w:val="FF0000"/>
        </w:rPr>
        <w:t>*</w:t>
      </w:r>
      <w:r w:rsidRPr="00D14A39">
        <w:t>Indicates result is significantly different to TtW participants (</w:t>
      </w:r>
      <w:r w:rsidRPr="00C239FD">
        <w:rPr>
          <w:i/>
          <w:iCs/>
        </w:rPr>
        <w:t>p</w:t>
      </w:r>
      <w:r w:rsidRPr="00D14A39">
        <w:t>&lt;0.05)</w:t>
      </w:r>
    </w:p>
    <w:bookmarkEnd w:id="1733"/>
    <w:p w14:paraId="5FF10C9D" w14:textId="13F98156" w:rsidR="006150C6" w:rsidRDefault="00B074AB" w:rsidP="006150C6">
      <w:r>
        <w:t>More than a third (36%)</w:t>
      </w:r>
      <w:r w:rsidR="006150C6">
        <w:t xml:space="preserve"> of TtW participant survey respondents reported poor mental health as a current barrier to work and study, compared to </w:t>
      </w:r>
      <w:r>
        <w:t>almost half (</w:t>
      </w:r>
      <w:r w:rsidR="006150C6">
        <w:t>46%</w:t>
      </w:r>
      <w:r>
        <w:t>)</w:t>
      </w:r>
      <w:r w:rsidR="006150C6">
        <w:t xml:space="preserve"> of the comparison group</w:t>
      </w:r>
      <w:r w:rsidR="00482B44">
        <w:t>.</w:t>
      </w:r>
      <w:r w:rsidR="006150C6">
        <w:rPr>
          <w:rStyle w:val="FootnoteReference"/>
        </w:rPr>
        <w:footnoteReference w:id="62"/>
      </w:r>
      <w:r w:rsidR="006150C6">
        <w:t xml:space="preserve"> In interviews, poor mental health was also a very common barrier discussed by participants. This included mental health conditions with high community prevalence, such as depression and anxiety, as well as other difficulties, such as bipolar disorder (mentioned by </w:t>
      </w:r>
      <w:r w:rsidR="00F8391B">
        <w:t>2</w:t>
      </w:r>
      <w:r w:rsidR="006150C6">
        <w:t xml:space="preserve"> participants). This finding is supported by providers, with 9 out of 10 respondents to the provider survey (91%) identifying that mental health issues were a barrier to participants at their site moving towards their employment and education goals</w:t>
      </w:r>
      <w:r w:rsidR="006410DB">
        <w:t>.</w:t>
      </w:r>
      <w:r w:rsidR="006150C6">
        <w:rPr>
          <w:rStyle w:val="FootnoteReference"/>
        </w:rPr>
        <w:footnoteReference w:id="63"/>
      </w:r>
      <w:r w:rsidR="006150C6">
        <w:t xml:space="preserve"> When </w:t>
      </w:r>
      <w:r w:rsidR="00110D51">
        <w:t>resp</w:t>
      </w:r>
      <w:r w:rsidR="00A63A58">
        <w:t>ondents</w:t>
      </w:r>
      <w:r w:rsidR="006410DB">
        <w:t xml:space="preserve"> were </w:t>
      </w:r>
      <w:r w:rsidR="006150C6">
        <w:t xml:space="preserve">asked to rank the </w:t>
      </w:r>
      <w:r w:rsidR="00F8391B">
        <w:t>3</w:t>
      </w:r>
      <w:r w:rsidR="006150C6">
        <w:t xml:space="preserve"> most important barriers to participants moving towards their employment and education goals, mental health issues was ranked second (after transport issues).</w:t>
      </w:r>
    </w:p>
    <w:p w14:paraId="3D7DC185" w14:textId="77777777" w:rsidR="006150C6" w:rsidRDefault="006150C6" w:rsidP="00023E59">
      <w:pPr>
        <w:pStyle w:val="Heading4"/>
        <w:numPr>
          <w:ilvl w:val="0"/>
          <w:numId w:val="0"/>
        </w:numPr>
        <w:ind w:left="864" w:hanging="864"/>
      </w:pPr>
      <w:r>
        <w:t>Impact of poor mental health</w:t>
      </w:r>
    </w:p>
    <w:p w14:paraId="1C75E708" w14:textId="77777777" w:rsidR="006150C6" w:rsidRDefault="006150C6" w:rsidP="006150C6">
      <w:r>
        <w:t>Mental health had a significant impact on participants and their vocational pursuits. For example, some participants noted that anxiety and low confidence impacted on their ability to approach employers and operate in social settings. Other mental health concerns, such as low mood/depression, impacted on motivation and the ability to maintain employment.</w:t>
      </w:r>
    </w:p>
    <w:p w14:paraId="722CDDF8" w14:textId="2723988D" w:rsidR="006150C6" w:rsidRDefault="006150C6" w:rsidP="006150C6">
      <w:pPr>
        <w:pStyle w:val="Quote"/>
        <w:rPr>
          <w:lang w:val="en-US"/>
        </w:rPr>
      </w:pPr>
      <w:r w:rsidRPr="00501163">
        <w:rPr>
          <w:lang w:val="en-US"/>
        </w:rPr>
        <w:t>I had bad mental health and haven</w:t>
      </w:r>
      <w:r w:rsidR="00F8391B">
        <w:rPr>
          <w:lang w:val="en-US"/>
        </w:rPr>
        <w:t>’</w:t>
      </w:r>
      <w:r w:rsidRPr="00501163">
        <w:rPr>
          <w:lang w:val="en-US"/>
        </w:rPr>
        <w:t>t had the</w:t>
      </w:r>
      <w:r>
        <w:rPr>
          <w:lang w:val="en-US"/>
        </w:rPr>
        <w:t xml:space="preserve">… </w:t>
      </w:r>
      <w:r w:rsidRPr="00501163">
        <w:rPr>
          <w:lang w:val="en-US"/>
        </w:rPr>
        <w:t>motivation to stay in a real job. So yeah, it was just my daily life, my daily life was just play computer games, stream it, make some money. Go to sleep.</w:t>
      </w:r>
      <w:r>
        <w:rPr>
          <w:lang w:val="en-US"/>
        </w:rPr>
        <w:t xml:space="preserve"> (Participant 4, </w:t>
      </w:r>
      <w:r w:rsidR="00ED248D">
        <w:rPr>
          <w:lang w:val="en-US"/>
        </w:rPr>
        <w:t>f</w:t>
      </w:r>
      <w:r>
        <w:rPr>
          <w:lang w:val="en-US"/>
        </w:rPr>
        <w:t xml:space="preserve">emale, </w:t>
      </w:r>
      <w:r w:rsidR="00625CBE">
        <w:rPr>
          <w:lang w:val="en-US"/>
        </w:rPr>
        <w:t>19–21</w:t>
      </w:r>
      <w:r>
        <w:rPr>
          <w:lang w:val="en-US"/>
        </w:rPr>
        <w:t xml:space="preserve"> years old, metro SA, Group 1)</w:t>
      </w:r>
    </w:p>
    <w:p w14:paraId="3E4C588C" w14:textId="611130F3" w:rsidR="006150C6" w:rsidRPr="005B41CD" w:rsidRDefault="006150C6" w:rsidP="006150C6">
      <w:pPr>
        <w:pStyle w:val="Quote"/>
        <w:rPr>
          <w:lang w:val="en-US"/>
        </w:rPr>
      </w:pPr>
      <w:r w:rsidRPr="00446A46">
        <w:rPr>
          <w:lang w:val="en-US"/>
        </w:rPr>
        <w:t>[M]y anxiety and that, I hate being around people</w:t>
      </w:r>
      <w:r w:rsidR="00367A41">
        <w:rPr>
          <w:lang w:val="en-US"/>
        </w:rPr>
        <w:t xml:space="preserve"> </w:t>
      </w:r>
      <w:r w:rsidRPr="00446A46">
        <w:rPr>
          <w:lang w:val="en-US"/>
        </w:rPr>
        <w:t>… So it is</w:t>
      </w:r>
      <w:r w:rsidR="00F8391B">
        <w:rPr>
          <w:lang w:val="en-US"/>
        </w:rPr>
        <w:t xml:space="preserve"> – </w:t>
      </w:r>
      <w:r w:rsidRPr="00446A46">
        <w:rPr>
          <w:lang w:val="en-US"/>
        </w:rPr>
        <w:t>it</w:t>
      </w:r>
      <w:r w:rsidR="00F8391B">
        <w:rPr>
          <w:lang w:val="en-US"/>
        </w:rPr>
        <w:t>’</w:t>
      </w:r>
      <w:r w:rsidRPr="00446A46">
        <w:rPr>
          <w:lang w:val="en-US"/>
        </w:rPr>
        <w:t xml:space="preserve">s me also stopping myself from wanting to work. </w:t>
      </w:r>
      <w:r w:rsidR="009F1529">
        <w:rPr>
          <w:lang w:val="en-US"/>
        </w:rPr>
        <w:t>’</w:t>
      </w:r>
      <w:r w:rsidRPr="009F1529">
        <w:rPr>
          <w:lang w:val="en-US"/>
        </w:rPr>
        <w:t>Cause</w:t>
      </w:r>
      <w:r w:rsidRPr="00446A46">
        <w:rPr>
          <w:lang w:val="en-US"/>
        </w:rPr>
        <w:t xml:space="preserve"> I don</w:t>
      </w:r>
      <w:r w:rsidR="00F8391B">
        <w:rPr>
          <w:lang w:val="en-US"/>
        </w:rPr>
        <w:t>’</w:t>
      </w:r>
      <w:r w:rsidRPr="00446A46">
        <w:rPr>
          <w:lang w:val="en-US"/>
        </w:rPr>
        <w:t xml:space="preserve">t have the guts to do it, </w:t>
      </w:r>
      <w:r w:rsidR="009F1529">
        <w:rPr>
          <w:lang w:val="en-US"/>
        </w:rPr>
        <w:t>’</w:t>
      </w:r>
      <w:r w:rsidRPr="00446A46">
        <w:rPr>
          <w:lang w:val="en-US"/>
        </w:rPr>
        <w:t>cause I</w:t>
      </w:r>
      <w:r w:rsidR="00F8391B">
        <w:rPr>
          <w:lang w:val="en-US"/>
        </w:rPr>
        <w:t>’</w:t>
      </w:r>
      <w:r w:rsidRPr="00446A46">
        <w:rPr>
          <w:lang w:val="en-US"/>
        </w:rPr>
        <w:t xml:space="preserve">m too scared, </w:t>
      </w:r>
      <w:r w:rsidRPr="00446A46">
        <w:rPr>
          <w:lang w:val="en-US"/>
        </w:rPr>
        <w:lastRenderedPageBreak/>
        <w:t>like too nervous</w:t>
      </w:r>
      <w:r w:rsidR="00367A41">
        <w:rPr>
          <w:lang w:val="en-US"/>
        </w:rPr>
        <w:t xml:space="preserve"> </w:t>
      </w:r>
      <w:r w:rsidRPr="00446A46">
        <w:rPr>
          <w:lang w:val="en-US"/>
        </w:rPr>
        <w:t>… It</w:t>
      </w:r>
      <w:r w:rsidR="00F8391B">
        <w:rPr>
          <w:lang w:val="en-US"/>
        </w:rPr>
        <w:t>’</w:t>
      </w:r>
      <w:r w:rsidRPr="00446A46">
        <w:rPr>
          <w:lang w:val="en-US"/>
        </w:rPr>
        <w:t xml:space="preserve">s just my anxiety that stops me the most. (Participant 31, </w:t>
      </w:r>
      <w:r w:rsidR="00ED248D">
        <w:rPr>
          <w:lang w:val="en-US"/>
        </w:rPr>
        <w:t>f</w:t>
      </w:r>
      <w:r>
        <w:rPr>
          <w:lang w:val="en-US"/>
        </w:rPr>
        <w:t>emale</w:t>
      </w:r>
      <w:r w:rsidRPr="00446A46">
        <w:rPr>
          <w:lang w:val="en-US"/>
        </w:rPr>
        <w:t>,</w:t>
      </w:r>
      <w:r>
        <w:rPr>
          <w:lang w:val="en-US"/>
        </w:rPr>
        <w:t xml:space="preserve"> </w:t>
      </w:r>
      <w:r w:rsidR="00625CBE">
        <w:rPr>
          <w:lang w:val="en-US"/>
        </w:rPr>
        <w:t>19–21</w:t>
      </w:r>
      <w:r>
        <w:rPr>
          <w:lang w:val="en-US"/>
        </w:rPr>
        <w:t xml:space="preserve"> years old,</w:t>
      </w:r>
      <w:r w:rsidRPr="00446A46">
        <w:rPr>
          <w:lang w:val="en-US"/>
        </w:rPr>
        <w:t xml:space="preserve"> metro SA, Group 3, Indigenous)</w:t>
      </w:r>
    </w:p>
    <w:p w14:paraId="11EDCA9B" w14:textId="77777777" w:rsidR="006150C6" w:rsidRDefault="006150C6" w:rsidP="006150C6">
      <w:r>
        <w:t>Mental health issues were particularly prevalent among the Aboriginal and/or Torres Strait Islander participants, with many reporting either depression or anxiety, or a combination of both. In one case, this was compounded by trauma from an abusive relationship.</w:t>
      </w:r>
    </w:p>
    <w:p w14:paraId="6A824451" w14:textId="65E382C7" w:rsidR="006150C6" w:rsidRDefault="006150C6" w:rsidP="00023E59">
      <w:pPr>
        <w:pStyle w:val="Heading4"/>
        <w:numPr>
          <w:ilvl w:val="0"/>
          <w:numId w:val="0"/>
        </w:numPr>
        <w:ind w:left="864" w:hanging="864"/>
      </w:pPr>
      <w:r>
        <w:t>TtW focus on mental health</w:t>
      </w:r>
    </w:p>
    <w:p w14:paraId="2283D77B" w14:textId="5A4C3009" w:rsidR="006150C6" w:rsidRDefault="006150C6" w:rsidP="006150C6">
      <w:r>
        <w:t>Just under two</w:t>
      </w:r>
      <w:r w:rsidR="00FD7B58">
        <w:t>-</w:t>
      </w:r>
      <w:r>
        <w:t>thirds (63%) of TtW participants reported that their caseworker had a positive or very positive impact on their mental health</w:t>
      </w:r>
      <w:r w:rsidR="00BA693D">
        <w:t xml:space="preserve"> (</w:t>
      </w:r>
      <w:r>
        <w:t>significantly more than the comparison group (49%). Comparatively few TtW participants (6%) reported their caseworker(s) had a negative or very negative impact on their mental health</w:t>
      </w:r>
      <w:r w:rsidR="00524C35">
        <w:t>,</w:t>
      </w:r>
      <w:r>
        <w:t xml:space="preserve"> compared with </w:t>
      </w:r>
      <w:r w:rsidR="00F8391B">
        <w:t>1</w:t>
      </w:r>
      <w:r>
        <w:t xml:space="preserve"> in </w:t>
      </w:r>
      <w:r w:rsidR="00F8391B">
        <w:t>8</w:t>
      </w:r>
      <w:r>
        <w:t xml:space="preserve"> (13%) of the comparison group </w:t>
      </w:r>
      <w:r w:rsidRPr="00CD6FB8">
        <w:t>(</w:t>
      </w:r>
      <w:r w:rsidRPr="00403636">
        <w:rPr>
          <w:b/>
          <w:bCs/>
        </w:rPr>
        <w:fldChar w:fldCharType="begin"/>
      </w:r>
      <w:r w:rsidRPr="00403636">
        <w:rPr>
          <w:b/>
          <w:bCs/>
        </w:rPr>
        <w:instrText xml:space="preserve"> REF _Ref110962223 \h  \* MERGEFORMAT </w:instrText>
      </w:r>
      <w:r w:rsidRPr="00403636">
        <w:rPr>
          <w:b/>
          <w:bCs/>
        </w:rPr>
      </w:r>
      <w:r w:rsidRPr="00403636">
        <w:rPr>
          <w:b/>
          <w:bCs/>
        </w:rPr>
        <w:fldChar w:fldCharType="separate"/>
      </w:r>
      <w:r w:rsidR="00180E14" w:rsidRPr="00180E14">
        <w:rPr>
          <w:b/>
          <w:bCs/>
        </w:rPr>
        <w:t>Figure</w:t>
      </w:r>
      <w:r w:rsidR="00180E14">
        <w:t xml:space="preserve"> </w:t>
      </w:r>
      <w:r w:rsidR="00180E14">
        <w:rPr>
          <w:noProof/>
        </w:rPr>
        <w:t>9</w:t>
      </w:r>
      <w:r w:rsidRPr="00403636">
        <w:rPr>
          <w:b/>
          <w:bCs/>
        </w:rPr>
        <w:fldChar w:fldCharType="end"/>
      </w:r>
      <w:r w:rsidRPr="00CD6FB8">
        <w:t>). Most</w:t>
      </w:r>
      <w:r>
        <w:t xml:space="preserve"> providers (91%) also felt that engagement with TtW had a </w:t>
      </w:r>
      <w:r w:rsidR="00F8391B">
        <w:t>‘</w:t>
      </w:r>
      <w:r>
        <w:t>good</w:t>
      </w:r>
      <w:r w:rsidR="00F8391B">
        <w:t>’</w:t>
      </w:r>
      <w:r>
        <w:t xml:space="preserve"> or </w:t>
      </w:r>
      <w:r w:rsidR="00F8391B">
        <w:t>‘</w:t>
      </w:r>
      <w:r>
        <w:t>very good</w:t>
      </w:r>
      <w:r w:rsidR="00F8391B">
        <w:t>’</w:t>
      </w:r>
      <w:r>
        <w:t xml:space="preserve"> impact generally on participants</w:t>
      </w:r>
      <w:r w:rsidR="00F8391B">
        <w:t>’</w:t>
      </w:r>
      <w:r>
        <w:t xml:space="preserve"> mental health, with none feeling that it had a poor impact</w:t>
      </w:r>
      <w:r w:rsidR="00524C35">
        <w:t>.</w:t>
      </w:r>
      <w:r>
        <w:rPr>
          <w:rStyle w:val="FootnoteReference"/>
          <w:rFonts w:eastAsiaTheme="majorEastAsia"/>
        </w:rPr>
        <w:footnoteReference w:id="64"/>
      </w:r>
    </w:p>
    <w:p w14:paraId="36EE4D6B" w14:textId="12931090" w:rsidR="006150C6" w:rsidRDefault="006150C6" w:rsidP="006150C6">
      <w:pPr>
        <w:pStyle w:val="Caption"/>
        <w:keepNext/>
      </w:pPr>
      <w:bookmarkStart w:id="1734" w:name="_Ref110962223"/>
      <w:bookmarkStart w:id="1735" w:name="_Toc132647850"/>
      <w:bookmarkStart w:id="1736" w:name="_Toc145883319"/>
      <w:bookmarkStart w:id="1737" w:name="_Hlk110422598"/>
      <w:bookmarkStart w:id="1738" w:name="_Hlk124849860"/>
      <w:r>
        <w:t xml:space="preserve">Figure </w:t>
      </w:r>
      <w:r w:rsidR="00BE71D4">
        <w:fldChar w:fldCharType="begin"/>
      </w:r>
      <w:r w:rsidR="00BE71D4">
        <w:instrText xml:space="preserve"> SEQ Figure \* ARABIC </w:instrText>
      </w:r>
      <w:r w:rsidR="00BE71D4">
        <w:fldChar w:fldCharType="separate"/>
      </w:r>
      <w:r w:rsidR="00180E14">
        <w:rPr>
          <w:noProof/>
        </w:rPr>
        <w:t>9</w:t>
      </w:r>
      <w:r w:rsidR="00BE71D4">
        <w:rPr>
          <w:noProof/>
        </w:rPr>
        <w:fldChar w:fldCharType="end"/>
      </w:r>
      <w:bookmarkEnd w:id="1734"/>
      <w:r>
        <w:t>: Participant views on caseworker impact on mental health (% of participants)</w:t>
      </w:r>
      <w:bookmarkEnd w:id="1735"/>
      <w:bookmarkEnd w:id="1736"/>
    </w:p>
    <w:p w14:paraId="6F1CE380" w14:textId="11446BDF" w:rsidR="006150C6" w:rsidRDefault="00B14A99" w:rsidP="007E48EB">
      <w:pPr>
        <w:keepNext/>
        <w:spacing w:before="240" w:after="0"/>
      </w:pPr>
      <w:r>
        <w:rPr>
          <w:noProof/>
        </w:rPr>
        <w:drawing>
          <wp:inline distT="0" distB="0" distL="0" distR="0" wp14:anchorId="4D49CD4C" wp14:editId="442A3D92">
            <wp:extent cx="5365115" cy="2091055"/>
            <wp:effectExtent l="0" t="0" r="0" b="0"/>
            <wp:docPr id="36" name="Picture 36" descr="TtW: Very positive 16%, Positive 47%, No impact 29%, Negative 5%, Very negative 1%&#10;Comparison: Very positive 10%, Positive 39%, No impact 34%, Negative 8%, Very negative 5%&#10;Positive, very positive, negative and very negative are significantly differ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tW: Very positive 16%, Positive 47%, No impact 29%, Negative 5%, Very negative 1%&#10;Comparison: Very positive 10%, Positive 39%, No impact 34%, Negative 8%, Very negative 5%&#10;Positive, very positive, negative and very negative are significantly different&#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5115" cy="2091055"/>
                    </a:xfrm>
                    <a:prstGeom prst="rect">
                      <a:avLst/>
                    </a:prstGeom>
                    <a:noFill/>
                  </pic:spPr>
                </pic:pic>
              </a:graphicData>
            </a:graphic>
          </wp:inline>
        </w:drawing>
      </w:r>
    </w:p>
    <w:bookmarkEnd w:id="1737"/>
    <w:p w14:paraId="42509957" w14:textId="0101A834" w:rsidR="006150C6" w:rsidRDefault="006150C6" w:rsidP="007E48EB">
      <w:pPr>
        <w:pStyle w:val="SourceandNotes"/>
        <w:spacing w:before="0"/>
      </w:pPr>
      <w:r>
        <w:t xml:space="preserve">Source: Participant </w:t>
      </w:r>
      <w:r w:rsidR="00A86EEA">
        <w:t>s</w:t>
      </w:r>
      <w:r>
        <w:t>urvey 2021</w:t>
      </w:r>
    </w:p>
    <w:p w14:paraId="2917718E" w14:textId="379E96B4" w:rsidR="006150C6" w:rsidRPr="00D14A39" w:rsidRDefault="006150C6" w:rsidP="006150C6">
      <w:pPr>
        <w:pStyle w:val="SourceandNotes"/>
      </w:pPr>
      <w:r w:rsidRPr="00D14A39">
        <w:t>Base: TtW participants who had contact with their provider (n=1,494), jobactive participants who had contact with their provider (n=578)</w:t>
      </w:r>
    </w:p>
    <w:p w14:paraId="036C0AFD" w14:textId="0897AA50" w:rsidR="006150C6" w:rsidRPr="00D14A39" w:rsidRDefault="006150C6" w:rsidP="006150C6">
      <w:pPr>
        <w:pStyle w:val="SourceandNotes"/>
      </w:pPr>
      <w:r w:rsidRPr="00D14A39">
        <w:t xml:space="preserve">QTTB4 In your opinion, has your &lt;TtW / jobactive&gt; caseworker(s) had a positive or negative impact on your… </w:t>
      </w:r>
    </w:p>
    <w:p w14:paraId="62EE3A70" w14:textId="289C8327" w:rsidR="006150C6" w:rsidRDefault="006150C6" w:rsidP="006150C6">
      <w:pPr>
        <w:pStyle w:val="SourceandNotes"/>
      </w:pPr>
      <w:r>
        <w:t xml:space="preserve">Note: </w:t>
      </w:r>
      <w:r w:rsidRPr="00D14A39">
        <w:rPr>
          <w:color w:val="FF0000"/>
        </w:rPr>
        <w:t>*</w:t>
      </w:r>
      <w:r w:rsidRPr="00D14A39">
        <w:t>Indicates result is significantly different to TtW participants (</w:t>
      </w:r>
      <w:r w:rsidRPr="00C239FD">
        <w:rPr>
          <w:i/>
          <w:iCs/>
        </w:rPr>
        <w:t>p</w:t>
      </w:r>
      <w:r w:rsidRPr="00D14A39">
        <w:t>&lt;0.05)</w:t>
      </w:r>
    </w:p>
    <w:bookmarkEnd w:id="1738"/>
    <w:p w14:paraId="6844D32C" w14:textId="42DF730A" w:rsidR="006150C6" w:rsidRDefault="006150C6" w:rsidP="006150C6">
      <w:r>
        <w:t>Receiving assistance from their caseworker to access mental health support was reported by 42% of TtW participant survey respondents (this was similar to the percentage of the comparison group, at 38%</w:t>
      </w:r>
      <w:r w:rsidR="00F8391B">
        <w:t xml:space="preserve"> – </w:t>
      </w:r>
      <w:r>
        <w:t>not significantly different)</w:t>
      </w:r>
      <w:r w:rsidR="00F06522">
        <w:t>.</w:t>
      </w:r>
      <w:r w:rsidR="00287A94">
        <w:rPr>
          <w:rStyle w:val="FootnoteReference"/>
        </w:rPr>
        <w:footnoteReference w:id="65"/>
      </w:r>
      <w:r>
        <w:t xml:space="preserve"> </w:t>
      </w:r>
      <w:r w:rsidR="00F711D5">
        <w:t>Considering those reporting poor mental health</w:t>
      </w:r>
      <w:r>
        <w:t xml:space="preserve">, those with a higher JSCI score were more likely than those with a lower JSCI score to report accessing mental health support (48% </w:t>
      </w:r>
      <w:r w:rsidR="00A4079D">
        <w:t>versus</w:t>
      </w:r>
      <w:r>
        <w:t xml:space="preserve"> 39%).</w:t>
      </w:r>
    </w:p>
    <w:p w14:paraId="33661BD2" w14:textId="194FA1F1" w:rsidR="006150C6" w:rsidRPr="00CE5127" w:rsidRDefault="006150C6" w:rsidP="006150C6">
      <w:pPr>
        <w:rPr>
          <w:rFonts w:eastAsiaTheme="majorEastAsia"/>
        </w:rPr>
      </w:pPr>
      <w:r>
        <w:rPr>
          <w:rFonts w:eastAsiaTheme="majorEastAsia"/>
        </w:rPr>
        <w:t xml:space="preserve">In addition to referrals for specialist mental health support, most interview participants explained that the emotional support that caseworkers provided extended beyond their vocational needs and </w:t>
      </w:r>
      <w:r>
        <w:rPr>
          <w:rFonts w:eastAsiaTheme="majorEastAsia"/>
        </w:rPr>
        <w:lastRenderedPageBreak/>
        <w:t xml:space="preserve">exerted a positive influence on their mental health and overall wellbeing. Participants noted that being able to talk to their caseworker and feel </w:t>
      </w:r>
      <w:r w:rsidR="00F8391B">
        <w:rPr>
          <w:rFonts w:eastAsiaTheme="majorEastAsia"/>
        </w:rPr>
        <w:t>‘</w:t>
      </w:r>
      <w:r>
        <w:rPr>
          <w:rFonts w:eastAsiaTheme="majorEastAsia"/>
        </w:rPr>
        <w:t>understood</w:t>
      </w:r>
      <w:r w:rsidR="00F8391B">
        <w:rPr>
          <w:rFonts w:eastAsiaTheme="majorEastAsia"/>
        </w:rPr>
        <w:t>’</w:t>
      </w:r>
      <w:r>
        <w:rPr>
          <w:rFonts w:eastAsiaTheme="majorEastAsia"/>
        </w:rPr>
        <w:t xml:space="preserve"> was important.</w:t>
      </w:r>
    </w:p>
    <w:p w14:paraId="6F462326" w14:textId="114D1D1A" w:rsidR="006150C6" w:rsidRDefault="006150C6" w:rsidP="006150C6">
      <w:pPr>
        <w:pStyle w:val="Quote"/>
        <w:rPr>
          <w:lang w:val="en-US"/>
        </w:rPr>
      </w:pPr>
      <w:r w:rsidRPr="00F4038B">
        <w:rPr>
          <w:lang w:val="en-US"/>
        </w:rPr>
        <w:t>I</w:t>
      </w:r>
      <w:r w:rsidR="00F8391B">
        <w:rPr>
          <w:lang w:val="en-US"/>
        </w:rPr>
        <w:t>’</w:t>
      </w:r>
      <w:r w:rsidRPr="00F4038B">
        <w:rPr>
          <w:lang w:val="en-US"/>
        </w:rPr>
        <w:t>ve found that they</w:t>
      </w:r>
      <w:r w:rsidR="00F8391B">
        <w:rPr>
          <w:lang w:val="en-US"/>
        </w:rPr>
        <w:t>’</w:t>
      </w:r>
      <w:r w:rsidRPr="00F4038B">
        <w:rPr>
          <w:lang w:val="en-US"/>
        </w:rPr>
        <w:t>re really supportive. I suffer from PTSD and generalised anxiety … they</w:t>
      </w:r>
      <w:r w:rsidR="00F8391B">
        <w:rPr>
          <w:lang w:val="en-US"/>
        </w:rPr>
        <w:t>’</w:t>
      </w:r>
      <w:r w:rsidRPr="00F4038B">
        <w:rPr>
          <w:lang w:val="en-US"/>
        </w:rPr>
        <w:t>re really understanding of it. Especially</w:t>
      </w:r>
      <w:r w:rsidR="00F27E77">
        <w:rPr>
          <w:lang w:val="en-US"/>
        </w:rPr>
        <w:t xml:space="preserve"> – </w:t>
      </w:r>
      <w:r w:rsidRPr="00F4038B">
        <w:rPr>
          <w:lang w:val="en-US"/>
        </w:rPr>
        <w:t>I get really traumatised pretty quickly by certain bad environments</w:t>
      </w:r>
      <w:r w:rsidR="00AA2F8F">
        <w:rPr>
          <w:lang w:val="en-US"/>
        </w:rPr>
        <w:t xml:space="preserve"> </w:t>
      </w:r>
      <w:r>
        <w:rPr>
          <w:lang w:val="en-US"/>
        </w:rPr>
        <w:t xml:space="preserve">… </w:t>
      </w:r>
      <w:r w:rsidRPr="00F4038B">
        <w:rPr>
          <w:lang w:val="en-US"/>
        </w:rPr>
        <w:t>but they</w:t>
      </w:r>
      <w:r w:rsidR="00F8391B">
        <w:rPr>
          <w:lang w:val="en-US"/>
        </w:rPr>
        <w:t>’</w:t>
      </w:r>
      <w:r w:rsidRPr="00F4038B">
        <w:rPr>
          <w:lang w:val="en-US"/>
        </w:rPr>
        <w:t>re really understanding.</w:t>
      </w:r>
      <w:r>
        <w:rPr>
          <w:lang w:val="en-US"/>
        </w:rPr>
        <w:t xml:space="preserve"> (Focus group 3, &gt;20 year olds, Melbourne, Groups 1 &amp; 2)</w:t>
      </w:r>
    </w:p>
    <w:p w14:paraId="70BF5D2A" w14:textId="1142C3CD" w:rsidR="006150C6" w:rsidRDefault="006150C6" w:rsidP="006150C6">
      <w:pPr>
        <w:pStyle w:val="Quote"/>
        <w:rPr>
          <w:lang w:val="en-US"/>
        </w:rPr>
      </w:pPr>
      <w:r>
        <w:rPr>
          <w:lang w:val="en-US"/>
        </w:rPr>
        <w:t>H</w:t>
      </w:r>
      <w:r w:rsidRPr="00B80271">
        <w:rPr>
          <w:lang w:val="en-US"/>
        </w:rPr>
        <w:t>aving her there when I needed her. I don</w:t>
      </w:r>
      <w:r w:rsidR="00F8391B">
        <w:rPr>
          <w:lang w:val="en-US"/>
        </w:rPr>
        <w:t>’</w:t>
      </w:r>
      <w:r w:rsidRPr="00B80271">
        <w:rPr>
          <w:lang w:val="en-US"/>
        </w:rPr>
        <w:t>t really</w:t>
      </w:r>
      <w:r w:rsidR="00F27E77">
        <w:rPr>
          <w:lang w:val="en-US"/>
        </w:rPr>
        <w:t xml:space="preserve"> – </w:t>
      </w:r>
      <w:r w:rsidRPr="00B80271">
        <w:rPr>
          <w:lang w:val="en-US"/>
        </w:rPr>
        <w:t>at the time, I didn</w:t>
      </w:r>
      <w:r w:rsidR="00F8391B">
        <w:rPr>
          <w:lang w:val="en-US"/>
        </w:rPr>
        <w:t>’</w:t>
      </w:r>
      <w:r w:rsidRPr="00B80271">
        <w:rPr>
          <w:lang w:val="en-US"/>
        </w:rPr>
        <w:t>t really have that many people that I could reach out to, so it was just nice to know that I had another support system.</w:t>
      </w:r>
      <w:r>
        <w:rPr>
          <w:lang w:val="en-US"/>
        </w:rPr>
        <w:t xml:space="preserve"> (Participant 22, </w:t>
      </w:r>
      <w:r w:rsidR="00ED248D">
        <w:rPr>
          <w:lang w:val="en-US"/>
        </w:rPr>
        <w:t>f</w:t>
      </w:r>
      <w:r>
        <w:rPr>
          <w:lang w:val="en-US"/>
        </w:rPr>
        <w:t>emale, 22+ years old, metro SA, Group 1)</w:t>
      </w:r>
    </w:p>
    <w:p w14:paraId="786617E7" w14:textId="4DBFB014" w:rsidR="006150C6" w:rsidRPr="00727075" w:rsidRDefault="006150C6" w:rsidP="006150C6">
      <w:pPr>
        <w:rPr>
          <w:lang w:val="en-US"/>
        </w:rPr>
      </w:pPr>
      <w:r w:rsidRPr="18A2CA84">
        <w:rPr>
          <w:lang w:val="en-US"/>
        </w:rPr>
        <w:t xml:space="preserve">In addition to general emotional support, some participants reported that their caseworkers helped to teach them coping skills to manage common issues such as low mood, anxiety, and stress. Some participants emphasised that their caseworker had helped them to shift to a more </w:t>
      </w:r>
      <w:r w:rsidR="00F8391B">
        <w:rPr>
          <w:lang w:val="en-US"/>
        </w:rPr>
        <w:t>‘</w:t>
      </w:r>
      <w:r w:rsidRPr="18A2CA84">
        <w:rPr>
          <w:lang w:val="en-US"/>
        </w:rPr>
        <w:t>positive</w:t>
      </w:r>
      <w:r w:rsidR="00F8391B">
        <w:rPr>
          <w:lang w:val="en-US"/>
        </w:rPr>
        <w:t>’</w:t>
      </w:r>
      <w:r w:rsidRPr="18A2CA84">
        <w:rPr>
          <w:lang w:val="en-US"/>
        </w:rPr>
        <w:t xml:space="preserve"> mindset which helped to alleviate low mood and negative self-perception.</w:t>
      </w:r>
    </w:p>
    <w:p w14:paraId="7FAFFEA9" w14:textId="41B6A4E1" w:rsidR="006150C6" w:rsidRPr="003B2B57" w:rsidRDefault="006150C6" w:rsidP="006150C6">
      <w:pPr>
        <w:pStyle w:val="Quote"/>
      </w:pPr>
      <w:r w:rsidRPr="003B2B57">
        <w:t>I got really depressed and had to go on antidepressants. I got in a really bad spot and didn</w:t>
      </w:r>
      <w:r w:rsidR="00F8391B">
        <w:t>’</w:t>
      </w:r>
      <w:r w:rsidRPr="003B2B57">
        <w:t>t want to do anything, never wanted to go anywhere</w:t>
      </w:r>
      <w:r w:rsidR="00AA2F8F">
        <w:t xml:space="preserve"> </w:t>
      </w:r>
      <w:r w:rsidRPr="003B2B57">
        <w:t>… she</w:t>
      </w:r>
      <w:r w:rsidR="00F8391B">
        <w:t>’</w:t>
      </w:r>
      <w:r w:rsidRPr="003B2B57">
        <w:t>d always say something, and it got me out of that bubble.</w:t>
      </w:r>
      <w:r>
        <w:t xml:space="preserve"> (Participant 6, </w:t>
      </w:r>
      <w:r w:rsidR="00ED248D">
        <w:t>f</w:t>
      </w:r>
      <w:r>
        <w:t xml:space="preserve">emale, </w:t>
      </w:r>
      <w:r w:rsidR="00625CBE">
        <w:t>19–21</w:t>
      </w:r>
      <w:r>
        <w:t xml:space="preserve"> years old, regional Qld, Group 1, Indigenous)</w:t>
      </w:r>
    </w:p>
    <w:p w14:paraId="1DC9A271" w14:textId="2EF4BD1D" w:rsidR="006150C6" w:rsidRPr="00036DFC" w:rsidRDefault="006150C6" w:rsidP="006150C6">
      <w:pPr>
        <w:pStyle w:val="Quote"/>
      </w:pPr>
      <w:r>
        <w:t>It has definitely given me that sense of knowing that it will be okay. Do you know what I mean? … usually when you</w:t>
      </w:r>
      <w:r w:rsidR="00F8391B">
        <w:t>’</w:t>
      </w:r>
      <w:r>
        <w:t>re in a dark place you don</w:t>
      </w:r>
      <w:r w:rsidR="00F8391B">
        <w:t>’</w:t>
      </w:r>
      <w:r>
        <w:t>t have a job, it</w:t>
      </w:r>
      <w:r w:rsidR="00F8391B">
        <w:t>’</w:t>
      </w:r>
      <w:r>
        <w:t>s really hard to see that there is light at the end of the tunnel and that there is possibility out there. So, I think someone say, no there is, I</w:t>
      </w:r>
      <w:r w:rsidR="00F8391B">
        <w:t>’</w:t>
      </w:r>
      <w:r>
        <w:t>ll show you this is there, it</w:t>
      </w:r>
      <w:r w:rsidR="00F8391B">
        <w:t>’</w:t>
      </w:r>
      <w:r>
        <w:t>s helped in everyday life as in, that</w:t>
      </w:r>
      <w:r w:rsidR="00F8391B">
        <w:t>’</w:t>
      </w:r>
      <w:r>
        <w:t>s okay, it</w:t>
      </w:r>
      <w:r w:rsidR="00F8391B">
        <w:t>’</w:t>
      </w:r>
      <w:r>
        <w:t xml:space="preserve">s okay to feel this way in a certain point, but like better things out there and like to be realistic, that there are things out there, and you just gotta change your mindset towards it. (Participant 18, </w:t>
      </w:r>
      <w:r w:rsidR="00ED248D">
        <w:t>f</w:t>
      </w:r>
      <w:r>
        <w:t xml:space="preserve">emale, </w:t>
      </w:r>
      <w:r w:rsidR="00625CBE">
        <w:t>19–21</w:t>
      </w:r>
      <w:r>
        <w:t xml:space="preserve"> years old, metro NSW, Group 1)</w:t>
      </w:r>
    </w:p>
    <w:p w14:paraId="5B698511" w14:textId="77CA5CA3" w:rsidR="006150C6" w:rsidRDefault="006150C6" w:rsidP="006150C6">
      <w:r>
        <w:t xml:space="preserve">There were a few participants who reported that involvement in the TtW program had negatively impacted their confidence and mental health. These few participants had negative experiences with their caseworkers, where they felt their caseworkers were neither interested </w:t>
      </w:r>
      <w:r w:rsidR="00BA693D">
        <w:t xml:space="preserve">in </w:t>
      </w:r>
      <w:r>
        <w:t xml:space="preserve">nor supportive of their needs. These participants described a sense of </w:t>
      </w:r>
      <w:r w:rsidR="00F8391B">
        <w:t>‘</w:t>
      </w:r>
      <w:r>
        <w:t>worthlessness</w:t>
      </w:r>
      <w:r w:rsidR="00F8391B">
        <w:t>’</w:t>
      </w:r>
      <w:r>
        <w:t xml:space="preserve">, where caseworker disengagement was interpreted as evidence that they were </w:t>
      </w:r>
      <w:r w:rsidR="00F8391B">
        <w:t>‘</w:t>
      </w:r>
      <w:r>
        <w:t>not worth the effort</w:t>
      </w:r>
      <w:r w:rsidR="00F8391B">
        <w:t>’</w:t>
      </w:r>
      <w:r>
        <w:t>.</w:t>
      </w:r>
    </w:p>
    <w:p w14:paraId="7A22C9F8" w14:textId="4F5F1683" w:rsidR="006150C6" w:rsidRDefault="006150C6" w:rsidP="006150C6">
      <w:r>
        <w:t>In interviews, provider respondents spoke of mental health being a significant barrier to many participants and talked about how they supported participants</w:t>
      </w:r>
      <w:r w:rsidR="00F8391B">
        <w:t>’</w:t>
      </w:r>
      <w:r>
        <w:t xml:space="preserve"> mental health through listening and building resilience. In addition, they relied heavily on referring participants to appropriate services for mental health support</w:t>
      </w:r>
      <w:bookmarkStart w:id="1739" w:name="_Hlk124932576"/>
      <w:r>
        <w:t xml:space="preserve">. In the provider survey, </w:t>
      </w:r>
      <w:r w:rsidRPr="00437D32">
        <w:t xml:space="preserve">92.4% of providers </w:t>
      </w:r>
      <w:r>
        <w:t>reported making</w:t>
      </w:r>
      <w:r w:rsidRPr="00437D32">
        <w:t xml:space="preserve"> referrals to mental health services, and this was the service referred to by the highest proportion of providers</w:t>
      </w:r>
      <w:r w:rsidR="001B6BA9">
        <w:t>.</w:t>
      </w:r>
      <w:r w:rsidR="00287A94">
        <w:rPr>
          <w:rStyle w:val="FootnoteReference"/>
        </w:rPr>
        <w:footnoteReference w:id="66"/>
      </w:r>
      <w:r w:rsidRPr="00437D32">
        <w:t xml:space="preserve"> </w:t>
      </w:r>
      <w:r>
        <w:t xml:space="preserve">While it was clear that providers rely on specialist mental health services to support their clients, </w:t>
      </w:r>
      <w:r w:rsidRPr="00FB03B0">
        <w:t>almost two</w:t>
      </w:r>
      <w:r w:rsidR="003B0A54">
        <w:t>-</w:t>
      </w:r>
      <w:r w:rsidRPr="00FB03B0">
        <w:t xml:space="preserve">thirds of the </w:t>
      </w:r>
      <w:r>
        <w:t>providers</w:t>
      </w:r>
      <w:r w:rsidRPr="00FB03B0">
        <w:t xml:space="preserve"> (65%) </w:t>
      </w:r>
      <w:r>
        <w:t>reported that m</w:t>
      </w:r>
      <w:r w:rsidRPr="00FB03B0">
        <w:t xml:space="preserve">ental health services </w:t>
      </w:r>
      <w:r>
        <w:t>were</w:t>
      </w:r>
      <w:r w:rsidRPr="00FB03B0">
        <w:t xml:space="preserve"> </w:t>
      </w:r>
      <w:r w:rsidR="00F8391B">
        <w:t>‘</w:t>
      </w:r>
      <w:r w:rsidRPr="00FB03B0">
        <w:t xml:space="preserve">unavailable for </w:t>
      </w:r>
      <w:r w:rsidRPr="00FB03B0">
        <w:lastRenderedPageBreak/>
        <w:t>participant referral</w:t>
      </w:r>
      <w:r w:rsidR="00F8391B">
        <w:t>’</w:t>
      </w:r>
      <w:r w:rsidR="009E2F32">
        <w:t>.</w:t>
      </w:r>
      <w:r w:rsidR="00287A94">
        <w:rPr>
          <w:rStyle w:val="FootnoteReference"/>
        </w:rPr>
        <w:footnoteReference w:id="67"/>
      </w:r>
      <w:r w:rsidRPr="00FB03B0">
        <w:t xml:space="preserve"> Providers were then asked generally </w:t>
      </w:r>
      <w:r w:rsidR="00F8391B">
        <w:t>‘</w:t>
      </w:r>
      <w:r w:rsidRPr="00FB03B0">
        <w:t>what were the MAIN reasons you were NOT able to refer participants to services or assistance that they needed?</w:t>
      </w:r>
      <w:r w:rsidR="00F8391B">
        <w:t>’</w:t>
      </w:r>
      <w:r w:rsidR="009E2F32">
        <w:t>.</w:t>
      </w:r>
      <w:r w:rsidRPr="00FB03B0">
        <w:t xml:space="preserve"> </w:t>
      </w:r>
      <w:bookmarkEnd w:id="1739"/>
      <w:r w:rsidRPr="00FB03B0">
        <w:t>While not specifically related to mental health, the most common reasons for inability to refer were that there were no appointments/places available (65%) or services were not available in the local area (50%)</w:t>
      </w:r>
      <w:r w:rsidR="009E2F32">
        <w:t>.</w:t>
      </w:r>
      <w:r w:rsidR="0025644C">
        <w:rPr>
          <w:rStyle w:val="FootnoteReference"/>
        </w:rPr>
        <w:footnoteReference w:id="68"/>
      </w:r>
    </w:p>
    <w:p w14:paraId="23AB2568" w14:textId="641CF185" w:rsidR="006150C6" w:rsidRDefault="006150C6" w:rsidP="006150C6">
      <w:bookmarkStart w:id="1740" w:name="_Hlk124932591"/>
      <w:r>
        <w:t>A couple of providers who were interviewed noted the limitations of referrals in regional areas where services are often limited to phone contact. These providers indicated that the lack of external services placed greater pressure on them to support participants.</w:t>
      </w:r>
    </w:p>
    <w:bookmarkEnd w:id="1740"/>
    <w:p w14:paraId="77C6D96D" w14:textId="6B7001DF" w:rsidR="006150C6" w:rsidRDefault="006150C6" w:rsidP="006150C6">
      <w:r>
        <w:t xml:space="preserve">Providers who had been unable to refer participants to mental health services were then asked to describe the actions they take to manage this </w:t>
      </w:r>
      <w:r w:rsidR="00511024">
        <w:t>(</w:t>
      </w:r>
      <w:r w:rsidRPr="00403636">
        <w:rPr>
          <w:b/>
          <w:bCs/>
        </w:rPr>
        <w:fldChar w:fldCharType="begin"/>
      </w:r>
      <w:r w:rsidRPr="00403636">
        <w:rPr>
          <w:b/>
          <w:bCs/>
        </w:rPr>
        <w:instrText xml:space="preserve"> REF _Ref110962235 \h  \* MERGEFORMAT </w:instrText>
      </w:r>
      <w:r w:rsidRPr="00403636">
        <w:rPr>
          <w:b/>
          <w:bCs/>
        </w:rPr>
      </w:r>
      <w:r w:rsidRPr="00403636">
        <w:rPr>
          <w:b/>
          <w:bCs/>
        </w:rPr>
        <w:fldChar w:fldCharType="separate"/>
      </w:r>
      <w:r w:rsidR="00180E14" w:rsidRPr="00180E14">
        <w:rPr>
          <w:b/>
          <w:bCs/>
        </w:rPr>
        <w:t xml:space="preserve">Figure </w:t>
      </w:r>
      <w:r w:rsidR="00180E14" w:rsidRPr="00180E14">
        <w:rPr>
          <w:b/>
          <w:bCs/>
          <w:noProof/>
        </w:rPr>
        <w:t>10</w:t>
      </w:r>
      <w:r w:rsidRPr="00403636">
        <w:rPr>
          <w:b/>
          <w:bCs/>
        </w:rPr>
        <w:fldChar w:fldCharType="end"/>
      </w:r>
      <w:r w:rsidR="00511024">
        <w:rPr>
          <w:b/>
          <w:bCs/>
        </w:rPr>
        <w:t>)</w:t>
      </w:r>
      <w:r w:rsidRPr="00CD6FB8">
        <w:t>.</w:t>
      </w:r>
      <w:r>
        <w:t xml:space="preserve"> Referring participants to doctors and increasing the frequency of contact with the participant were the most common responses (over 90% of providers), while just over 10</w:t>
      </w:r>
      <w:r w:rsidR="00511024">
        <w:t>%</w:t>
      </w:r>
      <w:r>
        <w:t xml:space="preserve"> referred to counselling and allied hea</w:t>
      </w:r>
      <w:r w:rsidR="00DE0B9F">
        <w:t>l</w:t>
      </w:r>
      <w:r>
        <w:t xml:space="preserve">th services. Providers also mentioned a range of other actions including </w:t>
      </w:r>
      <w:r w:rsidR="00F8391B">
        <w:t>‘</w:t>
      </w:r>
      <w:r>
        <w:t>Connect them to a phone service, which is not ideal</w:t>
      </w:r>
      <w:r w:rsidR="00F8391B">
        <w:t>’</w:t>
      </w:r>
      <w:r>
        <w:t xml:space="preserve">, </w:t>
      </w:r>
      <w:r w:rsidR="00F8391B">
        <w:t>‘</w:t>
      </w:r>
      <w:r>
        <w:t>Provide emergency contact numbers and complete safety plans</w:t>
      </w:r>
      <w:r w:rsidR="00F8391B">
        <w:t>’</w:t>
      </w:r>
      <w:r>
        <w:t xml:space="preserve">, </w:t>
      </w:r>
      <w:r w:rsidR="00F8391B">
        <w:t>‘</w:t>
      </w:r>
      <w:r>
        <w:t>We may end up calling mental health triage if we assess that the client is a high risk to themselves or others on a given day</w:t>
      </w:r>
      <w:r w:rsidR="00F8391B">
        <w:t>’</w:t>
      </w:r>
      <w:r>
        <w:t xml:space="preserve">, </w:t>
      </w:r>
      <w:r w:rsidR="00F8391B">
        <w:t>‘</w:t>
      </w:r>
      <w:r>
        <w:t>Refer to additional complimentary services in an effort to provide a wraparound service until such time as the needed supporting service becomes available</w:t>
      </w:r>
      <w:r w:rsidR="00F8391B">
        <w:t>’</w:t>
      </w:r>
      <w:r>
        <w:t xml:space="preserve"> and </w:t>
      </w:r>
      <w:r w:rsidR="00F8391B">
        <w:t>‘</w:t>
      </w:r>
      <w:r w:rsidR="0047405C">
        <w:t>P</w:t>
      </w:r>
      <w:r>
        <w:t>olice intervention</w:t>
      </w:r>
      <w:r w:rsidR="00F8391B">
        <w:t>’</w:t>
      </w:r>
      <w:r>
        <w:t>.</w:t>
      </w:r>
    </w:p>
    <w:p w14:paraId="229011DA" w14:textId="75D1C65A" w:rsidR="006150C6" w:rsidRDefault="006150C6" w:rsidP="006150C6">
      <w:pPr>
        <w:pStyle w:val="Caption"/>
        <w:keepNext/>
      </w:pPr>
      <w:bookmarkStart w:id="1741" w:name="_Ref110962235"/>
      <w:bookmarkStart w:id="1742" w:name="_Toc132647851"/>
      <w:bookmarkStart w:id="1743" w:name="_Toc145883320"/>
      <w:bookmarkStart w:id="1744" w:name="_Hlk124849870"/>
      <w:r>
        <w:t xml:space="preserve">Figure </w:t>
      </w:r>
      <w:r w:rsidR="00BE71D4">
        <w:fldChar w:fldCharType="begin"/>
      </w:r>
      <w:r w:rsidR="00BE71D4">
        <w:instrText xml:space="preserve"> SEQ Figure \* ARABIC </w:instrText>
      </w:r>
      <w:r w:rsidR="00BE71D4">
        <w:fldChar w:fldCharType="separate"/>
      </w:r>
      <w:r w:rsidR="00180E14">
        <w:rPr>
          <w:noProof/>
        </w:rPr>
        <w:t>10</w:t>
      </w:r>
      <w:r w:rsidR="00BE71D4">
        <w:rPr>
          <w:noProof/>
        </w:rPr>
        <w:fldChar w:fldCharType="end"/>
      </w:r>
      <w:bookmarkEnd w:id="1741"/>
      <w:r>
        <w:t>:</w:t>
      </w:r>
      <w:r w:rsidRPr="00196B14">
        <w:t xml:space="preserve"> </w:t>
      </w:r>
      <w:r>
        <w:t>Provider a</w:t>
      </w:r>
      <w:r w:rsidRPr="00196B14">
        <w:t>ctions when unable to refer to mental health services</w:t>
      </w:r>
      <w:r>
        <w:t xml:space="preserve"> (% of respondents)</w:t>
      </w:r>
      <w:bookmarkEnd w:id="1742"/>
      <w:bookmarkEnd w:id="1743"/>
    </w:p>
    <w:p w14:paraId="0C09975D" w14:textId="177DB073" w:rsidR="006150C6" w:rsidRDefault="00B14A99" w:rsidP="007E48EB">
      <w:pPr>
        <w:spacing w:after="0"/>
      </w:pPr>
      <w:r>
        <w:rPr>
          <w:noProof/>
        </w:rPr>
        <w:drawing>
          <wp:inline distT="0" distB="0" distL="0" distR="0" wp14:anchorId="2ABBA2A6" wp14:editId="1E1B045E">
            <wp:extent cx="4578350" cy="2743200"/>
            <wp:effectExtent l="0" t="0" r="0" b="0"/>
            <wp:docPr id="37" name="Picture 37" descr="Refer to medical doctor 92.5%&#10;Increase frequency of contact with participant 90.6%&#10;Revise participant plan 69.8%&#10;Counselling and allied health 11.3%&#10;Other actions 1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Refer to medical doctor 92.5%&#10;Increase frequency of contact with participant 90.6%&#10;Revise participant plan 69.8%&#10;Counselling and allied health 11.3%&#10;Other actions 14.2%&#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670082FB" w14:textId="2E845C7D" w:rsidR="006150C6" w:rsidRDefault="00450959" w:rsidP="007E48EB">
      <w:pPr>
        <w:pStyle w:val="SourceandNotes"/>
        <w:spacing w:after="0"/>
      </w:pPr>
      <w:r>
        <w:t>Source: Provider survey 2021</w:t>
      </w:r>
    </w:p>
    <w:p w14:paraId="19ADB9DE" w14:textId="26DCFD0E" w:rsidR="006150C6" w:rsidRPr="00C75E05" w:rsidRDefault="006150C6" w:rsidP="006150C6">
      <w:pPr>
        <w:pStyle w:val="SourceandNotes"/>
      </w:pPr>
      <w:r w:rsidRPr="00C75E05">
        <w:t xml:space="preserve">Base: Selected respondents who answered </w:t>
      </w:r>
      <w:r w:rsidR="00F8391B">
        <w:t>‘</w:t>
      </w:r>
      <w:r w:rsidRPr="00C75E05">
        <w:t>Mental health services</w:t>
      </w:r>
      <w:r w:rsidR="00F8391B">
        <w:t>’</w:t>
      </w:r>
      <w:r w:rsidRPr="00C75E05">
        <w:t xml:space="preserve"> to </w:t>
      </w:r>
      <w:r w:rsidR="00D74BAA">
        <w:t>Q</w:t>
      </w:r>
      <w:r w:rsidRPr="00C75E05">
        <w:t>3.9 (n=106)</w:t>
      </w:r>
    </w:p>
    <w:p w14:paraId="38C03598" w14:textId="77777777" w:rsidR="006150C6" w:rsidRPr="00C75E05" w:rsidRDefault="006150C6" w:rsidP="006150C6">
      <w:pPr>
        <w:pStyle w:val="SourceandNotes"/>
      </w:pPr>
      <w:r w:rsidRPr="00C75E05">
        <w:t>Q3.11 When you are unable to refer participants for mental health services, what actions do you take? Select all that apply.</w:t>
      </w:r>
    </w:p>
    <w:p w14:paraId="40D4C7AF" w14:textId="77777777" w:rsidR="006150C6" w:rsidRPr="00C75E05" w:rsidRDefault="006150C6" w:rsidP="006150C6">
      <w:pPr>
        <w:pStyle w:val="SourceandNotes"/>
      </w:pPr>
      <w:r w:rsidRPr="00C75E05">
        <w:t>Q3.9 Which services or assistance were you UNABLE to refer participants to? Select all that apply.</w:t>
      </w:r>
    </w:p>
    <w:p w14:paraId="3DFD58A5" w14:textId="456A645E" w:rsidR="006150C6" w:rsidRDefault="006150C6" w:rsidP="006150C6">
      <w:bookmarkStart w:id="1745" w:name="_Hlk86748708"/>
      <w:bookmarkEnd w:id="1744"/>
      <w:r>
        <w:t xml:space="preserve">While participants overall appreciated the support they received from caseworkers, it was acknowledged in one focus group that it was essential that caseworkers be sensitive to the mental </w:t>
      </w:r>
      <w:r>
        <w:lastRenderedPageBreak/>
        <w:t>health needs and concerns of participants, and some participants suggested that this be a focus of provider support.</w:t>
      </w:r>
    </w:p>
    <w:p w14:paraId="3B3E8423" w14:textId="06E4CD2B" w:rsidR="006150C6" w:rsidRDefault="006150C6" w:rsidP="009A5427">
      <w:pPr>
        <w:pStyle w:val="Heading3"/>
        <w:ind w:left="0"/>
      </w:pPr>
      <w:bookmarkStart w:id="1746" w:name="_Toc106711867"/>
      <w:bookmarkStart w:id="1747" w:name="_Toc132650464"/>
      <w:bookmarkStart w:id="1748" w:name="_Toc146033495"/>
      <w:r>
        <w:t xml:space="preserve">Physical </w:t>
      </w:r>
      <w:r w:rsidR="0047405C">
        <w:t>h</w:t>
      </w:r>
      <w:r>
        <w:t>ealth</w:t>
      </w:r>
      <w:bookmarkEnd w:id="1746"/>
      <w:bookmarkEnd w:id="1747"/>
      <w:bookmarkEnd w:id="1748"/>
    </w:p>
    <w:p w14:paraId="68601684" w14:textId="129F9E40" w:rsidR="006150C6" w:rsidRDefault="006150C6" w:rsidP="006150C6">
      <w:r>
        <w:t>Participant feedback on physical health outcomes was scarce in interviews, with most reporting that this was not so relevant to the program</w:t>
      </w:r>
      <w:r w:rsidR="0077613C">
        <w:t>;</w:t>
      </w:r>
      <w:r>
        <w:t xml:space="preserve"> however</w:t>
      </w:r>
      <w:r w:rsidR="0077613C">
        <w:t>,</w:t>
      </w:r>
      <w:r>
        <w:t xml:space="preserve"> provider interviews were more insightful in this respect.</w:t>
      </w:r>
    </w:p>
    <w:p w14:paraId="494CC40F" w14:textId="1D9936F4" w:rsidR="006150C6" w:rsidRDefault="006150C6" w:rsidP="006150C6">
      <w:r>
        <w:t>Some providers explained that targeting physical health concerns was sometimes a necessary first step in addressing barriers to labour market participation and overall wellbeing. Examples included supporting participants to achieve a weight appropriate for them by organising a gym membership or buying sports equipment, attending to their general personal hygiene/appearance and helping participants recovering from substance dependence.</w:t>
      </w:r>
    </w:p>
    <w:p w14:paraId="210A41D4" w14:textId="19E6DEAF" w:rsidR="006150C6" w:rsidRPr="003845B8" w:rsidRDefault="006150C6" w:rsidP="006150C6">
      <w:pPr>
        <w:pStyle w:val="Quote"/>
        <w:rPr>
          <w:rFonts w:eastAsiaTheme="majorEastAsia"/>
        </w:rPr>
      </w:pPr>
      <w:r>
        <w:t>H</w:t>
      </w:r>
      <w:r w:rsidRPr="0040454D">
        <w:t>e spoke to his consultant privately about his concerns about his weight and a lot of it had come from generational unemployment and eating bad food was a much cheaper option that eating healthy and exercising. Once we identified that that was a real issue for him and that he lacked confidence with, we actually arranged for him to undertake some gym classes</w:t>
      </w:r>
      <w:r w:rsidR="0061739A">
        <w:t>.</w:t>
      </w:r>
      <w:r>
        <w:t xml:space="preserve"> […] W</w:t>
      </w:r>
      <w:r w:rsidRPr="0040454D">
        <w:t xml:space="preserve">hen he got to the end of it, he was all dressed in his uniform and his work clothing was a few sizes smaller than what he previously was and he had a massive amount of confidence when it came to going out and presenting himself to employers and the general public. It had a really great impact to his overall confidence and how he felt about himself. </w:t>
      </w:r>
      <w:r>
        <w:t>(</w:t>
      </w:r>
      <w:r w:rsidRPr="0040454D">
        <w:t>TtW Provider 3</w:t>
      </w:r>
      <w:r>
        <w:t>, metro NSW, medium size)</w:t>
      </w:r>
    </w:p>
    <w:p w14:paraId="218C1558" w14:textId="1B13F749" w:rsidR="006150C6" w:rsidRPr="004A1478" w:rsidRDefault="006150C6" w:rsidP="006150C6">
      <w:pPr>
        <w:pStyle w:val="Quote"/>
      </w:pPr>
      <w:r w:rsidRPr="004A1478">
        <w:t>He was a very heavy user of drugs that basically smoked dope morning, noon, and night</w:t>
      </w:r>
      <w:r w:rsidR="00391636">
        <w:t>. [</w:t>
      </w:r>
      <w:r>
        <w:t>…</w:t>
      </w:r>
      <w:r w:rsidR="00391636">
        <w:t>]</w:t>
      </w:r>
      <w:r w:rsidRPr="004A1478">
        <w:t xml:space="preserve"> His girlfriend had their first child when she was 15, he was 16</w:t>
      </w:r>
      <w:r w:rsidR="00391636">
        <w:t xml:space="preserve"> </w:t>
      </w:r>
      <w:r>
        <w:t>…</w:t>
      </w:r>
      <w:r w:rsidRPr="004A1478">
        <w:t xml:space="preserve"> now he</w:t>
      </w:r>
      <w:r w:rsidR="00F8391B">
        <w:t>’</w:t>
      </w:r>
      <w:r w:rsidRPr="004A1478">
        <w:t>s just finished his first six months</w:t>
      </w:r>
      <w:r w:rsidR="00F8391B">
        <w:t>’</w:t>
      </w:r>
      <w:r w:rsidRPr="004A1478">
        <w:t xml:space="preserve"> work at a windscreen place. Totally off the drugs. Has turned his entire life around. He</w:t>
      </w:r>
      <w:r w:rsidR="00F8391B">
        <w:t>’</w:t>
      </w:r>
      <w:r w:rsidRPr="004A1478">
        <w:t xml:space="preserve">s healthy. Him and his family have got this wonderful little family happening now. He comes home from work and him and the kids make dinner together. They ride bikes together. So the whole family dynamics have changed from what he was doing six months ago. </w:t>
      </w:r>
      <w:r>
        <w:t xml:space="preserve">(Provider 11, metro WA, small size, </w:t>
      </w:r>
      <w:r w:rsidR="00EE28AB">
        <w:t>c</w:t>
      </w:r>
      <w:r>
        <w:t xml:space="preserve">ommunity of </w:t>
      </w:r>
      <w:r w:rsidR="00EE28AB">
        <w:t>p</w:t>
      </w:r>
      <w:r>
        <w:t>ractice)</w:t>
      </w:r>
    </w:p>
    <w:p w14:paraId="161B94B5" w14:textId="42221ED9" w:rsidR="006150C6" w:rsidRDefault="006150C6" w:rsidP="006150C6">
      <w:pPr>
        <w:pStyle w:val="Quote"/>
      </w:pPr>
      <w:r w:rsidRPr="005755D3">
        <w:t>You know the person that was living in his car, they were telling me about him I thought, that</w:t>
      </w:r>
      <w:r w:rsidR="00F8391B">
        <w:t>’</w:t>
      </w:r>
      <w:r w:rsidRPr="005755D3">
        <w:t xml:space="preserve">s really, really sad. Go out and buy him a personal hygiene pack please. Soap, some flannels, some deodorant. A brush, a comb, a new toothbrush, new toothpaste, that sort of stuff. Give it to him. Having that sort of flexibility in our program is our </w:t>
      </w:r>
      <w:r w:rsidR="000C50D1">
        <w:t>‘</w:t>
      </w:r>
      <w:r w:rsidRPr="005755D3">
        <w:t>boom!</w:t>
      </w:r>
      <w:r w:rsidR="000C50D1">
        <w:t>’</w:t>
      </w:r>
      <w:r w:rsidRPr="005755D3">
        <w:t xml:space="preserve"> </w:t>
      </w:r>
      <w:r>
        <w:t>(Provider 1, regional Qld, large size)</w:t>
      </w:r>
    </w:p>
    <w:p w14:paraId="3B249F06" w14:textId="06117B1D" w:rsidR="006150C6" w:rsidRDefault="006150C6" w:rsidP="006E41FD">
      <w:pPr>
        <w:pStyle w:val="Heading2"/>
      </w:pPr>
      <w:bookmarkStart w:id="1749" w:name="_Toc106711868"/>
      <w:bookmarkStart w:id="1750" w:name="_Toc132650465"/>
      <w:bookmarkStart w:id="1751" w:name="_Toc146033496"/>
      <w:bookmarkEnd w:id="1726"/>
      <w:r>
        <w:t>The impact of TtW on participants</w:t>
      </w:r>
      <w:r w:rsidR="00F8391B">
        <w:t>’</w:t>
      </w:r>
      <w:r>
        <w:t xml:space="preserve"> capability influencers</w:t>
      </w:r>
      <w:bookmarkEnd w:id="1749"/>
      <w:bookmarkEnd w:id="1750"/>
      <w:bookmarkEnd w:id="1751"/>
    </w:p>
    <w:p w14:paraId="06F576A9" w14:textId="320633F7" w:rsidR="006150C6" w:rsidRDefault="006150C6" w:rsidP="006150C6">
      <w:r>
        <w:t>Within t</w:t>
      </w:r>
      <w:r w:rsidRPr="00D94053">
        <w:t>he human capabilities framework for young people</w:t>
      </w:r>
      <w:r w:rsidR="00E306B1">
        <w:t>,</w:t>
      </w:r>
      <w:r w:rsidRPr="00D94053">
        <w:t xml:space="preserve"> external factors </w:t>
      </w:r>
      <w:r>
        <w:t xml:space="preserve">that </w:t>
      </w:r>
      <w:r w:rsidRPr="00D94053">
        <w:t>can influence an individual</w:t>
      </w:r>
      <w:r w:rsidR="005A2B78">
        <w:t>’</w:t>
      </w:r>
      <w:r w:rsidRPr="00D94053">
        <w:t>s capability and affect their capacity to meet their goals</w:t>
      </w:r>
      <w:r>
        <w:t xml:space="preserve"> were identified</w:t>
      </w:r>
      <w:r w:rsidRPr="00D94053">
        <w:t xml:space="preserve">. </w:t>
      </w:r>
      <w:r w:rsidR="00E35FF3">
        <w:t>Through linking participants to services and supports, as well as to employers</w:t>
      </w:r>
      <w:r w:rsidR="00E458B6">
        <w:t xml:space="preserve">, TtW acts as a </w:t>
      </w:r>
      <w:r w:rsidR="00F8391B">
        <w:t>‘</w:t>
      </w:r>
      <w:r w:rsidR="00E458B6">
        <w:t>capability influencer</w:t>
      </w:r>
      <w:r w:rsidR="00F8391B">
        <w:t>’</w:t>
      </w:r>
      <w:r w:rsidR="00E458B6">
        <w:t xml:space="preserve">. </w:t>
      </w:r>
      <w:r>
        <w:t>This section examines participants</w:t>
      </w:r>
      <w:r w:rsidR="00F8391B">
        <w:t>’</w:t>
      </w:r>
      <w:r>
        <w:t xml:space="preserve"> social connectedness and access to services. </w:t>
      </w:r>
      <w:r w:rsidRPr="00D94053">
        <w:t xml:space="preserve">It is worth noting that participants may have been impacted by other external factors during their time in the </w:t>
      </w:r>
      <w:r w:rsidRPr="00D94053">
        <w:lastRenderedPageBreak/>
        <w:t>program. Th</w:t>
      </w:r>
      <w:r>
        <w:t>e</w:t>
      </w:r>
      <w:r w:rsidRPr="00D94053">
        <w:t>s</w:t>
      </w:r>
      <w:r>
        <w:t>e</w:t>
      </w:r>
      <w:r w:rsidRPr="00D94053">
        <w:t xml:space="preserve"> include </w:t>
      </w:r>
      <w:r>
        <w:t xml:space="preserve">stressful events that affected them personally, </w:t>
      </w:r>
      <w:r w:rsidRPr="00D94053">
        <w:t>the COVID-19 pandemic and natural disasters such as bushfires and floods that occurred during the preceding 12 to 18 months</w:t>
      </w:r>
      <w:r>
        <w:t>.</w:t>
      </w:r>
    </w:p>
    <w:p w14:paraId="11D5DDD5" w14:textId="330448FF" w:rsidR="006150C6" w:rsidRDefault="006150C6" w:rsidP="00B8093E">
      <w:pPr>
        <w:pStyle w:val="Heading3"/>
        <w:ind w:left="0"/>
      </w:pPr>
      <w:bookmarkStart w:id="1752" w:name="_Toc106711869"/>
      <w:bookmarkStart w:id="1753" w:name="_Toc132650466"/>
      <w:bookmarkStart w:id="1754" w:name="_Toc146033497"/>
      <w:r>
        <w:t xml:space="preserve">Social </w:t>
      </w:r>
      <w:r w:rsidR="00F113EF">
        <w:t>c</w:t>
      </w:r>
      <w:r>
        <w:t>onnectedness</w:t>
      </w:r>
      <w:bookmarkEnd w:id="1752"/>
      <w:bookmarkEnd w:id="1753"/>
      <w:bookmarkEnd w:id="1754"/>
    </w:p>
    <w:p w14:paraId="54ABDCD7" w14:textId="19DDE916" w:rsidR="006150C6" w:rsidRDefault="006150C6" w:rsidP="006150C6">
      <w:r>
        <w:t>Peer support, community involvement, having a positive mentor and role model relationships are understood to be key parts of feeling capable and supported as young people transition into adulthood.</w:t>
      </w:r>
    </w:p>
    <w:p w14:paraId="6044013D" w14:textId="5B0B46CE" w:rsidR="006150C6" w:rsidRPr="00CD6EE0" w:rsidRDefault="006150C6" w:rsidP="006150C6">
      <w:r>
        <w:t xml:space="preserve">Participants </w:t>
      </w:r>
      <w:r w:rsidRPr="00CD6EE0">
        <w:t>were ask</w:t>
      </w:r>
      <w:r>
        <w:t>ed</w:t>
      </w:r>
      <w:r w:rsidRPr="00CD6EE0">
        <w:t xml:space="preserve"> to identify their level of agreement with a series of statements</w:t>
      </w:r>
      <w:r>
        <w:t xml:space="preserve"> about their</w:t>
      </w:r>
      <w:r w:rsidRPr="00CD6EE0">
        <w:t xml:space="preserve"> access to support and social connections</w:t>
      </w:r>
      <w:r>
        <w:t xml:space="preserve"> in the participant survey (</w:t>
      </w:r>
      <w:r w:rsidRPr="004A440A">
        <w:rPr>
          <w:b/>
          <w:bCs/>
        </w:rPr>
        <w:fldChar w:fldCharType="begin"/>
      </w:r>
      <w:r w:rsidRPr="004A440A">
        <w:rPr>
          <w:b/>
          <w:bCs/>
        </w:rPr>
        <w:instrText xml:space="preserve"> REF _Ref110335584 \h </w:instrText>
      </w:r>
      <w:r>
        <w:rPr>
          <w:b/>
          <w:bCs/>
        </w:rPr>
        <w:instrText xml:space="preserve"> \* MERGEFORMAT </w:instrText>
      </w:r>
      <w:r w:rsidRPr="004A440A">
        <w:rPr>
          <w:b/>
          <w:bCs/>
        </w:rPr>
      </w:r>
      <w:r w:rsidRPr="004A440A">
        <w:rPr>
          <w:b/>
          <w:bCs/>
        </w:rPr>
        <w:fldChar w:fldCharType="separate"/>
      </w:r>
      <w:r w:rsidR="00180E14" w:rsidRPr="00180E14">
        <w:rPr>
          <w:b/>
          <w:bCs/>
        </w:rPr>
        <w:t xml:space="preserve">Figure </w:t>
      </w:r>
      <w:r w:rsidR="00180E14" w:rsidRPr="00180E14">
        <w:rPr>
          <w:b/>
          <w:bCs/>
          <w:noProof/>
        </w:rPr>
        <w:t>11</w:t>
      </w:r>
      <w:r w:rsidRPr="004A440A">
        <w:rPr>
          <w:b/>
          <w:bCs/>
        </w:rPr>
        <w:fldChar w:fldCharType="end"/>
      </w:r>
      <w:r w:rsidRPr="00C239FD">
        <w:t>)</w:t>
      </w:r>
      <w:r w:rsidRPr="00CD6EE0">
        <w:t>.</w:t>
      </w:r>
    </w:p>
    <w:p w14:paraId="2BF078E6" w14:textId="4EF1B442" w:rsidR="006150C6" w:rsidRDefault="006150C6" w:rsidP="006150C6">
      <w:r w:rsidRPr="00CD6EE0">
        <w:t xml:space="preserve">Close to </w:t>
      </w:r>
      <w:r w:rsidR="00F8391B">
        <w:t>4</w:t>
      </w:r>
      <w:r w:rsidRPr="00CD6EE0">
        <w:t xml:space="preserve"> in </w:t>
      </w:r>
      <w:r w:rsidR="007F60BA">
        <w:t>5</w:t>
      </w:r>
      <w:r w:rsidR="007F60BA" w:rsidRPr="00CD6EE0">
        <w:t xml:space="preserve"> </w:t>
      </w:r>
      <w:r w:rsidRPr="00CD6EE0">
        <w:t xml:space="preserve">TtW participants agreed or strongly agreed </w:t>
      </w:r>
      <w:r>
        <w:t xml:space="preserve">they were </w:t>
      </w:r>
      <w:r w:rsidRPr="00CD6EE0">
        <w:t xml:space="preserve">able to access support and </w:t>
      </w:r>
      <w:r>
        <w:t xml:space="preserve">social </w:t>
      </w:r>
      <w:r w:rsidRPr="00CD6EE0">
        <w:t>connection. Few agreed</w:t>
      </w:r>
      <w:r w:rsidR="007F60BA">
        <w:t xml:space="preserve"> with</w:t>
      </w:r>
      <w:r w:rsidRPr="00CD6EE0">
        <w:t xml:space="preserve"> </w:t>
      </w:r>
      <w:r w:rsidR="00F8391B">
        <w:t>‘</w:t>
      </w:r>
      <w:r w:rsidRPr="00CD6EE0">
        <w:t>I don</w:t>
      </w:r>
      <w:r w:rsidR="00F8391B">
        <w:t>’</w:t>
      </w:r>
      <w:r w:rsidRPr="00CD6EE0">
        <w:t>t know people who can help me at the moment</w:t>
      </w:r>
      <w:r w:rsidR="00F8391B">
        <w:t>’</w:t>
      </w:r>
      <w:r w:rsidRPr="00CD6EE0">
        <w:t xml:space="preserve"> (17%). TtW participants reported having better access to supports and social connections than </w:t>
      </w:r>
      <w:r>
        <w:t>participants from the comparison group</w:t>
      </w:r>
      <w:r w:rsidRPr="00CD6EE0">
        <w:t xml:space="preserve">. TtW participants were more likely to agree with </w:t>
      </w:r>
      <w:r w:rsidR="00F8391B">
        <w:t>‘</w:t>
      </w:r>
      <w:bookmarkStart w:id="1755" w:name="_Hlk142571398"/>
      <w:r w:rsidRPr="00CD6EE0">
        <w:t>I am well supported by family and friends</w:t>
      </w:r>
      <w:r w:rsidR="00F8391B">
        <w:t>’</w:t>
      </w:r>
      <w:r w:rsidRPr="00CD6EE0">
        <w:t xml:space="preserve"> (83% </w:t>
      </w:r>
      <w:r w:rsidR="00A4079D">
        <w:t>versus</w:t>
      </w:r>
      <w:r w:rsidRPr="00CD6EE0">
        <w:t xml:space="preserve"> 74%), </w:t>
      </w:r>
      <w:bookmarkStart w:id="1756" w:name="_Hlk142571419"/>
      <w:bookmarkEnd w:id="1755"/>
      <w:r w:rsidR="00F8391B">
        <w:t>‘</w:t>
      </w:r>
      <w:r w:rsidRPr="00CD6EE0">
        <w:t>I know where to go to get the support I need</w:t>
      </w:r>
      <w:r w:rsidR="00F8391B">
        <w:t>’</w:t>
      </w:r>
      <w:r w:rsidRPr="00CD6EE0">
        <w:t xml:space="preserve"> (81% </w:t>
      </w:r>
      <w:r w:rsidR="00A4079D">
        <w:t>versus</w:t>
      </w:r>
      <w:r w:rsidRPr="00CD6EE0">
        <w:t xml:space="preserve"> 67%) </w:t>
      </w:r>
      <w:bookmarkEnd w:id="1756"/>
      <w:r w:rsidRPr="00CD6EE0">
        <w:t xml:space="preserve">and </w:t>
      </w:r>
      <w:r w:rsidR="00F8391B">
        <w:t>‘</w:t>
      </w:r>
      <w:bookmarkStart w:id="1757" w:name="_Hlk142571434"/>
      <w:r w:rsidR="003F53A6">
        <w:t>T</w:t>
      </w:r>
      <w:r w:rsidRPr="00CD6EE0">
        <w:t>he help and support I need is available to me</w:t>
      </w:r>
      <w:r w:rsidR="00F8391B">
        <w:t>’</w:t>
      </w:r>
      <w:r w:rsidRPr="00CD6EE0">
        <w:t xml:space="preserve"> (80% v</w:t>
      </w:r>
      <w:r w:rsidR="003F53A6">
        <w:t>ersus</w:t>
      </w:r>
      <w:r w:rsidRPr="00CD6EE0">
        <w:t xml:space="preserve"> 67%), </w:t>
      </w:r>
      <w:bookmarkEnd w:id="1757"/>
      <w:r w:rsidRPr="00CD6EE0">
        <w:t xml:space="preserve">and less likely to agree with </w:t>
      </w:r>
      <w:r w:rsidR="00F8391B">
        <w:t>‘</w:t>
      </w:r>
      <w:bookmarkStart w:id="1758" w:name="_Hlk142571445"/>
      <w:r w:rsidRPr="00CD6EE0">
        <w:t>I don</w:t>
      </w:r>
      <w:r w:rsidR="00F8391B">
        <w:t>’</w:t>
      </w:r>
      <w:r w:rsidRPr="00CD6EE0">
        <w:t>t know people who can help me at the moment</w:t>
      </w:r>
      <w:r w:rsidR="00F8391B">
        <w:t>’</w:t>
      </w:r>
      <w:r w:rsidRPr="00CD6EE0">
        <w:t xml:space="preserve"> (17% </w:t>
      </w:r>
      <w:r w:rsidR="00A4079D">
        <w:t>versus</w:t>
      </w:r>
      <w:r w:rsidRPr="00CD6EE0">
        <w:t xml:space="preserve"> 23%).</w:t>
      </w:r>
      <w:bookmarkEnd w:id="1758"/>
    </w:p>
    <w:p w14:paraId="435ACD12" w14:textId="110A81AA" w:rsidR="006150C6" w:rsidRPr="00A77309" w:rsidRDefault="006150C6" w:rsidP="006150C6">
      <w:pPr>
        <w:pStyle w:val="Caption"/>
        <w:keepNext/>
      </w:pPr>
      <w:bookmarkStart w:id="1759" w:name="_Ref110335584"/>
      <w:bookmarkStart w:id="1760" w:name="_Toc132647852"/>
      <w:bookmarkStart w:id="1761" w:name="_Toc145883321"/>
      <w:bookmarkStart w:id="1762" w:name="_Hlk110422640"/>
      <w:bookmarkStart w:id="1763" w:name="_Hlk124849881"/>
      <w:r w:rsidRPr="00A77309">
        <w:t xml:space="preserve">Figure </w:t>
      </w:r>
      <w:r w:rsidR="00BE71D4">
        <w:fldChar w:fldCharType="begin"/>
      </w:r>
      <w:r w:rsidR="00BE71D4">
        <w:instrText xml:space="preserve"> SEQ Figure \* ARABIC </w:instrText>
      </w:r>
      <w:r w:rsidR="00BE71D4">
        <w:fldChar w:fldCharType="separate"/>
      </w:r>
      <w:r w:rsidR="00180E14">
        <w:rPr>
          <w:noProof/>
        </w:rPr>
        <w:t>11</w:t>
      </w:r>
      <w:r w:rsidR="00BE71D4">
        <w:rPr>
          <w:noProof/>
        </w:rPr>
        <w:fldChar w:fldCharType="end"/>
      </w:r>
      <w:bookmarkEnd w:id="1759"/>
      <w:r w:rsidRPr="00A77309">
        <w:t>: Participant ratings of supports and social connections (% agree / strongly agree)</w:t>
      </w:r>
      <w:bookmarkEnd w:id="1760"/>
      <w:bookmarkEnd w:id="1761"/>
    </w:p>
    <w:bookmarkEnd w:id="1762"/>
    <w:p w14:paraId="0D7A0A40" w14:textId="51E6A1C1" w:rsidR="006150C6" w:rsidRPr="00A77309" w:rsidRDefault="00B14A99" w:rsidP="006150C6">
      <w:pPr>
        <w:pStyle w:val="Body"/>
      </w:pPr>
      <w:r>
        <w:rPr>
          <w:noProof/>
        </w:rPr>
        <w:drawing>
          <wp:inline distT="0" distB="0" distL="0" distR="0" wp14:anchorId="15F29C8B" wp14:editId="424A7AE8">
            <wp:extent cx="5334635" cy="4364990"/>
            <wp:effectExtent l="0" t="0" r="0" b="0"/>
            <wp:docPr id="39" name="Picture 39" descr="I am well supported by family and friends: TtW 83%, comparison 74% (significantly different)&#10;I have a supportive home environment: TtW 82%, comparison 76%&#10;I know where to go to get the support I need: TtW 81%, comparison 74% (significantly different)&#10;The help and support I need is available to me: TtW 80%, comparison 67% (significantly different)&#10;I don’t have many supportive people in my life right now: TtW 23%, comparison 29%&#10;I don’t know people who can help me at the moment: TtW 17%, comparison 23% (significantly differ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 am well supported by family and friends: TtW 83%, comparison 74% (significantly different)&#10;I have a supportive home environment: TtW 82%, comparison 76%&#10;I know where to go to get the support I need: TtW 81%, comparison 74% (significantly different)&#10;The help and support I need is available to me: TtW 80%, comparison 67% (significantly different)&#10;I don’t have many supportive people in my life right now: TtW 23%, comparison 29%&#10;I don’t know people who can help me at the moment: TtW 17%, comparison 23% (significantly different)&#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34635" cy="4364990"/>
                    </a:xfrm>
                    <a:prstGeom prst="rect">
                      <a:avLst/>
                    </a:prstGeom>
                    <a:noFill/>
                  </pic:spPr>
                </pic:pic>
              </a:graphicData>
            </a:graphic>
          </wp:inline>
        </w:drawing>
      </w:r>
    </w:p>
    <w:p w14:paraId="1DE80382" w14:textId="5D9C52B0" w:rsidR="006150C6" w:rsidRDefault="006150C6" w:rsidP="006150C6">
      <w:pPr>
        <w:pStyle w:val="SourceandNotes"/>
      </w:pPr>
      <w:r>
        <w:t xml:space="preserve">Source: Participant </w:t>
      </w:r>
      <w:r w:rsidR="00A86EEA">
        <w:t>s</w:t>
      </w:r>
      <w:r>
        <w:t>urvey 2021</w:t>
      </w:r>
    </w:p>
    <w:p w14:paraId="68DB45ED" w14:textId="616BB7DC" w:rsidR="006150C6" w:rsidRDefault="006150C6" w:rsidP="006150C6">
      <w:pPr>
        <w:pStyle w:val="SourceandNotes"/>
        <w:rPr>
          <w:szCs w:val="18"/>
        </w:rPr>
      </w:pPr>
      <w:r w:rsidRPr="00862FA5">
        <w:rPr>
          <w:szCs w:val="18"/>
        </w:rPr>
        <w:t>Base: All respondents</w:t>
      </w:r>
      <w:r w:rsidR="00F8391B">
        <w:rPr>
          <w:szCs w:val="18"/>
        </w:rPr>
        <w:t xml:space="preserve"> – </w:t>
      </w:r>
      <w:r w:rsidRPr="00862FA5">
        <w:rPr>
          <w:szCs w:val="18"/>
        </w:rPr>
        <w:t>TtW participants (n=1,502), jobactive participants (n=580)</w:t>
      </w:r>
    </w:p>
    <w:p w14:paraId="3F167BAD" w14:textId="56DE4B5A" w:rsidR="006150C6" w:rsidRPr="00661EDA" w:rsidRDefault="006150C6" w:rsidP="006150C6">
      <w:pPr>
        <w:pStyle w:val="SourceandNotes"/>
      </w:pPr>
      <w:r w:rsidRPr="00661EDA">
        <w:t>Q</w:t>
      </w:r>
      <w:r>
        <w:t>HC10</w:t>
      </w:r>
      <w:r w:rsidRPr="00661EDA">
        <w:t xml:space="preserve"> Now, some statements about the help you get from services, people in your community and family and friends. Do you agree or disagree that…?</w:t>
      </w:r>
    </w:p>
    <w:p w14:paraId="1E2B28BA" w14:textId="299D3932" w:rsidR="006150C6" w:rsidRPr="00661EDA" w:rsidRDefault="006150C6" w:rsidP="006150C6">
      <w:pPr>
        <w:pStyle w:val="SourceandNotes"/>
        <w:rPr>
          <w:szCs w:val="18"/>
        </w:rPr>
      </w:pPr>
      <w:r>
        <w:rPr>
          <w:szCs w:val="18"/>
        </w:rPr>
        <w:lastRenderedPageBreak/>
        <w:t xml:space="preserve">Notes: </w:t>
      </w:r>
      <w:r w:rsidRPr="00D14A39">
        <w:rPr>
          <w:color w:val="FF0000"/>
        </w:rPr>
        <w:t>*</w:t>
      </w:r>
      <w:r w:rsidRPr="00D14A39">
        <w:t>Indicates result is significantly different to TtW participants (</w:t>
      </w:r>
      <w:r w:rsidRPr="00C239FD">
        <w:rPr>
          <w:i/>
          <w:iCs/>
        </w:rPr>
        <w:t>p</w:t>
      </w:r>
      <w:r w:rsidRPr="00D14A39">
        <w:t>&lt;0.05).</w:t>
      </w:r>
      <w:r w:rsidR="00D01922">
        <w:t xml:space="preserve"> </w:t>
      </w:r>
      <w:r>
        <w:rPr>
          <w:szCs w:val="18"/>
        </w:rPr>
        <w:t>% Strongly Agree / Agree shown.</w:t>
      </w:r>
    </w:p>
    <w:bookmarkEnd w:id="1763"/>
    <w:p w14:paraId="78C628C1" w14:textId="0FA7F840" w:rsidR="006150C6" w:rsidRDefault="006532DF" w:rsidP="006150C6">
      <w:r>
        <w:t xml:space="preserve">While these </w:t>
      </w:r>
      <w:r w:rsidR="001D201B">
        <w:t xml:space="preserve">survey </w:t>
      </w:r>
      <w:r>
        <w:t>results indicate that TtW participants have stronger support and social connections</w:t>
      </w:r>
      <w:r w:rsidR="001D201B">
        <w:t xml:space="preserve"> than participants in the comparison group</w:t>
      </w:r>
      <w:r>
        <w:t xml:space="preserve">, it is difficult to determine whether this relates to the support offered by TtW, or is associated with the selection of participants. </w:t>
      </w:r>
      <w:r w:rsidR="006150C6">
        <w:t>In interviews, TtW participants overall found it difficult to identify how the TtW program had impacted their sense of social connectedness. Most participants</w:t>
      </w:r>
      <w:r w:rsidR="00F8391B">
        <w:t>’</w:t>
      </w:r>
      <w:r w:rsidR="006150C6">
        <w:t xml:space="preserve"> experiences of TtW were limited to periods when COVID-19 restrictions were in place. This meant that most participants did not participate in group sessions in TtW, and many had limited face-to-face engagement with their caseworkers.</w:t>
      </w:r>
    </w:p>
    <w:p w14:paraId="6516755D" w14:textId="77777777" w:rsidR="006150C6" w:rsidRPr="004F0732" w:rsidRDefault="006150C6" w:rsidP="006150C6">
      <w:r>
        <w:t>However, some participants had regular discussions with their caseworker that helped to improve their social skills and make them feel less isolated.</w:t>
      </w:r>
    </w:p>
    <w:p w14:paraId="29A1575D" w14:textId="1E5E97BA" w:rsidR="006150C6" w:rsidRDefault="006150C6" w:rsidP="006150C6">
      <w:pPr>
        <w:pStyle w:val="Quote"/>
        <w:rPr>
          <w:lang w:val="en-US"/>
        </w:rPr>
      </w:pPr>
      <w:r>
        <w:rPr>
          <w:lang w:val="en-US"/>
        </w:rPr>
        <w:t>T</w:t>
      </w:r>
      <w:r w:rsidRPr="00847AF7">
        <w:rPr>
          <w:lang w:val="en-US"/>
        </w:rPr>
        <w:t>hey</w:t>
      </w:r>
      <w:r w:rsidR="00F8391B">
        <w:rPr>
          <w:lang w:val="en-US"/>
        </w:rPr>
        <w:t>’</w:t>
      </w:r>
      <w:r w:rsidRPr="00847AF7">
        <w:rPr>
          <w:lang w:val="en-US"/>
        </w:rPr>
        <w:t>re getting me back into like social life and</w:t>
      </w:r>
      <w:r w:rsidR="00F27E77">
        <w:rPr>
          <w:lang w:val="en-US"/>
        </w:rPr>
        <w:t xml:space="preserve"> – </w:t>
      </w:r>
      <w:r w:rsidR="00F8391B">
        <w:rPr>
          <w:lang w:val="en-US"/>
        </w:rPr>
        <w:t>’</w:t>
      </w:r>
      <w:r w:rsidRPr="00847AF7">
        <w:rPr>
          <w:lang w:val="en-US"/>
        </w:rPr>
        <w:t>cause I didn</w:t>
      </w:r>
      <w:r w:rsidR="00F8391B">
        <w:rPr>
          <w:lang w:val="en-US"/>
        </w:rPr>
        <w:t>’</w:t>
      </w:r>
      <w:r w:rsidRPr="00847AF7">
        <w:rPr>
          <w:lang w:val="en-US"/>
        </w:rPr>
        <w:t>t have a social life a few months ago</w:t>
      </w:r>
      <w:r w:rsidR="00F27E77">
        <w:rPr>
          <w:lang w:val="en-US"/>
        </w:rPr>
        <w:t xml:space="preserve"> – </w:t>
      </w:r>
      <w:r w:rsidRPr="00847AF7">
        <w:rPr>
          <w:lang w:val="en-US"/>
        </w:rPr>
        <w:t>but like, yeah just having those phone calls and everything, it</w:t>
      </w:r>
      <w:r w:rsidR="00F8391B">
        <w:rPr>
          <w:lang w:val="en-US"/>
        </w:rPr>
        <w:t>’</w:t>
      </w:r>
      <w:r w:rsidRPr="00847AF7">
        <w:rPr>
          <w:lang w:val="en-US"/>
        </w:rPr>
        <w:t>s improving my way of speaking and stuff like that.</w:t>
      </w:r>
      <w:r>
        <w:rPr>
          <w:lang w:val="en-US"/>
        </w:rPr>
        <w:t xml:space="preserve"> (Participant 4, </w:t>
      </w:r>
      <w:r w:rsidR="00ED248D">
        <w:rPr>
          <w:lang w:val="en-US"/>
        </w:rPr>
        <w:t>f</w:t>
      </w:r>
      <w:r>
        <w:rPr>
          <w:lang w:val="en-US"/>
        </w:rPr>
        <w:t xml:space="preserve">emale, </w:t>
      </w:r>
      <w:r w:rsidR="00625CBE">
        <w:rPr>
          <w:lang w:val="en-US"/>
        </w:rPr>
        <w:t>19–21</w:t>
      </w:r>
      <w:r>
        <w:rPr>
          <w:lang w:val="en-US"/>
        </w:rPr>
        <w:t xml:space="preserve"> years old, metro SA, Group 1)</w:t>
      </w:r>
    </w:p>
    <w:p w14:paraId="2DA157D0" w14:textId="77777777" w:rsidR="006150C6" w:rsidRPr="00E82043" w:rsidRDefault="006150C6" w:rsidP="006150C6">
      <w:pPr>
        <w:rPr>
          <w:lang w:val="en-US"/>
        </w:rPr>
      </w:pPr>
      <w:r w:rsidRPr="18A2CA84">
        <w:rPr>
          <w:lang w:val="en-US"/>
        </w:rPr>
        <w:t xml:space="preserve">A few participants who had experienced face-to-face </w:t>
      </w:r>
      <w:r>
        <w:rPr>
          <w:lang w:val="en-US"/>
        </w:rPr>
        <w:t xml:space="preserve">groups organised by their provider, </w:t>
      </w:r>
      <w:r w:rsidRPr="18A2CA84">
        <w:rPr>
          <w:lang w:val="en-US"/>
        </w:rPr>
        <w:t xml:space="preserve">either pre-COVID-19 or as lockdown restrictions </w:t>
      </w:r>
      <w:r>
        <w:rPr>
          <w:lang w:val="en-US"/>
        </w:rPr>
        <w:t>were</w:t>
      </w:r>
      <w:r w:rsidRPr="18A2CA84">
        <w:rPr>
          <w:lang w:val="en-US"/>
        </w:rPr>
        <w:t xml:space="preserve"> lifted, mentioned gaining benefit from the social opportunities that these groups provided</w:t>
      </w:r>
      <w:r>
        <w:rPr>
          <w:lang w:val="en-US"/>
        </w:rPr>
        <w:t>, including that</w:t>
      </w:r>
      <w:r w:rsidRPr="18A2CA84">
        <w:rPr>
          <w:lang w:val="en-US"/>
        </w:rPr>
        <w:t xml:space="preserve"> they had made friends through the program, and that it was helpful to see that others were in a similar situation to themselves.</w:t>
      </w:r>
    </w:p>
    <w:p w14:paraId="21B295EA" w14:textId="5818149B" w:rsidR="006150C6" w:rsidRDefault="006150C6" w:rsidP="006150C6">
      <w:pPr>
        <w:pStyle w:val="Quote"/>
        <w:rPr>
          <w:lang w:val="en-US"/>
        </w:rPr>
      </w:pPr>
      <w:r w:rsidRPr="00A53425">
        <w:rPr>
          <w:lang w:val="en-US"/>
        </w:rPr>
        <w:t>I guess it</w:t>
      </w:r>
      <w:r w:rsidR="00F8391B">
        <w:rPr>
          <w:lang w:val="en-US"/>
        </w:rPr>
        <w:t>’</w:t>
      </w:r>
      <w:r w:rsidRPr="00A53425">
        <w:rPr>
          <w:lang w:val="en-US"/>
        </w:rPr>
        <w:t>s just nice to like, be social, really like going, we had the Christmas party. I did mention there was lots of young people there. It was just, it</w:t>
      </w:r>
      <w:r w:rsidR="00F8391B">
        <w:rPr>
          <w:lang w:val="en-US"/>
        </w:rPr>
        <w:t>’</w:t>
      </w:r>
      <w:r w:rsidRPr="00A53425">
        <w:rPr>
          <w:lang w:val="en-US"/>
        </w:rPr>
        <w:t>s nice that they</w:t>
      </w:r>
      <w:r w:rsidR="00F8391B">
        <w:rPr>
          <w:lang w:val="en-US"/>
        </w:rPr>
        <w:t>’</w:t>
      </w:r>
      <w:r w:rsidRPr="00A53425">
        <w:rPr>
          <w:lang w:val="en-US"/>
        </w:rPr>
        <w:t>re not just sort of like I guess when you</w:t>
      </w:r>
      <w:r w:rsidR="00F8391B">
        <w:rPr>
          <w:lang w:val="en-US"/>
        </w:rPr>
        <w:t>’</w:t>
      </w:r>
      <w:r w:rsidRPr="00A53425">
        <w:rPr>
          <w:lang w:val="en-US"/>
        </w:rPr>
        <w:t>d go to a place like Centrelink, for example, they</w:t>
      </w:r>
      <w:r w:rsidR="00F8391B">
        <w:rPr>
          <w:lang w:val="en-US"/>
        </w:rPr>
        <w:t>’</w:t>
      </w:r>
      <w:r w:rsidRPr="00A53425">
        <w:rPr>
          <w:lang w:val="en-US"/>
        </w:rPr>
        <w:t xml:space="preserve">d just sit you down in a cubicle, like are blah, blah, blah, blah. But </w:t>
      </w:r>
      <w:r>
        <w:rPr>
          <w:lang w:val="en-US"/>
        </w:rPr>
        <w:t>[Provider]</w:t>
      </w:r>
      <w:r w:rsidRPr="00A53425">
        <w:rPr>
          <w:lang w:val="en-US"/>
        </w:rPr>
        <w:t xml:space="preserve"> it</w:t>
      </w:r>
      <w:r w:rsidR="00F8391B">
        <w:rPr>
          <w:lang w:val="en-US"/>
        </w:rPr>
        <w:t>’</w:t>
      </w:r>
      <w:r w:rsidRPr="00A53425">
        <w:rPr>
          <w:lang w:val="en-US"/>
        </w:rPr>
        <w:t>s more like, Oh, well we</w:t>
      </w:r>
      <w:r w:rsidR="00F8391B">
        <w:rPr>
          <w:lang w:val="en-US"/>
        </w:rPr>
        <w:t>’</w:t>
      </w:r>
      <w:r w:rsidRPr="00A53425">
        <w:rPr>
          <w:lang w:val="en-US"/>
        </w:rPr>
        <w:t>ll just sit over here and like having a chit chat</w:t>
      </w:r>
      <w:r w:rsidR="00C11D97">
        <w:rPr>
          <w:lang w:val="en-US"/>
        </w:rPr>
        <w:t xml:space="preserve"> </w:t>
      </w:r>
      <w:r>
        <w:rPr>
          <w:lang w:val="en-US"/>
        </w:rPr>
        <w:t xml:space="preserve">… </w:t>
      </w:r>
      <w:r w:rsidRPr="00847AF7">
        <w:rPr>
          <w:lang w:val="en-US"/>
        </w:rPr>
        <w:t>they provide a very healthy environment for, to just cultivate a very good a social environment.</w:t>
      </w:r>
      <w:r>
        <w:rPr>
          <w:lang w:val="en-US"/>
        </w:rPr>
        <w:t xml:space="preserve"> (Participant 28, </w:t>
      </w:r>
      <w:r w:rsidR="00ED248D">
        <w:rPr>
          <w:lang w:val="en-US"/>
        </w:rPr>
        <w:t>m</w:t>
      </w:r>
      <w:r>
        <w:rPr>
          <w:lang w:val="en-US"/>
        </w:rPr>
        <w:t xml:space="preserve">ale, 22+ years old, metro </w:t>
      </w:r>
      <w:r w:rsidR="009F1529">
        <w:rPr>
          <w:lang w:val="en-US"/>
        </w:rPr>
        <w:t>Qld</w:t>
      </w:r>
      <w:r>
        <w:rPr>
          <w:lang w:val="en-US"/>
        </w:rPr>
        <w:t>, Group 1, disability)</w:t>
      </w:r>
    </w:p>
    <w:p w14:paraId="5B2DF332" w14:textId="39EB74DC" w:rsidR="006150C6" w:rsidRDefault="006150C6" w:rsidP="006150C6">
      <w:r>
        <w:t>A deeper insight into the impacts of TtW on participants</w:t>
      </w:r>
      <w:r w:rsidR="00F8391B">
        <w:t>’</w:t>
      </w:r>
      <w:r>
        <w:t xml:space="preserve"> social connectedness was gained from providers interviewed for the qualitative research as they were able to draw on experiences pre-COVID-19. Several providers mentioned that their face-to-face group activities enabled participants to connect with other young people with similar experiences, which reduced their social isolation and built their confidence. Others mentioned that warm referrals to other organisations, as well as providing vocational support and sourcing education and employment opportunities</w:t>
      </w:r>
      <w:r w:rsidR="00CE1A88">
        <w:t>,</w:t>
      </w:r>
      <w:r>
        <w:t xml:space="preserve"> had positive effects on the social connectedness of participants.</w:t>
      </w:r>
    </w:p>
    <w:p w14:paraId="0CD7A00E" w14:textId="4C676E9B" w:rsidR="006150C6" w:rsidRDefault="006150C6" w:rsidP="006150C6">
      <w:pPr>
        <w:pStyle w:val="Quote"/>
      </w:pPr>
      <w:r w:rsidRPr="00B70932">
        <w:t>It teaches them that it</w:t>
      </w:r>
      <w:r w:rsidR="00F8391B">
        <w:t>’</w:t>
      </w:r>
      <w:r w:rsidRPr="00B70932">
        <w:t>s okay to talk to somebody they don</w:t>
      </w:r>
      <w:r w:rsidR="00F8391B">
        <w:t>’</w:t>
      </w:r>
      <w:r w:rsidRPr="00B70932">
        <w:t>t know. It challenges them to actually open their mouth and engage with somebody they don</w:t>
      </w:r>
      <w:r w:rsidR="00F8391B">
        <w:t>’</w:t>
      </w:r>
      <w:r w:rsidRPr="00B70932">
        <w:t>t know.</w:t>
      </w:r>
      <w:r>
        <w:t xml:space="preserve"> (Provider 10, metro NSW, medium size)</w:t>
      </w:r>
    </w:p>
    <w:p w14:paraId="4723F939" w14:textId="6A5B4C08" w:rsidR="006150C6" w:rsidRPr="00EA7B9E" w:rsidRDefault="006150C6" w:rsidP="006150C6">
      <w:pPr>
        <w:pStyle w:val="Quote"/>
      </w:pPr>
      <w:r w:rsidRPr="00DD5304">
        <w:t>We</w:t>
      </w:r>
      <w:r w:rsidR="00F8391B">
        <w:t>’</w:t>
      </w:r>
      <w:r w:rsidRPr="00DD5304">
        <w:t>ve definitely had the experience where young people have met each other in a group setting and they</w:t>
      </w:r>
      <w:r w:rsidR="00F8391B">
        <w:t>’</w:t>
      </w:r>
      <w:r w:rsidRPr="00DD5304">
        <w:t>ve come back to visit us a couple of years later and they</w:t>
      </w:r>
      <w:r w:rsidR="00F8391B">
        <w:t>’</w:t>
      </w:r>
      <w:r w:rsidRPr="00DD5304">
        <w:t>re still friends. That</w:t>
      </w:r>
      <w:r w:rsidR="00F8391B">
        <w:t>’</w:t>
      </w:r>
      <w:r w:rsidRPr="00DD5304">
        <w:t>s cool. Because actually before that</w:t>
      </w:r>
      <w:r>
        <w:t xml:space="preserve"> … t</w:t>
      </w:r>
      <w:r w:rsidRPr="00DD5304">
        <w:t>hey found it challenging to make friends because of a whole heap of different stuff. And so when a young person can actually also see that this other young person my age is succeeding, that</w:t>
      </w:r>
      <w:r w:rsidR="00F8391B">
        <w:t>’</w:t>
      </w:r>
      <w:r w:rsidRPr="00DD5304">
        <w:t xml:space="preserve">s a motivating </w:t>
      </w:r>
      <w:r w:rsidRPr="00DD5304">
        <w:lastRenderedPageBreak/>
        <w:t xml:space="preserve">factor. </w:t>
      </w:r>
      <w:r w:rsidR="00F8391B">
        <w:t>‘</w:t>
      </w:r>
      <w:r w:rsidRPr="00DD5304">
        <w:t>Hey, you got your Ls! I want to get my Ls!</w:t>
      </w:r>
      <w:r w:rsidR="00F8391B">
        <w:t>’</w:t>
      </w:r>
      <w:r w:rsidRPr="00DD5304">
        <w:t xml:space="preserve"> Or </w:t>
      </w:r>
      <w:r w:rsidR="00F8391B">
        <w:t>‘</w:t>
      </w:r>
      <w:r w:rsidRPr="00DD5304">
        <w:t>How</w:t>
      </w:r>
      <w:r w:rsidR="00F8391B">
        <w:t>’</w:t>
      </w:r>
      <w:r w:rsidRPr="00DD5304">
        <w:t>d you get your Ps? I want to get my Ps!</w:t>
      </w:r>
      <w:r w:rsidR="00F8391B">
        <w:t>’</w:t>
      </w:r>
      <w:r w:rsidRPr="00DD5304">
        <w:t xml:space="preserve"> We</w:t>
      </w:r>
      <w:r w:rsidR="00F8391B">
        <w:t>’</w:t>
      </w:r>
      <w:r w:rsidRPr="00DD5304">
        <w:t>ve seen that happen right in front of us. It</w:t>
      </w:r>
      <w:r w:rsidR="00F8391B">
        <w:t>’</w:t>
      </w:r>
      <w:r w:rsidRPr="00DD5304">
        <w:t>s amazing.</w:t>
      </w:r>
      <w:r>
        <w:t xml:space="preserve"> (Pr</w:t>
      </w:r>
      <w:r w:rsidRPr="00AF1EE9">
        <w:t xml:space="preserve">ovider </w:t>
      </w:r>
      <w:r>
        <w:t>4, metro Vic, medium size)</w:t>
      </w:r>
    </w:p>
    <w:p w14:paraId="4A1CEC21" w14:textId="18EEEBF3" w:rsidR="006150C6" w:rsidRDefault="006150C6" w:rsidP="006150C6">
      <w:pPr>
        <w:pStyle w:val="Quote"/>
      </w:pPr>
      <w:r>
        <w:t xml:space="preserve">… </w:t>
      </w:r>
      <w:r w:rsidRPr="00B128D1">
        <w:t>when they</w:t>
      </w:r>
      <w:r w:rsidR="00F8391B">
        <w:t>’</w:t>
      </w:r>
      <w:r w:rsidRPr="00B128D1">
        <w:t>ve exited the program and they</w:t>
      </w:r>
      <w:r w:rsidR="00F8391B">
        <w:t>’</w:t>
      </w:r>
      <w:r w:rsidRPr="00B128D1">
        <w:t>ve come back to visit us. And we</w:t>
      </w:r>
      <w:r w:rsidR="00F8391B">
        <w:t>’</w:t>
      </w:r>
      <w:r w:rsidRPr="00B128D1">
        <w:t xml:space="preserve">ve asked, </w:t>
      </w:r>
      <w:r w:rsidR="00F8391B">
        <w:t>‘</w:t>
      </w:r>
      <w:r w:rsidRPr="00B128D1">
        <w:t>Hey, how</w:t>
      </w:r>
      <w:r w:rsidR="00F8391B">
        <w:t>’</w:t>
      </w:r>
      <w:r w:rsidRPr="00B128D1">
        <w:t>s it …?</w:t>
      </w:r>
      <w:r w:rsidR="00F8391B">
        <w:t>’</w:t>
      </w:r>
      <w:r w:rsidRPr="00B128D1">
        <w:t xml:space="preserve"> </w:t>
      </w:r>
      <w:r>
        <w:t>[…]</w:t>
      </w:r>
      <w:r w:rsidRPr="00B128D1">
        <w:t xml:space="preserve"> And you can see that they</w:t>
      </w:r>
      <w:r w:rsidR="00F8391B">
        <w:t>’</w:t>
      </w:r>
      <w:r w:rsidRPr="00B128D1">
        <w:t>ve maintained their connection with the supports. It hasn</w:t>
      </w:r>
      <w:r w:rsidR="00F8391B">
        <w:t>’</w:t>
      </w:r>
      <w:r w:rsidRPr="00B128D1">
        <w:t xml:space="preserve">t just weaned off. </w:t>
      </w:r>
      <w:r>
        <w:t>(Provider 4, metro Vic, medium size)</w:t>
      </w:r>
    </w:p>
    <w:p w14:paraId="529B8175" w14:textId="2F27E31C" w:rsidR="006150C6" w:rsidRDefault="006150C6" w:rsidP="006150C6">
      <w:r>
        <w:t xml:space="preserve">In another example, a provider mentioned paying for a pair of </w:t>
      </w:r>
      <w:r w:rsidR="002E5058">
        <w:t>D</w:t>
      </w:r>
      <w:r>
        <w:t xml:space="preserve">oc </w:t>
      </w:r>
      <w:r w:rsidR="002E5058">
        <w:t>M</w:t>
      </w:r>
      <w:r>
        <w:t>arten</w:t>
      </w:r>
      <w:r w:rsidR="002E5058">
        <w:t>s</w:t>
      </w:r>
      <w:r>
        <w:t xml:space="preserve"> shoes when one of their participants got a job in hospitality</w:t>
      </w:r>
      <w:r w:rsidR="00451F77">
        <w:t>,</w:t>
      </w:r>
      <w:r>
        <w:t xml:space="preserve"> to help her fit in with her new colleagues. This example demonstrates the extent to which caseworkers consider the social identity of their participants and the importance of confidence in social situations to maintaining vocational motivation.</w:t>
      </w:r>
    </w:p>
    <w:p w14:paraId="32C24CAE" w14:textId="4A0F2861" w:rsidR="006150C6" w:rsidRDefault="006150C6" w:rsidP="006150C6">
      <w:pPr>
        <w:pStyle w:val="Quote"/>
      </w:pPr>
      <w:r w:rsidRPr="00736306">
        <w:rPr>
          <w:lang w:val="en-US"/>
        </w:rPr>
        <w:t>This young girl ended up getting some</w:t>
      </w:r>
      <w:r w:rsidR="00F27E77">
        <w:rPr>
          <w:lang w:val="en-US"/>
        </w:rPr>
        <w:t xml:space="preserve"> – </w:t>
      </w:r>
      <w:r w:rsidRPr="00736306">
        <w:rPr>
          <w:lang w:val="en-US"/>
        </w:rPr>
        <w:t>it was only casual work, in a restaurant in a club. […] Everyone there sort had like doc martens and all of that sort of thing</w:t>
      </w:r>
      <w:r w:rsidR="00F27E77">
        <w:rPr>
          <w:lang w:val="en-US"/>
        </w:rPr>
        <w:t xml:space="preserve"> – </w:t>
      </w:r>
      <w:r w:rsidRPr="00736306">
        <w:rPr>
          <w:lang w:val="en-US"/>
        </w:rPr>
        <w:t xml:space="preserve">so we made sure she had the appropriate shoes and clothing and things like that so she fitted in with everyone and you know. You see her now walking to work wearing her doc martens, smiling and things like that was a great achievement of [our caseworker] </w:t>
      </w:r>
      <w:bookmarkStart w:id="1764" w:name="_Hlk75943507"/>
      <w:r>
        <w:t>(Provider 15, regional NSW, small, Indigenous specialist)</w:t>
      </w:r>
      <w:bookmarkEnd w:id="1764"/>
    </w:p>
    <w:p w14:paraId="63048D9E" w14:textId="77777777" w:rsidR="006150C6" w:rsidRDefault="006150C6" w:rsidP="007518C9">
      <w:pPr>
        <w:pStyle w:val="Heading3"/>
        <w:ind w:left="0"/>
      </w:pPr>
      <w:bookmarkStart w:id="1765" w:name="_Toc106711870"/>
      <w:bookmarkStart w:id="1766" w:name="_Toc132650467"/>
      <w:bookmarkStart w:id="1767" w:name="_Toc146033498"/>
      <w:r>
        <w:t>Availability of and access to support services</w:t>
      </w:r>
      <w:bookmarkEnd w:id="1765"/>
      <w:bookmarkEnd w:id="1766"/>
      <w:bookmarkEnd w:id="1767"/>
    </w:p>
    <w:p w14:paraId="40B9E182" w14:textId="2CD33AD8" w:rsidR="006150C6" w:rsidRDefault="006150C6" w:rsidP="006150C6">
      <w:r>
        <w:t xml:space="preserve">During the participant survey, participants were asked if their caseworker had a positive or negative impact on their ability to access </w:t>
      </w:r>
      <w:r w:rsidR="00BC43D7">
        <w:t xml:space="preserve">the </w:t>
      </w:r>
      <w:r>
        <w:t xml:space="preserve">support services they needed. Almost </w:t>
      </w:r>
      <w:r w:rsidR="00F8391B">
        <w:t>4</w:t>
      </w:r>
      <w:r>
        <w:t xml:space="preserve"> out of </w:t>
      </w:r>
      <w:r w:rsidR="002445E7">
        <w:t>5</w:t>
      </w:r>
      <w:r>
        <w:t xml:space="preserve"> TtW participants (79%) felt that their caseworker</w:t>
      </w:r>
      <w:r w:rsidR="00C63095">
        <w:t>’</w:t>
      </w:r>
      <w:r>
        <w:t>s influence had been positive or very positive (compared to 68% of the comparison group).</w:t>
      </w:r>
    </w:p>
    <w:p w14:paraId="360CFC6A" w14:textId="064DF7A9" w:rsidR="006150C6" w:rsidRDefault="006150C6" w:rsidP="006150C6">
      <w:r>
        <w:t>C</w:t>
      </w:r>
      <w:r w:rsidRPr="00084AD2">
        <w:t xml:space="preserve">lose to half of TtW participants reported they had received </w:t>
      </w:r>
      <w:r>
        <w:t>support accessing reliable transport or getting a driver</w:t>
      </w:r>
      <w:r w:rsidR="00F8391B">
        <w:t>’</w:t>
      </w:r>
      <w:r>
        <w:t xml:space="preserve">s licence (50%), and </w:t>
      </w:r>
      <w:r w:rsidRPr="00084AD2">
        <w:t>financial or material assistance of any kind</w:t>
      </w:r>
      <w:r>
        <w:t xml:space="preserve"> </w:t>
      </w:r>
      <w:r w:rsidRPr="00084AD2">
        <w:t>(4</w:t>
      </w:r>
      <w:r>
        <w:t>9</w:t>
      </w:r>
      <w:r w:rsidRPr="00084AD2">
        <w:t>%)</w:t>
      </w:r>
      <w:r>
        <w:t>.</w:t>
      </w:r>
      <w:r w:rsidRPr="00084AD2">
        <w:t xml:space="preserve"> </w:t>
      </w:r>
      <w:r>
        <w:t>T</w:t>
      </w:r>
      <w:r w:rsidRPr="00084AD2">
        <w:t xml:space="preserve">wo in </w:t>
      </w:r>
      <w:r w:rsidR="00C63095">
        <w:t>5</w:t>
      </w:r>
      <w:r w:rsidRPr="00084AD2">
        <w:t xml:space="preserve"> reported</w:t>
      </w:r>
      <w:r>
        <w:t xml:space="preserve"> having received help</w:t>
      </w:r>
      <w:r w:rsidRPr="00084AD2">
        <w:t xml:space="preserve"> accessing mental health support (4</w:t>
      </w:r>
      <w:r>
        <w:t>2</w:t>
      </w:r>
      <w:r w:rsidRPr="00084AD2">
        <w:t>%)</w:t>
      </w:r>
      <w:r>
        <w:t xml:space="preserve">. </w:t>
      </w:r>
      <w:bookmarkStart w:id="1768" w:name="_Hlk85810532"/>
      <w:r>
        <w:t>TtW participants were more likely to report receiving support related to accessing reliable transport or getting a driver</w:t>
      </w:r>
      <w:r w:rsidR="00F8391B">
        <w:t>’</w:t>
      </w:r>
      <w:r>
        <w:t xml:space="preserve">s licence (50% </w:t>
      </w:r>
      <w:r w:rsidR="00A4079D">
        <w:t>versus</w:t>
      </w:r>
      <w:r>
        <w:t xml:space="preserve"> 42%), financial or material assistance of any kind (49% </w:t>
      </w:r>
      <w:r w:rsidR="00A4079D">
        <w:t>versus</w:t>
      </w:r>
      <w:r>
        <w:t xml:space="preserve"> 42%), and accessing </w:t>
      </w:r>
      <w:r w:rsidRPr="009F1529">
        <w:t>childcare</w:t>
      </w:r>
      <w:r>
        <w:t xml:space="preserve"> (13% </w:t>
      </w:r>
      <w:r w:rsidR="00A4079D">
        <w:t>versus</w:t>
      </w:r>
      <w:r>
        <w:t xml:space="preserve"> 8%) than participants from the comparison group (</w:t>
      </w:r>
      <w:r w:rsidR="00974261" w:rsidRPr="00974261">
        <w:rPr>
          <w:b/>
          <w:bCs/>
        </w:rPr>
        <w:fldChar w:fldCharType="begin"/>
      </w:r>
      <w:r w:rsidR="00974261" w:rsidRPr="00974261">
        <w:rPr>
          <w:b/>
          <w:bCs/>
        </w:rPr>
        <w:instrText xml:space="preserve"> REF _Ref136530134 \h </w:instrText>
      </w:r>
      <w:r w:rsidR="00974261">
        <w:rPr>
          <w:b/>
          <w:bCs/>
        </w:rPr>
        <w:instrText xml:space="preserve"> \* MERGEFORMAT </w:instrText>
      </w:r>
      <w:r w:rsidR="00974261" w:rsidRPr="00974261">
        <w:rPr>
          <w:b/>
          <w:bCs/>
        </w:rPr>
      </w:r>
      <w:r w:rsidR="00974261" w:rsidRPr="00974261">
        <w:rPr>
          <w:b/>
          <w:bCs/>
        </w:rPr>
        <w:fldChar w:fldCharType="separate"/>
      </w:r>
      <w:r w:rsidR="00180E14" w:rsidRPr="00180E14">
        <w:rPr>
          <w:b/>
          <w:bCs/>
        </w:rPr>
        <w:t xml:space="preserve">Figure </w:t>
      </w:r>
      <w:r w:rsidR="00180E14" w:rsidRPr="00180E14">
        <w:rPr>
          <w:b/>
          <w:bCs/>
          <w:noProof/>
        </w:rPr>
        <w:t>12</w:t>
      </w:r>
      <w:r w:rsidR="00974261" w:rsidRPr="00974261">
        <w:rPr>
          <w:b/>
          <w:bCs/>
        </w:rPr>
        <w:fldChar w:fldCharType="end"/>
      </w:r>
      <w:r>
        <w:t>).</w:t>
      </w:r>
    </w:p>
    <w:p w14:paraId="2B3C2D39" w14:textId="75A3ED38" w:rsidR="006150C6" w:rsidRPr="00E143A8" w:rsidRDefault="006150C6" w:rsidP="006150C6">
      <w:pPr>
        <w:pStyle w:val="Caption"/>
        <w:keepNext/>
      </w:pPr>
      <w:bookmarkStart w:id="1769" w:name="_Ref136530134"/>
      <w:bookmarkStart w:id="1770" w:name="_Toc132647853"/>
      <w:bookmarkStart w:id="1771" w:name="_Toc145883322"/>
      <w:bookmarkStart w:id="1772" w:name="_Hlk124849898"/>
      <w:bookmarkEnd w:id="1768"/>
      <w:r w:rsidRPr="00B14A99">
        <w:lastRenderedPageBreak/>
        <w:t xml:space="preserve">Figure </w:t>
      </w:r>
      <w:r w:rsidR="00BE71D4">
        <w:fldChar w:fldCharType="begin"/>
      </w:r>
      <w:r w:rsidR="00BE71D4">
        <w:instrText xml:space="preserve"> SEQ Figure \* ARABIC </w:instrText>
      </w:r>
      <w:r w:rsidR="00BE71D4">
        <w:fldChar w:fldCharType="separate"/>
      </w:r>
      <w:r w:rsidR="00180E14">
        <w:rPr>
          <w:noProof/>
        </w:rPr>
        <w:t>12</w:t>
      </w:r>
      <w:r w:rsidR="00BE71D4">
        <w:rPr>
          <w:noProof/>
        </w:rPr>
        <w:fldChar w:fldCharType="end"/>
      </w:r>
      <w:bookmarkEnd w:id="1769"/>
      <w:r w:rsidRPr="00B14A99">
        <w:t>: Participant views on non-vocational support provided by caseworkers (% yes)</w:t>
      </w:r>
      <w:bookmarkEnd w:id="1770"/>
      <w:bookmarkEnd w:id="1771"/>
    </w:p>
    <w:p w14:paraId="3E9FBED2" w14:textId="3493EDC2" w:rsidR="006150C6" w:rsidRDefault="00B14A99" w:rsidP="00B14A99">
      <w:pPr>
        <w:spacing w:after="0" w:line="240" w:lineRule="auto"/>
      </w:pPr>
      <w:r>
        <w:rPr>
          <w:noProof/>
        </w:rPr>
        <w:drawing>
          <wp:inline distT="0" distB="0" distL="0" distR="0" wp14:anchorId="7B462C6C" wp14:editId="74F56FFC">
            <wp:extent cx="6291580" cy="6071870"/>
            <wp:effectExtent l="0" t="0" r="0" b="0"/>
            <wp:docPr id="40" name="Picture 40" descr="Access to reliable transport or getting a drivers licence: TtW 5%, comparison 42% (significantly different)&#10;Financial or material assistance of any kind: TtW 49%, comparison 42% (significantly different)&#10;Accessing mental health support: TtW 42%, comparison 38%&#10;Accessing medical support: TtW27%, comparison 29%&#10;Finding safe and stable accommodation: TtW 21%, comparison 20%&#10;Managing drug, alcohol, gaming or gambling issues: TtW 17%, comparison 14%&#10;Legal services: TtW 13%, comparison 11%&#10;Accessing childcare: TtW 13%, comparison 8% (significantly differ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ccess to reliable transport or getting a drivers licence: TtW 5%, comparison 42% (significantly different)&#10;Financial or material assistance of any kind: TtW 49%, comparison 42% (significantly different)&#10;Accessing mental health support: TtW 42%, comparison 38%&#10;Accessing medical support: TtW27%, comparison 29%&#10;Finding safe and stable accommodation: TtW 21%, comparison 20%&#10;Managing drug, alcohol, gaming or gambling issues: TtW 17%, comparison 14%&#10;Legal services: TtW 13%, comparison 11%&#10;Accessing childcare: TtW 13%, comparison 8% (significantly different)&#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91580" cy="6071870"/>
                    </a:xfrm>
                    <a:prstGeom prst="rect">
                      <a:avLst/>
                    </a:prstGeom>
                    <a:noFill/>
                  </pic:spPr>
                </pic:pic>
              </a:graphicData>
            </a:graphic>
          </wp:inline>
        </w:drawing>
      </w:r>
    </w:p>
    <w:p w14:paraId="11685356" w14:textId="3609ECF3" w:rsidR="006150C6" w:rsidRDefault="006150C6" w:rsidP="00B14A99">
      <w:pPr>
        <w:pStyle w:val="SourceandNotes"/>
        <w:spacing w:before="0"/>
      </w:pPr>
      <w:r>
        <w:t xml:space="preserve">Source: Participant </w:t>
      </w:r>
      <w:r w:rsidR="00A86EEA">
        <w:t>s</w:t>
      </w:r>
      <w:r>
        <w:t>urvey 2021</w:t>
      </w:r>
    </w:p>
    <w:p w14:paraId="6A51C3EF" w14:textId="35D3F554" w:rsidR="006150C6" w:rsidRDefault="006150C6" w:rsidP="006150C6">
      <w:pPr>
        <w:pStyle w:val="SourceandNotes"/>
      </w:pPr>
      <w:r>
        <w:t>Base: TtW participants who had contact with their provider (n=1,494), jobactive participants who had contact with their provider (n=578)</w:t>
      </w:r>
    </w:p>
    <w:p w14:paraId="5DD6A2C8" w14:textId="42253A2C" w:rsidR="006150C6" w:rsidRDefault="006150C6" w:rsidP="006150C6">
      <w:pPr>
        <w:pStyle w:val="SourceandNotes"/>
      </w:pPr>
      <w:r>
        <w:t>QTTB3 And since you started seeing your &lt;TtW / jobactive&gt; caseworker(s), did they provide you with any support in the following areas?</w:t>
      </w:r>
    </w:p>
    <w:p w14:paraId="0E2FAF45" w14:textId="29358EFD" w:rsidR="006150C6" w:rsidRDefault="006150C6" w:rsidP="006150C6">
      <w:pPr>
        <w:pStyle w:val="SourceandNotes"/>
      </w:pPr>
      <w:r>
        <w:t xml:space="preserve">Note: </w:t>
      </w:r>
      <w:r w:rsidRPr="00C54CE8">
        <w:rPr>
          <w:color w:val="FF0000"/>
        </w:rPr>
        <w:t>*</w:t>
      </w:r>
      <w:r>
        <w:t>Indicates result is significantly different to TtW participants (</w:t>
      </w:r>
      <w:r w:rsidRPr="00C239FD">
        <w:rPr>
          <w:i/>
          <w:iCs/>
        </w:rPr>
        <w:t>p</w:t>
      </w:r>
      <w:r>
        <w:t>&lt;0.05)</w:t>
      </w:r>
    </w:p>
    <w:bookmarkEnd w:id="1745"/>
    <w:bookmarkEnd w:id="1772"/>
    <w:p w14:paraId="5663B106" w14:textId="06BB540F" w:rsidR="006150C6" w:rsidRDefault="006150C6" w:rsidP="006150C6">
      <w:r>
        <w:t xml:space="preserve">TtW survey participants were also asked if there was any help from their TtW caseworker that they wanted but did not receive. Most (84%) reported nothing extra was needed. </w:t>
      </w:r>
      <w:r w:rsidR="00224375" w:rsidRPr="00224375">
        <w:t>The most common response was help finding a job</w:t>
      </w:r>
      <w:r w:rsidR="00224375">
        <w:t xml:space="preserve"> (5%). </w:t>
      </w:r>
      <w:r>
        <w:t>Two per cent wanted help to obtain a driver</w:t>
      </w:r>
      <w:r w:rsidR="00B01CDF">
        <w:t>’</w:t>
      </w:r>
      <w:r>
        <w:t>s licence, and 2% wanted help accessing mental health support.</w:t>
      </w:r>
    </w:p>
    <w:p w14:paraId="498B0D8B" w14:textId="25BCDBB7" w:rsidR="006150C6" w:rsidRDefault="006150C6" w:rsidP="006E41FD">
      <w:pPr>
        <w:pStyle w:val="Heading2"/>
      </w:pPr>
      <w:bookmarkStart w:id="1773" w:name="_Toc106711871"/>
      <w:bookmarkStart w:id="1774" w:name="_Toc132650468"/>
      <w:bookmarkStart w:id="1775" w:name="_Toc146033499"/>
      <w:r>
        <w:lastRenderedPageBreak/>
        <w:t>Impact of TtW on participants</w:t>
      </w:r>
      <w:r w:rsidR="00F8391B">
        <w:t>’</w:t>
      </w:r>
      <w:r>
        <w:t xml:space="preserve"> overall subjective wellbeing and life satisfaction</w:t>
      </w:r>
      <w:bookmarkEnd w:id="1773"/>
      <w:bookmarkEnd w:id="1774"/>
      <w:bookmarkEnd w:id="1775"/>
    </w:p>
    <w:p w14:paraId="76936994" w14:textId="77777777" w:rsidR="006150C6" w:rsidRDefault="006150C6" w:rsidP="00BC43D7">
      <w:pPr>
        <w:pStyle w:val="Heading3"/>
        <w:ind w:left="0"/>
      </w:pPr>
      <w:bookmarkStart w:id="1776" w:name="_Toc106711872"/>
      <w:bookmarkStart w:id="1777" w:name="_Toc132650469"/>
      <w:bookmarkStart w:id="1778" w:name="_Toc146033500"/>
      <w:r>
        <w:t>Context</w:t>
      </w:r>
      <w:bookmarkEnd w:id="1776"/>
      <w:bookmarkEnd w:id="1777"/>
      <w:bookmarkEnd w:id="1778"/>
    </w:p>
    <w:p w14:paraId="10465C0A" w14:textId="698954EE" w:rsidR="006150C6" w:rsidRDefault="006150C6" w:rsidP="006150C6">
      <w:bookmarkStart w:id="1779" w:name="_Hlk82789529"/>
      <w:r w:rsidRPr="001431BC">
        <w:t xml:space="preserve">Findings from international and Australian research show that while promoting the wellbeing of young people is a valuable and fundamental end in itself, high </w:t>
      </w:r>
      <w:r>
        <w:t xml:space="preserve">levels of </w:t>
      </w:r>
      <w:r w:rsidRPr="001431BC">
        <w:t xml:space="preserve">wellbeing </w:t>
      </w:r>
      <w:r>
        <w:t>are</w:t>
      </w:r>
      <w:r w:rsidRPr="001431BC">
        <w:t xml:space="preserve"> also</w:t>
      </w:r>
      <w:r w:rsidRPr="004E4AB2">
        <w:t xml:space="preserve"> shown to have a positive impact on health, work, relationships and economic activity (</w:t>
      </w:r>
      <w:r w:rsidRPr="004E4AB2">
        <w:rPr>
          <w:b/>
          <w:bCs/>
        </w:rPr>
        <w:t>Australian Unity</w:t>
      </w:r>
      <w:r w:rsidRPr="007268D4">
        <w:rPr>
          <w:b/>
          <w:bCs/>
        </w:rPr>
        <w:t xml:space="preserve"> 2020</w:t>
      </w:r>
      <w:r>
        <w:t>). A study of 3,913 young people in South Australia (</w:t>
      </w:r>
      <w:r w:rsidRPr="007268D4">
        <w:rPr>
          <w:b/>
          <w:bCs/>
        </w:rPr>
        <w:t>Venning et al</w:t>
      </w:r>
      <w:r>
        <w:rPr>
          <w:b/>
          <w:bCs/>
        </w:rPr>
        <w:t xml:space="preserve"> </w:t>
      </w:r>
      <w:r w:rsidRPr="007268D4">
        <w:rPr>
          <w:b/>
          <w:bCs/>
        </w:rPr>
        <w:t>2013)</w:t>
      </w:r>
      <w:r>
        <w:t xml:space="preserve"> found that lower levels of mental wellbeing</w:t>
      </w:r>
      <w:r w:rsidRPr="00711734">
        <w:t xml:space="preserve"> were associated with increased health‐risk behaviour</w:t>
      </w:r>
      <w:r w:rsidRPr="00AA7024">
        <w:t xml:space="preserve"> such as smoking, drinking, and negative relationships</w:t>
      </w:r>
      <w:r>
        <w:t>. Other studies have shown that high levels of wellbeing are associated with effective learning, increased productivity and creativity, good relationships, pro-social behaviour, good health and longer life expectancy</w:t>
      </w:r>
      <w:r w:rsidR="003B4668">
        <w:t>.</w:t>
      </w:r>
      <w:r>
        <w:rPr>
          <w:rStyle w:val="FootnoteReference"/>
        </w:rPr>
        <w:footnoteReference w:id="69"/>
      </w:r>
      <w:r>
        <w:t xml:space="preserve"> Internationally, governments are increasingly recognising the significance of measuring wellbeing as an indicator of national progress </w:t>
      </w:r>
      <w:r w:rsidRPr="007268D4">
        <w:rPr>
          <w:b/>
          <w:bCs/>
        </w:rPr>
        <w:t>(Witten et al 2019</w:t>
      </w:r>
      <w:r>
        <w:t>).</w:t>
      </w:r>
    </w:p>
    <w:bookmarkEnd w:id="1779"/>
    <w:p w14:paraId="7645961D" w14:textId="12594A4E" w:rsidR="006150C6" w:rsidRDefault="006150C6" w:rsidP="006150C6">
      <w:r>
        <w:t>While there is no current agreement of a conceptual definition or measurement of wellbeing</w:t>
      </w:r>
      <w:r w:rsidR="00613F27">
        <w:t>,</w:t>
      </w:r>
      <w:r>
        <w:rPr>
          <w:rStyle w:val="FootnoteReference"/>
        </w:rPr>
        <w:footnoteReference w:id="70"/>
      </w:r>
      <w:r w:rsidR="009251AF">
        <w:t xml:space="preserve"> </w:t>
      </w:r>
      <w:r>
        <w:t>there is strong agreement that wellbeing is multidimensional and cannot be reduced to a single measure or concept. Psychological wellbeing is seen to include a combination of both feeling good and functioning well, and for different theorists includes a combination of factors such as</w:t>
      </w:r>
      <w:r w:rsidRPr="00DF3DFE">
        <w:t xml:space="preserve"> autonomy, personal growth, </w:t>
      </w:r>
      <w:r>
        <w:t xml:space="preserve">competence, </w:t>
      </w:r>
      <w:r w:rsidRPr="00DF3DFE">
        <w:t xml:space="preserve">positive relationships, </w:t>
      </w:r>
      <w:r>
        <w:t xml:space="preserve">pleasure, engagement, meaning, </w:t>
      </w:r>
      <w:r w:rsidRPr="00DF3DFE">
        <w:t>purpose in life and self-acceptance</w:t>
      </w:r>
      <w:r>
        <w:t>.</w:t>
      </w:r>
    </w:p>
    <w:p w14:paraId="669CD65C" w14:textId="77777777" w:rsidR="006150C6" w:rsidRDefault="006150C6" w:rsidP="00BC43D7">
      <w:pPr>
        <w:pStyle w:val="Heading3"/>
        <w:ind w:left="0"/>
      </w:pPr>
      <w:bookmarkStart w:id="1780" w:name="_Toc109823374"/>
      <w:bookmarkStart w:id="1781" w:name="_Toc109919856"/>
      <w:bookmarkStart w:id="1782" w:name="_Toc110250667"/>
      <w:bookmarkStart w:id="1783" w:name="_Toc110252708"/>
      <w:bookmarkStart w:id="1784" w:name="_Toc110266106"/>
      <w:bookmarkStart w:id="1785" w:name="_Toc110412343"/>
      <w:bookmarkStart w:id="1786" w:name="_Toc109823375"/>
      <w:bookmarkStart w:id="1787" w:name="_Toc109919857"/>
      <w:bookmarkStart w:id="1788" w:name="_Toc110250668"/>
      <w:bookmarkStart w:id="1789" w:name="_Toc110252709"/>
      <w:bookmarkStart w:id="1790" w:name="_Toc110266107"/>
      <w:bookmarkStart w:id="1791" w:name="_Toc110412344"/>
      <w:bookmarkStart w:id="1792" w:name="_Toc109823376"/>
      <w:bookmarkStart w:id="1793" w:name="_Toc109919858"/>
      <w:bookmarkStart w:id="1794" w:name="_Toc110250669"/>
      <w:bookmarkStart w:id="1795" w:name="_Toc110252710"/>
      <w:bookmarkStart w:id="1796" w:name="_Toc110266108"/>
      <w:bookmarkStart w:id="1797" w:name="_Toc110412345"/>
      <w:bookmarkStart w:id="1798" w:name="_Toc109823377"/>
      <w:bookmarkStart w:id="1799" w:name="_Toc109919859"/>
      <w:bookmarkStart w:id="1800" w:name="_Toc110250670"/>
      <w:bookmarkStart w:id="1801" w:name="_Toc110252711"/>
      <w:bookmarkStart w:id="1802" w:name="_Toc110266109"/>
      <w:bookmarkStart w:id="1803" w:name="_Toc110412346"/>
      <w:bookmarkStart w:id="1804" w:name="_Toc109823378"/>
      <w:bookmarkStart w:id="1805" w:name="_Toc109919860"/>
      <w:bookmarkStart w:id="1806" w:name="_Toc110250671"/>
      <w:bookmarkStart w:id="1807" w:name="_Toc110252712"/>
      <w:bookmarkStart w:id="1808" w:name="_Toc110266110"/>
      <w:bookmarkStart w:id="1809" w:name="_Toc110412347"/>
      <w:bookmarkStart w:id="1810" w:name="_Toc106711873"/>
      <w:bookmarkStart w:id="1811" w:name="_Toc132650470"/>
      <w:bookmarkStart w:id="1812" w:name="_Toc146033501"/>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r>
        <w:t>Life satisfaction</w:t>
      </w:r>
      <w:bookmarkEnd w:id="1810"/>
      <w:bookmarkEnd w:id="1811"/>
      <w:bookmarkEnd w:id="1812"/>
    </w:p>
    <w:p w14:paraId="2F94CEC5" w14:textId="6DB2DF8E" w:rsidR="008332A7" w:rsidRDefault="006150C6" w:rsidP="006150C6">
      <w:r>
        <w:t xml:space="preserve">General life satisfaction was measured by asking respondents to the participant survey to rate their satisfaction with life as a whole, using a scale from 0 to 10, where 0 indicates </w:t>
      </w:r>
      <w:r w:rsidR="00F8391B">
        <w:t>‘</w:t>
      </w:r>
      <w:r>
        <w:t>completely dissatisfied</w:t>
      </w:r>
      <w:r w:rsidR="00F8391B">
        <w:t>’</w:t>
      </w:r>
      <w:r>
        <w:t xml:space="preserve"> and 10 indicates </w:t>
      </w:r>
      <w:r w:rsidR="00F8391B">
        <w:t>‘</w:t>
      </w:r>
      <w:r>
        <w:t>completely satisfied</w:t>
      </w:r>
      <w:r w:rsidR="00F8391B">
        <w:t>’</w:t>
      </w:r>
      <w:r>
        <w:t xml:space="preserve">. TtW participants rated their life satisfaction as 6.6 out of 10 </w:t>
      </w:r>
      <w:bookmarkStart w:id="1813" w:name="_Hlk85808197"/>
      <w:bookmarkStart w:id="1814" w:name="_Hlk84500179"/>
      <w:r>
        <w:t xml:space="preserve">on average, significantly higher than the comparison group (average 5.9) </w:t>
      </w:r>
      <w:r w:rsidRPr="00CD6FB8">
        <w:t>(</w:t>
      </w:r>
      <w:r w:rsidRPr="004A440A">
        <w:rPr>
          <w:b/>
          <w:bCs/>
        </w:rPr>
        <w:fldChar w:fldCharType="begin"/>
      </w:r>
      <w:r w:rsidRPr="00CD6FB8">
        <w:rPr>
          <w:b/>
          <w:bCs/>
        </w:rPr>
        <w:instrText xml:space="preserve"> REF _Ref107225654 \h  \* MERGEFORMAT </w:instrText>
      </w:r>
      <w:r w:rsidRPr="004A440A">
        <w:rPr>
          <w:b/>
          <w:bCs/>
        </w:rPr>
      </w:r>
      <w:r w:rsidRPr="004A440A">
        <w:rPr>
          <w:b/>
          <w:bCs/>
        </w:rPr>
        <w:fldChar w:fldCharType="separate"/>
      </w:r>
      <w:r w:rsidR="00180E14" w:rsidRPr="00180E14">
        <w:rPr>
          <w:b/>
          <w:bCs/>
        </w:rPr>
        <w:t xml:space="preserve">Figure </w:t>
      </w:r>
      <w:r w:rsidR="00180E14" w:rsidRPr="00180E14">
        <w:rPr>
          <w:b/>
          <w:bCs/>
          <w:noProof/>
        </w:rPr>
        <w:t>13</w:t>
      </w:r>
      <w:r w:rsidRPr="004A440A">
        <w:rPr>
          <w:b/>
          <w:bCs/>
        </w:rPr>
        <w:fldChar w:fldCharType="end"/>
      </w:r>
      <w:r w:rsidRPr="00CD6FB8">
        <w:t>).</w:t>
      </w:r>
      <w:r>
        <w:t xml:space="preserve"> </w:t>
      </w:r>
      <w:bookmarkEnd w:id="1813"/>
      <w:r>
        <w:t>Significantly more TtW participants than the comparison group were highly satisfied with their life as a whole, scoring between 8</w:t>
      </w:r>
      <w:r w:rsidR="00C86284">
        <w:t xml:space="preserve"> and </w:t>
      </w:r>
      <w:r>
        <w:t>10 (36% compared to 26</w:t>
      </w:r>
      <w:r w:rsidRPr="00CD6FB8">
        <w:t>%) (</w:t>
      </w:r>
      <w:r w:rsidR="00974261" w:rsidRPr="00974261">
        <w:rPr>
          <w:b/>
          <w:bCs/>
        </w:rPr>
        <w:fldChar w:fldCharType="begin"/>
      </w:r>
      <w:r w:rsidR="00974261" w:rsidRPr="00974261">
        <w:rPr>
          <w:b/>
          <w:bCs/>
        </w:rPr>
        <w:instrText xml:space="preserve"> REF _Ref136530202 \h </w:instrText>
      </w:r>
      <w:r w:rsidR="00974261">
        <w:rPr>
          <w:b/>
          <w:bCs/>
        </w:rPr>
        <w:instrText xml:space="preserve"> \* MERGEFORMAT </w:instrText>
      </w:r>
      <w:r w:rsidR="00974261" w:rsidRPr="00974261">
        <w:rPr>
          <w:b/>
          <w:bCs/>
        </w:rPr>
      </w:r>
      <w:r w:rsidR="00974261" w:rsidRPr="00974261">
        <w:rPr>
          <w:b/>
          <w:bCs/>
        </w:rPr>
        <w:fldChar w:fldCharType="separate"/>
      </w:r>
      <w:r w:rsidR="00180E14" w:rsidRPr="00180E14">
        <w:rPr>
          <w:b/>
          <w:bCs/>
        </w:rPr>
        <w:t xml:space="preserve">Figure </w:t>
      </w:r>
      <w:r w:rsidR="00180E14" w:rsidRPr="00180E14">
        <w:rPr>
          <w:b/>
          <w:bCs/>
          <w:noProof/>
        </w:rPr>
        <w:t>14</w:t>
      </w:r>
      <w:r w:rsidR="00974261" w:rsidRPr="00974261">
        <w:rPr>
          <w:b/>
          <w:bCs/>
        </w:rPr>
        <w:fldChar w:fldCharType="end"/>
      </w:r>
      <w:r w:rsidRPr="00CD6FB8">
        <w:t>). These</w:t>
      </w:r>
      <w:r>
        <w:t xml:space="preserve"> differences remained after adjusting for number of stressful life events experienced in the past 12 months and length of time in the program</w:t>
      </w:r>
      <w:bookmarkEnd w:id="1814"/>
      <w:r w:rsidR="00C86284">
        <w:t>.</w:t>
      </w:r>
      <w:r w:rsidR="0041506C">
        <w:rPr>
          <w:rStyle w:val="FootnoteReference"/>
        </w:rPr>
        <w:footnoteReference w:id="71"/>
      </w:r>
    </w:p>
    <w:p w14:paraId="722B5E8E" w14:textId="500E2C68" w:rsidR="006150C6" w:rsidRDefault="006150C6" w:rsidP="006150C6">
      <w:r>
        <w:lastRenderedPageBreak/>
        <w:t>In comparison, the 2018 HILDA survey asked young people between 15</w:t>
      </w:r>
      <w:r w:rsidR="00C86284">
        <w:t xml:space="preserve"> and </w:t>
      </w:r>
      <w:r>
        <w:t xml:space="preserve">24 across Australia </w:t>
      </w:r>
      <w:r w:rsidR="00F8391B">
        <w:t>‘</w:t>
      </w:r>
      <w:r>
        <w:t>How satisfied are you with your life as a whole?</w:t>
      </w:r>
      <w:r w:rsidR="00F8391B">
        <w:t>’</w:t>
      </w:r>
      <w:r w:rsidR="00C91582">
        <w:t>.</w:t>
      </w:r>
      <w:r>
        <w:t xml:space="preserve"> The average satisfaction score was 8.1. Between 2008 and 2018, the score remained stable at between 8.0 and 8.1 (out of 10) (</w:t>
      </w:r>
      <w:r w:rsidRPr="002A4286">
        <w:rPr>
          <w:b/>
          <w:bCs/>
        </w:rPr>
        <w:fldChar w:fldCharType="begin"/>
      </w:r>
      <w:r w:rsidRPr="002A4286">
        <w:rPr>
          <w:b/>
          <w:bCs/>
        </w:rPr>
        <w:instrText xml:space="preserve"> REF _Ref107225654 \h </w:instrText>
      </w:r>
      <w:r>
        <w:rPr>
          <w:b/>
          <w:bCs/>
        </w:rPr>
        <w:instrText xml:space="preserve"> \* MERGEFORMAT </w:instrText>
      </w:r>
      <w:r w:rsidRPr="002A4286">
        <w:rPr>
          <w:b/>
          <w:bCs/>
        </w:rPr>
      </w:r>
      <w:r w:rsidRPr="002A4286">
        <w:rPr>
          <w:b/>
          <w:bCs/>
        </w:rPr>
        <w:fldChar w:fldCharType="separate"/>
      </w:r>
      <w:r w:rsidR="00180E14" w:rsidRPr="00180E14">
        <w:rPr>
          <w:b/>
          <w:bCs/>
        </w:rPr>
        <w:t xml:space="preserve">Figure </w:t>
      </w:r>
      <w:r w:rsidR="00180E14" w:rsidRPr="00180E14">
        <w:rPr>
          <w:b/>
          <w:bCs/>
          <w:noProof/>
        </w:rPr>
        <w:t>13</w:t>
      </w:r>
      <w:r w:rsidRPr="002A4286">
        <w:rPr>
          <w:b/>
          <w:bCs/>
        </w:rPr>
        <w:fldChar w:fldCharType="end"/>
      </w:r>
      <w:r>
        <w:t>)</w:t>
      </w:r>
      <w:r w:rsidR="00C91582">
        <w:t>.</w:t>
      </w:r>
      <w:r>
        <w:rPr>
          <w:rStyle w:val="FootnoteReference"/>
        </w:rPr>
        <w:footnoteReference w:id="72"/>
      </w:r>
    </w:p>
    <w:p w14:paraId="04D75810" w14:textId="5FE71A56" w:rsidR="006150C6" w:rsidRDefault="006150C6" w:rsidP="006150C6">
      <w:pPr>
        <w:pStyle w:val="Caption"/>
        <w:keepNext/>
      </w:pPr>
      <w:bookmarkStart w:id="1815" w:name="_Ref107225654"/>
      <w:bookmarkStart w:id="1816" w:name="_Toc132647854"/>
      <w:bookmarkStart w:id="1817" w:name="_Toc145883323"/>
      <w:bookmarkStart w:id="1818" w:name="_Hlk110422725"/>
      <w:bookmarkStart w:id="1819" w:name="_Hlk124849911"/>
      <w:r>
        <w:t xml:space="preserve">Figure </w:t>
      </w:r>
      <w:r w:rsidR="00BE71D4">
        <w:fldChar w:fldCharType="begin"/>
      </w:r>
      <w:r w:rsidR="00BE71D4">
        <w:instrText xml:space="preserve"> SEQ Figure \* ARABIC </w:instrText>
      </w:r>
      <w:r w:rsidR="00BE71D4">
        <w:fldChar w:fldCharType="separate"/>
      </w:r>
      <w:r w:rsidR="00180E14">
        <w:rPr>
          <w:noProof/>
        </w:rPr>
        <w:t>13</w:t>
      </w:r>
      <w:r w:rsidR="00BE71D4">
        <w:rPr>
          <w:noProof/>
        </w:rPr>
        <w:fldChar w:fldCharType="end"/>
      </w:r>
      <w:bookmarkEnd w:id="1815"/>
      <w:r>
        <w:t>: Average participant satisfaction with life as a whole</w:t>
      </w:r>
      <w:bookmarkEnd w:id="1816"/>
      <w:bookmarkEnd w:id="1817"/>
    </w:p>
    <w:p w14:paraId="6A52A964" w14:textId="1C40940D" w:rsidR="009F577F" w:rsidRPr="009F577F" w:rsidRDefault="009F577F" w:rsidP="009F577F">
      <w:r>
        <w:rPr>
          <w:noProof/>
        </w:rPr>
        <w:drawing>
          <wp:inline distT="0" distB="0" distL="0" distR="0" wp14:anchorId="2FF5C2E8" wp14:editId="497B84F5">
            <wp:extent cx="3883660" cy="2773680"/>
            <wp:effectExtent l="0" t="0" r="2540" b="7620"/>
            <wp:docPr id="52" name="Picture 52" descr="National Average 15-24 year olds 2021, 8.1; TtW, 6.6; Comparison 5.9 (significantly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National Average 15-24 year olds 2021, 8.1; TtW, 6.6; Comparison 5.9 (significantly differen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83660" cy="2773680"/>
                    </a:xfrm>
                    <a:prstGeom prst="rect">
                      <a:avLst/>
                    </a:prstGeom>
                    <a:noFill/>
                  </pic:spPr>
                </pic:pic>
              </a:graphicData>
            </a:graphic>
          </wp:inline>
        </w:drawing>
      </w:r>
    </w:p>
    <w:bookmarkEnd w:id="1818"/>
    <w:p w14:paraId="6379BFA2" w14:textId="5FBA3E65" w:rsidR="006150C6" w:rsidRDefault="006150C6" w:rsidP="00B14A99">
      <w:pPr>
        <w:pStyle w:val="SourceandNotes"/>
        <w:spacing w:before="0"/>
      </w:pPr>
      <w:r>
        <w:t xml:space="preserve">Source: Participant </w:t>
      </w:r>
      <w:r w:rsidR="00A86EEA">
        <w:t>s</w:t>
      </w:r>
      <w:r>
        <w:t>urvey 2021</w:t>
      </w:r>
    </w:p>
    <w:p w14:paraId="50B98DCE" w14:textId="0B015B8D" w:rsidR="006150C6" w:rsidRDefault="006150C6" w:rsidP="006150C6">
      <w:pPr>
        <w:pStyle w:val="SourceandNotes"/>
      </w:pPr>
      <w:r w:rsidRPr="00F73708">
        <w:t>Base: All respondents</w:t>
      </w:r>
      <w:r w:rsidR="00F8391B">
        <w:t xml:space="preserve"> – </w:t>
      </w:r>
      <w:r w:rsidRPr="00F73708">
        <w:t>TtW participants (n=1,502), jobactive participants (n=580)</w:t>
      </w:r>
    </w:p>
    <w:p w14:paraId="7981FD83" w14:textId="044605EB" w:rsidR="006150C6" w:rsidRDefault="006150C6" w:rsidP="006150C6">
      <w:pPr>
        <w:pStyle w:val="SourceandNotes"/>
        <w:rPr>
          <w:strike/>
        </w:rPr>
      </w:pPr>
      <w:r w:rsidRPr="00FB3080">
        <w:t>QHC1 Using a scale of 0 to 10, where 0 is completely dissatisfied and 10 is completely satisfied, thinking about your own life and your</w:t>
      </w:r>
      <w:r w:rsidRPr="00862FA5">
        <w:t xml:space="preserve"> personal circumstances, how satisfied are you with your life as a whole?</w:t>
      </w:r>
      <w:r w:rsidRPr="00310E4A">
        <w:rPr>
          <w:strike/>
        </w:rPr>
        <w:t xml:space="preserve"> </w:t>
      </w:r>
    </w:p>
    <w:p w14:paraId="6CD0616E" w14:textId="0D5DCE0F" w:rsidR="006150C6" w:rsidRPr="007C2B81" w:rsidRDefault="006150C6" w:rsidP="006150C6">
      <w:pPr>
        <w:pStyle w:val="SourceandNotes"/>
      </w:pPr>
      <w:r>
        <w:t>Notes</w:t>
      </w:r>
      <w:r w:rsidR="008520A5">
        <w:t xml:space="preserve">: </w:t>
      </w:r>
      <w:r w:rsidRPr="007C2B81">
        <w:rPr>
          <w:color w:val="FF0000"/>
        </w:rPr>
        <w:t>*</w:t>
      </w:r>
      <w:r w:rsidRPr="007C2B81">
        <w:t>Indicates result is significantly different to TtW participants (</w:t>
      </w:r>
      <w:r w:rsidRPr="00C239FD">
        <w:rPr>
          <w:i/>
          <w:iCs/>
        </w:rPr>
        <w:t>p</w:t>
      </w:r>
      <w:r w:rsidRPr="007C2B81">
        <w:t>&lt;0.05).</w:t>
      </w:r>
      <w:r w:rsidR="008520A5">
        <w:t xml:space="preserve"> </w:t>
      </w:r>
      <w:r w:rsidRPr="007C2B81">
        <w:t xml:space="preserve"># Source: </w:t>
      </w:r>
      <w:r>
        <w:t xml:space="preserve">AIHW 2021: </w:t>
      </w:r>
      <w:r w:rsidRPr="007C2B81">
        <w:t>HILDA Survey – score remained stable between 2008 and 2018</w:t>
      </w:r>
      <w:r w:rsidR="008520A5">
        <w:t>.</w:t>
      </w:r>
    </w:p>
    <w:p w14:paraId="11369C05" w14:textId="6CF3F783" w:rsidR="006150C6" w:rsidRDefault="006150C6" w:rsidP="006150C6">
      <w:pPr>
        <w:pStyle w:val="Caption"/>
        <w:keepNext/>
        <w:keepLines/>
      </w:pPr>
      <w:bookmarkStart w:id="1820" w:name="_Ref136530202"/>
      <w:bookmarkStart w:id="1821" w:name="_Toc86416694"/>
      <w:bookmarkStart w:id="1822" w:name="_Toc132647855"/>
      <w:bookmarkStart w:id="1823" w:name="_Toc145883324"/>
      <w:bookmarkStart w:id="1824" w:name="_Hlk110422739"/>
      <w:bookmarkStart w:id="1825" w:name="_Hlk124849921"/>
      <w:bookmarkEnd w:id="1819"/>
      <w:r>
        <w:lastRenderedPageBreak/>
        <w:t xml:space="preserve">Figure </w:t>
      </w:r>
      <w:r w:rsidR="00BE71D4">
        <w:fldChar w:fldCharType="begin"/>
      </w:r>
      <w:r w:rsidR="00BE71D4">
        <w:instrText xml:space="preserve"> SEQ Figure \* ARABIC </w:instrText>
      </w:r>
      <w:r w:rsidR="00BE71D4">
        <w:fldChar w:fldCharType="separate"/>
      </w:r>
      <w:r w:rsidR="00180E14">
        <w:rPr>
          <w:noProof/>
        </w:rPr>
        <w:t>14</w:t>
      </w:r>
      <w:r w:rsidR="00BE71D4">
        <w:rPr>
          <w:noProof/>
        </w:rPr>
        <w:fldChar w:fldCharType="end"/>
      </w:r>
      <w:bookmarkEnd w:id="1820"/>
      <w:r>
        <w:t>: Participant satisfaction with life as a whole</w:t>
      </w:r>
      <w:bookmarkEnd w:id="1821"/>
      <w:r>
        <w:t xml:space="preserve"> (% of participants)</w:t>
      </w:r>
      <w:bookmarkEnd w:id="1822"/>
      <w:bookmarkEnd w:id="1823"/>
    </w:p>
    <w:bookmarkEnd w:id="1824"/>
    <w:p w14:paraId="2198CE79" w14:textId="750E901C" w:rsidR="006150C6" w:rsidRDefault="00B14A99" w:rsidP="00B73F8F">
      <w:pPr>
        <w:pStyle w:val="SourceandNotes"/>
        <w:keepNext/>
      </w:pPr>
      <w:r>
        <w:rPr>
          <w:noProof/>
        </w:rPr>
        <w:drawing>
          <wp:inline distT="0" distB="0" distL="0" distR="0" wp14:anchorId="56844257" wp14:editId="52F30CDB">
            <wp:extent cx="5755005" cy="2395855"/>
            <wp:effectExtent l="0" t="0" r="0" b="0"/>
            <wp:docPr id="43" name="Picture 43" descr="TtW: Completely Satisfied (10),13%;  9-8, 23%; 7-4, 52%; 3-1, 8%; Completely dissatisfied (0), 2%&#10;Comparison: Completely Satisfied (10),11%;  9-8, 15%; 7-4, 57%; 3-1, 11%; Completely dissatisfied (0),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tW: Completely Satisfied (10),13%;  9-8, 23%; 7-4, 52%; 3-1, 8%; Completely dissatisfied (0), 2%&#10;Comparison: Completely Satisfied (10),11%;  9-8, 15%; 7-4, 57%; 3-1, 11%; Completely dissatisfied (0), 3%.&#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005" cy="2395855"/>
                    </a:xfrm>
                    <a:prstGeom prst="rect">
                      <a:avLst/>
                    </a:prstGeom>
                    <a:noFill/>
                  </pic:spPr>
                </pic:pic>
              </a:graphicData>
            </a:graphic>
          </wp:inline>
        </w:drawing>
      </w:r>
      <w:r w:rsidR="006150C6">
        <w:t xml:space="preserve">Source: Participant </w:t>
      </w:r>
      <w:r w:rsidR="00A86EEA">
        <w:t>s</w:t>
      </w:r>
      <w:r w:rsidR="006150C6">
        <w:t>urvey 2021</w:t>
      </w:r>
    </w:p>
    <w:p w14:paraId="7E35C19C" w14:textId="12A5BB51" w:rsidR="006150C6" w:rsidRDefault="006150C6" w:rsidP="00B73F8F">
      <w:pPr>
        <w:pStyle w:val="SourceandNotes"/>
        <w:keepNext/>
        <w:rPr>
          <w:szCs w:val="18"/>
        </w:rPr>
      </w:pPr>
      <w:r w:rsidRPr="00F73708">
        <w:rPr>
          <w:szCs w:val="18"/>
        </w:rPr>
        <w:t>Base: All respondents</w:t>
      </w:r>
      <w:r w:rsidR="00F8391B">
        <w:rPr>
          <w:szCs w:val="18"/>
        </w:rPr>
        <w:t xml:space="preserve"> – </w:t>
      </w:r>
      <w:r w:rsidRPr="00F73708">
        <w:rPr>
          <w:szCs w:val="18"/>
        </w:rPr>
        <w:t>TtW participants (n=1,502), jobactive participants (n=580)</w:t>
      </w:r>
    </w:p>
    <w:p w14:paraId="6F516CB7" w14:textId="6572F574" w:rsidR="006150C6" w:rsidRDefault="006150C6" w:rsidP="00B73F8F">
      <w:pPr>
        <w:pStyle w:val="SourceandNotes"/>
        <w:keepNext/>
        <w:rPr>
          <w:strike/>
        </w:rPr>
      </w:pPr>
      <w:r w:rsidRPr="00D14A39">
        <w:t>Q</w:t>
      </w:r>
      <w:r w:rsidRPr="00862FA5">
        <w:t>HC1 Using a scale of 0 to 10, where 0 is completely dissatisfied and 10 is completely satisfied, thinking about your own life and your personal circumstances, how satisfied are you with your life as a whole?</w:t>
      </w:r>
    </w:p>
    <w:p w14:paraId="21C489D1" w14:textId="28B4C140" w:rsidR="006150C6" w:rsidRPr="00F73708" w:rsidRDefault="006150C6" w:rsidP="006150C6">
      <w:pPr>
        <w:pStyle w:val="SourceandNotes"/>
        <w:rPr>
          <w:strike/>
          <w:szCs w:val="18"/>
        </w:rPr>
      </w:pPr>
      <w:r w:rsidRPr="00FC546B">
        <w:t xml:space="preserve">Note: Not shown: </w:t>
      </w:r>
      <w:r w:rsidR="00F8391B">
        <w:t>‘</w:t>
      </w:r>
      <w:r w:rsidRPr="00FC546B">
        <w:t>Don</w:t>
      </w:r>
      <w:r w:rsidR="00F8391B">
        <w:t>’</w:t>
      </w:r>
      <w:r w:rsidRPr="00FC546B">
        <w:t>t know</w:t>
      </w:r>
      <w:r w:rsidR="00F8391B">
        <w:t>’</w:t>
      </w:r>
      <w:r w:rsidRPr="00FC546B">
        <w:t xml:space="preserve"> (&lt;</w:t>
      </w:r>
      <w:r>
        <w:t>1</w:t>
      </w:r>
      <w:r w:rsidRPr="00FC546B">
        <w:t>%), Refused (&lt;</w:t>
      </w:r>
      <w:r>
        <w:t>3</w:t>
      </w:r>
      <w:r w:rsidRPr="00FC546B">
        <w:t>%)</w:t>
      </w:r>
    </w:p>
    <w:p w14:paraId="0BE7C89B" w14:textId="1A4DC558" w:rsidR="006150C6" w:rsidRDefault="006150C6" w:rsidP="00353F2E">
      <w:pPr>
        <w:pStyle w:val="Heading3"/>
        <w:ind w:left="0"/>
      </w:pPr>
      <w:bookmarkStart w:id="1826" w:name="_Toc86416364"/>
      <w:bookmarkStart w:id="1827" w:name="_Toc106711874"/>
      <w:bookmarkStart w:id="1828" w:name="_Toc132650471"/>
      <w:bookmarkStart w:id="1829" w:name="_Toc146033502"/>
      <w:bookmarkEnd w:id="1825"/>
      <w:r>
        <w:t>Personal wellbeing</w:t>
      </w:r>
      <w:bookmarkEnd w:id="1826"/>
      <w:bookmarkEnd w:id="1827"/>
      <w:bookmarkEnd w:id="1828"/>
      <w:bookmarkEnd w:id="1829"/>
    </w:p>
    <w:p w14:paraId="5607A631" w14:textId="2E0CBE0A" w:rsidR="006150C6" w:rsidRDefault="006150C6" w:rsidP="006150C6">
      <w:r w:rsidRPr="006D2C15">
        <w:t>Most providers (</w:t>
      </w:r>
      <w:r>
        <w:t>94.6</w:t>
      </w:r>
      <w:r w:rsidRPr="006D2C15">
        <w:t xml:space="preserve">%) felt that engagement in TtW had a </w:t>
      </w:r>
      <w:r w:rsidR="00F8391B">
        <w:t>‘</w:t>
      </w:r>
      <w:r w:rsidRPr="006D2C15">
        <w:t>very good</w:t>
      </w:r>
      <w:r w:rsidR="00F8391B">
        <w:t>’</w:t>
      </w:r>
      <w:r w:rsidRPr="006D2C15">
        <w:t xml:space="preserve"> or </w:t>
      </w:r>
      <w:r w:rsidR="00F8391B">
        <w:t>‘</w:t>
      </w:r>
      <w:r w:rsidRPr="006D2C15">
        <w:t>good</w:t>
      </w:r>
      <w:r w:rsidR="00F8391B">
        <w:t>’</w:t>
      </w:r>
      <w:r w:rsidRPr="006D2C15">
        <w:t xml:space="preserve"> impact on participants</w:t>
      </w:r>
      <w:r w:rsidR="00F8391B">
        <w:t>’</w:t>
      </w:r>
      <w:r w:rsidRPr="006D2C15">
        <w:t xml:space="preserve"> </w:t>
      </w:r>
      <w:r>
        <w:t>wellbeing</w:t>
      </w:r>
      <w:r w:rsidR="000356B7">
        <w:t>.</w:t>
      </w:r>
      <w:r w:rsidR="003A4DFA">
        <w:rPr>
          <w:rStyle w:val="FootnoteReference"/>
        </w:rPr>
        <w:footnoteReference w:id="73"/>
      </w:r>
      <w:r>
        <w:t xml:space="preserve"> During interviews, p</w:t>
      </w:r>
      <w:r w:rsidRPr="000C3A62">
        <w:t>rovider</w:t>
      </w:r>
      <w:r>
        <w:t xml:space="preserve"> respondents</w:t>
      </w:r>
      <w:r w:rsidRPr="000C3A62">
        <w:t xml:space="preserve"> offered examples of participants who had significantly changed their lives following engagement with the program. These participants faced particularly complex barriers including drug</w:t>
      </w:r>
      <w:r>
        <w:t xml:space="preserve"> addiction</w:t>
      </w:r>
      <w:r w:rsidRPr="000C3A62">
        <w:t xml:space="preserve">, homelessness, </w:t>
      </w:r>
      <w:r>
        <w:t>contact with the criminal justice system</w:t>
      </w:r>
      <w:r w:rsidRPr="000C3A62">
        <w:t>, and mental health issues. The impact of the program was significant on their broader wellbeing, helping them to reorient their lives.</w:t>
      </w:r>
    </w:p>
    <w:p w14:paraId="7E7F955E" w14:textId="39E34553" w:rsidR="006150C6" w:rsidRPr="00F74F20" w:rsidRDefault="006150C6" w:rsidP="006150C6">
      <w:pPr>
        <w:pStyle w:val="Quote"/>
      </w:pPr>
      <w:r w:rsidRPr="00F74F20">
        <w:t>She had a lot of non-vocational barriers: she had mental health; she</w:t>
      </w:r>
      <w:r w:rsidR="00F8391B">
        <w:t>’</w:t>
      </w:r>
      <w:r w:rsidRPr="00F74F20">
        <w:t>d been homeless</w:t>
      </w:r>
      <w:r w:rsidR="00374848">
        <w:t>.</w:t>
      </w:r>
      <w:r w:rsidRPr="00F74F20">
        <w:t xml:space="preserve"> […] She had a few issues with the police; she</w:t>
      </w:r>
      <w:r w:rsidR="00F8391B">
        <w:t>’</w:t>
      </w:r>
      <w:r w:rsidRPr="00F74F20">
        <w:t>d been caught up in a bad group of people; she</w:t>
      </w:r>
      <w:r w:rsidR="00F8391B">
        <w:t>’</w:t>
      </w:r>
      <w:r w:rsidRPr="00F74F20">
        <w:t>d been on, I think, marijuana, since the age of about eleven</w:t>
      </w:r>
      <w:r w:rsidR="00F27E77">
        <w:t xml:space="preserve"> – </w:t>
      </w:r>
      <w:r w:rsidRPr="00F74F20">
        <w:t>just a list of these barriers. And I don</w:t>
      </w:r>
      <w:r w:rsidR="00F8391B">
        <w:t>’</w:t>
      </w:r>
      <w:r w:rsidRPr="00F74F20">
        <w:t>t know what it was, but she just connected with one of our youth advisers. Just clicked with her</w:t>
      </w:r>
      <w:r w:rsidR="00374848">
        <w:t xml:space="preserve"> </w:t>
      </w:r>
      <w:r w:rsidRPr="00F74F20">
        <w:t>… She</w:t>
      </w:r>
      <w:r w:rsidR="00F8391B">
        <w:t>’</w:t>
      </w:r>
      <w:r w:rsidRPr="00F74F20">
        <w:t>d never had that level of support before, she said. […] we referred her out to a lot of specialist areas, from drug and alcohol to mental health. Meanwhile, very slowly, just putting her through those workshops; getting those social skills where they need to be. […] Wrapping them around and making sure they</w:t>
      </w:r>
      <w:r w:rsidR="00F8391B">
        <w:t>’</w:t>
      </w:r>
      <w:r w:rsidRPr="00F74F20">
        <w:t>re fully supported. [She has now been transferred to jobactive as she had been on TtW for 18 months], she</w:t>
      </w:r>
      <w:r w:rsidR="00F8391B">
        <w:t>’</w:t>
      </w:r>
      <w:r w:rsidRPr="00F74F20">
        <w:t>s applying for jobs now; she hasn</w:t>
      </w:r>
      <w:r w:rsidR="00F8391B">
        <w:t>’</w:t>
      </w:r>
      <w:r w:rsidRPr="00F74F20">
        <w:t>t been on marijuana now for, … coming up around four or five months. […]</w:t>
      </w:r>
      <w:r>
        <w:t xml:space="preserve"> </w:t>
      </w:r>
      <w:r w:rsidRPr="00F74F20">
        <w:t>not in trouble with the police. The police have come in a number of times and just thanked us for the support that we</w:t>
      </w:r>
      <w:r w:rsidR="00F8391B">
        <w:t>’</w:t>
      </w:r>
      <w:r w:rsidRPr="00F74F20">
        <w:t>ve given the young person; they can</w:t>
      </w:r>
      <w:r w:rsidR="00F8391B">
        <w:t>’</w:t>
      </w:r>
      <w:r w:rsidRPr="00F74F20">
        <w:t>t believe the turnaround in this young person. (Provider 10, metro NSW, medium size, TtW + jobactive)</w:t>
      </w:r>
    </w:p>
    <w:p w14:paraId="7F9222BE" w14:textId="34988D06" w:rsidR="006150C6" w:rsidRDefault="006150C6" w:rsidP="006150C6">
      <w:r>
        <w:t>To determine the impact that TtW has on participants</w:t>
      </w:r>
      <w:r w:rsidR="00F8391B">
        <w:t>’</w:t>
      </w:r>
      <w:r>
        <w:t xml:space="preserve"> wellbeing, survey participants w</w:t>
      </w:r>
      <w:r w:rsidRPr="009159F5">
        <w:t xml:space="preserve">ere </w:t>
      </w:r>
      <w:r>
        <w:t>asked</w:t>
      </w:r>
      <w:r w:rsidRPr="009159F5">
        <w:t xml:space="preserve"> to respond to a series of questions across a number of areas related to their life</w:t>
      </w:r>
      <w:r>
        <w:t xml:space="preserve"> and wellbeing, using </w:t>
      </w:r>
      <w:r w:rsidRPr="009159F5">
        <w:t xml:space="preserve">a </w:t>
      </w:r>
      <w:r w:rsidRPr="009159F5">
        <w:lastRenderedPageBreak/>
        <w:t>scale of 0 (no satisfaction) to 10 (complete satisfaction</w:t>
      </w:r>
      <w:r>
        <w:t xml:space="preserve">). </w:t>
      </w:r>
      <w:r w:rsidRPr="009159F5">
        <w:t xml:space="preserve">Responses to these </w:t>
      </w:r>
      <w:r>
        <w:t>items</w:t>
      </w:r>
      <w:r w:rsidRPr="009159F5">
        <w:t xml:space="preserve"> were combined into a score </w:t>
      </w:r>
      <w:r>
        <w:t>to determine participants</w:t>
      </w:r>
      <w:r w:rsidR="00F8391B">
        <w:t>’</w:t>
      </w:r>
      <w:r>
        <w:t xml:space="preserve"> </w:t>
      </w:r>
      <w:r w:rsidRPr="009159F5">
        <w:t>Personal Wellbeing Index</w:t>
      </w:r>
      <w:r>
        <w:t xml:space="preserve"> (PWI) (</w:t>
      </w:r>
      <w:r w:rsidRPr="00484450">
        <w:rPr>
          <w:b/>
          <w:bCs/>
        </w:rPr>
        <w:t>IWB, 2013</w:t>
      </w:r>
      <w:r>
        <w:t>)</w:t>
      </w:r>
      <w:r w:rsidRPr="009159F5">
        <w:t>. This is a score out of 100</w:t>
      </w:r>
      <w:r>
        <w:t>,</w:t>
      </w:r>
      <w:r w:rsidRPr="009159F5">
        <w:t xml:space="preserve"> where higher scores indicate higher levels of personal wellbeing.</w:t>
      </w:r>
    </w:p>
    <w:p w14:paraId="244BCCEF" w14:textId="7F11CB22" w:rsidR="006150C6" w:rsidRDefault="006150C6" w:rsidP="006150C6">
      <w:r>
        <w:t>Overall, TtW participants had an average personal wellbeing score of 71.1 out of 100</w:t>
      </w:r>
      <w:r w:rsidR="00D66E56">
        <w:t>, which was</w:t>
      </w:r>
      <w:r w:rsidR="00A54053">
        <w:t xml:space="preserve"> </w:t>
      </w:r>
      <w:bookmarkStart w:id="1830" w:name="_Hlk85808325"/>
      <w:bookmarkStart w:id="1831" w:name="_Hlk84500327"/>
      <w:bookmarkStart w:id="1832" w:name="_Hlk85717366"/>
      <w:r>
        <w:t>significantly higher than the comparison group (65.6</w:t>
      </w:r>
      <w:r w:rsidR="174BF2CA">
        <w:t>)</w:t>
      </w:r>
      <w:r w:rsidR="00D66E56">
        <w:t xml:space="preserve">. However, </w:t>
      </w:r>
      <w:r>
        <w:t>their wellbeing remains lower than the national average PWI for 18</w:t>
      </w:r>
      <w:r w:rsidR="00A54053">
        <w:t>–</w:t>
      </w:r>
      <w:r>
        <w:t>25 year</w:t>
      </w:r>
      <w:r w:rsidR="00A54053">
        <w:t xml:space="preserve"> </w:t>
      </w:r>
      <w:r>
        <w:t>olds</w:t>
      </w:r>
      <w:r w:rsidR="00361D3F">
        <w:t xml:space="preserve"> (75.1)</w:t>
      </w:r>
      <w:r>
        <w:t xml:space="preserve"> (</w:t>
      </w:r>
      <w:r w:rsidR="00974261" w:rsidRPr="00974261">
        <w:rPr>
          <w:b/>
          <w:bCs/>
        </w:rPr>
        <w:fldChar w:fldCharType="begin"/>
      </w:r>
      <w:r w:rsidR="00974261" w:rsidRPr="00974261">
        <w:rPr>
          <w:b/>
          <w:bCs/>
        </w:rPr>
        <w:instrText xml:space="preserve"> REF _Ref136530237 \h </w:instrText>
      </w:r>
      <w:r w:rsidR="00974261">
        <w:rPr>
          <w:b/>
          <w:bCs/>
        </w:rPr>
        <w:instrText xml:space="preserve"> \* MERGEFORMAT </w:instrText>
      </w:r>
      <w:r w:rsidR="00974261" w:rsidRPr="00974261">
        <w:rPr>
          <w:b/>
          <w:bCs/>
        </w:rPr>
      </w:r>
      <w:r w:rsidR="00974261" w:rsidRPr="00974261">
        <w:rPr>
          <w:b/>
          <w:bCs/>
        </w:rPr>
        <w:fldChar w:fldCharType="separate"/>
      </w:r>
      <w:r w:rsidR="00180E14" w:rsidRPr="00180E14">
        <w:rPr>
          <w:b/>
          <w:bCs/>
        </w:rPr>
        <w:t xml:space="preserve">Figure </w:t>
      </w:r>
      <w:r w:rsidR="00180E14" w:rsidRPr="00180E14">
        <w:rPr>
          <w:b/>
          <w:bCs/>
          <w:noProof/>
        </w:rPr>
        <w:t>15</w:t>
      </w:r>
      <w:r w:rsidR="00974261" w:rsidRPr="00974261">
        <w:rPr>
          <w:b/>
          <w:bCs/>
        </w:rPr>
        <w:fldChar w:fldCharType="end"/>
      </w:r>
      <w:r w:rsidRPr="00CD6FB8">
        <w:t>).</w:t>
      </w:r>
      <w:r>
        <w:t xml:space="preserve"> </w:t>
      </w:r>
      <w:bookmarkEnd w:id="1830"/>
      <w:bookmarkEnd w:id="1831"/>
      <w:r>
        <w:t xml:space="preserve">The national average remained relatively stable over </w:t>
      </w:r>
      <w:r w:rsidR="00F8391B">
        <w:t>3</w:t>
      </w:r>
      <w:r>
        <w:t xml:space="preserve"> years to </w:t>
      </w:r>
      <w:r w:rsidRPr="00CD6FB8">
        <w:t>2020 (</w:t>
      </w:r>
      <w:r w:rsidRPr="00403636">
        <w:rPr>
          <w:b/>
          <w:bCs/>
        </w:rPr>
        <w:fldChar w:fldCharType="begin"/>
      </w:r>
      <w:r w:rsidRPr="00403636">
        <w:rPr>
          <w:b/>
          <w:bCs/>
        </w:rPr>
        <w:instrText xml:space="preserve"> REF _Ref110963831 \h </w:instrText>
      </w:r>
      <w:r>
        <w:rPr>
          <w:b/>
          <w:bCs/>
        </w:rPr>
        <w:instrText xml:space="preserve"> \* MERGEFORMAT </w:instrText>
      </w:r>
      <w:r w:rsidRPr="00403636">
        <w:rPr>
          <w:b/>
          <w:bCs/>
        </w:rPr>
      </w:r>
      <w:r w:rsidRPr="00403636">
        <w:rPr>
          <w:b/>
          <w:bCs/>
        </w:rPr>
        <w:fldChar w:fldCharType="separate"/>
      </w:r>
      <w:r w:rsidR="00180E14" w:rsidRPr="00180E14">
        <w:rPr>
          <w:b/>
          <w:bCs/>
        </w:rPr>
        <w:t xml:space="preserve">Table </w:t>
      </w:r>
      <w:r w:rsidR="00180E14" w:rsidRPr="00180E14">
        <w:rPr>
          <w:b/>
          <w:bCs/>
          <w:noProof/>
        </w:rPr>
        <w:t>6</w:t>
      </w:r>
      <w:r w:rsidRPr="00403636">
        <w:rPr>
          <w:b/>
          <w:bCs/>
        </w:rPr>
        <w:fldChar w:fldCharType="end"/>
      </w:r>
      <w:r w:rsidRPr="00CD6FB8">
        <w:t>). Differences</w:t>
      </w:r>
      <w:r>
        <w:t xml:space="preserve"> between the TtW and </w:t>
      </w:r>
      <w:r w:rsidR="00353F2E">
        <w:t>comparison</w:t>
      </w:r>
      <w:r>
        <w:t xml:space="preserve"> samples remained after adjusting for the number of stressful life events experienced in the past 12</w:t>
      </w:r>
      <w:r w:rsidR="00D87582">
        <w:t> </w:t>
      </w:r>
      <w:r>
        <w:t>months and length of time in program</w:t>
      </w:r>
      <w:r w:rsidR="00D87582">
        <w:t>.</w:t>
      </w:r>
      <w:r w:rsidR="00353F2E">
        <w:rPr>
          <w:rStyle w:val="FootnoteReference"/>
        </w:rPr>
        <w:footnoteReference w:id="74"/>
      </w:r>
    </w:p>
    <w:p w14:paraId="0B01B4AF" w14:textId="53A0315B" w:rsidR="006150C6" w:rsidRDefault="006150C6" w:rsidP="006150C6">
      <w:pPr>
        <w:pStyle w:val="Caption"/>
        <w:keepNext/>
      </w:pPr>
      <w:bookmarkStart w:id="1833" w:name="_Ref136530237"/>
      <w:bookmarkStart w:id="1834" w:name="_Toc86416695"/>
      <w:bookmarkStart w:id="1835" w:name="_Toc132647856"/>
      <w:bookmarkStart w:id="1836" w:name="_Toc145883325"/>
      <w:bookmarkStart w:id="1837" w:name="_Hlk124849935"/>
      <w:bookmarkEnd w:id="1832"/>
      <w:r>
        <w:t xml:space="preserve">Figure </w:t>
      </w:r>
      <w:r w:rsidR="00BE71D4">
        <w:fldChar w:fldCharType="begin"/>
      </w:r>
      <w:r w:rsidR="00BE71D4">
        <w:instrText xml:space="preserve"> SEQ Figure \* ARABIC </w:instrText>
      </w:r>
      <w:r w:rsidR="00BE71D4">
        <w:fldChar w:fldCharType="separate"/>
      </w:r>
      <w:r w:rsidR="00180E14">
        <w:rPr>
          <w:noProof/>
        </w:rPr>
        <w:t>15</w:t>
      </w:r>
      <w:r w:rsidR="00BE71D4">
        <w:rPr>
          <w:noProof/>
        </w:rPr>
        <w:fldChar w:fldCharType="end"/>
      </w:r>
      <w:bookmarkEnd w:id="1833"/>
      <w:r>
        <w:t xml:space="preserve">: Average participant </w:t>
      </w:r>
      <w:r w:rsidR="00633E2B">
        <w:t>P</w:t>
      </w:r>
      <w:r>
        <w:t xml:space="preserve">ersonal </w:t>
      </w:r>
      <w:r w:rsidR="00633E2B">
        <w:t>W</w:t>
      </w:r>
      <w:r>
        <w:t xml:space="preserve">ellbeing </w:t>
      </w:r>
      <w:r w:rsidR="00633E2B">
        <w:t>I</w:t>
      </w:r>
      <w:r>
        <w:t>ndex score</w:t>
      </w:r>
      <w:bookmarkEnd w:id="1834"/>
      <w:bookmarkEnd w:id="1835"/>
      <w:bookmarkEnd w:id="1836"/>
    </w:p>
    <w:p w14:paraId="2EC295E2" w14:textId="2B66553A" w:rsidR="00FD2CDF" w:rsidRPr="00FD2CDF" w:rsidRDefault="00FD2CDF" w:rsidP="00FD2CDF">
      <w:r>
        <w:rPr>
          <w:noProof/>
        </w:rPr>
        <w:drawing>
          <wp:inline distT="0" distB="0" distL="0" distR="0" wp14:anchorId="71B442E5" wp14:editId="1D82D61D">
            <wp:extent cx="4334676" cy="2381250"/>
            <wp:effectExtent l="0" t="0" r="8890" b="0"/>
            <wp:docPr id="50" name="Picture 50" descr="National Average 15-24 year olds 2020, 75.1; TtW, 71.1; Comparison 65.6 (significantly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National Average 15-24 year olds 2020, 75.1; TtW, 71.1; Comparison 65.6 (significantly differen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51376" cy="2390424"/>
                    </a:xfrm>
                    <a:prstGeom prst="rect">
                      <a:avLst/>
                    </a:prstGeom>
                    <a:noFill/>
                  </pic:spPr>
                </pic:pic>
              </a:graphicData>
            </a:graphic>
          </wp:inline>
        </w:drawing>
      </w:r>
    </w:p>
    <w:p w14:paraId="72B7C497" w14:textId="24A0ADDA" w:rsidR="006150C6" w:rsidRDefault="006150C6" w:rsidP="006150C6">
      <w:pPr>
        <w:pStyle w:val="SourceandNotes"/>
      </w:pPr>
      <w:r>
        <w:t>Source: Partici</w:t>
      </w:r>
      <w:r w:rsidR="009E74D7">
        <w:t>p</w:t>
      </w:r>
      <w:r>
        <w:t xml:space="preserve">ant </w:t>
      </w:r>
      <w:r w:rsidR="00A86EEA">
        <w:t>s</w:t>
      </w:r>
      <w:r>
        <w:t>urvey 2021</w:t>
      </w:r>
      <w:r w:rsidR="00A86EEA">
        <w:t>;</w:t>
      </w:r>
      <w:r>
        <w:t xml:space="preserve"> source for </w:t>
      </w:r>
      <w:r w:rsidR="00C66DA6">
        <w:t>n</w:t>
      </w:r>
      <w:r>
        <w:t xml:space="preserve">ational </w:t>
      </w:r>
      <w:r w:rsidR="00C66DA6">
        <w:t>a</w:t>
      </w:r>
      <w:r>
        <w:t>verage 18</w:t>
      </w:r>
      <w:r w:rsidR="00A86EEA">
        <w:t>–</w:t>
      </w:r>
      <w:r>
        <w:t xml:space="preserve">25 years 2020: </w:t>
      </w:r>
      <w:r w:rsidRPr="00EF4041">
        <w:t>Australian Unity Wellbeing Index Summary Reports 2020, Deakin University</w:t>
      </w:r>
    </w:p>
    <w:p w14:paraId="0EFDBC43" w14:textId="2C5C88D0" w:rsidR="006150C6" w:rsidRPr="00862FA5" w:rsidRDefault="006150C6" w:rsidP="006150C6">
      <w:pPr>
        <w:pStyle w:val="SourceandNotes"/>
        <w:rPr>
          <w:strike/>
          <w:szCs w:val="18"/>
        </w:rPr>
      </w:pPr>
      <w:r w:rsidRPr="00862FA5">
        <w:rPr>
          <w:szCs w:val="18"/>
        </w:rPr>
        <w:t>Base: All respondents</w:t>
      </w:r>
      <w:r w:rsidR="00F8391B">
        <w:rPr>
          <w:szCs w:val="18"/>
        </w:rPr>
        <w:t xml:space="preserve"> – </w:t>
      </w:r>
      <w:r w:rsidRPr="00862FA5">
        <w:rPr>
          <w:szCs w:val="18"/>
        </w:rPr>
        <w:t>TtW participants (n=1,502), jobactive participants (n=580)</w:t>
      </w:r>
    </w:p>
    <w:p w14:paraId="372BFCEE" w14:textId="1C6BC22F" w:rsidR="006150C6" w:rsidRPr="00560D18" w:rsidRDefault="006150C6" w:rsidP="006150C6">
      <w:pPr>
        <w:pStyle w:val="SourceandNotes"/>
        <w:rPr>
          <w:strike/>
        </w:rPr>
      </w:pPr>
      <w:r w:rsidRPr="00560D18">
        <w:t>QHC2 Turning now to various areas of your life.</w:t>
      </w:r>
      <w:r>
        <w:t xml:space="preserve"> </w:t>
      </w:r>
      <w:r w:rsidRPr="00560D18">
        <w:t>Please answer use a scale from 0 to 10, where 0 is completely dissatisfied and 10 is completely satisfied</w:t>
      </w:r>
      <w:r>
        <w:t>.</w:t>
      </w:r>
    </w:p>
    <w:p w14:paraId="2D92FED8" w14:textId="6D0543A3" w:rsidR="006150C6" w:rsidRDefault="006150C6" w:rsidP="006150C6">
      <w:pPr>
        <w:pStyle w:val="SourceandNotes"/>
      </w:pPr>
      <w:r w:rsidRPr="001D461A">
        <w:rPr>
          <w:color w:val="000000" w:themeColor="text1"/>
        </w:rPr>
        <w:t xml:space="preserve">Note: </w:t>
      </w:r>
      <w:r w:rsidRPr="00D14A39">
        <w:rPr>
          <w:color w:val="FF0000"/>
        </w:rPr>
        <w:t>*</w:t>
      </w:r>
      <w:r w:rsidRPr="00D14A39">
        <w:t>Indicates result is significantly different to TtW participants (</w:t>
      </w:r>
      <w:r w:rsidRPr="00C239FD">
        <w:rPr>
          <w:i/>
          <w:iCs/>
        </w:rPr>
        <w:t>p</w:t>
      </w:r>
      <w:r w:rsidRPr="00D14A39">
        <w:t>&lt;0.05)</w:t>
      </w:r>
    </w:p>
    <w:p w14:paraId="7B4769C6" w14:textId="2B7C844A" w:rsidR="006150C6" w:rsidRDefault="006150C6" w:rsidP="006150C6">
      <w:pPr>
        <w:pStyle w:val="Caption"/>
        <w:keepNext/>
      </w:pPr>
      <w:bookmarkStart w:id="1838" w:name="_Ref110963831"/>
      <w:bookmarkStart w:id="1839" w:name="_Ref110963826"/>
      <w:bookmarkStart w:id="1840" w:name="_Toc132647782"/>
      <w:bookmarkStart w:id="1841" w:name="_Toc145877295"/>
      <w:bookmarkStart w:id="1842" w:name="_Hlk124849943"/>
      <w:bookmarkEnd w:id="1837"/>
      <w:r>
        <w:t xml:space="preserve">Table </w:t>
      </w:r>
      <w:r>
        <w:fldChar w:fldCharType="begin"/>
      </w:r>
      <w:r>
        <w:instrText>SEQ Table \* ARABIC</w:instrText>
      </w:r>
      <w:r>
        <w:fldChar w:fldCharType="separate"/>
      </w:r>
      <w:r w:rsidR="00180E14">
        <w:rPr>
          <w:noProof/>
        </w:rPr>
        <w:t>6</w:t>
      </w:r>
      <w:r>
        <w:fldChar w:fldCharType="end"/>
      </w:r>
      <w:bookmarkEnd w:id="1838"/>
      <w:r>
        <w:t xml:space="preserve">: </w:t>
      </w:r>
      <w:r w:rsidRPr="008840E7">
        <w:t>National</w:t>
      </w:r>
      <w:r>
        <w:t xml:space="preserve"> </w:t>
      </w:r>
      <w:r w:rsidR="00633E2B">
        <w:t>a</w:t>
      </w:r>
      <w:r>
        <w:t>verage</w:t>
      </w:r>
      <w:r w:rsidRPr="008840E7">
        <w:t xml:space="preserve"> Personal Wellbeing Index for young people </w:t>
      </w:r>
      <w:r>
        <w:t>2018</w:t>
      </w:r>
      <w:r w:rsidR="007439AA">
        <w:t>–</w:t>
      </w:r>
      <w:r>
        <w:t>2020</w:t>
      </w:r>
      <w:bookmarkEnd w:id="1839"/>
      <w:bookmarkEnd w:id="1840"/>
      <w:bookmarkEnd w:id="1841"/>
      <w:r>
        <w:t xml:space="preserve"> </w:t>
      </w:r>
    </w:p>
    <w:tbl>
      <w:tblPr>
        <w:tblStyle w:val="GridTable4"/>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118"/>
      </w:tblGrid>
      <w:tr w:rsidR="007B7F03" w:rsidRPr="0096560E" w14:paraId="552B9EB3" w14:textId="77777777" w:rsidTr="00C9113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3" w:type="dxa"/>
            <w:tcBorders>
              <w:top w:val="nil"/>
              <w:left w:val="nil"/>
              <w:bottom w:val="nil"/>
            </w:tcBorders>
            <w:shd w:val="clear" w:color="auto" w:fill="5D7A38"/>
          </w:tcPr>
          <w:p w14:paraId="7E9FD23D" w14:textId="77777777" w:rsidR="007B7F03" w:rsidRPr="00C239FD" w:rsidRDefault="007B7F03" w:rsidP="00A245F6">
            <w:pPr>
              <w:pStyle w:val="Body"/>
              <w:keepNext/>
              <w:rPr>
                <w:rFonts w:cstheme="minorHAnsi"/>
                <w:sz w:val="20"/>
                <w:szCs w:val="20"/>
              </w:rPr>
            </w:pPr>
            <w:r w:rsidRPr="00C239FD">
              <w:rPr>
                <w:rFonts w:cstheme="minorHAnsi"/>
                <w:sz w:val="20"/>
                <w:szCs w:val="20"/>
              </w:rPr>
              <w:t>Year</w:t>
            </w:r>
          </w:p>
        </w:tc>
        <w:tc>
          <w:tcPr>
            <w:tcW w:w="3118" w:type="dxa"/>
            <w:tcBorders>
              <w:top w:val="nil"/>
              <w:bottom w:val="nil"/>
              <w:right w:val="nil"/>
            </w:tcBorders>
            <w:shd w:val="clear" w:color="auto" w:fill="5D7A38"/>
          </w:tcPr>
          <w:p w14:paraId="54517CBF" w14:textId="2D8F73DD" w:rsidR="007B7F03" w:rsidRPr="00C239FD" w:rsidRDefault="007B7F03" w:rsidP="00A245F6">
            <w:pPr>
              <w:pStyle w:val="Body"/>
              <w:keepNext/>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239FD">
              <w:rPr>
                <w:rFonts w:cstheme="minorHAnsi"/>
                <w:sz w:val="20"/>
                <w:szCs w:val="20"/>
              </w:rPr>
              <w:t xml:space="preserve">National average </w:t>
            </w:r>
            <w:r w:rsidR="00633E2B" w:rsidRPr="00C239FD">
              <w:rPr>
                <w:rFonts w:cstheme="minorHAnsi"/>
                <w:sz w:val="20"/>
                <w:szCs w:val="20"/>
              </w:rPr>
              <w:t>P</w:t>
            </w:r>
            <w:r w:rsidRPr="00C239FD">
              <w:rPr>
                <w:rFonts w:cstheme="minorHAnsi"/>
                <w:sz w:val="20"/>
                <w:szCs w:val="20"/>
              </w:rPr>
              <w:t xml:space="preserve">ersonal </w:t>
            </w:r>
            <w:r w:rsidR="00633E2B" w:rsidRPr="00C239FD">
              <w:rPr>
                <w:rFonts w:cstheme="minorHAnsi"/>
                <w:sz w:val="20"/>
                <w:szCs w:val="20"/>
              </w:rPr>
              <w:t>W</w:t>
            </w:r>
            <w:r w:rsidRPr="00C239FD">
              <w:rPr>
                <w:rFonts w:cstheme="minorHAnsi"/>
                <w:sz w:val="20"/>
                <w:szCs w:val="20"/>
              </w:rPr>
              <w:t xml:space="preserve">ellbeing </w:t>
            </w:r>
            <w:r w:rsidR="00633E2B" w:rsidRPr="00C239FD">
              <w:rPr>
                <w:rFonts w:cstheme="minorHAnsi"/>
                <w:sz w:val="20"/>
                <w:szCs w:val="20"/>
              </w:rPr>
              <w:t>I</w:t>
            </w:r>
            <w:r w:rsidRPr="00C239FD">
              <w:rPr>
                <w:rFonts w:cstheme="minorHAnsi"/>
                <w:sz w:val="20"/>
                <w:szCs w:val="20"/>
              </w:rPr>
              <w:t>ndex, 18</w:t>
            </w:r>
            <w:r w:rsidR="00633E2B" w:rsidRPr="00C239FD">
              <w:rPr>
                <w:rFonts w:cstheme="minorHAnsi"/>
                <w:sz w:val="20"/>
                <w:szCs w:val="20"/>
              </w:rPr>
              <w:t>–</w:t>
            </w:r>
            <w:r w:rsidRPr="00C239FD">
              <w:rPr>
                <w:rFonts w:cstheme="minorHAnsi"/>
                <w:sz w:val="20"/>
                <w:szCs w:val="20"/>
              </w:rPr>
              <w:t>25 years</w:t>
            </w:r>
          </w:p>
        </w:tc>
      </w:tr>
      <w:tr w:rsidR="007B7F03" w:rsidRPr="0096560E" w14:paraId="6844AAAC" w14:textId="77777777" w:rsidTr="007B7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Borders>
              <w:top w:val="nil"/>
            </w:tcBorders>
          </w:tcPr>
          <w:p w14:paraId="057427C6" w14:textId="77777777" w:rsidR="007B7F03" w:rsidRPr="00C239FD" w:rsidRDefault="007B7F03" w:rsidP="00A245F6">
            <w:pPr>
              <w:pStyle w:val="Body"/>
              <w:keepNext/>
              <w:rPr>
                <w:rFonts w:cstheme="minorHAnsi"/>
                <w:sz w:val="20"/>
                <w:szCs w:val="20"/>
              </w:rPr>
            </w:pPr>
            <w:r w:rsidRPr="00C239FD">
              <w:rPr>
                <w:rFonts w:cstheme="minorHAnsi"/>
                <w:sz w:val="20"/>
                <w:szCs w:val="20"/>
              </w:rPr>
              <w:t>2018</w:t>
            </w:r>
          </w:p>
        </w:tc>
        <w:tc>
          <w:tcPr>
            <w:tcW w:w="3118" w:type="dxa"/>
            <w:tcBorders>
              <w:top w:val="nil"/>
            </w:tcBorders>
          </w:tcPr>
          <w:p w14:paraId="54269C3D" w14:textId="77777777" w:rsidR="007B7F03" w:rsidRPr="00C239FD" w:rsidRDefault="007B7F03" w:rsidP="007B7F03">
            <w:pPr>
              <w:pStyle w:val="Body"/>
              <w:keepNext/>
              <w:ind w:right="1458"/>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239FD">
              <w:rPr>
                <w:rFonts w:cstheme="minorHAnsi"/>
                <w:sz w:val="20"/>
                <w:szCs w:val="20"/>
              </w:rPr>
              <w:t>74.9</w:t>
            </w:r>
          </w:p>
        </w:tc>
      </w:tr>
      <w:tr w:rsidR="007B7F03" w:rsidRPr="0096560E" w14:paraId="40035F6D" w14:textId="77777777" w:rsidTr="007B7F03">
        <w:tc>
          <w:tcPr>
            <w:cnfStyle w:val="001000000000" w:firstRow="0" w:lastRow="0" w:firstColumn="1" w:lastColumn="0" w:oddVBand="0" w:evenVBand="0" w:oddHBand="0" w:evenHBand="0" w:firstRowFirstColumn="0" w:firstRowLastColumn="0" w:lastRowFirstColumn="0" w:lastRowLastColumn="0"/>
            <w:tcW w:w="4503" w:type="dxa"/>
          </w:tcPr>
          <w:p w14:paraId="2D547282" w14:textId="77777777" w:rsidR="007B7F03" w:rsidRPr="00C239FD" w:rsidRDefault="007B7F03" w:rsidP="00A245F6">
            <w:pPr>
              <w:pStyle w:val="Body"/>
              <w:keepNext/>
              <w:rPr>
                <w:rFonts w:cstheme="minorHAnsi"/>
                <w:sz w:val="20"/>
                <w:szCs w:val="20"/>
              </w:rPr>
            </w:pPr>
            <w:r w:rsidRPr="00C239FD">
              <w:rPr>
                <w:rFonts w:cstheme="minorHAnsi"/>
                <w:sz w:val="20"/>
                <w:szCs w:val="20"/>
              </w:rPr>
              <w:t>2019</w:t>
            </w:r>
          </w:p>
        </w:tc>
        <w:tc>
          <w:tcPr>
            <w:tcW w:w="3118" w:type="dxa"/>
          </w:tcPr>
          <w:p w14:paraId="1BB9BFE4" w14:textId="77777777" w:rsidR="007B7F03" w:rsidRPr="00C239FD" w:rsidRDefault="007B7F03" w:rsidP="007B7F03">
            <w:pPr>
              <w:pStyle w:val="Body"/>
              <w:keepNext/>
              <w:ind w:right="1458"/>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39FD">
              <w:rPr>
                <w:rFonts w:cstheme="minorHAnsi"/>
                <w:sz w:val="20"/>
                <w:szCs w:val="20"/>
              </w:rPr>
              <w:t>75.6</w:t>
            </w:r>
          </w:p>
        </w:tc>
      </w:tr>
      <w:tr w:rsidR="007B7F03" w:rsidRPr="0096560E" w14:paraId="4A6263A3" w14:textId="77777777" w:rsidTr="007B7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5C70AB04" w14:textId="735C9DDA" w:rsidR="007B7F03" w:rsidRPr="00C239FD" w:rsidRDefault="007B7F03" w:rsidP="00A245F6">
            <w:pPr>
              <w:pStyle w:val="Body"/>
              <w:keepNext/>
              <w:rPr>
                <w:rFonts w:cstheme="minorHAnsi"/>
                <w:sz w:val="20"/>
                <w:szCs w:val="20"/>
              </w:rPr>
            </w:pPr>
            <w:r w:rsidRPr="00C239FD">
              <w:rPr>
                <w:rFonts w:cstheme="minorHAnsi"/>
                <w:sz w:val="20"/>
                <w:szCs w:val="20"/>
              </w:rPr>
              <w:t>2020 (early COVID-19 – latest data available)</w:t>
            </w:r>
          </w:p>
        </w:tc>
        <w:tc>
          <w:tcPr>
            <w:tcW w:w="3118" w:type="dxa"/>
          </w:tcPr>
          <w:p w14:paraId="695DB129" w14:textId="77777777" w:rsidR="007B7F03" w:rsidRPr="00C239FD" w:rsidRDefault="007B7F03" w:rsidP="007B7F03">
            <w:pPr>
              <w:pStyle w:val="Body"/>
              <w:keepNext/>
              <w:ind w:right="1456"/>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239FD">
              <w:rPr>
                <w:rFonts w:cstheme="minorHAnsi"/>
                <w:sz w:val="20"/>
                <w:szCs w:val="20"/>
              </w:rPr>
              <w:t>75.1</w:t>
            </w:r>
          </w:p>
        </w:tc>
      </w:tr>
    </w:tbl>
    <w:p w14:paraId="0F721219" w14:textId="77777777" w:rsidR="006150C6" w:rsidRDefault="006150C6" w:rsidP="006150C6">
      <w:pPr>
        <w:pStyle w:val="SourceandNotes"/>
      </w:pPr>
      <w:r>
        <w:t xml:space="preserve">Source: </w:t>
      </w:r>
      <w:r w:rsidRPr="00EF4041">
        <w:t>Australian Unity Wellbeing Index Surveys 35, 36 and 37: Summary Reports (2018, 2019, 2020), Deakin University</w:t>
      </w:r>
    </w:p>
    <w:p w14:paraId="262CF9B6" w14:textId="77777777" w:rsidR="006150C6" w:rsidRDefault="006150C6" w:rsidP="00FF106F">
      <w:pPr>
        <w:pStyle w:val="Heading3"/>
        <w:ind w:left="0"/>
      </w:pPr>
      <w:bookmarkStart w:id="1843" w:name="_Toc106711875"/>
      <w:bookmarkStart w:id="1844" w:name="_Toc132650472"/>
      <w:bookmarkStart w:id="1845" w:name="_Toc146033503"/>
      <w:bookmarkEnd w:id="1842"/>
      <w:r>
        <w:lastRenderedPageBreak/>
        <w:t>Psychosocial wellbeing</w:t>
      </w:r>
      <w:bookmarkEnd w:id="1843"/>
      <w:bookmarkEnd w:id="1844"/>
      <w:bookmarkEnd w:id="1845"/>
    </w:p>
    <w:p w14:paraId="2674908A" w14:textId="4320B9B8" w:rsidR="006150C6" w:rsidRDefault="006150C6" w:rsidP="006150C6">
      <w:bookmarkStart w:id="1846" w:name="_Hlk88495043"/>
      <w:r>
        <w:t>The Flourishing Scale is an 8-item summary measure of respondents</w:t>
      </w:r>
      <w:r w:rsidR="00B56736">
        <w:t>’</w:t>
      </w:r>
      <w:r>
        <w:t xml:space="preserve"> self-perceived success in important areas such as relationships, self-esteem, purpose, and optimism </w:t>
      </w:r>
      <w:bookmarkStart w:id="1847" w:name="_Hlk116382367"/>
      <w:bookmarkEnd w:id="1846"/>
      <w:r>
        <w:t>(</w:t>
      </w:r>
      <w:r w:rsidRPr="00D31402">
        <w:rPr>
          <w:b/>
          <w:bCs/>
        </w:rPr>
        <w:t>Diener et al 2009</w:t>
      </w:r>
      <w:r>
        <w:t xml:space="preserve">). </w:t>
      </w:r>
    </w:p>
    <w:p w14:paraId="60D9B44E" w14:textId="598195B1" w:rsidR="006150C6" w:rsidRDefault="006150C6" w:rsidP="006150C6">
      <w:bookmarkStart w:id="1848" w:name="_Hlk88495066"/>
      <w:r>
        <w:t>When responses are combined, the scale provides a single psychosocial wellbeing, or flourishing</w:t>
      </w:r>
      <w:r w:rsidR="00B56736">
        <w:t>,</w:t>
      </w:r>
      <w:r>
        <w:t xml:space="preserve"> score ranging from 8 (lowest possible) to 56 (highest possible). A higher score represents a person with many psychosocial resources and strengths.</w:t>
      </w:r>
    </w:p>
    <w:p w14:paraId="1AE6FAB1" w14:textId="255B3D63" w:rsidR="006150C6" w:rsidRDefault="006150C6" w:rsidP="006150C6">
      <w:r>
        <w:t>Overall, TtW participants had an average flourishing score of 44.6 out of 56</w:t>
      </w:r>
      <w:r w:rsidR="003F58E4">
        <w:t xml:space="preserve">, which </w:t>
      </w:r>
      <w:bookmarkStart w:id="1849" w:name="_Hlk85808370"/>
      <w:bookmarkStart w:id="1850" w:name="_Hlk85717773"/>
      <w:bookmarkEnd w:id="1848"/>
      <w:r w:rsidR="003F58E4">
        <w:t>is</w:t>
      </w:r>
      <w:r w:rsidRPr="006C6D2A">
        <w:t xml:space="preserve"> higher than </w:t>
      </w:r>
      <w:r>
        <w:t>the comparison group</w:t>
      </w:r>
      <w:r w:rsidRPr="006C6D2A">
        <w:t xml:space="preserve"> (</w:t>
      </w:r>
      <w:r>
        <w:t>42.8</w:t>
      </w:r>
      <w:r w:rsidRPr="006C6D2A">
        <w:t>).</w:t>
      </w:r>
      <w:r>
        <w:t xml:space="preserve"> </w:t>
      </w:r>
      <w:bookmarkEnd w:id="1849"/>
      <w:r>
        <w:t>Th</w:t>
      </w:r>
      <w:r w:rsidR="003F58E4">
        <w:t>is</w:t>
      </w:r>
      <w:r>
        <w:t xml:space="preserve"> difference remained after adjusting for number of negative life events in the past 12 months in a multivariate regression model.</w:t>
      </w:r>
    </w:p>
    <w:p w14:paraId="2A2C106C" w14:textId="718983C4" w:rsidR="006150C6" w:rsidRDefault="006150C6" w:rsidP="006150C6">
      <w:r>
        <w:t xml:space="preserve">When asked what impact their caseworker had had on their </w:t>
      </w:r>
      <w:r w:rsidR="00F8391B">
        <w:t>‘</w:t>
      </w:r>
      <w:r>
        <w:t>outlook on life</w:t>
      </w:r>
      <w:r w:rsidR="00F8391B">
        <w:t>’</w:t>
      </w:r>
      <w:r>
        <w:t>, 68% of TtW participants felt they had had a positive or very positive impact, which is significantly greater than was reported by the comparison group (57%)</w:t>
      </w:r>
      <w:r w:rsidR="005C6A33">
        <w:t>.</w:t>
      </w:r>
      <w:r w:rsidR="004E08A2">
        <w:rPr>
          <w:rStyle w:val="FootnoteReference"/>
        </w:rPr>
        <w:footnoteReference w:id="75"/>
      </w:r>
      <w:r>
        <w:t xml:space="preserve"> Most providers (92.1%) felt that </w:t>
      </w:r>
      <w:r>
        <w:rPr>
          <w:rFonts w:eastAsiaTheme="majorEastAsia"/>
        </w:rPr>
        <w:t xml:space="preserve">engagement in TtW had a </w:t>
      </w:r>
      <w:r w:rsidR="00F8391B">
        <w:rPr>
          <w:rFonts w:eastAsiaTheme="majorEastAsia"/>
        </w:rPr>
        <w:t>‘</w:t>
      </w:r>
      <w:r>
        <w:rPr>
          <w:rFonts w:eastAsiaTheme="majorEastAsia"/>
        </w:rPr>
        <w:t>very good</w:t>
      </w:r>
      <w:r w:rsidR="00F8391B">
        <w:rPr>
          <w:rFonts w:eastAsiaTheme="majorEastAsia"/>
        </w:rPr>
        <w:t>’</w:t>
      </w:r>
      <w:r>
        <w:rPr>
          <w:rFonts w:eastAsiaTheme="majorEastAsia"/>
        </w:rPr>
        <w:t xml:space="preserve"> or </w:t>
      </w:r>
      <w:r w:rsidR="00F8391B">
        <w:rPr>
          <w:rFonts w:eastAsiaTheme="majorEastAsia"/>
        </w:rPr>
        <w:t>‘</w:t>
      </w:r>
      <w:r>
        <w:rPr>
          <w:rFonts w:eastAsiaTheme="majorEastAsia"/>
        </w:rPr>
        <w:t>good</w:t>
      </w:r>
      <w:r w:rsidR="00F8391B">
        <w:rPr>
          <w:rFonts w:eastAsiaTheme="majorEastAsia"/>
        </w:rPr>
        <w:t>’</w:t>
      </w:r>
      <w:r>
        <w:rPr>
          <w:rFonts w:eastAsiaTheme="majorEastAsia"/>
        </w:rPr>
        <w:t xml:space="preserve"> impact on participants</w:t>
      </w:r>
      <w:r w:rsidR="00F8391B">
        <w:rPr>
          <w:rFonts w:eastAsiaTheme="majorEastAsia"/>
        </w:rPr>
        <w:t>’</w:t>
      </w:r>
      <w:r>
        <w:rPr>
          <w:rFonts w:eastAsiaTheme="majorEastAsia"/>
        </w:rPr>
        <w:t xml:space="preserve"> outlook on life</w:t>
      </w:r>
      <w:r w:rsidR="005C6A33">
        <w:rPr>
          <w:rFonts w:eastAsiaTheme="majorEastAsia"/>
        </w:rPr>
        <w:t>.</w:t>
      </w:r>
      <w:r>
        <w:rPr>
          <w:rStyle w:val="FootnoteReference"/>
          <w:rFonts w:eastAsiaTheme="majorEastAsia"/>
        </w:rPr>
        <w:footnoteReference w:id="76"/>
      </w:r>
    </w:p>
    <w:p w14:paraId="777EDAF2" w14:textId="77777777" w:rsidR="006150C6" w:rsidRPr="00273DBA" w:rsidRDefault="006150C6" w:rsidP="006E41FD">
      <w:pPr>
        <w:pStyle w:val="Heading2"/>
      </w:pPr>
      <w:bookmarkStart w:id="1851" w:name="_Toc109919864"/>
      <w:bookmarkStart w:id="1852" w:name="_Toc110250675"/>
      <w:bookmarkStart w:id="1853" w:name="_Toc110252716"/>
      <w:bookmarkStart w:id="1854" w:name="_Toc110266114"/>
      <w:bookmarkStart w:id="1855" w:name="_Toc110412351"/>
      <w:bookmarkStart w:id="1856" w:name="_Toc109919865"/>
      <w:bookmarkStart w:id="1857" w:name="_Toc110250676"/>
      <w:bookmarkStart w:id="1858" w:name="_Toc110252717"/>
      <w:bookmarkStart w:id="1859" w:name="_Toc110266115"/>
      <w:bookmarkStart w:id="1860" w:name="_Toc110412352"/>
      <w:bookmarkStart w:id="1861" w:name="_Toc109919866"/>
      <w:bookmarkStart w:id="1862" w:name="_Toc110250677"/>
      <w:bookmarkStart w:id="1863" w:name="_Toc110252718"/>
      <w:bookmarkStart w:id="1864" w:name="_Toc110266116"/>
      <w:bookmarkStart w:id="1865" w:name="_Toc110412353"/>
      <w:bookmarkStart w:id="1866" w:name="_Toc109919867"/>
      <w:bookmarkStart w:id="1867" w:name="_Toc110250678"/>
      <w:bookmarkStart w:id="1868" w:name="_Toc110252719"/>
      <w:bookmarkStart w:id="1869" w:name="_Toc110266117"/>
      <w:bookmarkStart w:id="1870" w:name="_Toc110412354"/>
      <w:bookmarkStart w:id="1871" w:name="_Toc109919868"/>
      <w:bookmarkStart w:id="1872" w:name="_Toc110250679"/>
      <w:bookmarkStart w:id="1873" w:name="_Toc110252720"/>
      <w:bookmarkStart w:id="1874" w:name="_Toc110266118"/>
      <w:bookmarkStart w:id="1875" w:name="_Toc110412355"/>
      <w:bookmarkStart w:id="1876" w:name="_Toc109919869"/>
      <w:bookmarkStart w:id="1877" w:name="_Toc110250680"/>
      <w:bookmarkStart w:id="1878" w:name="_Toc110252721"/>
      <w:bookmarkStart w:id="1879" w:name="_Toc110266119"/>
      <w:bookmarkStart w:id="1880" w:name="_Toc110412356"/>
      <w:bookmarkStart w:id="1881" w:name="_Toc109919870"/>
      <w:bookmarkStart w:id="1882" w:name="_Toc110250681"/>
      <w:bookmarkStart w:id="1883" w:name="_Toc110252722"/>
      <w:bookmarkStart w:id="1884" w:name="_Toc110266120"/>
      <w:bookmarkStart w:id="1885" w:name="_Toc110412357"/>
      <w:bookmarkStart w:id="1886" w:name="_Toc109919871"/>
      <w:bookmarkStart w:id="1887" w:name="_Toc110250682"/>
      <w:bookmarkStart w:id="1888" w:name="_Toc110252723"/>
      <w:bookmarkStart w:id="1889" w:name="_Toc110266121"/>
      <w:bookmarkStart w:id="1890" w:name="_Toc110412358"/>
      <w:bookmarkStart w:id="1891" w:name="_Toc109919872"/>
      <w:bookmarkStart w:id="1892" w:name="_Toc110250683"/>
      <w:bookmarkStart w:id="1893" w:name="_Toc110252724"/>
      <w:bookmarkStart w:id="1894" w:name="_Toc110266122"/>
      <w:bookmarkStart w:id="1895" w:name="_Toc110412359"/>
      <w:bookmarkStart w:id="1896" w:name="_Toc109919873"/>
      <w:bookmarkStart w:id="1897" w:name="_Toc110250684"/>
      <w:bookmarkStart w:id="1898" w:name="_Toc110252725"/>
      <w:bookmarkStart w:id="1899" w:name="_Toc110266123"/>
      <w:bookmarkStart w:id="1900" w:name="_Toc110412360"/>
      <w:bookmarkStart w:id="1901" w:name="_Toc109919874"/>
      <w:bookmarkStart w:id="1902" w:name="_Toc110250685"/>
      <w:bookmarkStart w:id="1903" w:name="_Toc110252726"/>
      <w:bookmarkStart w:id="1904" w:name="_Toc110266124"/>
      <w:bookmarkStart w:id="1905" w:name="_Toc110412361"/>
      <w:bookmarkStart w:id="1906" w:name="_Toc109919875"/>
      <w:bookmarkStart w:id="1907" w:name="_Toc110250686"/>
      <w:bookmarkStart w:id="1908" w:name="_Toc110252727"/>
      <w:bookmarkStart w:id="1909" w:name="_Toc110266125"/>
      <w:bookmarkStart w:id="1910" w:name="_Toc110412362"/>
      <w:bookmarkStart w:id="1911" w:name="_Toc109919876"/>
      <w:bookmarkStart w:id="1912" w:name="_Toc110250687"/>
      <w:bookmarkStart w:id="1913" w:name="_Toc110252728"/>
      <w:bookmarkStart w:id="1914" w:name="_Toc110266126"/>
      <w:bookmarkStart w:id="1915" w:name="_Toc110412363"/>
      <w:bookmarkStart w:id="1916" w:name="_Toc109919877"/>
      <w:bookmarkStart w:id="1917" w:name="_Toc110250688"/>
      <w:bookmarkStart w:id="1918" w:name="_Toc110252729"/>
      <w:bookmarkStart w:id="1919" w:name="_Toc110266127"/>
      <w:bookmarkStart w:id="1920" w:name="_Toc110412364"/>
      <w:bookmarkStart w:id="1921" w:name="_Toc109919878"/>
      <w:bookmarkStart w:id="1922" w:name="_Toc110250689"/>
      <w:bookmarkStart w:id="1923" w:name="_Toc110252730"/>
      <w:bookmarkStart w:id="1924" w:name="_Toc110266128"/>
      <w:bookmarkStart w:id="1925" w:name="_Toc110412365"/>
      <w:bookmarkStart w:id="1926" w:name="_Toc109919879"/>
      <w:bookmarkStart w:id="1927" w:name="_Toc110250690"/>
      <w:bookmarkStart w:id="1928" w:name="_Toc110252731"/>
      <w:bookmarkStart w:id="1929" w:name="_Toc110266129"/>
      <w:bookmarkStart w:id="1930" w:name="_Toc110412366"/>
      <w:bookmarkStart w:id="1931" w:name="_Toc109919880"/>
      <w:bookmarkStart w:id="1932" w:name="_Toc110250691"/>
      <w:bookmarkStart w:id="1933" w:name="_Toc110252732"/>
      <w:bookmarkStart w:id="1934" w:name="_Toc110266130"/>
      <w:bookmarkStart w:id="1935" w:name="_Toc110412367"/>
      <w:bookmarkStart w:id="1936" w:name="_Toc109919881"/>
      <w:bookmarkStart w:id="1937" w:name="_Toc110250692"/>
      <w:bookmarkStart w:id="1938" w:name="_Toc110252733"/>
      <w:bookmarkStart w:id="1939" w:name="_Toc110266131"/>
      <w:bookmarkStart w:id="1940" w:name="_Toc110412368"/>
      <w:bookmarkStart w:id="1941" w:name="_Toc109919882"/>
      <w:bookmarkStart w:id="1942" w:name="_Toc110250693"/>
      <w:bookmarkStart w:id="1943" w:name="_Toc110252734"/>
      <w:bookmarkStart w:id="1944" w:name="_Toc110266132"/>
      <w:bookmarkStart w:id="1945" w:name="_Toc110412369"/>
      <w:bookmarkStart w:id="1946" w:name="_Toc109919883"/>
      <w:bookmarkStart w:id="1947" w:name="_Toc110250694"/>
      <w:bookmarkStart w:id="1948" w:name="_Toc110252735"/>
      <w:bookmarkStart w:id="1949" w:name="_Toc110266133"/>
      <w:bookmarkStart w:id="1950" w:name="_Toc110412370"/>
      <w:bookmarkStart w:id="1951" w:name="_Toc109919884"/>
      <w:bookmarkStart w:id="1952" w:name="_Toc110250695"/>
      <w:bookmarkStart w:id="1953" w:name="_Toc110252736"/>
      <w:bookmarkStart w:id="1954" w:name="_Toc110266134"/>
      <w:bookmarkStart w:id="1955" w:name="_Toc110412371"/>
      <w:bookmarkStart w:id="1956" w:name="_Toc109919885"/>
      <w:bookmarkStart w:id="1957" w:name="_Toc110250696"/>
      <w:bookmarkStart w:id="1958" w:name="_Toc110252737"/>
      <w:bookmarkStart w:id="1959" w:name="_Toc110266135"/>
      <w:bookmarkStart w:id="1960" w:name="_Toc110412372"/>
      <w:bookmarkStart w:id="1961" w:name="_Toc109919886"/>
      <w:bookmarkStart w:id="1962" w:name="_Toc110250697"/>
      <w:bookmarkStart w:id="1963" w:name="_Toc110252738"/>
      <w:bookmarkStart w:id="1964" w:name="_Toc110266136"/>
      <w:bookmarkStart w:id="1965" w:name="_Toc110412373"/>
      <w:bookmarkStart w:id="1966" w:name="_Toc106711883"/>
      <w:bookmarkStart w:id="1967" w:name="_Toc132650473"/>
      <w:bookmarkStart w:id="1968" w:name="_Toc146033504"/>
      <w:bookmarkEnd w:id="1847"/>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r>
        <w:t>What elements of the TtW program are associated with increased human capability in participants?</w:t>
      </w:r>
      <w:bookmarkEnd w:id="1966"/>
      <w:bookmarkEnd w:id="1967"/>
      <w:bookmarkEnd w:id="1968"/>
    </w:p>
    <w:p w14:paraId="58A25C57" w14:textId="5B66E0AA" w:rsidR="006150C6" w:rsidRDefault="006150C6" w:rsidP="006150C6">
      <w:r>
        <w:t xml:space="preserve">The above sections demonstrate that TtW has a positive impact on the human capabilities of participants (including confidence, resilience, motivation, mental and physical health, and availability </w:t>
      </w:r>
      <w:r w:rsidR="00A55D92">
        <w:t xml:space="preserve">of </w:t>
      </w:r>
      <w:r>
        <w:t>and access to support services) and overall wellbeing. This section examines the elements of the TtW program that may play a significant role in the development of participants</w:t>
      </w:r>
      <w:r w:rsidR="00F8391B">
        <w:t>’</w:t>
      </w:r>
      <w:r>
        <w:t xml:space="preserve"> human capabilities.</w:t>
      </w:r>
    </w:p>
    <w:p w14:paraId="67BD5B22" w14:textId="43CCE99F" w:rsidR="006150C6" w:rsidRDefault="006150C6" w:rsidP="006150C6">
      <w:r>
        <w:t xml:space="preserve">The qualitative fieldwork with participants and providers identified several elements of TtW that support the development of human capabilities, and these reflect the findings of the TtW </w:t>
      </w:r>
      <w:r w:rsidR="00A55D92">
        <w:t>f</w:t>
      </w:r>
      <w:r>
        <w:t xml:space="preserve">inal </w:t>
      </w:r>
      <w:r w:rsidR="00A55D92">
        <w:t>e</w:t>
      </w:r>
      <w:r>
        <w:t>valuation (</w:t>
      </w:r>
      <w:r w:rsidR="00CE0CBD">
        <w:rPr>
          <w:b/>
          <w:bCs/>
        </w:rPr>
        <w:t>DESE 2021</w:t>
      </w:r>
      <w:r>
        <w:t>). These elements include low caseloads per caseworker</w:t>
      </w:r>
      <w:r w:rsidR="00450CD9">
        <w:t>,</w:t>
      </w:r>
      <w:r>
        <w:t xml:space="preserve"> which gives caseworkers the time to provide intensive wraparound support; the flexibility in time and funding to provide innovative ways to engage young participants (games, employer visits, pizza nights)</w:t>
      </w:r>
      <w:r w:rsidR="00C22425">
        <w:t>;</w:t>
      </w:r>
      <w:r>
        <w:t xml:space="preserve"> the voluntary nature of the program with no formal compliance framework; and the youth focus</w:t>
      </w:r>
      <w:r w:rsidR="00C22425">
        <w:t>,</w:t>
      </w:r>
      <w:r>
        <w:t xml:space="preserve"> which helps participants feel they are in an enabling and supportive environment.</w:t>
      </w:r>
    </w:p>
    <w:p w14:paraId="665E05E9" w14:textId="7AFF37F4" w:rsidR="006150C6" w:rsidRDefault="006150C6" w:rsidP="00DD3165">
      <w:pPr>
        <w:pStyle w:val="Heading3"/>
        <w:ind w:left="0"/>
      </w:pPr>
      <w:bookmarkStart w:id="1969" w:name="_Toc106711884"/>
      <w:bookmarkStart w:id="1970" w:name="_Toc132650474"/>
      <w:bookmarkStart w:id="1971" w:name="_Toc146033505"/>
      <w:r>
        <w:t>Correlations between program elements and human capability indicators</w:t>
      </w:r>
      <w:bookmarkEnd w:id="1969"/>
      <w:bookmarkEnd w:id="1970"/>
      <w:bookmarkEnd w:id="1971"/>
    </w:p>
    <w:p w14:paraId="40159E53" w14:textId="1F872F46" w:rsidR="006150C6" w:rsidRPr="004A2A6E" w:rsidRDefault="006150C6" w:rsidP="006150C6">
      <w:r>
        <w:t xml:space="preserve">Multivariate regression models were used on participant survey data to examine TtW program experiences that were associated with human capability outcomes. </w:t>
      </w:r>
      <w:bookmarkStart w:id="1972" w:name="_Toc88815195"/>
      <w:r>
        <w:t xml:space="preserve">While the direction of causality cannot be determined from this analysis, it is useful to see which elements are correlated. Program experiences, identified as relevant through the qualitative and quantitative research, that were explored included </w:t>
      </w:r>
      <w:r w:rsidR="00B7201B">
        <w:t>f</w:t>
      </w:r>
      <w:r w:rsidRPr="00175C7F">
        <w:t xml:space="preserve">requency of contact with caseworker </w:t>
      </w:r>
      <w:r>
        <w:t>(</w:t>
      </w:r>
      <w:r w:rsidR="00B7201B">
        <w:t>a</w:t>
      </w:r>
      <w:r w:rsidRPr="00175C7F">
        <w:t>t least weekly</w:t>
      </w:r>
      <w:r w:rsidR="009251AF">
        <w:t xml:space="preserve"> </w:t>
      </w:r>
      <w:r w:rsidRPr="00175C7F">
        <w:t xml:space="preserve">/ </w:t>
      </w:r>
      <w:r w:rsidR="00B7201B">
        <w:t>l</w:t>
      </w:r>
      <w:r w:rsidRPr="00175C7F">
        <w:t>ess than weekly)</w:t>
      </w:r>
      <w:r w:rsidR="00B7201B">
        <w:t>;</w:t>
      </w:r>
      <w:r w:rsidRPr="00175C7F">
        <w:t xml:space="preserve"> </w:t>
      </w:r>
      <w:r w:rsidR="00B7201B">
        <w:t>s</w:t>
      </w:r>
      <w:r w:rsidRPr="00175C7F">
        <w:t>atisfaction with caseworker (</w:t>
      </w:r>
      <w:r w:rsidR="00B7201B">
        <w:t>s</w:t>
      </w:r>
      <w:r w:rsidRPr="00175C7F">
        <w:t>atisfied / very satisfied</w:t>
      </w:r>
      <w:r w:rsidR="009F1C15">
        <w:t xml:space="preserve"> /</w:t>
      </w:r>
      <w:r w:rsidRPr="00175C7F">
        <w:t xml:space="preserve"> </w:t>
      </w:r>
      <w:r w:rsidR="00B7201B">
        <w:t>o</w:t>
      </w:r>
      <w:r w:rsidRPr="00175C7F">
        <w:t>ther)</w:t>
      </w:r>
      <w:r w:rsidR="00B7201B">
        <w:t>;</w:t>
      </w:r>
      <w:r w:rsidRPr="00175C7F">
        <w:t xml:space="preserve"> </w:t>
      </w:r>
      <w:r w:rsidR="00B7201B">
        <w:t>a</w:t>
      </w:r>
      <w:r w:rsidRPr="00175C7F">
        <w:t xml:space="preserve">ttitude when joined </w:t>
      </w:r>
      <w:r>
        <w:t>(</w:t>
      </w:r>
      <w:r w:rsidR="00B7201B">
        <w:t>p</w:t>
      </w:r>
      <w:r>
        <w:t>ositive</w:t>
      </w:r>
      <w:r w:rsidR="009251AF">
        <w:t xml:space="preserve"> </w:t>
      </w:r>
      <w:r>
        <w:t>/</w:t>
      </w:r>
      <w:r w:rsidR="009251AF">
        <w:t xml:space="preserve"> </w:t>
      </w:r>
      <w:r w:rsidR="00B7201B">
        <w:t>v</w:t>
      </w:r>
      <w:r>
        <w:t>ery positive</w:t>
      </w:r>
      <w:r w:rsidR="009F1C15">
        <w:t xml:space="preserve"> /</w:t>
      </w:r>
      <w:r>
        <w:t xml:space="preserve"> other</w:t>
      </w:r>
      <w:r w:rsidRPr="00175C7F">
        <w:t>)</w:t>
      </w:r>
      <w:r w:rsidR="00C41EFD">
        <w:t>; and</w:t>
      </w:r>
      <w:r>
        <w:t xml:space="preserve"> </w:t>
      </w:r>
      <w:r w:rsidR="00B7201B">
        <w:t>n</w:t>
      </w:r>
      <w:r>
        <w:t xml:space="preserve">umber of </w:t>
      </w:r>
      <w:r w:rsidR="00B7201B">
        <w:t>v</w:t>
      </w:r>
      <w:r>
        <w:t xml:space="preserve">ocational </w:t>
      </w:r>
      <w:r w:rsidR="00B7201B">
        <w:t>s</w:t>
      </w:r>
      <w:r>
        <w:t xml:space="preserve">upports and non-vocational supports (continuous). In </w:t>
      </w:r>
      <w:r>
        <w:lastRenderedPageBreak/>
        <w:t xml:space="preserve">addition, factors that were associated with satisfaction with caseworkers were also examined through regression. Regression models can be </w:t>
      </w:r>
      <w:r w:rsidRPr="00CD6FB8">
        <w:t xml:space="preserve">found in </w:t>
      </w:r>
      <w:r w:rsidRPr="004A440A">
        <w:rPr>
          <w:b/>
          <w:bCs/>
        </w:rPr>
        <w:t xml:space="preserve">Appendix </w:t>
      </w:r>
      <w:r w:rsidRPr="00CD6FB8">
        <w:rPr>
          <w:b/>
          <w:bCs/>
        </w:rPr>
        <w:t>6.</w:t>
      </w:r>
      <w:r>
        <w:rPr>
          <w:b/>
          <w:bCs/>
        </w:rPr>
        <w:t>2</w:t>
      </w:r>
      <w:r w:rsidR="004A2A6E">
        <w:t>.</w:t>
      </w:r>
    </w:p>
    <w:bookmarkEnd w:id="1972"/>
    <w:p w14:paraId="1867B876" w14:textId="6A467F0D" w:rsidR="006150C6" w:rsidRDefault="006150C6" w:rsidP="006150C6">
      <w:r>
        <w:t xml:space="preserve">As </w:t>
      </w:r>
      <w:r w:rsidRPr="00CD6FB8">
        <w:t xml:space="preserve">summarised in </w:t>
      </w:r>
      <w:r w:rsidRPr="00403636">
        <w:rPr>
          <w:b/>
          <w:bCs/>
        </w:rPr>
        <w:fldChar w:fldCharType="begin"/>
      </w:r>
      <w:r w:rsidRPr="00403636">
        <w:rPr>
          <w:b/>
          <w:bCs/>
        </w:rPr>
        <w:instrText xml:space="preserve"> REF _Ref110963878 \h  \* MERGEFORMAT </w:instrText>
      </w:r>
      <w:r w:rsidRPr="00403636">
        <w:rPr>
          <w:b/>
          <w:bCs/>
        </w:rPr>
      </w:r>
      <w:r w:rsidRPr="00403636">
        <w:rPr>
          <w:b/>
          <w:bCs/>
        </w:rPr>
        <w:fldChar w:fldCharType="separate"/>
      </w:r>
      <w:r w:rsidR="00180E14" w:rsidRPr="00180E14">
        <w:rPr>
          <w:b/>
          <w:bCs/>
        </w:rPr>
        <w:t xml:space="preserve">Table </w:t>
      </w:r>
      <w:r w:rsidR="00180E14" w:rsidRPr="00180E14">
        <w:rPr>
          <w:b/>
          <w:bCs/>
          <w:noProof/>
        </w:rPr>
        <w:t>7</w:t>
      </w:r>
      <w:r w:rsidRPr="00403636">
        <w:rPr>
          <w:b/>
          <w:bCs/>
        </w:rPr>
        <w:fldChar w:fldCharType="end"/>
      </w:r>
      <w:r w:rsidRPr="00CD6FB8">
        <w:t>, satisfaction</w:t>
      </w:r>
      <w:r>
        <w:t xml:space="preserve"> with caseworkers (compared to those who were not satisfied) and having a positive attitude when they joined the program (compared to those who felt that they did not have a positive attitude) were associated with higher life satisfaction, personal wellbeing, resilience and flourishing scores, and </w:t>
      </w:r>
      <w:r w:rsidR="00F8391B">
        <w:t>‘</w:t>
      </w:r>
      <w:r>
        <w:t>excellent</w:t>
      </w:r>
      <w:r w:rsidR="00F8391B">
        <w:t>’</w:t>
      </w:r>
      <w:r>
        <w:t xml:space="preserve"> or </w:t>
      </w:r>
      <w:r w:rsidR="00F8391B">
        <w:t>‘</w:t>
      </w:r>
      <w:r>
        <w:t>very good</w:t>
      </w:r>
      <w:r w:rsidR="00F8391B">
        <w:t>’</w:t>
      </w:r>
      <w:r>
        <w:t xml:space="preserve"> self-rated mental health.</w:t>
      </w:r>
    </w:p>
    <w:p w14:paraId="5E1C4654" w14:textId="6B0B39B7" w:rsidR="006150C6" w:rsidRDefault="006150C6" w:rsidP="006150C6">
      <w:r>
        <w:t>Being satisfied</w:t>
      </w:r>
      <w:r w:rsidR="009C038E">
        <w:t xml:space="preserve"> or </w:t>
      </w:r>
      <w:r>
        <w:t xml:space="preserve">very satisfied with caseworkers was associated with feeling that a caseworker was </w:t>
      </w:r>
      <w:r w:rsidR="00F8391B">
        <w:t>‘</w:t>
      </w:r>
      <w:r>
        <w:t>someone you can talk to or get support from</w:t>
      </w:r>
      <w:r w:rsidR="00F8391B">
        <w:t>’</w:t>
      </w:r>
      <w:r>
        <w:t xml:space="preserve">, </w:t>
      </w:r>
      <w:r w:rsidR="00F8391B">
        <w:t>‘</w:t>
      </w:r>
      <w:r>
        <w:t>empowered you in any way</w:t>
      </w:r>
      <w:r w:rsidR="00F8391B">
        <w:t>’</w:t>
      </w:r>
      <w:r>
        <w:t xml:space="preserve">, </w:t>
      </w:r>
      <w:r w:rsidR="00F8391B">
        <w:t>‘</w:t>
      </w:r>
      <w:r>
        <w:t>took your needs and goals into account when developing your job plan</w:t>
      </w:r>
      <w:r w:rsidR="00F8391B">
        <w:t>’</w:t>
      </w:r>
      <w:r>
        <w:t xml:space="preserve">, </w:t>
      </w:r>
      <w:r w:rsidR="00F8391B">
        <w:t>‘</w:t>
      </w:r>
      <w:r>
        <w:t>provided useful feedback about your progress</w:t>
      </w:r>
      <w:r w:rsidR="00F8391B">
        <w:t>’</w:t>
      </w:r>
      <w:r>
        <w:t xml:space="preserve"> and </w:t>
      </w:r>
      <w:r w:rsidR="00F8391B">
        <w:t>‘</w:t>
      </w:r>
      <w:r>
        <w:t>discussed your strengths and weaknesses</w:t>
      </w:r>
      <w:r w:rsidR="00F8391B">
        <w:t>’</w:t>
      </w:r>
      <w:r>
        <w:t xml:space="preserve">. This supports evidence from the TtW </w:t>
      </w:r>
      <w:r w:rsidR="00F653C4">
        <w:t>f</w:t>
      </w:r>
      <w:r>
        <w:t xml:space="preserve">inal </w:t>
      </w:r>
      <w:r w:rsidR="00F653C4">
        <w:t>e</w:t>
      </w:r>
      <w:r>
        <w:t>valuation (</w:t>
      </w:r>
      <w:r w:rsidR="00CE0CBD">
        <w:rPr>
          <w:b/>
          <w:bCs/>
        </w:rPr>
        <w:t>DESE 2021</w:t>
      </w:r>
      <w:r>
        <w:t>) that facilitating a strong relationship with caseworkers is an essential element of the program</w:t>
      </w:r>
      <w:r w:rsidR="00F8391B">
        <w:t>’</w:t>
      </w:r>
      <w:r>
        <w:t xml:space="preserve">s success, but also points to the value of using a strengths-based approach that acknowledges the needs and desires of participants. The association between a </w:t>
      </w:r>
      <w:r w:rsidR="00F8391B">
        <w:t>‘</w:t>
      </w:r>
      <w:r>
        <w:t>positive attitude when joined</w:t>
      </w:r>
      <w:r w:rsidR="00F8391B">
        <w:t>’</w:t>
      </w:r>
      <w:r>
        <w:t xml:space="preserve"> and higher human capability development also points to the importance of clarifying expectations about the program in early interactions between caseworkers and participants.</w:t>
      </w:r>
    </w:p>
    <w:p w14:paraId="7DC2FEF2" w14:textId="28B20D9B" w:rsidR="006150C6" w:rsidRDefault="006150C6" w:rsidP="006150C6">
      <w:r>
        <w:t xml:space="preserve">While there was no significant relationship between having at least weekly contact with caseworkers (compared to less than weekly contact) and any of the assessed human capability measures, there was a strong correlation between the frequency of contact being </w:t>
      </w:r>
      <w:r w:rsidR="00F8391B">
        <w:t>‘</w:t>
      </w:r>
      <w:r>
        <w:t>just right</w:t>
      </w:r>
      <w:r w:rsidR="00F8391B">
        <w:t>’</w:t>
      </w:r>
      <w:r>
        <w:t xml:space="preserve"> and high satisfaction with caseworkers</w:t>
      </w:r>
      <w:r w:rsidR="00530395">
        <w:t>.</w:t>
      </w:r>
      <w:r>
        <w:rPr>
          <w:rStyle w:val="FootnoteReference"/>
        </w:rPr>
        <w:footnoteReference w:id="77"/>
      </w:r>
      <w:r>
        <w:t xml:space="preserve"> This finding highlights the value of having a flexible program that meets the needs of participants.</w:t>
      </w:r>
    </w:p>
    <w:p w14:paraId="3CBB8279" w14:textId="7AB145D7" w:rsidR="006150C6" w:rsidRDefault="006150C6" w:rsidP="006150C6">
      <w:r w:rsidRPr="008370BB">
        <w:t xml:space="preserve">Receiving a greater number of vocational supports was associated with higher life satisfaction, personal wellbeing, and flourishing scores. </w:t>
      </w:r>
      <w:r>
        <w:t>This could indicate that engagement with work increases participants</w:t>
      </w:r>
      <w:r w:rsidR="00530395">
        <w:t>’</w:t>
      </w:r>
      <w:r>
        <w:t xml:space="preserve"> human capabilities, or that having greater human capabilities makes it easier to engage in work.</w:t>
      </w:r>
    </w:p>
    <w:p w14:paraId="00893FD7" w14:textId="77AE647C" w:rsidR="006150C6" w:rsidRDefault="006150C6" w:rsidP="006150C6">
      <w:r w:rsidRPr="00EF50E0">
        <w:t xml:space="preserve">Receiving more non-vocational supports was associated with lower resilience. This </w:t>
      </w:r>
      <w:r w:rsidRPr="001431BC">
        <w:t>is not surprising as it is likely that</w:t>
      </w:r>
      <w:r w:rsidRPr="00EF50E0">
        <w:t xml:space="preserve"> those with lower levels of resilience have a need for more support to manage </w:t>
      </w:r>
      <w:r w:rsidR="0066788D">
        <w:t>their</w:t>
      </w:r>
      <w:r w:rsidR="0066788D" w:rsidRPr="00EF50E0">
        <w:t xml:space="preserve"> </w:t>
      </w:r>
      <w:r w:rsidRPr="00EF50E0">
        <w:t>non-vocational barriers.</w:t>
      </w:r>
    </w:p>
    <w:p w14:paraId="2C62D374" w14:textId="765BD12B" w:rsidR="006150C6" w:rsidRPr="008370BB" w:rsidRDefault="006150C6" w:rsidP="006150C6">
      <w:r>
        <w:t xml:space="preserve">These findings emphasise that there can be a </w:t>
      </w:r>
      <w:r w:rsidR="00F8391B">
        <w:t>2</w:t>
      </w:r>
      <w:r>
        <w:t>-way relationship between human capabilities and program elements. While the program has an influence on human capabilities, the human capabilities of participants also influence their ability to engage with the program, and the services and supports that they need.</w:t>
      </w:r>
    </w:p>
    <w:p w14:paraId="6656D365" w14:textId="0A88AAFA" w:rsidR="006150C6" w:rsidRDefault="006150C6" w:rsidP="004E08A2">
      <w:pPr>
        <w:pStyle w:val="Caption"/>
        <w:keepNext/>
      </w:pPr>
      <w:bookmarkStart w:id="1973" w:name="_Ref110963878"/>
      <w:bookmarkStart w:id="1974" w:name="_Ref119423994"/>
      <w:bookmarkStart w:id="1975" w:name="_Toc132647783"/>
      <w:bookmarkStart w:id="1976" w:name="_Toc145877296"/>
      <w:r>
        <w:lastRenderedPageBreak/>
        <w:t xml:space="preserve">Table </w:t>
      </w:r>
      <w:r>
        <w:fldChar w:fldCharType="begin"/>
      </w:r>
      <w:r>
        <w:instrText>SEQ Table \* ARABIC</w:instrText>
      </w:r>
      <w:r>
        <w:fldChar w:fldCharType="separate"/>
      </w:r>
      <w:r w:rsidR="00180E14">
        <w:rPr>
          <w:noProof/>
        </w:rPr>
        <w:t>7</w:t>
      </w:r>
      <w:r>
        <w:fldChar w:fldCharType="end"/>
      </w:r>
      <w:bookmarkEnd w:id="1973"/>
      <w:r>
        <w:t xml:space="preserve">: </w:t>
      </w:r>
      <w:r w:rsidRPr="006E1446">
        <w:t>Correlations between program elements and human capability indicators</w:t>
      </w:r>
      <w:bookmarkEnd w:id="1974"/>
      <w:bookmarkEnd w:id="1975"/>
      <w:bookmarkEnd w:id="1976"/>
    </w:p>
    <w:tbl>
      <w:tblPr>
        <w:tblStyle w:val="GridTable4"/>
        <w:tblW w:w="45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4"/>
        <w:gridCol w:w="1312"/>
        <w:gridCol w:w="1104"/>
        <w:gridCol w:w="1246"/>
        <w:gridCol w:w="1243"/>
        <w:gridCol w:w="1245"/>
      </w:tblGrid>
      <w:tr w:rsidR="00406E5B" w:rsidRPr="00C807F7" w14:paraId="70A363A2" w14:textId="77777777" w:rsidTr="00406E5B">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279" w:type="pct"/>
            <w:shd w:val="clear" w:color="auto" w:fill="5D7A38"/>
            <w:noWrap/>
          </w:tcPr>
          <w:p w14:paraId="2BF8AF42" w14:textId="77777777" w:rsidR="006150C6" w:rsidRPr="00C807F7" w:rsidRDefault="006150C6" w:rsidP="004E08A2">
            <w:pPr>
              <w:keepNext/>
              <w:rPr>
                <w:rFonts w:eastAsia="Times New Roman" w:cs="Arial"/>
                <w:b w:val="0"/>
                <w:bCs w:val="0"/>
                <w:sz w:val="18"/>
                <w:szCs w:val="18"/>
                <w:lang w:eastAsia="en-AU"/>
              </w:rPr>
            </w:pPr>
            <w:r w:rsidRPr="00C807F7">
              <w:rPr>
                <w:rFonts w:eastAsia="Times New Roman" w:cs="Arial"/>
                <w:sz w:val="18"/>
                <w:szCs w:val="18"/>
                <w:lang w:eastAsia="en-AU"/>
              </w:rPr>
              <w:t>TtW program element/experience</w:t>
            </w:r>
          </w:p>
        </w:tc>
        <w:tc>
          <w:tcPr>
            <w:tcW w:w="794" w:type="pct"/>
            <w:shd w:val="clear" w:color="auto" w:fill="5D7A38"/>
            <w:noWrap/>
          </w:tcPr>
          <w:p w14:paraId="7E6845CC" w14:textId="77777777" w:rsidR="006150C6" w:rsidRPr="00C807F7" w:rsidRDefault="006150C6" w:rsidP="004E08A2">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C807F7">
              <w:rPr>
                <w:rFonts w:eastAsia="Times New Roman" w:cs="Arial"/>
                <w:sz w:val="18"/>
                <w:szCs w:val="18"/>
                <w:lang w:eastAsia="en-AU"/>
              </w:rPr>
              <w:t>Life satisfaction</w:t>
            </w:r>
          </w:p>
        </w:tc>
        <w:tc>
          <w:tcPr>
            <w:tcW w:w="668" w:type="pct"/>
            <w:shd w:val="clear" w:color="auto" w:fill="5D7A38"/>
            <w:noWrap/>
          </w:tcPr>
          <w:p w14:paraId="014AA69D" w14:textId="77777777" w:rsidR="006150C6" w:rsidRPr="00C807F7" w:rsidRDefault="006150C6" w:rsidP="004E08A2">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C807F7">
              <w:rPr>
                <w:rFonts w:eastAsia="Times New Roman" w:cs="Arial"/>
                <w:sz w:val="18"/>
                <w:szCs w:val="18"/>
                <w:lang w:eastAsia="en-AU"/>
              </w:rPr>
              <w:t>Personal wellbeing</w:t>
            </w:r>
          </w:p>
        </w:tc>
        <w:tc>
          <w:tcPr>
            <w:tcW w:w="754" w:type="pct"/>
            <w:shd w:val="clear" w:color="auto" w:fill="5D7A38"/>
            <w:noWrap/>
          </w:tcPr>
          <w:p w14:paraId="27E6801F" w14:textId="77777777" w:rsidR="006150C6" w:rsidRPr="00C807F7" w:rsidRDefault="006150C6" w:rsidP="004E08A2">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C807F7">
              <w:rPr>
                <w:rFonts w:eastAsia="Times New Roman" w:cs="Arial"/>
                <w:sz w:val="18"/>
                <w:szCs w:val="18"/>
                <w:lang w:eastAsia="en-AU"/>
              </w:rPr>
              <w:t>Mental health</w:t>
            </w:r>
          </w:p>
        </w:tc>
        <w:tc>
          <w:tcPr>
            <w:tcW w:w="752" w:type="pct"/>
            <w:shd w:val="clear" w:color="auto" w:fill="5D7A38"/>
            <w:noWrap/>
          </w:tcPr>
          <w:p w14:paraId="50CDE9BF" w14:textId="77777777" w:rsidR="006150C6" w:rsidRPr="00C807F7" w:rsidRDefault="006150C6" w:rsidP="004E08A2">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C807F7">
              <w:rPr>
                <w:rFonts w:eastAsia="Times New Roman" w:cs="Arial"/>
                <w:sz w:val="18"/>
                <w:szCs w:val="18"/>
                <w:lang w:eastAsia="en-AU"/>
              </w:rPr>
              <w:t>Psychosocial wellbeing</w:t>
            </w:r>
          </w:p>
        </w:tc>
        <w:tc>
          <w:tcPr>
            <w:tcW w:w="753" w:type="pct"/>
            <w:shd w:val="clear" w:color="auto" w:fill="5D7A38"/>
            <w:noWrap/>
          </w:tcPr>
          <w:p w14:paraId="068D2A7B" w14:textId="77777777" w:rsidR="006150C6" w:rsidRPr="00C807F7" w:rsidRDefault="006150C6" w:rsidP="004E08A2">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C807F7">
              <w:rPr>
                <w:rFonts w:eastAsia="Times New Roman" w:cs="Arial"/>
                <w:sz w:val="18"/>
                <w:szCs w:val="18"/>
                <w:lang w:eastAsia="en-AU"/>
              </w:rPr>
              <w:t>Resilience</w:t>
            </w:r>
          </w:p>
        </w:tc>
      </w:tr>
      <w:tr w:rsidR="00406E5B" w:rsidRPr="006F2ECF" w14:paraId="63B89436" w14:textId="77777777" w:rsidTr="00406E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79" w:type="pct"/>
            <w:noWrap/>
            <w:hideMark/>
          </w:tcPr>
          <w:p w14:paraId="07AB917A" w14:textId="77777777" w:rsidR="00BA693D" w:rsidRDefault="006150C6" w:rsidP="00C239FD">
            <w:pPr>
              <w:keepNext/>
              <w:spacing w:before="120" w:after="0"/>
              <w:rPr>
                <w:rFonts w:eastAsia="Times New Roman" w:cs="Arial"/>
                <w:b w:val="0"/>
                <w:bCs w:val="0"/>
                <w:color w:val="000000" w:themeColor="text1"/>
                <w:sz w:val="18"/>
                <w:szCs w:val="18"/>
                <w:lang w:eastAsia="en-AU"/>
              </w:rPr>
            </w:pPr>
            <w:r w:rsidRPr="726FFB36">
              <w:rPr>
                <w:rFonts w:eastAsia="Times New Roman" w:cs="Arial"/>
                <w:color w:val="000000" w:themeColor="text1"/>
                <w:sz w:val="18"/>
                <w:szCs w:val="18"/>
                <w:lang w:eastAsia="en-AU"/>
              </w:rPr>
              <w:t>Satisfaction with caseworker</w:t>
            </w:r>
          </w:p>
          <w:p w14:paraId="47322B79" w14:textId="3D980F91" w:rsidR="006150C6" w:rsidRPr="006F2ECF" w:rsidRDefault="006150C6" w:rsidP="004E08A2">
            <w:pPr>
              <w:keepNext/>
              <w:spacing w:before="120" w:after="120"/>
              <w:rPr>
                <w:rFonts w:eastAsia="Times New Roman" w:cs="Arial"/>
                <w:b w:val="0"/>
                <w:bCs w:val="0"/>
                <w:color w:val="000000"/>
                <w:sz w:val="18"/>
                <w:szCs w:val="18"/>
                <w:lang w:eastAsia="en-AU"/>
              </w:rPr>
            </w:pPr>
            <w:r>
              <w:rPr>
                <w:rFonts w:eastAsia="Times New Roman" w:cs="Arial"/>
                <w:color w:val="000000" w:themeColor="text1"/>
                <w:sz w:val="18"/>
                <w:szCs w:val="18"/>
                <w:lang w:eastAsia="en-AU"/>
              </w:rPr>
              <w:t>Satisfied/very satisfied (</w:t>
            </w:r>
            <w:r w:rsidR="00BA693D">
              <w:rPr>
                <w:rFonts w:eastAsia="Times New Roman" w:cs="Arial"/>
                <w:color w:val="000000" w:themeColor="text1"/>
                <w:sz w:val="18"/>
                <w:szCs w:val="18"/>
                <w:lang w:eastAsia="en-AU"/>
              </w:rPr>
              <w:t>versus</w:t>
            </w:r>
            <w:r>
              <w:rPr>
                <w:rFonts w:eastAsia="Times New Roman" w:cs="Arial"/>
                <w:color w:val="000000" w:themeColor="text1"/>
                <w:sz w:val="18"/>
                <w:szCs w:val="18"/>
                <w:lang w:eastAsia="en-AU"/>
              </w:rPr>
              <w:t xml:space="preserve"> other)</w:t>
            </w:r>
          </w:p>
        </w:tc>
        <w:tc>
          <w:tcPr>
            <w:tcW w:w="794" w:type="pct"/>
            <w:noWrap/>
          </w:tcPr>
          <w:p w14:paraId="6ABA90E7" w14:textId="4A8AA1BE" w:rsidR="006150C6" w:rsidRPr="00440B4B" w:rsidRDefault="007540F6" w:rsidP="004E08A2">
            <w:pPr>
              <w:keepNext/>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668" w:type="pct"/>
            <w:noWrap/>
          </w:tcPr>
          <w:p w14:paraId="1255E6DB" w14:textId="491E26F3" w:rsidR="006150C6" w:rsidRPr="00440B4B" w:rsidRDefault="007540F6" w:rsidP="004E08A2">
            <w:pPr>
              <w:keepNext/>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4" w:type="pct"/>
            <w:noWrap/>
          </w:tcPr>
          <w:p w14:paraId="0486197B" w14:textId="4FFCC3C0" w:rsidR="006150C6" w:rsidRPr="00440B4B" w:rsidRDefault="007540F6" w:rsidP="004E08A2">
            <w:pPr>
              <w:keepNext/>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2" w:type="pct"/>
            <w:noWrap/>
            <w:hideMark/>
          </w:tcPr>
          <w:p w14:paraId="278C46D2" w14:textId="10D1C7CB" w:rsidR="006150C6" w:rsidRPr="00440B4B" w:rsidRDefault="007540F6" w:rsidP="004E08A2">
            <w:pPr>
              <w:keepNext/>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3" w:type="pct"/>
            <w:noWrap/>
            <w:hideMark/>
          </w:tcPr>
          <w:p w14:paraId="4B85B689" w14:textId="6ED7346B" w:rsidR="006150C6" w:rsidRPr="00440B4B" w:rsidRDefault="007540F6" w:rsidP="004E08A2">
            <w:pPr>
              <w:keepNext/>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r>
      <w:tr w:rsidR="00406E5B" w:rsidRPr="006F2ECF" w14:paraId="445E2058" w14:textId="77777777" w:rsidTr="00406E5B">
        <w:trPr>
          <w:trHeight w:val="315"/>
        </w:trPr>
        <w:tc>
          <w:tcPr>
            <w:cnfStyle w:val="001000000000" w:firstRow="0" w:lastRow="0" w:firstColumn="1" w:lastColumn="0" w:oddVBand="0" w:evenVBand="0" w:oddHBand="0" w:evenHBand="0" w:firstRowFirstColumn="0" w:firstRowLastColumn="0" w:lastRowFirstColumn="0" w:lastRowLastColumn="0"/>
            <w:tcW w:w="1279" w:type="pct"/>
            <w:hideMark/>
          </w:tcPr>
          <w:p w14:paraId="3B1AD1C8" w14:textId="77777777" w:rsidR="006150C6" w:rsidRDefault="006150C6" w:rsidP="009251AF">
            <w:pPr>
              <w:spacing w:before="120" w:after="0"/>
              <w:rPr>
                <w:rFonts w:eastAsia="Times New Roman" w:cs="Arial"/>
                <w:b w:val="0"/>
                <w:bCs w:val="0"/>
                <w:color w:val="000000"/>
                <w:sz w:val="18"/>
                <w:szCs w:val="18"/>
                <w:lang w:eastAsia="en-AU"/>
              </w:rPr>
            </w:pPr>
            <w:r w:rsidRPr="006F2ECF">
              <w:rPr>
                <w:rFonts w:eastAsia="Times New Roman" w:cs="Arial"/>
                <w:color w:val="000000"/>
                <w:sz w:val="18"/>
                <w:szCs w:val="18"/>
                <w:lang w:eastAsia="en-AU"/>
              </w:rPr>
              <w:t xml:space="preserve">Attitude when joined </w:t>
            </w:r>
          </w:p>
          <w:p w14:paraId="0EEEAA4B" w14:textId="0D9A10E2" w:rsidR="006150C6" w:rsidRPr="006F2ECF" w:rsidRDefault="006150C6" w:rsidP="00897071">
            <w:pPr>
              <w:spacing w:after="120"/>
              <w:rPr>
                <w:rFonts w:eastAsia="Times New Roman" w:cs="Arial"/>
                <w:b w:val="0"/>
                <w:bCs w:val="0"/>
                <w:color w:val="000000"/>
                <w:sz w:val="18"/>
                <w:szCs w:val="18"/>
                <w:lang w:eastAsia="en-AU"/>
              </w:rPr>
            </w:pPr>
            <w:r>
              <w:rPr>
                <w:rFonts w:eastAsia="Times New Roman" w:cs="Arial"/>
                <w:color w:val="000000"/>
                <w:sz w:val="18"/>
                <w:szCs w:val="18"/>
                <w:lang w:eastAsia="en-AU"/>
              </w:rPr>
              <w:t>P</w:t>
            </w:r>
            <w:r w:rsidRPr="006F2ECF">
              <w:rPr>
                <w:rFonts w:eastAsia="Times New Roman" w:cs="Arial"/>
                <w:color w:val="000000"/>
                <w:sz w:val="18"/>
                <w:szCs w:val="18"/>
                <w:lang w:eastAsia="en-AU"/>
              </w:rPr>
              <w:t>ositive / very positive</w:t>
            </w:r>
            <w:r>
              <w:rPr>
                <w:rFonts w:eastAsia="Times New Roman" w:cs="Arial"/>
                <w:color w:val="000000"/>
                <w:sz w:val="18"/>
                <w:szCs w:val="18"/>
                <w:lang w:eastAsia="en-AU"/>
              </w:rPr>
              <w:t xml:space="preserve"> (</w:t>
            </w:r>
            <w:r w:rsidR="00BA693D">
              <w:rPr>
                <w:rFonts w:eastAsia="Times New Roman" w:cs="Arial"/>
                <w:color w:val="000000"/>
                <w:sz w:val="18"/>
                <w:szCs w:val="18"/>
                <w:lang w:eastAsia="en-AU"/>
              </w:rPr>
              <w:t>versus</w:t>
            </w:r>
            <w:r>
              <w:rPr>
                <w:rFonts w:eastAsia="Times New Roman" w:cs="Arial"/>
                <w:color w:val="000000"/>
                <w:sz w:val="18"/>
                <w:szCs w:val="18"/>
                <w:lang w:eastAsia="en-AU"/>
              </w:rPr>
              <w:t xml:space="preserve"> other)</w:t>
            </w:r>
          </w:p>
        </w:tc>
        <w:tc>
          <w:tcPr>
            <w:tcW w:w="794" w:type="pct"/>
          </w:tcPr>
          <w:p w14:paraId="7507C168" w14:textId="76ACF679"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668" w:type="pct"/>
          </w:tcPr>
          <w:p w14:paraId="45939B88" w14:textId="7D6F1B7F"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4" w:type="pct"/>
          </w:tcPr>
          <w:p w14:paraId="4AC287D9" w14:textId="60F800D4"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2" w:type="pct"/>
          </w:tcPr>
          <w:p w14:paraId="23E268B3" w14:textId="56ED8DF1"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3" w:type="pct"/>
          </w:tcPr>
          <w:p w14:paraId="3FD75ED6" w14:textId="170688AA"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r>
      <w:tr w:rsidR="00406E5B" w:rsidRPr="006F2ECF" w14:paraId="3353614E" w14:textId="77777777" w:rsidTr="00406E5B">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79" w:type="pct"/>
            <w:hideMark/>
          </w:tcPr>
          <w:p w14:paraId="6A0B9952" w14:textId="77777777" w:rsidR="006150C6" w:rsidRDefault="006150C6" w:rsidP="009251AF">
            <w:pPr>
              <w:spacing w:before="120" w:after="0"/>
              <w:rPr>
                <w:rFonts w:eastAsia="Times New Roman" w:cs="Arial"/>
                <w:b w:val="0"/>
                <w:bCs w:val="0"/>
                <w:color w:val="000000"/>
                <w:sz w:val="18"/>
                <w:szCs w:val="18"/>
                <w:lang w:eastAsia="en-AU"/>
              </w:rPr>
            </w:pPr>
            <w:r w:rsidRPr="006F2ECF">
              <w:rPr>
                <w:rFonts w:eastAsia="Times New Roman" w:cs="Arial"/>
                <w:color w:val="000000"/>
                <w:sz w:val="18"/>
                <w:szCs w:val="18"/>
                <w:lang w:eastAsia="en-AU"/>
              </w:rPr>
              <w:t>Frequency of contact with caseworker</w:t>
            </w:r>
          </w:p>
          <w:p w14:paraId="5A05D852" w14:textId="432E9BD9" w:rsidR="006150C6" w:rsidRPr="006F2ECF" w:rsidRDefault="006150C6" w:rsidP="00897071">
            <w:pPr>
              <w:spacing w:after="120"/>
              <w:rPr>
                <w:rFonts w:eastAsia="Times New Roman" w:cs="Arial"/>
                <w:b w:val="0"/>
                <w:bCs w:val="0"/>
                <w:color w:val="000000"/>
                <w:sz w:val="18"/>
                <w:szCs w:val="18"/>
                <w:lang w:eastAsia="en-AU"/>
              </w:rPr>
            </w:pPr>
            <w:r w:rsidRPr="006F2ECF">
              <w:rPr>
                <w:rFonts w:eastAsia="Times New Roman" w:cs="Arial"/>
                <w:color w:val="000000"/>
                <w:sz w:val="18"/>
                <w:szCs w:val="18"/>
                <w:lang w:eastAsia="en-AU"/>
              </w:rPr>
              <w:t>At least weekly (</w:t>
            </w:r>
            <w:r w:rsidR="00BA693D">
              <w:rPr>
                <w:rFonts w:eastAsia="Times New Roman" w:cs="Arial"/>
                <w:color w:val="000000"/>
                <w:sz w:val="18"/>
                <w:szCs w:val="18"/>
                <w:lang w:eastAsia="en-AU"/>
              </w:rPr>
              <w:t>versus</w:t>
            </w:r>
            <w:r>
              <w:rPr>
                <w:rFonts w:eastAsia="Times New Roman" w:cs="Arial"/>
                <w:color w:val="000000"/>
                <w:sz w:val="18"/>
                <w:szCs w:val="18"/>
                <w:lang w:eastAsia="en-AU"/>
              </w:rPr>
              <w:t xml:space="preserve"> </w:t>
            </w:r>
            <w:r w:rsidR="00BA693D">
              <w:rPr>
                <w:rFonts w:eastAsia="Times New Roman" w:cs="Arial"/>
                <w:color w:val="000000"/>
                <w:sz w:val="18"/>
                <w:szCs w:val="18"/>
                <w:lang w:eastAsia="en-AU"/>
              </w:rPr>
              <w:t>l</w:t>
            </w:r>
            <w:r w:rsidRPr="006F2ECF">
              <w:rPr>
                <w:rFonts w:eastAsia="Times New Roman" w:cs="Arial"/>
                <w:color w:val="000000"/>
                <w:sz w:val="18"/>
                <w:szCs w:val="18"/>
                <w:lang w:eastAsia="en-AU"/>
              </w:rPr>
              <w:t>ess than weekly)</w:t>
            </w:r>
          </w:p>
        </w:tc>
        <w:tc>
          <w:tcPr>
            <w:tcW w:w="794" w:type="pct"/>
          </w:tcPr>
          <w:p w14:paraId="2D48B375" w14:textId="50AE2E03"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668" w:type="pct"/>
          </w:tcPr>
          <w:p w14:paraId="59195809" w14:textId="703EEB14"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754" w:type="pct"/>
          </w:tcPr>
          <w:p w14:paraId="3C532484" w14:textId="35A0421A"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752" w:type="pct"/>
          </w:tcPr>
          <w:p w14:paraId="5CACAE39" w14:textId="16D58E88"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753" w:type="pct"/>
          </w:tcPr>
          <w:p w14:paraId="67A4AB7A" w14:textId="6779DF9C"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r>
      <w:tr w:rsidR="00406E5B" w:rsidRPr="006F2ECF" w14:paraId="664F6E7A" w14:textId="77777777" w:rsidTr="00406E5B">
        <w:trPr>
          <w:trHeight w:val="372"/>
        </w:trPr>
        <w:tc>
          <w:tcPr>
            <w:cnfStyle w:val="001000000000" w:firstRow="0" w:lastRow="0" w:firstColumn="1" w:lastColumn="0" w:oddVBand="0" w:evenVBand="0" w:oddHBand="0" w:evenHBand="0" w:firstRowFirstColumn="0" w:firstRowLastColumn="0" w:lastRowFirstColumn="0" w:lastRowLastColumn="0"/>
            <w:tcW w:w="1279" w:type="pct"/>
            <w:hideMark/>
          </w:tcPr>
          <w:p w14:paraId="20C8BC16" w14:textId="77777777" w:rsidR="006150C6" w:rsidRDefault="006150C6" w:rsidP="009251AF">
            <w:pPr>
              <w:spacing w:before="120" w:after="0"/>
              <w:rPr>
                <w:rFonts w:eastAsia="Times New Roman" w:cs="Arial"/>
                <w:b w:val="0"/>
                <w:bCs w:val="0"/>
                <w:color w:val="000000"/>
                <w:sz w:val="18"/>
                <w:szCs w:val="18"/>
                <w:lang w:eastAsia="en-AU"/>
              </w:rPr>
            </w:pPr>
            <w:r w:rsidRPr="006F2ECF">
              <w:rPr>
                <w:rFonts w:eastAsia="Times New Roman" w:cs="Arial"/>
                <w:color w:val="000000"/>
                <w:sz w:val="18"/>
                <w:szCs w:val="18"/>
                <w:lang w:eastAsia="en-AU"/>
              </w:rPr>
              <w:t>Frequency of contact with caseworker</w:t>
            </w:r>
            <w:r>
              <w:rPr>
                <w:rFonts w:eastAsia="Times New Roman" w:cs="Arial"/>
                <w:color w:val="000000"/>
                <w:sz w:val="18"/>
                <w:szCs w:val="18"/>
                <w:lang w:eastAsia="en-AU"/>
              </w:rPr>
              <w:t xml:space="preserve"> </w:t>
            </w:r>
          </w:p>
          <w:p w14:paraId="4FE46E29" w14:textId="6E1DAA86" w:rsidR="006150C6" w:rsidRPr="006F2ECF" w:rsidRDefault="006150C6" w:rsidP="00897071">
            <w:pPr>
              <w:spacing w:after="120"/>
              <w:rPr>
                <w:rFonts w:eastAsia="Times New Roman" w:cs="Arial"/>
                <w:color w:val="000000"/>
                <w:sz w:val="18"/>
                <w:szCs w:val="18"/>
                <w:lang w:eastAsia="en-AU"/>
              </w:rPr>
            </w:pPr>
            <w:r>
              <w:rPr>
                <w:rFonts w:eastAsia="Times New Roman" w:cs="Arial"/>
                <w:color w:val="000000"/>
                <w:sz w:val="18"/>
                <w:szCs w:val="18"/>
                <w:lang w:eastAsia="en-AU"/>
              </w:rPr>
              <w:t>Just right (</w:t>
            </w:r>
            <w:r w:rsidR="00BA693D">
              <w:rPr>
                <w:rFonts w:eastAsia="Times New Roman" w:cs="Arial"/>
                <w:color w:val="000000"/>
                <w:sz w:val="18"/>
                <w:szCs w:val="18"/>
                <w:lang w:eastAsia="en-AU"/>
              </w:rPr>
              <w:t>versus</w:t>
            </w:r>
            <w:r>
              <w:rPr>
                <w:rFonts w:eastAsia="Times New Roman" w:cs="Arial"/>
                <w:color w:val="000000"/>
                <w:sz w:val="18"/>
                <w:szCs w:val="18"/>
                <w:lang w:eastAsia="en-AU"/>
              </w:rPr>
              <w:t xml:space="preserve"> too little or too much)</w:t>
            </w:r>
          </w:p>
        </w:tc>
        <w:tc>
          <w:tcPr>
            <w:tcW w:w="794" w:type="pct"/>
          </w:tcPr>
          <w:p w14:paraId="0962F064" w14:textId="02B1DEE2"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668" w:type="pct"/>
          </w:tcPr>
          <w:p w14:paraId="33ACE978" w14:textId="77546117"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4" w:type="pct"/>
          </w:tcPr>
          <w:p w14:paraId="0B8582D4" w14:textId="3A38B17A"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2" w:type="pct"/>
          </w:tcPr>
          <w:p w14:paraId="1BF8B784" w14:textId="331D1AE6"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c>
          <w:tcPr>
            <w:tcW w:w="753" w:type="pct"/>
          </w:tcPr>
          <w:p w14:paraId="2FA4F4C8" w14:textId="01D1743C"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p>
        </w:tc>
      </w:tr>
      <w:tr w:rsidR="00406E5B" w:rsidRPr="008370BB" w14:paraId="7AF8D033" w14:textId="77777777" w:rsidTr="00406E5B">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79" w:type="pct"/>
            <w:hideMark/>
          </w:tcPr>
          <w:p w14:paraId="104E25A6" w14:textId="77777777" w:rsidR="006150C6" w:rsidRPr="008370BB" w:rsidRDefault="006150C6" w:rsidP="009251AF">
            <w:pPr>
              <w:spacing w:before="120" w:after="120"/>
              <w:rPr>
                <w:rFonts w:eastAsia="Times New Roman" w:cs="Arial"/>
                <w:b w:val="0"/>
                <w:bCs w:val="0"/>
                <w:color w:val="000000"/>
                <w:sz w:val="18"/>
                <w:szCs w:val="18"/>
                <w:lang w:eastAsia="en-AU"/>
              </w:rPr>
            </w:pPr>
            <w:r>
              <w:rPr>
                <w:rFonts w:eastAsia="Times New Roman" w:cs="Arial"/>
                <w:color w:val="000000"/>
                <w:sz w:val="18"/>
                <w:szCs w:val="18"/>
                <w:lang w:eastAsia="en-AU"/>
              </w:rPr>
              <w:t>Number</w:t>
            </w:r>
            <w:r w:rsidRPr="008370BB">
              <w:rPr>
                <w:rFonts w:eastAsia="Times New Roman" w:cs="Arial"/>
                <w:color w:val="000000"/>
                <w:sz w:val="18"/>
                <w:szCs w:val="18"/>
                <w:lang w:eastAsia="en-AU"/>
              </w:rPr>
              <w:t xml:space="preserve"> of vocational supports (continuous)</w:t>
            </w:r>
          </w:p>
        </w:tc>
        <w:tc>
          <w:tcPr>
            <w:tcW w:w="794" w:type="pct"/>
          </w:tcPr>
          <w:p w14:paraId="2107174A" w14:textId="085458AA" w:rsidR="006150C6" w:rsidRPr="00440B4B" w:rsidRDefault="006150C6"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 xml:space="preserve"> </w:t>
            </w:r>
            <w:r w:rsidR="007540F6" w:rsidRPr="00440B4B">
              <w:rPr>
                <w:rFonts w:eastAsia="Times New Roman" w:cs="Arial"/>
                <w:color w:val="000000"/>
                <w:sz w:val="18"/>
                <w:szCs w:val="18"/>
                <w:lang w:eastAsia="en-AU"/>
              </w:rPr>
              <w:t>yes</w:t>
            </w:r>
            <w:r w:rsidRPr="00440B4B">
              <w:rPr>
                <w:rFonts w:eastAsia="Times New Roman" w:cs="Arial"/>
                <w:color w:val="000000"/>
                <w:sz w:val="18"/>
                <w:szCs w:val="18"/>
                <w:lang w:eastAsia="en-AU"/>
              </w:rPr>
              <w:t xml:space="preserve"> </w:t>
            </w:r>
            <w:r w:rsidR="00440B4B">
              <w:rPr>
                <w:rFonts w:eastAsia="Times New Roman" w:cs="Arial"/>
                <w:color w:val="000000"/>
                <w:sz w:val="18"/>
                <w:szCs w:val="18"/>
                <w:lang w:eastAsia="en-AU"/>
              </w:rPr>
              <w:t>(</w:t>
            </w:r>
            <w:r w:rsidRPr="00440B4B">
              <w:rPr>
                <w:rFonts w:eastAsia="Times New Roman" w:cs="Arial"/>
                <w:color w:val="000000"/>
                <w:sz w:val="18"/>
                <w:szCs w:val="18"/>
                <w:lang w:eastAsia="en-AU"/>
              </w:rPr>
              <w:t>+ve</w:t>
            </w:r>
            <w:r w:rsidR="00440B4B">
              <w:rPr>
                <w:rFonts w:eastAsia="Times New Roman" w:cs="Arial"/>
                <w:color w:val="000000"/>
                <w:sz w:val="18"/>
                <w:szCs w:val="18"/>
                <w:lang w:eastAsia="en-AU"/>
              </w:rPr>
              <w:t>)</w:t>
            </w:r>
            <w:r w:rsidRPr="00440B4B">
              <w:rPr>
                <w:rFonts w:eastAsia="Times New Roman" w:cs="Arial"/>
                <w:color w:val="000000"/>
                <w:sz w:val="18"/>
                <w:szCs w:val="18"/>
                <w:lang w:eastAsia="en-AU"/>
              </w:rPr>
              <w:t xml:space="preserve"> </w:t>
            </w:r>
          </w:p>
        </w:tc>
        <w:tc>
          <w:tcPr>
            <w:tcW w:w="668" w:type="pct"/>
          </w:tcPr>
          <w:p w14:paraId="28153E63" w14:textId="6BC38CD0" w:rsidR="006150C6" w:rsidRPr="00440B4B" w:rsidRDefault="007540F6"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r w:rsidR="006150C6" w:rsidRPr="00440B4B">
              <w:rPr>
                <w:rFonts w:eastAsia="Times New Roman" w:cs="Arial"/>
                <w:color w:val="000000"/>
                <w:sz w:val="18"/>
                <w:szCs w:val="18"/>
                <w:lang w:eastAsia="en-AU"/>
              </w:rPr>
              <w:t xml:space="preserve"> </w:t>
            </w:r>
            <w:r w:rsidR="00440B4B">
              <w:rPr>
                <w:rFonts w:eastAsia="Times New Roman" w:cs="Arial"/>
                <w:color w:val="000000"/>
                <w:sz w:val="18"/>
                <w:szCs w:val="18"/>
                <w:lang w:eastAsia="en-AU"/>
              </w:rPr>
              <w:t>(</w:t>
            </w:r>
            <w:r w:rsidR="006150C6" w:rsidRPr="00440B4B">
              <w:rPr>
                <w:rFonts w:eastAsia="Times New Roman" w:cs="Arial"/>
                <w:color w:val="000000"/>
                <w:sz w:val="18"/>
                <w:szCs w:val="18"/>
                <w:lang w:eastAsia="en-AU"/>
              </w:rPr>
              <w:t>+ve</w:t>
            </w:r>
            <w:r w:rsidR="00440B4B">
              <w:rPr>
                <w:rFonts w:eastAsia="Times New Roman" w:cs="Arial"/>
                <w:color w:val="000000"/>
                <w:sz w:val="18"/>
                <w:szCs w:val="18"/>
                <w:lang w:eastAsia="en-AU"/>
              </w:rPr>
              <w:t>)</w:t>
            </w:r>
            <w:r w:rsidR="006150C6" w:rsidRPr="00440B4B">
              <w:rPr>
                <w:rFonts w:eastAsia="Times New Roman" w:cs="Arial"/>
                <w:color w:val="000000"/>
                <w:sz w:val="18"/>
                <w:szCs w:val="18"/>
                <w:lang w:eastAsia="en-AU"/>
              </w:rPr>
              <w:t xml:space="preserve"> </w:t>
            </w:r>
          </w:p>
        </w:tc>
        <w:tc>
          <w:tcPr>
            <w:tcW w:w="754" w:type="pct"/>
          </w:tcPr>
          <w:p w14:paraId="520720E6" w14:textId="73FE9C51"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752" w:type="pct"/>
          </w:tcPr>
          <w:p w14:paraId="7685F596" w14:textId="72BFB286" w:rsidR="006150C6" w:rsidRPr="00440B4B" w:rsidRDefault="007540F6"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r w:rsidR="006150C6" w:rsidRPr="00440B4B">
              <w:rPr>
                <w:rFonts w:eastAsia="Times New Roman" w:cs="Arial"/>
                <w:color w:val="000000"/>
                <w:sz w:val="18"/>
                <w:szCs w:val="18"/>
                <w:lang w:eastAsia="en-AU"/>
              </w:rPr>
              <w:t xml:space="preserve"> </w:t>
            </w:r>
            <w:r w:rsidR="00440B4B">
              <w:rPr>
                <w:rFonts w:eastAsia="Times New Roman" w:cs="Arial"/>
                <w:color w:val="000000"/>
                <w:sz w:val="18"/>
                <w:szCs w:val="18"/>
                <w:lang w:eastAsia="en-AU"/>
              </w:rPr>
              <w:t>(</w:t>
            </w:r>
            <w:r w:rsidR="006150C6" w:rsidRPr="00440B4B">
              <w:rPr>
                <w:rFonts w:eastAsia="Times New Roman" w:cs="Arial"/>
                <w:color w:val="000000"/>
                <w:sz w:val="18"/>
                <w:szCs w:val="18"/>
                <w:lang w:eastAsia="en-AU"/>
              </w:rPr>
              <w:t>+ve</w:t>
            </w:r>
            <w:r w:rsidR="00440B4B">
              <w:rPr>
                <w:rFonts w:eastAsia="Times New Roman" w:cs="Arial"/>
                <w:color w:val="000000"/>
                <w:sz w:val="18"/>
                <w:szCs w:val="18"/>
                <w:lang w:eastAsia="en-AU"/>
              </w:rPr>
              <w:t>)</w:t>
            </w:r>
            <w:r w:rsidR="006150C6" w:rsidRPr="00440B4B">
              <w:rPr>
                <w:rFonts w:eastAsia="Times New Roman" w:cs="Arial"/>
                <w:color w:val="000000"/>
                <w:sz w:val="18"/>
                <w:szCs w:val="18"/>
                <w:lang w:eastAsia="en-AU"/>
              </w:rPr>
              <w:t xml:space="preserve"> </w:t>
            </w:r>
          </w:p>
        </w:tc>
        <w:tc>
          <w:tcPr>
            <w:tcW w:w="753" w:type="pct"/>
          </w:tcPr>
          <w:p w14:paraId="0C2B7A20" w14:textId="1B6B293F"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r>
      <w:tr w:rsidR="00406E5B" w:rsidRPr="008370BB" w14:paraId="028965AF" w14:textId="77777777" w:rsidTr="00406E5B">
        <w:trPr>
          <w:trHeight w:val="525"/>
        </w:trPr>
        <w:tc>
          <w:tcPr>
            <w:cnfStyle w:val="001000000000" w:firstRow="0" w:lastRow="0" w:firstColumn="1" w:lastColumn="0" w:oddVBand="0" w:evenVBand="0" w:oddHBand="0" w:evenHBand="0" w:firstRowFirstColumn="0" w:firstRowLastColumn="0" w:lastRowFirstColumn="0" w:lastRowLastColumn="0"/>
            <w:tcW w:w="1279" w:type="pct"/>
            <w:hideMark/>
          </w:tcPr>
          <w:p w14:paraId="365825AC" w14:textId="77777777" w:rsidR="006150C6" w:rsidRPr="008370BB" w:rsidRDefault="006150C6" w:rsidP="009251AF">
            <w:pPr>
              <w:spacing w:before="120" w:after="120"/>
              <w:rPr>
                <w:rFonts w:eastAsia="Times New Roman" w:cs="Arial"/>
                <w:b w:val="0"/>
                <w:bCs w:val="0"/>
                <w:color w:val="000000"/>
                <w:sz w:val="18"/>
                <w:szCs w:val="18"/>
                <w:lang w:eastAsia="en-AU"/>
              </w:rPr>
            </w:pPr>
            <w:r w:rsidRPr="008370BB">
              <w:rPr>
                <w:rFonts w:eastAsia="Times New Roman" w:cs="Arial"/>
                <w:color w:val="000000"/>
                <w:sz w:val="18"/>
                <w:szCs w:val="18"/>
                <w:lang w:eastAsia="en-AU"/>
              </w:rPr>
              <w:t>Number of non-vocational supports (continuous)</w:t>
            </w:r>
          </w:p>
        </w:tc>
        <w:tc>
          <w:tcPr>
            <w:tcW w:w="794" w:type="pct"/>
          </w:tcPr>
          <w:p w14:paraId="6EA9F5BF" w14:textId="76A9A92B"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668" w:type="pct"/>
          </w:tcPr>
          <w:p w14:paraId="09459E6B" w14:textId="59675E1A"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754" w:type="pct"/>
          </w:tcPr>
          <w:p w14:paraId="4EDB366D" w14:textId="14BC292A"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752" w:type="pct"/>
          </w:tcPr>
          <w:p w14:paraId="4AC3DF58" w14:textId="0C376FCD"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no</w:t>
            </w:r>
          </w:p>
        </w:tc>
        <w:tc>
          <w:tcPr>
            <w:tcW w:w="753" w:type="pct"/>
          </w:tcPr>
          <w:p w14:paraId="575C1473" w14:textId="493AB6C0" w:rsidR="006150C6" w:rsidRPr="00440B4B" w:rsidRDefault="007540F6" w:rsidP="009251AF">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40B4B">
              <w:rPr>
                <w:rFonts w:eastAsia="Times New Roman" w:cs="Arial"/>
                <w:color w:val="000000"/>
                <w:sz w:val="18"/>
                <w:szCs w:val="18"/>
                <w:lang w:eastAsia="en-AU"/>
              </w:rPr>
              <w:t>yes</w:t>
            </w:r>
            <w:r w:rsidR="006150C6" w:rsidRPr="00440B4B">
              <w:rPr>
                <w:rFonts w:eastAsia="Times New Roman" w:cs="Arial"/>
                <w:color w:val="000000"/>
                <w:sz w:val="18"/>
                <w:szCs w:val="18"/>
                <w:lang w:eastAsia="en-AU"/>
              </w:rPr>
              <w:t xml:space="preserve"> </w:t>
            </w:r>
            <w:r w:rsidR="00440B4B">
              <w:rPr>
                <w:rFonts w:eastAsia="Times New Roman" w:cs="Arial"/>
                <w:color w:val="000000"/>
                <w:sz w:val="18"/>
                <w:szCs w:val="18"/>
                <w:lang w:eastAsia="en-AU"/>
              </w:rPr>
              <w:t>(</w:t>
            </w:r>
            <w:r w:rsidR="006150C6" w:rsidRPr="00440B4B">
              <w:rPr>
                <w:rFonts w:eastAsia="Times New Roman" w:cs="Arial"/>
                <w:color w:val="000000"/>
                <w:sz w:val="18"/>
                <w:szCs w:val="18"/>
                <w:lang w:eastAsia="en-AU"/>
              </w:rPr>
              <w:t>-ve</w:t>
            </w:r>
            <w:r w:rsidR="00440B4B">
              <w:rPr>
                <w:rFonts w:eastAsia="Times New Roman" w:cs="Arial"/>
                <w:color w:val="000000"/>
                <w:sz w:val="18"/>
                <w:szCs w:val="18"/>
                <w:lang w:eastAsia="en-AU"/>
              </w:rPr>
              <w:t>)</w:t>
            </w:r>
            <w:r w:rsidR="006150C6" w:rsidRPr="00440B4B">
              <w:rPr>
                <w:rFonts w:eastAsia="Times New Roman" w:cs="Arial"/>
                <w:color w:val="000000"/>
                <w:sz w:val="18"/>
                <w:szCs w:val="18"/>
                <w:lang w:eastAsia="en-AU"/>
              </w:rPr>
              <w:t xml:space="preserve"> </w:t>
            </w:r>
          </w:p>
        </w:tc>
      </w:tr>
    </w:tbl>
    <w:p w14:paraId="6C0E9F3F" w14:textId="0173279C" w:rsidR="006150C6" w:rsidRDefault="006150C6" w:rsidP="00C239FD">
      <w:pPr>
        <w:pStyle w:val="SourceandNotes"/>
      </w:pPr>
      <w:r>
        <w:t>Key:</w:t>
      </w:r>
    </w:p>
    <w:p w14:paraId="08002855" w14:textId="56AED772" w:rsidR="006150C6" w:rsidRDefault="0058702A" w:rsidP="00C239FD">
      <w:pPr>
        <w:pStyle w:val="SourceandNotes"/>
      </w:pPr>
      <w:r>
        <w:t>yes</w:t>
      </w:r>
      <w:r w:rsidR="006150C6">
        <w:t xml:space="preserve"> = the </w:t>
      </w:r>
      <w:r w:rsidR="00F8391B">
        <w:t>2</w:t>
      </w:r>
      <w:r w:rsidR="006150C6">
        <w:t xml:space="preserve"> items are correlated</w:t>
      </w:r>
    </w:p>
    <w:p w14:paraId="0917F36A" w14:textId="73F32F73" w:rsidR="006150C6" w:rsidRDefault="00440B4B" w:rsidP="00C239FD">
      <w:pPr>
        <w:pStyle w:val="SourceandNotes"/>
      </w:pPr>
      <w:r w:rsidRPr="00440B4B">
        <w:t>no</w:t>
      </w:r>
      <w:r w:rsidR="006150C6">
        <w:t xml:space="preserve"> = the2 items are not correlated</w:t>
      </w:r>
    </w:p>
    <w:p w14:paraId="76E1D543" w14:textId="17255E6A" w:rsidR="006150C6" w:rsidRPr="00B03855" w:rsidRDefault="0058702A" w:rsidP="00C239FD">
      <w:pPr>
        <w:pStyle w:val="SourceandNotes"/>
        <w:rPr>
          <w:rFonts w:eastAsia="Wingdings" w:cs="Wingdings"/>
          <w:szCs w:val="18"/>
        </w:rPr>
      </w:pPr>
      <w:r>
        <w:t>yes</w:t>
      </w:r>
      <w:r w:rsidR="006150C6">
        <w:rPr>
          <w:rFonts w:eastAsia="Wingdings" w:cs="Wingdings"/>
          <w:szCs w:val="18"/>
        </w:rPr>
        <w:t xml:space="preserve"> </w:t>
      </w:r>
      <w:r w:rsidR="00440B4B">
        <w:rPr>
          <w:rFonts w:eastAsia="Wingdings" w:cs="Wingdings"/>
          <w:szCs w:val="18"/>
        </w:rPr>
        <w:t>(</w:t>
      </w:r>
      <w:r w:rsidR="006150C6">
        <w:rPr>
          <w:rFonts w:eastAsia="Wingdings" w:cs="Wingdings"/>
          <w:szCs w:val="18"/>
        </w:rPr>
        <w:t>+ve</w:t>
      </w:r>
      <w:r w:rsidR="00440B4B">
        <w:rPr>
          <w:rFonts w:eastAsia="Wingdings" w:cs="Wingdings"/>
          <w:szCs w:val="18"/>
        </w:rPr>
        <w:t>)</w:t>
      </w:r>
      <w:r w:rsidR="006150C6">
        <w:rPr>
          <w:rFonts w:eastAsia="Wingdings" w:cs="Wingdings"/>
          <w:szCs w:val="18"/>
        </w:rPr>
        <w:t xml:space="preserve"> = there is a correlation between the </w:t>
      </w:r>
      <w:r w:rsidR="00F8391B">
        <w:rPr>
          <w:rFonts w:eastAsia="Wingdings" w:cs="Wingdings"/>
          <w:szCs w:val="18"/>
        </w:rPr>
        <w:t>2</w:t>
      </w:r>
      <w:r w:rsidR="006150C6">
        <w:rPr>
          <w:rFonts w:eastAsia="Wingdings" w:cs="Wingdings"/>
          <w:szCs w:val="18"/>
        </w:rPr>
        <w:t xml:space="preserve"> items, </w:t>
      </w:r>
      <w:r w:rsidR="006150C6" w:rsidRPr="00CD7319">
        <w:rPr>
          <w:rFonts w:cs="Arial"/>
          <w:szCs w:val="16"/>
        </w:rPr>
        <w:t>and</w:t>
      </w:r>
      <w:r w:rsidR="006150C6">
        <w:rPr>
          <w:rFonts w:eastAsia="Wingdings" w:cs="Wingdings"/>
          <w:szCs w:val="18"/>
        </w:rPr>
        <w:t xml:space="preserve"> it is a positive relationship (continuous variable), </w:t>
      </w:r>
      <w:r w:rsidR="006150C6" w:rsidRPr="00326E74">
        <w:rPr>
          <w:rFonts w:eastAsia="Wingdings" w:cs="Wingdings"/>
          <w:szCs w:val="18"/>
        </w:rPr>
        <w:t>eg</w:t>
      </w:r>
      <w:r w:rsidR="006150C6">
        <w:rPr>
          <w:rFonts w:eastAsia="Wingdings" w:cs="Wingdings"/>
          <w:szCs w:val="18"/>
        </w:rPr>
        <w:t xml:space="preserve">, </w:t>
      </w:r>
      <w:r w:rsidR="006150C6" w:rsidRPr="00CD7319">
        <w:rPr>
          <w:rFonts w:eastAsia="Wingdings" w:cs="Wingdings"/>
          <w:szCs w:val="18"/>
        </w:rPr>
        <w:t>More supports, more life satisfaction</w:t>
      </w:r>
    </w:p>
    <w:p w14:paraId="50BF6E8A" w14:textId="0FA3B71E" w:rsidR="006150C6" w:rsidRPr="00CD7319" w:rsidRDefault="0058702A" w:rsidP="00C239FD">
      <w:pPr>
        <w:pStyle w:val="SourceandNotes"/>
        <w:rPr>
          <w:rFonts w:eastAsia="Wingdings" w:cs="Wingdings"/>
          <w:szCs w:val="18"/>
        </w:rPr>
      </w:pPr>
      <w:r>
        <w:t>yes</w:t>
      </w:r>
      <w:r>
        <w:rPr>
          <w:rFonts w:eastAsia="Wingdings" w:cs="Wingdings"/>
          <w:szCs w:val="18"/>
        </w:rPr>
        <w:t xml:space="preserve"> </w:t>
      </w:r>
      <w:r w:rsidR="00440B4B">
        <w:rPr>
          <w:rFonts w:eastAsia="Wingdings" w:cs="Wingdings"/>
          <w:szCs w:val="18"/>
        </w:rPr>
        <w:t>(</w:t>
      </w:r>
      <w:r w:rsidR="006150C6">
        <w:rPr>
          <w:rFonts w:eastAsia="Wingdings" w:cs="Wingdings"/>
          <w:szCs w:val="18"/>
        </w:rPr>
        <w:t>-ve</w:t>
      </w:r>
      <w:r w:rsidR="00440B4B">
        <w:rPr>
          <w:rFonts w:eastAsia="Wingdings" w:cs="Wingdings"/>
          <w:szCs w:val="18"/>
        </w:rPr>
        <w:t>)</w:t>
      </w:r>
      <w:r w:rsidR="006150C6">
        <w:rPr>
          <w:rFonts w:eastAsia="Wingdings" w:cs="Wingdings"/>
          <w:szCs w:val="18"/>
        </w:rPr>
        <w:t xml:space="preserve"> = there is a correlation between the </w:t>
      </w:r>
      <w:r w:rsidR="00F8391B">
        <w:rPr>
          <w:rFonts w:eastAsia="Wingdings" w:cs="Wingdings"/>
          <w:szCs w:val="18"/>
        </w:rPr>
        <w:t>2</w:t>
      </w:r>
      <w:r w:rsidR="006150C6">
        <w:rPr>
          <w:rFonts w:eastAsia="Wingdings" w:cs="Wingdings"/>
          <w:szCs w:val="18"/>
        </w:rPr>
        <w:t xml:space="preserve"> items, and it is negative relationship (continuous variable), eg, </w:t>
      </w:r>
      <w:r w:rsidR="006150C6" w:rsidRPr="00CD7319">
        <w:rPr>
          <w:rFonts w:eastAsia="Wingdings" w:cs="Wingdings"/>
          <w:szCs w:val="18"/>
        </w:rPr>
        <w:t>More supports, less resilience</w:t>
      </w:r>
      <w:r w:rsidR="006150C6">
        <w:rPr>
          <w:rFonts w:eastAsia="Wingdings" w:cs="Wingdings"/>
          <w:szCs w:val="18"/>
        </w:rPr>
        <w:t>.</w:t>
      </w:r>
    </w:p>
    <w:p w14:paraId="5B008012" w14:textId="77777777" w:rsidR="006150C6" w:rsidRDefault="006150C6" w:rsidP="00406E5B">
      <w:pPr>
        <w:pStyle w:val="Heading3"/>
        <w:ind w:left="0"/>
      </w:pPr>
      <w:bookmarkStart w:id="1977" w:name="_Toc106711885"/>
      <w:bookmarkStart w:id="1978" w:name="_Toc132650475"/>
      <w:bookmarkStart w:id="1979" w:name="_Toc146033506"/>
      <w:r>
        <w:t>Correlations between work/study and human capability indicators</w:t>
      </w:r>
      <w:bookmarkEnd w:id="1977"/>
      <w:bookmarkEnd w:id="1978"/>
      <w:bookmarkEnd w:id="1979"/>
    </w:p>
    <w:p w14:paraId="3D3E0782" w14:textId="39C3369B" w:rsidR="006150C6" w:rsidRPr="005D5A23" w:rsidRDefault="006150C6" w:rsidP="006150C6">
      <w:r>
        <w:t>TtW participants who had done any paid work since starting with their caseworker and those who believed that it was very likely or likely that they would find a job or be employed in the next 12</w:t>
      </w:r>
      <w:r w:rsidR="00BA693D">
        <w:t> </w:t>
      </w:r>
      <w:r>
        <w:t>months also demonstrated a significantly higher outcome in all the assessed human capability measures. While this research cannot determine causality, this finding is consistent with the broader literature which links employment with increased human capabilities and wellbeing, and unemployment with decreased wellbeing, confidence and mental health (</w:t>
      </w:r>
      <w:r w:rsidRPr="00233575">
        <w:rPr>
          <w:b/>
          <w:bCs/>
        </w:rPr>
        <w:t>Dietrich et al 2021</w:t>
      </w:r>
      <w:r>
        <w:rPr>
          <w:b/>
          <w:bCs/>
        </w:rPr>
        <w:t>, C</w:t>
      </w:r>
      <w:r w:rsidRPr="00C87DD3">
        <w:rPr>
          <w:b/>
          <w:bCs/>
        </w:rPr>
        <w:t>arter and Whitworth 2017</w:t>
      </w:r>
      <w:r>
        <w:rPr>
          <w:b/>
          <w:bCs/>
        </w:rPr>
        <w:t>,</w:t>
      </w:r>
      <w:r>
        <w:t xml:space="preserve"> </w:t>
      </w:r>
      <w:r w:rsidRPr="001E3715">
        <w:rPr>
          <w:b/>
          <w:bCs/>
        </w:rPr>
        <w:t>Casebourne et al 2010</w:t>
      </w:r>
      <w:r>
        <w:rPr>
          <w:b/>
          <w:bCs/>
        </w:rPr>
        <w:t>).</w:t>
      </w:r>
    </w:p>
    <w:p w14:paraId="0FB2DF52" w14:textId="32A824C5" w:rsidR="006150C6" w:rsidRDefault="006150C6" w:rsidP="006150C6">
      <w:r>
        <w:t xml:space="preserve">Undertaking study or believing that they would undertake study in the next 12 months was not found to be associated with TtW participants demonstrating higher human capability outcomes, with one </w:t>
      </w:r>
      <w:r w:rsidR="004E08A2">
        <w:t>exception</w:t>
      </w:r>
      <w:r>
        <w:t xml:space="preserve">. Belief that they would study in the next 12 months was associated with higher resilience </w:t>
      </w:r>
      <w:r w:rsidRPr="00CD6FB8">
        <w:t>scores (</w:t>
      </w:r>
      <w:r w:rsidRPr="00CD7319">
        <w:rPr>
          <w:b/>
          <w:bCs/>
        </w:rPr>
        <w:fldChar w:fldCharType="begin"/>
      </w:r>
      <w:r w:rsidRPr="00CD7319">
        <w:rPr>
          <w:b/>
          <w:bCs/>
        </w:rPr>
        <w:instrText xml:space="preserve"> REF _Ref119421147 \h </w:instrText>
      </w:r>
      <w:r>
        <w:rPr>
          <w:b/>
          <w:bCs/>
        </w:rPr>
        <w:instrText xml:space="preserve"> \* MERGEFORMAT </w:instrText>
      </w:r>
      <w:r w:rsidRPr="00CD7319">
        <w:rPr>
          <w:b/>
          <w:bCs/>
        </w:rPr>
      </w:r>
      <w:r w:rsidRPr="00CD7319">
        <w:rPr>
          <w:b/>
          <w:bCs/>
        </w:rPr>
        <w:fldChar w:fldCharType="separate"/>
      </w:r>
      <w:r w:rsidR="00180E14" w:rsidRPr="00180E14">
        <w:rPr>
          <w:b/>
          <w:bCs/>
        </w:rPr>
        <w:t xml:space="preserve">Table </w:t>
      </w:r>
      <w:r w:rsidR="00180E14" w:rsidRPr="00180E14">
        <w:rPr>
          <w:b/>
          <w:bCs/>
          <w:noProof/>
        </w:rPr>
        <w:t>8</w:t>
      </w:r>
      <w:r w:rsidRPr="00CD7319">
        <w:rPr>
          <w:b/>
          <w:bCs/>
        </w:rPr>
        <w:fldChar w:fldCharType="end"/>
      </w:r>
      <w:r w:rsidRPr="00CD6FB8">
        <w:t>). This could</w:t>
      </w:r>
      <w:r>
        <w:t xml:space="preserve"> be explained where</w:t>
      </w:r>
      <w:r w:rsidR="00BA693D">
        <w:t>by</w:t>
      </w:r>
      <w:r>
        <w:t xml:space="preserve"> growing resilience is associated with increased confidence and aspiration to study.</w:t>
      </w:r>
    </w:p>
    <w:p w14:paraId="5C2DFF24" w14:textId="1112B539" w:rsidR="006150C6" w:rsidRDefault="006150C6" w:rsidP="006150C6">
      <w:r>
        <w:lastRenderedPageBreak/>
        <w:t xml:space="preserve">While it may not be intuitive, the lack of evidence from this research of an association between wellbeing/higher human capability and participation in study is consistent with other recent research by </w:t>
      </w:r>
      <w:r w:rsidRPr="00233575">
        <w:rPr>
          <w:b/>
          <w:bCs/>
        </w:rPr>
        <w:t>Dietrich et al 2021</w:t>
      </w:r>
      <w:r>
        <w:rPr>
          <w:b/>
          <w:bCs/>
        </w:rPr>
        <w:t xml:space="preserve"> </w:t>
      </w:r>
      <w:r>
        <w:t xml:space="preserve">looking at transitions from school in Australian youth, which found that transitions to study increased subjective wellbeing only among men, while such transitions appear to decrease </w:t>
      </w:r>
      <w:r w:rsidRPr="00741515">
        <w:t>subjective wellbeing among women</w:t>
      </w:r>
      <w:r>
        <w:t>.</w:t>
      </w:r>
    </w:p>
    <w:p w14:paraId="6BA1E450" w14:textId="329D6F26" w:rsidR="006150C6" w:rsidRDefault="006150C6" w:rsidP="006150C6">
      <w:pPr>
        <w:pStyle w:val="Caption"/>
        <w:keepNext/>
      </w:pPr>
      <w:bookmarkStart w:id="1980" w:name="_Ref119421147"/>
      <w:bookmarkStart w:id="1981" w:name="_Toc132647784"/>
      <w:bookmarkStart w:id="1982" w:name="_Toc145877297"/>
      <w:r>
        <w:t xml:space="preserve">Table </w:t>
      </w:r>
      <w:r>
        <w:fldChar w:fldCharType="begin"/>
      </w:r>
      <w:r>
        <w:instrText>SEQ Table \* ARABIC</w:instrText>
      </w:r>
      <w:r>
        <w:fldChar w:fldCharType="separate"/>
      </w:r>
      <w:r w:rsidR="00180E14">
        <w:rPr>
          <w:noProof/>
        </w:rPr>
        <w:t>8</w:t>
      </w:r>
      <w:r>
        <w:fldChar w:fldCharType="end"/>
      </w:r>
      <w:bookmarkEnd w:id="1980"/>
      <w:r>
        <w:t>: Correlations between work/study and human capability indicators</w:t>
      </w:r>
      <w:bookmarkEnd w:id="1981"/>
      <w:bookmarkEnd w:id="1982"/>
      <w:r>
        <w:t xml:space="preserve"> </w:t>
      </w:r>
    </w:p>
    <w:tbl>
      <w:tblPr>
        <w:tblStyle w:val="GridTable4"/>
        <w:tblW w:w="48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5"/>
        <w:gridCol w:w="1383"/>
        <w:gridCol w:w="1109"/>
        <w:gridCol w:w="1381"/>
        <w:gridCol w:w="1245"/>
        <w:gridCol w:w="1245"/>
      </w:tblGrid>
      <w:tr w:rsidR="00406E5B" w:rsidRPr="003B3C7E" w14:paraId="2E315E09" w14:textId="77777777" w:rsidTr="00046630">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392" w:type="pct"/>
            <w:shd w:val="clear" w:color="auto" w:fill="5D7A38"/>
            <w:noWrap/>
            <w:vAlign w:val="center"/>
          </w:tcPr>
          <w:p w14:paraId="3CC0C1E8" w14:textId="77777777" w:rsidR="006150C6" w:rsidRPr="003B3C7E" w:rsidRDefault="006150C6" w:rsidP="009251AF">
            <w:pPr>
              <w:keepNext/>
              <w:rPr>
                <w:rFonts w:eastAsia="Times New Roman" w:cs="Arial"/>
                <w:b w:val="0"/>
                <w:bCs w:val="0"/>
                <w:sz w:val="18"/>
                <w:szCs w:val="18"/>
                <w:lang w:eastAsia="en-AU"/>
              </w:rPr>
            </w:pPr>
            <w:r w:rsidRPr="003B3C7E">
              <w:rPr>
                <w:rFonts w:eastAsia="Times New Roman" w:cs="Arial"/>
                <w:sz w:val="18"/>
                <w:szCs w:val="18"/>
                <w:lang w:eastAsia="en-AU"/>
              </w:rPr>
              <w:t>TtW program experience</w:t>
            </w:r>
          </w:p>
        </w:tc>
        <w:tc>
          <w:tcPr>
            <w:tcW w:w="784" w:type="pct"/>
            <w:shd w:val="clear" w:color="auto" w:fill="5D7A38"/>
            <w:noWrap/>
            <w:vAlign w:val="center"/>
          </w:tcPr>
          <w:p w14:paraId="49DBAA09" w14:textId="77777777" w:rsidR="006150C6" w:rsidRPr="003B3C7E" w:rsidRDefault="006150C6" w:rsidP="009251AF">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3B3C7E">
              <w:rPr>
                <w:rFonts w:eastAsia="Times New Roman" w:cs="Arial"/>
                <w:sz w:val="18"/>
                <w:szCs w:val="18"/>
                <w:lang w:eastAsia="en-AU"/>
              </w:rPr>
              <w:t>Life satisfaction</w:t>
            </w:r>
          </w:p>
        </w:tc>
        <w:tc>
          <w:tcPr>
            <w:tcW w:w="629" w:type="pct"/>
            <w:shd w:val="clear" w:color="auto" w:fill="5D7A38"/>
            <w:noWrap/>
            <w:vAlign w:val="center"/>
          </w:tcPr>
          <w:p w14:paraId="0B17036C" w14:textId="77777777" w:rsidR="006150C6" w:rsidRPr="003B3C7E" w:rsidRDefault="006150C6" w:rsidP="009251AF">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3B3C7E">
              <w:rPr>
                <w:rFonts w:eastAsia="Times New Roman" w:cs="Arial"/>
                <w:sz w:val="18"/>
                <w:szCs w:val="18"/>
                <w:lang w:eastAsia="en-AU"/>
              </w:rPr>
              <w:t>Personal wellbeing</w:t>
            </w:r>
          </w:p>
        </w:tc>
        <w:tc>
          <w:tcPr>
            <w:tcW w:w="783" w:type="pct"/>
            <w:shd w:val="clear" w:color="auto" w:fill="5D7A38"/>
            <w:noWrap/>
            <w:vAlign w:val="center"/>
          </w:tcPr>
          <w:p w14:paraId="0CEB0C25" w14:textId="77777777" w:rsidR="006150C6" w:rsidRPr="003B3C7E" w:rsidRDefault="006150C6" w:rsidP="009251AF">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3B3C7E">
              <w:rPr>
                <w:rFonts w:eastAsia="Times New Roman" w:cs="Arial"/>
                <w:sz w:val="18"/>
                <w:szCs w:val="18"/>
                <w:lang w:eastAsia="en-AU"/>
              </w:rPr>
              <w:t>Mental health excellent or very good</w:t>
            </w:r>
          </w:p>
        </w:tc>
        <w:tc>
          <w:tcPr>
            <w:tcW w:w="706" w:type="pct"/>
            <w:shd w:val="clear" w:color="auto" w:fill="5D7A38"/>
            <w:noWrap/>
            <w:vAlign w:val="center"/>
          </w:tcPr>
          <w:p w14:paraId="303DACFA" w14:textId="77777777" w:rsidR="006150C6" w:rsidRPr="003B3C7E" w:rsidRDefault="006150C6" w:rsidP="009251AF">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3B3C7E">
              <w:rPr>
                <w:rFonts w:eastAsia="Times New Roman" w:cs="Arial"/>
                <w:sz w:val="18"/>
                <w:szCs w:val="18"/>
                <w:lang w:eastAsia="en-AU"/>
              </w:rPr>
              <w:t>Psychosocial wellbeing</w:t>
            </w:r>
          </w:p>
        </w:tc>
        <w:tc>
          <w:tcPr>
            <w:tcW w:w="706" w:type="pct"/>
            <w:shd w:val="clear" w:color="auto" w:fill="5D7A38"/>
            <w:noWrap/>
            <w:vAlign w:val="center"/>
          </w:tcPr>
          <w:p w14:paraId="4921BBE0" w14:textId="77777777" w:rsidR="006150C6" w:rsidRPr="003B3C7E" w:rsidRDefault="006150C6" w:rsidP="009251AF">
            <w:pPr>
              <w:keepNext/>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3B3C7E">
              <w:rPr>
                <w:rFonts w:eastAsia="Times New Roman" w:cs="Arial"/>
                <w:sz w:val="18"/>
                <w:szCs w:val="18"/>
                <w:lang w:eastAsia="en-AU"/>
              </w:rPr>
              <w:t>Resilience</w:t>
            </w:r>
          </w:p>
        </w:tc>
      </w:tr>
      <w:tr w:rsidR="003F3CFA" w:rsidRPr="006F2ECF" w14:paraId="3D72FFFF" w14:textId="77777777" w:rsidTr="00406E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2" w:type="pct"/>
            <w:noWrap/>
            <w:vAlign w:val="center"/>
            <w:hideMark/>
          </w:tcPr>
          <w:p w14:paraId="36F15B0F" w14:textId="754F1088" w:rsidR="006150C6" w:rsidRPr="006F2ECF" w:rsidRDefault="006150C6" w:rsidP="009251AF">
            <w:pPr>
              <w:keepNext/>
              <w:rPr>
                <w:rFonts w:eastAsia="Times New Roman" w:cs="Arial"/>
                <w:b w:val="0"/>
                <w:bCs w:val="0"/>
                <w:color w:val="000000"/>
                <w:sz w:val="18"/>
                <w:szCs w:val="18"/>
                <w:lang w:eastAsia="en-AU"/>
              </w:rPr>
            </w:pPr>
            <w:r w:rsidRPr="009251AF">
              <w:rPr>
                <w:sz w:val="18"/>
              </w:rPr>
              <w:t>Done any paid work since starting with caseworker (</w:t>
            </w:r>
            <w:r w:rsidR="00A4079D">
              <w:rPr>
                <w:sz w:val="18"/>
              </w:rPr>
              <w:t>versus</w:t>
            </w:r>
            <w:r w:rsidRPr="009251AF">
              <w:rPr>
                <w:sz w:val="18"/>
              </w:rPr>
              <w:t xml:space="preserve"> not done)</w:t>
            </w:r>
          </w:p>
        </w:tc>
        <w:tc>
          <w:tcPr>
            <w:tcW w:w="784" w:type="pct"/>
            <w:noWrap/>
            <w:vAlign w:val="center"/>
          </w:tcPr>
          <w:p w14:paraId="643F157B" w14:textId="135F14B6" w:rsidR="006150C6" w:rsidRPr="00440B4B" w:rsidRDefault="0058702A" w:rsidP="009251AF">
            <w:pPr>
              <w:keepNext/>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yes</w:t>
            </w:r>
          </w:p>
        </w:tc>
        <w:tc>
          <w:tcPr>
            <w:tcW w:w="629" w:type="pct"/>
            <w:noWrap/>
            <w:vAlign w:val="center"/>
          </w:tcPr>
          <w:p w14:paraId="6327F103" w14:textId="3B519EA8" w:rsidR="006150C6" w:rsidRPr="00440B4B" w:rsidRDefault="0058702A" w:rsidP="009251AF">
            <w:pPr>
              <w:keepNext/>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yes</w:t>
            </w:r>
          </w:p>
        </w:tc>
        <w:tc>
          <w:tcPr>
            <w:tcW w:w="783" w:type="pct"/>
            <w:noWrap/>
            <w:vAlign w:val="center"/>
          </w:tcPr>
          <w:p w14:paraId="0E55FE6C" w14:textId="555B04A3" w:rsidR="006150C6" w:rsidRPr="00440B4B" w:rsidRDefault="0058702A" w:rsidP="009251AF">
            <w:pPr>
              <w:keepNext/>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yes</w:t>
            </w:r>
          </w:p>
        </w:tc>
        <w:tc>
          <w:tcPr>
            <w:tcW w:w="706" w:type="pct"/>
            <w:noWrap/>
            <w:vAlign w:val="center"/>
            <w:hideMark/>
          </w:tcPr>
          <w:p w14:paraId="140E3227" w14:textId="347F2363" w:rsidR="006150C6" w:rsidRPr="00440B4B" w:rsidRDefault="0058702A" w:rsidP="009251AF">
            <w:pPr>
              <w:keepNext/>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yes</w:t>
            </w:r>
          </w:p>
        </w:tc>
        <w:tc>
          <w:tcPr>
            <w:tcW w:w="706" w:type="pct"/>
            <w:noWrap/>
            <w:vAlign w:val="center"/>
            <w:hideMark/>
          </w:tcPr>
          <w:p w14:paraId="7FA6CF7E" w14:textId="3E7105F4" w:rsidR="006150C6" w:rsidRPr="00440B4B" w:rsidRDefault="0058702A" w:rsidP="009251AF">
            <w:pPr>
              <w:keepNext/>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yes</w:t>
            </w:r>
          </w:p>
        </w:tc>
      </w:tr>
      <w:tr w:rsidR="00406E5B" w:rsidRPr="006F2ECF" w14:paraId="6157A88A" w14:textId="77777777" w:rsidTr="00406E5B">
        <w:trPr>
          <w:trHeight w:val="300"/>
        </w:trPr>
        <w:tc>
          <w:tcPr>
            <w:cnfStyle w:val="001000000000" w:firstRow="0" w:lastRow="0" w:firstColumn="1" w:lastColumn="0" w:oddVBand="0" w:evenVBand="0" w:oddHBand="0" w:evenHBand="0" w:firstRowFirstColumn="0" w:firstRowLastColumn="0" w:lastRowFirstColumn="0" w:lastRowLastColumn="0"/>
            <w:tcW w:w="1392" w:type="pct"/>
            <w:vAlign w:val="center"/>
            <w:hideMark/>
          </w:tcPr>
          <w:p w14:paraId="7FD3B0C6" w14:textId="753A198E" w:rsidR="006150C6" w:rsidRPr="009251AF" w:rsidRDefault="006150C6" w:rsidP="009251AF">
            <w:pPr>
              <w:rPr>
                <w:sz w:val="18"/>
              </w:rPr>
            </w:pPr>
            <w:r w:rsidRPr="009251AF">
              <w:rPr>
                <w:sz w:val="18"/>
              </w:rPr>
              <w:t>Thought it was very likely or likely that they would find a job or be employed in the next 12 months (</w:t>
            </w:r>
            <w:r w:rsidR="00A4079D">
              <w:rPr>
                <w:sz w:val="18"/>
              </w:rPr>
              <w:t>versus</w:t>
            </w:r>
            <w:r w:rsidRPr="009251AF">
              <w:rPr>
                <w:sz w:val="18"/>
              </w:rPr>
              <w:t xml:space="preserve"> neither, unlikely, very unlikely)</w:t>
            </w:r>
          </w:p>
        </w:tc>
        <w:tc>
          <w:tcPr>
            <w:tcW w:w="784" w:type="pct"/>
            <w:vAlign w:val="center"/>
          </w:tcPr>
          <w:p w14:paraId="7731A5A5" w14:textId="3CB43596"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yes</w:t>
            </w:r>
          </w:p>
        </w:tc>
        <w:tc>
          <w:tcPr>
            <w:tcW w:w="629" w:type="pct"/>
            <w:vAlign w:val="center"/>
          </w:tcPr>
          <w:p w14:paraId="46ACA5C0" w14:textId="0A56EAE1"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yes</w:t>
            </w:r>
          </w:p>
        </w:tc>
        <w:tc>
          <w:tcPr>
            <w:tcW w:w="783" w:type="pct"/>
            <w:vAlign w:val="center"/>
          </w:tcPr>
          <w:p w14:paraId="685F857F" w14:textId="0DB8A122"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yes</w:t>
            </w:r>
          </w:p>
        </w:tc>
        <w:tc>
          <w:tcPr>
            <w:tcW w:w="706" w:type="pct"/>
            <w:vAlign w:val="center"/>
          </w:tcPr>
          <w:p w14:paraId="339155AB" w14:textId="7121B340"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yes</w:t>
            </w:r>
          </w:p>
        </w:tc>
        <w:tc>
          <w:tcPr>
            <w:tcW w:w="706" w:type="pct"/>
            <w:vAlign w:val="center"/>
          </w:tcPr>
          <w:p w14:paraId="6990569D" w14:textId="02CF9FC9"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yes</w:t>
            </w:r>
          </w:p>
        </w:tc>
      </w:tr>
      <w:tr w:rsidR="00406E5B" w:rsidRPr="006F2ECF" w14:paraId="13A1378C" w14:textId="77777777" w:rsidTr="00406E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2" w:type="pct"/>
            <w:vAlign w:val="center"/>
          </w:tcPr>
          <w:p w14:paraId="7AE9985C" w14:textId="50F34902" w:rsidR="006150C6" w:rsidRPr="009251AF" w:rsidRDefault="006150C6" w:rsidP="009251AF">
            <w:pPr>
              <w:rPr>
                <w:sz w:val="18"/>
              </w:rPr>
            </w:pPr>
            <w:r w:rsidRPr="009251AF">
              <w:rPr>
                <w:sz w:val="18"/>
              </w:rPr>
              <w:t>Undertaken study since starting with their caseworker (</w:t>
            </w:r>
            <w:r w:rsidR="00A4079D">
              <w:rPr>
                <w:sz w:val="18"/>
              </w:rPr>
              <w:t>versus</w:t>
            </w:r>
            <w:r w:rsidRPr="009251AF">
              <w:rPr>
                <w:sz w:val="18"/>
              </w:rPr>
              <w:t xml:space="preserve"> not)</w:t>
            </w:r>
          </w:p>
        </w:tc>
        <w:tc>
          <w:tcPr>
            <w:tcW w:w="784" w:type="pct"/>
            <w:vAlign w:val="center"/>
          </w:tcPr>
          <w:p w14:paraId="6E8706A4" w14:textId="3F8C1662"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no</w:t>
            </w:r>
          </w:p>
        </w:tc>
        <w:tc>
          <w:tcPr>
            <w:tcW w:w="629" w:type="pct"/>
            <w:vAlign w:val="center"/>
          </w:tcPr>
          <w:p w14:paraId="4D16C048" w14:textId="45764E4F"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no</w:t>
            </w:r>
          </w:p>
        </w:tc>
        <w:tc>
          <w:tcPr>
            <w:tcW w:w="783" w:type="pct"/>
            <w:vAlign w:val="center"/>
          </w:tcPr>
          <w:p w14:paraId="7CDB69FC" w14:textId="3181A47F"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no</w:t>
            </w:r>
          </w:p>
        </w:tc>
        <w:tc>
          <w:tcPr>
            <w:tcW w:w="706" w:type="pct"/>
            <w:vAlign w:val="center"/>
          </w:tcPr>
          <w:p w14:paraId="087DF4F7" w14:textId="1DC0BAE6"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no</w:t>
            </w:r>
          </w:p>
        </w:tc>
        <w:tc>
          <w:tcPr>
            <w:tcW w:w="706" w:type="pct"/>
            <w:vAlign w:val="center"/>
          </w:tcPr>
          <w:p w14:paraId="632B6A7D" w14:textId="67592C06" w:rsidR="006150C6" w:rsidRPr="00440B4B" w:rsidRDefault="0058702A" w:rsidP="009251AF">
            <w:pPr>
              <w:spacing w:before="240" w:after="240"/>
              <w:jc w:val="center"/>
              <w:cnfStyle w:val="000000100000" w:firstRow="0" w:lastRow="0" w:firstColumn="0" w:lastColumn="0" w:oddVBand="0" w:evenVBand="0" w:oddHBand="1" w:evenHBand="0" w:firstRowFirstColumn="0" w:firstRowLastColumn="0" w:lastRowFirstColumn="0" w:lastRowLastColumn="0"/>
              <w:rPr>
                <w:sz w:val="18"/>
              </w:rPr>
            </w:pPr>
            <w:r w:rsidRPr="00440B4B">
              <w:rPr>
                <w:sz w:val="18"/>
              </w:rPr>
              <w:t>no</w:t>
            </w:r>
          </w:p>
        </w:tc>
      </w:tr>
      <w:tr w:rsidR="00406E5B" w:rsidRPr="006F2ECF" w14:paraId="6F0447B7" w14:textId="77777777" w:rsidTr="00406E5B">
        <w:trPr>
          <w:trHeight w:val="300"/>
        </w:trPr>
        <w:tc>
          <w:tcPr>
            <w:cnfStyle w:val="001000000000" w:firstRow="0" w:lastRow="0" w:firstColumn="1" w:lastColumn="0" w:oddVBand="0" w:evenVBand="0" w:oddHBand="0" w:evenHBand="0" w:firstRowFirstColumn="0" w:firstRowLastColumn="0" w:lastRowFirstColumn="0" w:lastRowLastColumn="0"/>
            <w:tcW w:w="1392" w:type="pct"/>
            <w:tcBorders>
              <w:bottom w:val="single" w:sz="4" w:space="0" w:color="auto"/>
            </w:tcBorders>
            <w:vAlign w:val="center"/>
          </w:tcPr>
          <w:p w14:paraId="2ADCAC2F" w14:textId="2044A546" w:rsidR="006150C6" w:rsidRPr="009251AF" w:rsidRDefault="006150C6" w:rsidP="009251AF">
            <w:pPr>
              <w:rPr>
                <w:sz w:val="18"/>
              </w:rPr>
            </w:pPr>
            <w:r w:rsidRPr="009251AF">
              <w:rPr>
                <w:sz w:val="18"/>
              </w:rPr>
              <w:t>Thought it was very likely or very likely that they would study in the next 12 months (</w:t>
            </w:r>
            <w:r w:rsidR="00A4079D">
              <w:rPr>
                <w:sz w:val="18"/>
              </w:rPr>
              <w:t>versus</w:t>
            </w:r>
            <w:r w:rsidRPr="009251AF">
              <w:rPr>
                <w:sz w:val="18"/>
              </w:rPr>
              <w:t xml:space="preserve"> neither, unlikely, very unlikely)</w:t>
            </w:r>
          </w:p>
        </w:tc>
        <w:tc>
          <w:tcPr>
            <w:tcW w:w="784" w:type="pct"/>
            <w:tcBorders>
              <w:bottom w:val="single" w:sz="4" w:space="0" w:color="auto"/>
            </w:tcBorders>
            <w:vAlign w:val="center"/>
          </w:tcPr>
          <w:p w14:paraId="6EC654FF" w14:textId="4326E4AF"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no</w:t>
            </w:r>
          </w:p>
        </w:tc>
        <w:tc>
          <w:tcPr>
            <w:tcW w:w="629" w:type="pct"/>
            <w:tcBorders>
              <w:bottom w:val="single" w:sz="4" w:space="0" w:color="auto"/>
            </w:tcBorders>
            <w:vAlign w:val="center"/>
          </w:tcPr>
          <w:p w14:paraId="49B7B73E" w14:textId="70F74236"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no</w:t>
            </w:r>
          </w:p>
        </w:tc>
        <w:tc>
          <w:tcPr>
            <w:tcW w:w="783" w:type="pct"/>
            <w:tcBorders>
              <w:bottom w:val="single" w:sz="4" w:space="0" w:color="auto"/>
            </w:tcBorders>
            <w:vAlign w:val="center"/>
          </w:tcPr>
          <w:p w14:paraId="27FDA210" w14:textId="78CDF849"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no</w:t>
            </w:r>
          </w:p>
        </w:tc>
        <w:tc>
          <w:tcPr>
            <w:tcW w:w="706" w:type="pct"/>
            <w:tcBorders>
              <w:bottom w:val="single" w:sz="4" w:space="0" w:color="auto"/>
            </w:tcBorders>
            <w:vAlign w:val="center"/>
          </w:tcPr>
          <w:p w14:paraId="483EFFCD" w14:textId="73790165"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yes</w:t>
            </w:r>
          </w:p>
        </w:tc>
        <w:tc>
          <w:tcPr>
            <w:tcW w:w="706" w:type="pct"/>
            <w:tcBorders>
              <w:bottom w:val="single" w:sz="4" w:space="0" w:color="auto"/>
            </w:tcBorders>
            <w:vAlign w:val="center"/>
          </w:tcPr>
          <w:p w14:paraId="33E839F5" w14:textId="4C10EF30" w:rsidR="006150C6" w:rsidRPr="00440B4B" w:rsidRDefault="0058702A" w:rsidP="009251AF">
            <w:pPr>
              <w:spacing w:before="240" w:after="240"/>
              <w:jc w:val="center"/>
              <w:cnfStyle w:val="000000000000" w:firstRow="0" w:lastRow="0" w:firstColumn="0" w:lastColumn="0" w:oddVBand="0" w:evenVBand="0" w:oddHBand="0" w:evenHBand="0" w:firstRowFirstColumn="0" w:firstRowLastColumn="0" w:lastRowFirstColumn="0" w:lastRowLastColumn="0"/>
              <w:rPr>
                <w:sz w:val="18"/>
              </w:rPr>
            </w:pPr>
            <w:r w:rsidRPr="00440B4B">
              <w:rPr>
                <w:sz w:val="18"/>
              </w:rPr>
              <w:t>no</w:t>
            </w:r>
          </w:p>
        </w:tc>
      </w:tr>
    </w:tbl>
    <w:p w14:paraId="40C832CF" w14:textId="057D8FE9" w:rsidR="006150C6" w:rsidRDefault="006150C6" w:rsidP="0058702A">
      <w:pPr>
        <w:pStyle w:val="Heading3"/>
        <w:ind w:left="0"/>
      </w:pPr>
      <w:bookmarkStart w:id="1983" w:name="_Toc106711886"/>
      <w:bookmarkStart w:id="1984" w:name="_Toc132650476"/>
      <w:bookmarkStart w:id="1985" w:name="_Toc146033507"/>
      <w:r>
        <w:t>The impact of provider characteristics</w:t>
      </w:r>
      <w:bookmarkEnd w:id="1983"/>
      <w:bookmarkEnd w:id="1984"/>
      <w:bookmarkEnd w:id="1985"/>
    </w:p>
    <w:p w14:paraId="5B520DC2" w14:textId="15BF13A4" w:rsidR="006150C6" w:rsidRDefault="006150C6" w:rsidP="006150C6">
      <w:r>
        <w:t xml:space="preserve">In the 2021 </w:t>
      </w:r>
      <w:r w:rsidR="00AD74F5">
        <w:t>p</w:t>
      </w:r>
      <w:r>
        <w:t xml:space="preserve">rovider </w:t>
      </w:r>
      <w:r w:rsidR="00AD74F5">
        <w:t>s</w:t>
      </w:r>
      <w:r>
        <w:t xml:space="preserve">urvey respondents were asked to provide an overall view on the </w:t>
      </w:r>
      <w:r w:rsidRPr="009F1529">
        <w:t xml:space="preserve">extent </w:t>
      </w:r>
      <w:r w:rsidR="009F1529">
        <w:t xml:space="preserve">to which </w:t>
      </w:r>
      <w:r>
        <w:t>TtW had a positive impact on the human capabilities of participants</w:t>
      </w:r>
      <w:r w:rsidR="00BA693D">
        <w:t>.</w:t>
      </w:r>
      <w:r>
        <w:rPr>
          <w:rStyle w:val="FootnoteReference"/>
        </w:rPr>
        <w:footnoteReference w:id="78"/>
      </w:r>
      <w:r>
        <w:t xml:space="preserve"> All participants responded, with over three</w:t>
      </w:r>
      <w:r w:rsidR="000E7E35">
        <w:t>-</w:t>
      </w:r>
      <w:r>
        <w:t xml:space="preserve">quarters (77%) reporting that TtW has a positive impact to a </w:t>
      </w:r>
      <w:r w:rsidR="00F8391B">
        <w:t>‘</w:t>
      </w:r>
      <w:r>
        <w:t>great extent</w:t>
      </w:r>
      <w:r w:rsidR="00F8391B">
        <w:t>’</w:t>
      </w:r>
      <w:r>
        <w:t xml:space="preserve">, and a quarter (23%) that it has a positive impact to a </w:t>
      </w:r>
      <w:r w:rsidR="00F8391B">
        <w:t>‘</w:t>
      </w:r>
      <w:r>
        <w:t>moderate extent</w:t>
      </w:r>
      <w:r w:rsidR="00F8391B">
        <w:t>’</w:t>
      </w:r>
      <w:r>
        <w:t>. No respondents felt that the impact on TtW participants</w:t>
      </w:r>
      <w:r w:rsidR="00BA693D">
        <w:t>’</w:t>
      </w:r>
      <w:r>
        <w:t xml:space="preserve"> human capabilities was </w:t>
      </w:r>
      <w:r w:rsidR="00F8391B">
        <w:t>‘</w:t>
      </w:r>
      <w:r>
        <w:t>slight</w:t>
      </w:r>
      <w:r w:rsidR="00F8391B">
        <w:t>’</w:t>
      </w:r>
      <w:r>
        <w:t xml:space="preserve">, or </w:t>
      </w:r>
      <w:r w:rsidR="00F8391B">
        <w:t>‘</w:t>
      </w:r>
      <w:r>
        <w:t>none</w:t>
      </w:r>
      <w:r w:rsidR="00F8391B">
        <w:t>’</w:t>
      </w:r>
      <w:r>
        <w:t xml:space="preserve"> or that they did</w:t>
      </w:r>
      <w:r w:rsidR="00A34941">
        <w:t xml:space="preserve"> </w:t>
      </w:r>
      <w:r>
        <w:t>n</w:t>
      </w:r>
      <w:r w:rsidR="00A34941">
        <w:t>o</w:t>
      </w:r>
      <w:r>
        <w:t>t know the impact.</w:t>
      </w:r>
    </w:p>
    <w:p w14:paraId="75E6AE27" w14:textId="5E613C70" w:rsidR="006150C6" w:rsidRDefault="006150C6" w:rsidP="006150C6">
      <w:r>
        <w:t>These results were further disaggregated to understand if differences in provider characteristics would influence provider views of the degree to which TtW impacted the human capabilities of participants. Provider characteristics that were examined included remoteness, profit status, site size (total caseload and staffing), specialist staff, including Aboriginal and/or Torres Strait Islander staff, and servicing approaches (degree of post</w:t>
      </w:r>
      <w:r w:rsidR="00BA693D">
        <w:t>-</w:t>
      </w:r>
      <w:r>
        <w:t>program contact, scheduled contact and unscheduled contact).</w:t>
      </w:r>
    </w:p>
    <w:p w14:paraId="2DB416D7" w14:textId="77777777" w:rsidR="006150C6" w:rsidRDefault="006150C6" w:rsidP="00023E59">
      <w:pPr>
        <w:pStyle w:val="Heading4"/>
        <w:numPr>
          <w:ilvl w:val="0"/>
          <w:numId w:val="0"/>
        </w:numPr>
        <w:ind w:left="864" w:hanging="864"/>
      </w:pPr>
      <w:r>
        <w:lastRenderedPageBreak/>
        <w:t>Profit and not-for-profit status</w:t>
      </w:r>
    </w:p>
    <w:p w14:paraId="70DCF591" w14:textId="719116D9" w:rsidR="006150C6" w:rsidRDefault="006150C6" w:rsidP="006150C6">
      <w:r w:rsidRPr="00D87DA4">
        <w:t>Provider staff working in not-for-profit organisations were more likely to consider that TtW impacted the human capabilities of participants to a great extent (79%) compared with those working in for-profit organisations (53</w:t>
      </w:r>
      <w:r w:rsidRPr="00CD6FB8">
        <w:t>%)</w:t>
      </w:r>
      <w:r w:rsidRPr="00CD6FB8">
        <w:rPr>
          <w:rStyle w:val="FootnoteReference"/>
        </w:rPr>
        <w:footnoteReference w:id="79"/>
      </w:r>
      <w:r w:rsidRPr="00CD6FB8">
        <w:t xml:space="preserve"> (</w:t>
      </w:r>
      <w:r w:rsidRPr="00CD7319">
        <w:rPr>
          <w:b/>
          <w:bCs/>
        </w:rPr>
        <w:fldChar w:fldCharType="begin"/>
      </w:r>
      <w:r w:rsidRPr="00CD7319">
        <w:rPr>
          <w:b/>
          <w:bCs/>
        </w:rPr>
        <w:instrText xml:space="preserve"> REF _Ref119422126 \h </w:instrText>
      </w:r>
      <w:r>
        <w:rPr>
          <w:b/>
          <w:bCs/>
        </w:rPr>
        <w:instrText xml:space="preserve"> \* MERGEFORMAT </w:instrText>
      </w:r>
      <w:r w:rsidRPr="00CD7319">
        <w:rPr>
          <w:b/>
          <w:bCs/>
        </w:rPr>
      </w:r>
      <w:r w:rsidRPr="00CD7319">
        <w:rPr>
          <w:b/>
          <w:bCs/>
        </w:rPr>
        <w:fldChar w:fldCharType="separate"/>
      </w:r>
      <w:r w:rsidR="00180E14" w:rsidRPr="00180E14">
        <w:rPr>
          <w:b/>
          <w:bCs/>
        </w:rPr>
        <w:t xml:space="preserve">Figure </w:t>
      </w:r>
      <w:r w:rsidR="00180E14" w:rsidRPr="00180E14">
        <w:rPr>
          <w:b/>
          <w:bCs/>
          <w:noProof/>
        </w:rPr>
        <w:t>16</w:t>
      </w:r>
      <w:r w:rsidRPr="00CD7319">
        <w:rPr>
          <w:b/>
          <w:bCs/>
        </w:rPr>
        <w:fldChar w:fldCharType="end"/>
      </w:r>
      <w:r w:rsidRPr="00CD6FB8">
        <w:t>). It</w:t>
      </w:r>
      <w:r>
        <w:t xml:space="preserve"> is not clear why this is the case, but it could indicate a different organisational focus that leads to </w:t>
      </w:r>
      <w:r w:rsidR="00BA693D">
        <w:t xml:space="preserve">either </w:t>
      </w:r>
      <w:r>
        <w:t>different human capability outcomes or differences in staff awareness of or focus on participants</w:t>
      </w:r>
      <w:r w:rsidR="00F8391B">
        <w:t>’</w:t>
      </w:r>
      <w:r>
        <w:t xml:space="preserve"> human capability outcomes.</w:t>
      </w:r>
    </w:p>
    <w:p w14:paraId="67C5B61B" w14:textId="6203E2F8" w:rsidR="006150C6" w:rsidRDefault="006150C6" w:rsidP="009251AF">
      <w:pPr>
        <w:pStyle w:val="Caption"/>
        <w:keepNext/>
        <w:rPr>
          <w:rFonts w:ascii="Calibri" w:hAnsi="Calibri" w:cs="Calibri"/>
          <w:szCs w:val="22"/>
        </w:rPr>
      </w:pPr>
      <w:bookmarkStart w:id="1986" w:name="_Ref119422126"/>
      <w:bookmarkStart w:id="1987" w:name="_Ref119421935"/>
      <w:bookmarkStart w:id="1988" w:name="_Toc132647857"/>
      <w:bookmarkStart w:id="1989" w:name="_Toc145883326"/>
      <w:bookmarkStart w:id="1990" w:name="_Hlk110422926"/>
      <w:bookmarkStart w:id="1991" w:name="_Hlk119420799"/>
      <w:r>
        <w:t xml:space="preserve">Figure </w:t>
      </w:r>
      <w:r w:rsidR="00BE71D4">
        <w:fldChar w:fldCharType="begin"/>
      </w:r>
      <w:r w:rsidR="00BE71D4">
        <w:instrText xml:space="preserve"> SEQ Figure \* ARABIC </w:instrText>
      </w:r>
      <w:r w:rsidR="00BE71D4">
        <w:fldChar w:fldCharType="separate"/>
      </w:r>
      <w:r w:rsidR="00180E14">
        <w:rPr>
          <w:noProof/>
        </w:rPr>
        <w:t>16</w:t>
      </w:r>
      <w:r w:rsidR="00BE71D4">
        <w:rPr>
          <w:noProof/>
        </w:rPr>
        <w:fldChar w:fldCharType="end"/>
      </w:r>
      <w:bookmarkEnd w:id="1986"/>
      <w:r>
        <w:t xml:space="preserve">: </w:t>
      </w:r>
      <w:r w:rsidRPr="0013480D">
        <w:t>Provider views on impact of TtW on participants</w:t>
      </w:r>
      <w:r w:rsidR="00BA693D">
        <w:t>’</w:t>
      </w:r>
      <w:r w:rsidRPr="0013480D">
        <w:t xml:space="preserve"> human capabilities, by profit status</w:t>
      </w:r>
      <w:r w:rsidR="00BA693D">
        <w:t xml:space="preserve"> (</w:t>
      </w:r>
      <w:r w:rsidRPr="0013480D">
        <w:t>% to a great extent/moderate extent)</w:t>
      </w:r>
      <w:bookmarkEnd w:id="1987"/>
      <w:bookmarkEnd w:id="1988"/>
      <w:bookmarkEnd w:id="1989"/>
    </w:p>
    <w:p w14:paraId="26E82285" w14:textId="44FE414A" w:rsidR="006150C6" w:rsidRPr="009251AF" w:rsidRDefault="00D23BA0" w:rsidP="00D23BA0">
      <w:pPr>
        <w:pStyle w:val="SourceandNotes"/>
        <w:rPr>
          <w:rStyle w:val="FigurefootnoteChar"/>
          <w:rFonts w:ascii="Calibri" w:hAnsi="Calibri"/>
        </w:rPr>
      </w:pPr>
      <w:r>
        <w:rPr>
          <w:rStyle w:val="FigurefootnoteChar"/>
          <w:rFonts w:ascii="Calibri" w:hAnsi="Calibri"/>
          <w:noProof/>
        </w:rPr>
        <w:drawing>
          <wp:inline distT="0" distB="0" distL="0" distR="0" wp14:anchorId="7385B317" wp14:editId="2AF8CA6F">
            <wp:extent cx="5657850" cy="1183005"/>
            <wp:effectExtent l="0" t="0" r="0" b="0"/>
            <wp:docPr id="45" name="Picture 45" descr="For profit: To a great extent 52.9%, To a moderate extent 47.1%&#10;Not for profit: To a great extent 78.9%, To a moderate extent 2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or profit: To a great extent 52.9%, To a moderate extent 47.1%&#10;Not for profit: To a great extent 78.9%, To a moderate extent 21.1%&#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7850" cy="1183005"/>
                    </a:xfrm>
                    <a:prstGeom prst="rect">
                      <a:avLst/>
                    </a:prstGeom>
                    <a:noFill/>
                  </pic:spPr>
                </pic:pic>
              </a:graphicData>
            </a:graphic>
          </wp:inline>
        </w:drawing>
      </w:r>
      <w:r w:rsidR="00450959">
        <w:rPr>
          <w:rStyle w:val="FigurefootnoteChar"/>
          <w:rFonts w:ascii="Calibri" w:hAnsi="Calibri"/>
        </w:rPr>
        <w:t>Source: Provider survey 2021</w:t>
      </w:r>
    </w:p>
    <w:p w14:paraId="215E255D" w14:textId="2036558F" w:rsidR="00F8391B" w:rsidRDefault="006150C6" w:rsidP="006150C6">
      <w:pPr>
        <w:pStyle w:val="SourceandNotes"/>
        <w:rPr>
          <w:rStyle w:val="FigurefootnoteChar"/>
          <w:rFonts w:ascii="Calibri" w:hAnsi="Calibri"/>
        </w:rPr>
      </w:pPr>
      <w:r w:rsidRPr="009251AF">
        <w:rPr>
          <w:rStyle w:val="FigurefootnoteChar"/>
          <w:rFonts w:ascii="Calibri" w:hAnsi="Calibri"/>
        </w:rPr>
        <w:t>Base: All respondents (n=278); For</w:t>
      </w:r>
      <w:r w:rsidR="00326E74">
        <w:rPr>
          <w:rStyle w:val="FigurefootnoteChar"/>
          <w:rFonts w:ascii="Calibri" w:hAnsi="Calibri"/>
        </w:rPr>
        <w:t>-</w:t>
      </w:r>
      <w:r w:rsidRPr="009251AF">
        <w:rPr>
          <w:rStyle w:val="FigurefootnoteChar"/>
          <w:rFonts w:ascii="Calibri" w:hAnsi="Calibri"/>
        </w:rPr>
        <w:t xml:space="preserve">profit </w:t>
      </w:r>
      <w:r w:rsidR="00326E74">
        <w:rPr>
          <w:rStyle w:val="FigurefootnoteChar"/>
          <w:rFonts w:ascii="Calibri" w:hAnsi="Calibri"/>
        </w:rPr>
        <w:t>(n=</w:t>
      </w:r>
      <w:r w:rsidRPr="009251AF">
        <w:rPr>
          <w:rStyle w:val="FigurefootnoteChar"/>
          <w:rFonts w:ascii="Calibri" w:hAnsi="Calibri"/>
        </w:rPr>
        <w:t xml:space="preserve">17); </w:t>
      </w:r>
      <w:r w:rsidR="00326E74">
        <w:rPr>
          <w:rStyle w:val="FigurefootnoteChar"/>
          <w:rFonts w:ascii="Calibri" w:hAnsi="Calibri"/>
        </w:rPr>
        <w:t>n</w:t>
      </w:r>
      <w:r w:rsidRPr="009251AF">
        <w:rPr>
          <w:rStyle w:val="FigurefootnoteChar"/>
          <w:rFonts w:ascii="Calibri" w:hAnsi="Calibri"/>
        </w:rPr>
        <w:t>ot-for-profit (n=261)</w:t>
      </w:r>
      <w:r w:rsidR="008D62FD">
        <w:rPr>
          <w:rStyle w:val="FigurefootnoteChar"/>
          <w:rFonts w:ascii="Calibri" w:hAnsi="Calibri"/>
        </w:rPr>
        <w:t>;</w:t>
      </w:r>
      <w:r w:rsidRPr="009251AF">
        <w:rPr>
          <w:rStyle w:val="FigurefootnoteChar"/>
          <w:rFonts w:ascii="Calibri" w:hAnsi="Calibri"/>
        </w:rPr>
        <w:t xml:space="preserve"> based on profit status from the department</w:t>
      </w:r>
      <w:r w:rsidR="00326E74">
        <w:rPr>
          <w:rStyle w:val="FigurefootnoteChar"/>
          <w:rFonts w:ascii="Calibri" w:hAnsi="Calibri"/>
        </w:rPr>
        <w:t>’</w:t>
      </w:r>
      <w:r w:rsidRPr="009251AF">
        <w:rPr>
          <w:rStyle w:val="FigurefootnoteChar"/>
          <w:rFonts w:ascii="Calibri" w:hAnsi="Calibri"/>
        </w:rPr>
        <w:t>s administrative data</w:t>
      </w:r>
    </w:p>
    <w:p w14:paraId="328113B2" w14:textId="50DEF6C0" w:rsidR="006150C6" w:rsidRPr="009251AF" w:rsidRDefault="006150C6" w:rsidP="006150C6">
      <w:pPr>
        <w:pStyle w:val="SourceandNotes"/>
        <w:rPr>
          <w:rStyle w:val="FigurefootnoteChar"/>
          <w:rFonts w:ascii="Calibri" w:hAnsi="Calibri"/>
        </w:rPr>
      </w:pPr>
      <w:r w:rsidRPr="009251AF">
        <w:rPr>
          <w:rStyle w:val="FigurefootnoteChar"/>
          <w:rFonts w:ascii="Calibri" w:hAnsi="Calibri"/>
        </w:rPr>
        <w:t xml:space="preserve">Q7.3 We can think about the confidence, motivation, </w:t>
      </w:r>
      <w:r w:rsidRPr="00CD7319">
        <w:rPr>
          <w:rStyle w:val="FigurefootnoteChar"/>
          <w:rFonts w:ascii="Calibri" w:hAnsi="Calibri"/>
        </w:rPr>
        <w:t>resilience</w:t>
      </w:r>
      <w:r w:rsidRPr="009251AF">
        <w:rPr>
          <w:rStyle w:val="FigurefootnoteChar"/>
          <w:rFonts w:ascii="Calibri" w:hAnsi="Calibri"/>
        </w:rPr>
        <w:t xml:space="preserve">, health and connectedness of TtW participants as their </w:t>
      </w:r>
      <w:r w:rsidR="00F8391B">
        <w:rPr>
          <w:rStyle w:val="FigurefootnoteChar"/>
          <w:rFonts w:ascii="Calibri" w:hAnsi="Calibri"/>
        </w:rPr>
        <w:t>‘</w:t>
      </w:r>
      <w:r w:rsidRPr="009251AF">
        <w:rPr>
          <w:rStyle w:val="FigurefootnoteChar"/>
          <w:rFonts w:ascii="Calibri" w:hAnsi="Calibri"/>
        </w:rPr>
        <w:t>human capabilities</w:t>
      </w:r>
      <w:r w:rsidR="00F8391B">
        <w:rPr>
          <w:rStyle w:val="FigurefootnoteChar"/>
          <w:rFonts w:ascii="Calibri" w:hAnsi="Calibri"/>
        </w:rPr>
        <w:t>’</w:t>
      </w:r>
      <w:r w:rsidRPr="009251AF">
        <w:rPr>
          <w:rStyle w:val="FigurefootnoteChar"/>
          <w:rFonts w:ascii="Calibri" w:hAnsi="Calibri"/>
        </w:rPr>
        <w:t>. To what extent do you think that TtW has a positive impact on the human capabilities of participants?</w:t>
      </w:r>
    </w:p>
    <w:bookmarkEnd w:id="1990"/>
    <w:bookmarkEnd w:id="1991"/>
    <w:p w14:paraId="1CDD632A" w14:textId="77777777" w:rsidR="006150C6" w:rsidRDefault="006150C6" w:rsidP="00023E59">
      <w:pPr>
        <w:pStyle w:val="Heading4"/>
        <w:numPr>
          <w:ilvl w:val="0"/>
          <w:numId w:val="0"/>
        </w:numPr>
        <w:ind w:left="864" w:hanging="864"/>
      </w:pPr>
      <w:r>
        <w:t>Frequency of contact with participants</w:t>
      </w:r>
    </w:p>
    <w:p w14:paraId="74321161" w14:textId="39FEA107" w:rsidR="006150C6" w:rsidRPr="000842C4" w:rsidRDefault="006150C6" w:rsidP="006150C6">
      <w:r>
        <w:t>Not surprisingly, where provider staff reported more frequent contact with participants (weekly scheduled contact, very frequent unscheduled contact, and very frequent/frequent post</w:t>
      </w:r>
      <w:r w:rsidR="00BA693D">
        <w:t>-</w:t>
      </w:r>
      <w:r>
        <w:t xml:space="preserve">program contact) they also reported </w:t>
      </w:r>
      <w:r w:rsidR="00BA693D">
        <w:t xml:space="preserve">that </w:t>
      </w:r>
      <w:r>
        <w:t>the TtW program had a greater positive impact on participants</w:t>
      </w:r>
      <w:r w:rsidR="00BA693D">
        <w:t>’</w:t>
      </w:r>
      <w:r>
        <w:t xml:space="preserve"> human </w:t>
      </w:r>
      <w:r w:rsidRPr="00CD6FB8">
        <w:t>capability</w:t>
      </w:r>
      <w:r>
        <w:t xml:space="preserve"> </w:t>
      </w:r>
      <w:r w:rsidRPr="00CD6FB8">
        <w:t>(</w:t>
      </w:r>
      <w:r w:rsidRPr="00C7240E">
        <w:rPr>
          <w:b/>
          <w:bCs/>
        </w:rPr>
        <w:fldChar w:fldCharType="begin"/>
      </w:r>
      <w:r w:rsidRPr="002A3123">
        <w:rPr>
          <w:b/>
          <w:bCs/>
        </w:rPr>
        <w:instrText xml:space="preserve"> REF _Ref119424106 \h </w:instrText>
      </w:r>
      <w:r w:rsidRPr="00CD7319">
        <w:rPr>
          <w:b/>
          <w:bCs/>
        </w:rPr>
        <w:instrText xml:space="preserve"> \* MERGEFORMAT </w:instrText>
      </w:r>
      <w:r w:rsidRPr="00C7240E">
        <w:rPr>
          <w:b/>
          <w:bCs/>
        </w:rPr>
      </w:r>
      <w:r w:rsidRPr="00C7240E">
        <w:rPr>
          <w:b/>
          <w:bCs/>
        </w:rPr>
        <w:fldChar w:fldCharType="separate"/>
      </w:r>
      <w:r w:rsidR="00180E14" w:rsidRPr="00180E14">
        <w:rPr>
          <w:b/>
          <w:bCs/>
        </w:rPr>
        <w:t xml:space="preserve">Figure </w:t>
      </w:r>
      <w:r w:rsidR="00180E14" w:rsidRPr="00180E14">
        <w:rPr>
          <w:b/>
          <w:bCs/>
          <w:noProof/>
        </w:rPr>
        <w:t>17</w:t>
      </w:r>
      <w:r w:rsidRPr="00C7240E">
        <w:rPr>
          <w:b/>
          <w:bCs/>
        </w:rPr>
        <w:fldChar w:fldCharType="end"/>
      </w:r>
      <w:r w:rsidRPr="002A3123">
        <w:rPr>
          <w:b/>
          <w:bCs/>
        </w:rPr>
        <w:t xml:space="preserve">, </w:t>
      </w:r>
      <w:r w:rsidRPr="00C7240E">
        <w:rPr>
          <w:b/>
          <w:bCs/>
        </w:rPr>
        <w:fldChar w:fldCharType="begin"/>
      </w:r>
      <w:r w:rsidRPr="002A3123">
        <w:rPr>
          <w:b/>
          <w:bCs/>
        </w:rPr>
        <w:instrText xml:space="preserve"> REF _Ref119424119 \h </w:instrText>
      </w:r>
      <w:r w:rsidRPr="00CD7319">
        <w:rPr>
          <w:b/>
          <w:bCs/>
        </w:rPr>
        <w:instrText xml:space="preserve"> \* MERGEFORMAT </w:instrText>
      </w:r>
      <w:r w:rsidRPr="00C7240E">
        <w:rPr>
          <w:b/>
          <w:bCs/>
        </w:rPr>
      </w:r>
      <w:r w:rsidRPr="00C7240E">
        <w:rPr>
          <w:b/>
          <w:bCs/>
        </w:rPr>
        <w:fldChar w:fldCharType="separate"/>
      </w:r>
      <w:r w:rsidR="00180E14" w:rsidRPr="00180E14">
        <w:rPr>
          <w:b/>
          <w:bCs/>
        </w:rPr>
        <w:t xml:space="preserve">Figure </w:t>
      </w:r>
      <w:r w:rsidR="00180E14" w:rsidRPr="00180E14">
        <w:rPr>
          <w:b/>
          <w:bCs/>
          <w:noProof/>
        </w:rPr>
        <w:t>18</w:t>
      </w:r>
      <w:r w:rsidRPr="00C7240E">
        <w:rPr>
          <w:b/>
          <w:bCs/>
        </w:rPr>
        <w:fldChar w:fldCharType="end"/>
      </w:r>
      <w:r w:rsidRPr="002A3123">
        <w:rPr>
          <w:b/>
          <w:bCs/>
        </w:rPr>
        <w:t xml:space="preserve"> </w:t>
      </w:r>
      <w:r w:rsidRPr="00CD7319">
        <w:t>and</w:t>
      </w:r>
      <w:r w:rsidRPr="002A3123">
        <w:rPr>
          <w:b/>
          <w:bCs/>
        </w:rPr>
        <w:t xml:space="preserve"> </w:t>
      </w:r>
      <w:r w:rsidRPr="00C7240E">
        <w:rPr>
          <w:b/>
          <w:bCs/>
        </w:rPr>
        <w:fldChar w:fldCharType="begin"/>
      </w:r>
      <w:r w:rsidRPr="002A3123">
        <w:rPr>
          <w:b/>
          <w:bCs/>
        </w:rPr>
        <w:instrText xml:space="preserve"> REF _Ref119424134 \h </w:instrText>
      </w:r>
      <w:r w:rsidRPr="00CD7319">
        <w:rPr>
          <w:b/>
          <w:bCs/>
        </w:rPr>
        <w:instrText xml:space="preserve"> \* MERGEFORMAT </w:instrText>
      </w:r>
      <w:r w:rsidRPr="00C7240E">
        <w:rPr>
          <w:b/>
          <w:bCs/>
        </w:rPr>
      </w:r>
      <w:r w:rsidRPr="00C7240E">
        <w:rPr>
          <w:b/>
          <w:bCs/>
        </w:rPr>
        <w:fldChar w:fldCharType="separate"/>
      </w:r>
      <w:r w:rsidR="00180E14" w:rsidRPr="00180E14">
        <w:rPr>
          <w:b/>
          <w:bCs/>
        </w:rPr>
        <w:t xml:space="preserve">Figure </w:t>
      </w:r>
      <w:r w:rsidR="00180E14" w:rsidRPr="00180E14">
        <w:rPr>
          <w:b/>
          <w:bCs/>
          <w:noProof/>
        </w:rPr>
        <w:t>19</w:t>
      </w:r>
      <w:r w:rsidRPr="00C7240E">
        <w:rPr>
          <w:b/>
          <w:bCs/>
        </w:rPr>
        <w:fldChar w:fldCharType="end"/>
      </w:r>
      <w:r w:rsidRPr="00CD6FB8">
        <w:t xml:space="preserve">). </w:t>
      </w:r>
      <w:r>
        <w:t xml:space="preserve">A very high proportion of respondents who reported very frequent unscheduled contact also reported an impact on human capabilities </w:t>
      </w:r>
      <w:r w:rsidR="00F8391B">
        <w:t>‘</w:t>
      </w:r>
      <w:r>
        <w:t>to a great extent</w:t>
      </w:r>
      <w:r w:rsidR="00F8391B">
        <w:t>’</w:t>
      </w:r>
      <w:r>
        <w:t xml:space="preserve"> (91%). This could be associated with the finding from the participant survey that frequency of contact being </w:t>
      </w:r>
      <w:r w:rsidR="00F8391B">
        <w:t>‘</w:t>
      </w:r>
      <w:r>
        <w:t>just right</w:t>
      </w:r>
      <w:r w:rsidR="00F8391B">
        <w:t>’</w:t>
      </w:r>
      <w:r>
        <w:t xml:space="preserve"> (as opposed to </w:t>
      </w:r>
      <w:r w:rsidR="00F8391B">
        <w:t>‘</w:t>
      </w:r>
      <w:r>
        <w:t>too much</w:t>
      </w:r>
      <w:r w:rsidR="00F8391B">
        <w:t>’</w:t>
      </w:r>
      <w:r>
        <w:t xml:space="preserve"> or </w:t>
      </w:r>
      <w:r w:rsidR="00F8391B">
        <w:t>‘</w:t>
      </w:r>
      <w:r>
        <w:t>too little</w:t>
      </w:r>
      <w:r w:rsidR="00F8391B">
        <w:t>’</w:t>
      </w:r>
      <w:r>
        <w:t>) was correlated with high outcomes in all of the human capability factors examined (</w:t>
      </w:r>
      <w:r w:rsidRPr="00CD7319">
        <w:rPr>
          <w:b/>
          <w:bCs/>
        </w:rPr>
        <w:fldChar w:fldCharType="begin"/>
      </w:r>
      <w:r w:rsidRPr="00CD7319">
        <w:rPr>
          <w:b/>
          <w:bCs/>
        </w:rPr>
        <w:instrText xml:space="preserve"> REF _Ref110963878 \h </w:instrText>
      </w:r>
      <w:r>
        <w:rPr>
          <w:b/>
          <w:bCs/>
        </w:rPr>
        <w:instrText xml:space="preserve"> \* MERGEFORMAT </w:instrText>
      </w:r>
      <w:r w:rsidRPr="00CD7319">
        <w:rPr>
          <w:b/>
          <w:bCs/>
        </w:rPr>
      </w:r>
      <w:r w:rsidRPr="00CD7319">
        <w:rPr>
          <w:b/>
          <w:bCs/>
        </w:rPr>
        <w:fldChar w:fldCharType="separate"/>
      </w:r>
      <w:r w:rsidR="00180E14" w:rsidRPr="00180E14">
        <w:rPr>
          <w:b/>
          <w:bCs/>
        </w:rPr>
        <w:t xml:space="preserve">Table </w:t>
      </w:r>
      <w:r w:rsidR="00180E14" w:rsidRPr="00180E14">
        <w:rPr>
          <w:b/>
          <w:bCs/>
          <w:noProof/>
        </w:rPr>
        <w:t>7</w:t>
      </w:r>
      <w:r w:rsidRPr="00CD7319">
        <w:rPr>
          <w:b/>
          <w:bCs/>
        </w:rPr>
        <w:fldChar w:fldCharType="end"/>
      </w:r>
      <w:r>
        <w:t xml:space="preserve"> above).</w:t>
      </w:r>
    </w:p>
    <w:p w14:paraId="3FD1AF3F" w14:textId="01B251A6" w:rsidR="006150C6" w:rsidRDefault="006150C6" w:rsidP="006150C6">
      <w:pPr>
        <w:pStyle w:val="Caption"/>
        <w:keepNext/>
      </w:pPr>
      <w:bookmarkStart w:id="1992" w:name="_Ref119424106"/>
      <w:bookmarkStart w:id="1993" w:name="_Toc132647858"/>
      <w:bookmarkStart w:id="1994" w:name="_Toc145883327"/>
      <w:bookmarkStart w:id="1995" w:name="_Hlk110423199"/>
      <w:bookmarkStart w:id="1996" w:name="_Hlk124849985"/>
      <w:r>
        <w:t xml:space="preserve">Figure </w:t>
      </w:r>
      <w:r w:rsidR="00BE71D4">
        <w:fldChar w:fldCharType="begin"/>
      </w:r>
      <w:r w:rsidR="00BE71D4">
        <w:instrText xml:space="preserve"> SEQ Figure \* ARABIC </w:instrText>
      </w:r>
      <w:r w:rsidR="00BE71D4">
        <w:fldChar w:fldCharType="separate"/>
      </w:r>
      <w:r w:rsidR="00180E14">
        <w:rPr>
          <w:noProof/>
        </w:rPr>
        <w:t>17</w:t>
      </w:r>
      <w:r w:rsidR="00BE71D4">
        <w:rPr>
          <w:noProof/>
        </w:rPr>
        <w:fldChar w:fldCharType="end"/>
      </w:r>
      <w:bookmarkEnd w:id="1992"/>
      <w:r>
        <w:t>: Provider views on i</w:t>
      </w:r>
      <w:r w:rsidRPr="00342484">
        <w:t>mpact of TtW on participants</w:t>
      </w:r>
      <w:r w:rsidR="00BA693D">
        <w:t>’</w:t>
      </w:r>
      <w:r w:rsidRPr="00342484">
        <w:t xml:space="preserve"> human capabilities, by scheduled contact</w:t>
      </w:r>
      <w:r w:rsidR="00BA693D">
        <w:t xml:space="preserve"> (</w:t>
      </w:r>
      <w:r>
        <w:t>% to a great extent/moderate extent)</w:t>
      </w:r>
      <w:bookmarkEnd w:id="1993"/>
      <w:bookmarkEnd w:id="1994"/>
    </w:p>
    <w:bookmarkEnd w:id="1995"/>
    <w:p w14:paraId="3E1862F7" w14:textId="0201C163" w:rsidR="006150C6" w:rsidRDefault="00D23BA0" w:rsidP="006150C6">
      <w:pPr>
        <w:pStyle w:val="SourceandNotes"/>
      </w:pPr>
      <w:r>
        <w:rPr>
          <w:rStyle w:val="FigurefootnoteChar"/>
          <w:rFonts w:ascii="Calibri" w:hAnsi="Calibri"/>
          <w:noProof/>
        </w:rPr>
        <w:drawing>
          <wp:inline distT="0" distB="0" distL="0" distR="0" wp14:anchorId="4A42B69F" wp14:editId="52BFF29D">
            <wp:extent cx="5730875" cy="1597025"/>
            <wp:effectExtent l="0" t="0" r="0" b="0"/>
            <wp:docPr id="51" name="Picture 51" descr="Fortnightly: To a great extent 75.2%, To a moderate extent 24.8%&#10;Weekly: To a great extent 82.4%, To a moderate extent 17.6%&#10;Other amount/it varies: To a great extent 73.8%, To a moderate extent 2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Fortnightly: To a great extent 75.2%, To a moderate extent 24.8%&#10;Weekly: To a great extent 82.4%, To a moderate extent 17.6%&#10;Other amount/it varies: To a great extent 73.8%, To a moderate extent 26.2%&#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1597025"/>
                    </a:xfrm>
                    <a:prstGeom prst="rect">
                      <a:avLst/>
                    </a:prstGeom>
                    <a:noFill/>
                  </pic:spPr>
                </pic:pic>
              </a:graphicData>
            </a:graphic>
          </wp:inline>
        </w:drawing>
      </w:r>
      <w:r w:rsidR="00450959">
        <w:rPr>
          <w:rStyle w:val="FigurefootnoteChar"/>
          <w:rFonts w:ascii="Calibri" w:hAnsi="Calibri"/>
        </w:rPr>
        <w:t>Source: Provider survey 2021</w:t>
      </w:r>
      <w:r w:rsidR="006150C6">
        <w:t xml:space="preserve"> </w:t>
      </w:r>
    </w:p>
    <w:p w14:paraId="48996A3B" w14:textId="1864A1F3" w:rsidR="006150C6" w:rsidRDefault="006150C6" w:rsidP="006150C6">
      <w:pPr>
        <w:pStyle w:val="SourceandNotes"/>
      </w:pPr>
      <w:r>
        <w:t xml:space="preserve">Base: All </w:t>
      </w:r>
      <w:r w:rsidRPr="00BC4A6A">
        <w:t>respondents (n=</w:t>
      </w:r>
      <w:r>
        <w:t xml:space="preserve">278); Monthly (n=3), Fortnightly (n=149), Weekly (n=85), Other amount/It varies (n=39); based on responses to </w:t>
      </w:r>
      <w:r w:rsidR="00326E74">
        <w:t>Q</w:t>
      </w:r>
      <w:r>
        <w:t xml:space="preserve">5.3; 2 responses of </w:t>
      </w:r>
      <w:r w:rsidR="00326E74">
        <w:t>‘</w:t>
      </w:r>
      <w:r>
        <w:t>Don</w:t>
      </w:r>
      <w:r w:rsidR="00F8391B">
        <w:t>’</w:t>
      </w:r>
      <w:r>
        <w:t>t know (to a great extent)</w:t>
      </w:r>
      <w:r w:rsidR="00326E74">
        <w:t>’</w:t>
      </w:r>
      <w:r>
        <w:t xml:space="preserve"> are not shown</w:t>
      </w:r>
      <w:r w:rsidR="00326E74">
        <w:t>.</w:t>
      </w:r>
    </w:p>
    <w:p w14:paraId="62FC5E67" w14:textId="77777777" w:rsidR="00F8391B" w:rsidRDefault="006150C6" w:rsidP="006150C6">
      <w:pPr>
        <w:pStyle w:val="SourceandNotes"/>
      </w:pPr>
      <w:r>
        <w:t>Q5.3 How often, on average, do staff at the [site name] site have scheduled appointments with each participant?</w:t>
      </w:r>
    </w:p>
    <w:p w14:paraId="408D44BB" w14:textId="5F86AF73" w:rsidR="006150C6" w:rsidRDefault="006150C6" w:rsidP="006150C6">
      <w:pPr>
        <w:pStyle w:val="SourceandNotes"/>
      </w:pPr>
      <w:r w:rsidRPr="00BC4A6A">
        <w:lastRenderedPageBreak/>
        <w:t>Q</w:t>
      </w:r>
      <w:r>
        <w:t xml:space="preserve">7.3 We can think about the confidence, motivation, resilience, health and connectedness of TtW participants as their </w:t>
      </w:r>
      <w:r w:rsidR="00F8391B">
        <w:t>‘</w:t>
      </w:r>
      <w:r>
        <w:t>human capabilities</w:t>
      </w:r>
      <w:r w:rsidR="00F8391B">
        <w:t>’</w:t>
      </w:r>
      <w:r>
        <w:t>. To what extent do you think that TtW has a positive impact on the human capabilities of participants?</w:t>
      </w:r>
    </w:p>
    <w:p w14:paraId="069297F9" w14:textId="5B24EA31" w:rsidR="006150C6" w:rsidRDefault="006150C6" w:rsidP="006150C6">
      <w:pPr>
        <w:pStyle w:val="Caption"/>
        <w:keepNext/>
      </w:pPr>
      <w:bookmarkStart w:id="1997" w:name="_Ref119424119"/>
      <w:bookmarkStart w:id="1998" w:name="_Toc132647859"/>
      <w:bookmarkStart w:id="1999" w:name="_Toc145883328"/>
      <w:bookmarkStart w:id="2000" w:name="_Hlk110423214"/>
      <w:bookmarkStart w:id="2001" w:name="_Hlk119423048"/>
      <w:bookmarkStart w:id="2002" w:name="_Hlk124849995"/>
      <w:bookmarkEnd w:id="1996"/>
      <w:r>
        <w:t xml:space="preserve">Figure </w:t>
      </w:r>
      <w:r w:rsidR="00BE71D4">
        <w:fldChar w:fldCharType="begin"/>
      </w:r>
      <w:r w:rsidR="00BE71D4">
        <w:instrText xml:space="preserve"> SEQ Figure \* ARABIC </w:instrText>
      </w:r>
      <w:r w:rsidR="00BE71D4">
        <w:fldChar w:fldCharType="separate"/>
      </w:r>
      <w:r w:rsidR="00180E14">
        <w:rPr>
          <w:noProof/>
        </w:rPr>
        <w:t>18</w:t>
      </w:r>
      <w:r w:rsidR="00BE71D4">
        <w:rPr>
          <w:noProof/>
        </w:rPr>
        <w:fldChar w:fldCharType="end"/>
      </w:r>
      <w:bookmarkEnd w:id="1997"/>
      <w:r>
        <w:t>: Provider views on i</w:t>
      </w:r>
      <w:r w:rsidRPr="004F4D52">
        <w:t>mpact of TtW on participants</w:t>
      </w:r>
      <w:r w:rsidR="00BA693D">
        <w:t>’</w:t>
      </w:r>
      <w:r w:rsidRPr="004F4D52">
        <w:t xml:space="preserve"> human capabilities, by unscheduled contact </w:t>
      </w:r>
      <w:r>
        <w:t>(% to a great extent/moderate extent)</w:t>
      </w:r>
      <w:bookmarkEnd w:id="1998"/>
      <w:bookmarkEnd w:id="1999"/>
    </w:p>
    <w:bookmarkEnd w:id="2000"/>
    <w:p w14:paraId="40DCDD5C" w14:textId="58D62A3F" w:rsidR="006150C6" w:rsidRDefault="00D23BA0" w:rsidP="006150C6">
      <w:pPr>
        <w:pStyle w:val="SourceandNotes"/>
      </w:pPr>
      <w:r>
        <w:rPr>
          <w:rStyle w:val="FigurefootnoteChar"/>
          <w:rFonts w:ascii="Calibri" w:hAnsi="Calibri"/>
          <w:noProof/>
        </w:rPr>
        <w:drawing>
          <wp:inline distT="0" distB="0" distL="0" distR="0" wp14:anchorId="4C4DD2FC" wp14:editId="280CE968">
            <wp:extent cx="5614670" cy="1511935"/>
            <wp:effectExtent l="0" t="0" r="0" b="0"/>
            <wp:docPr id="53" name="Picture 53" descr="Very frequently: To a great extent 91.1%, To a moderate extent 8.9%&#10;Frequently: To a great extent 77.8%, To a moderate extent 22.2%&#10;Occasionally: To a great extent 67.1%, To a moderate extent 3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Very frequently: To a great extent 91.1%, To a moderate extent 8.9%&#10;Frequently: To a great extent 77.8%, To a moderate extent 22.2%&#10;Occasionally: To a great extent 67.1%, To a moderate extent 32.9%&#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4670" cy="1511935"/>
                    </a:xfrm>
                    <a:prstGeom prst="rect">
                      <a:avLst/>
                    </a:prstGeom>
                    <a:noFill/>
                  </pic:spPr>
                </pic:pic>
              </a:graphicData>
            </a:graphic>
          </wp:inline>
        </w:drawing>
      </w:r>
      <w:r w:rsidR="00450959">
        <w:rPr>
          <w:rStyle w:val="FigurefootnoteChar"/>
          <w:rFonts w:ascii="Calibri" w:hAnsi="Calibri"/>
        </w:rPr>
        <w:t>Source: Provider survey 2021</w:t>
      </w:r>
      <w:r w:rsidR="006150C6">
        <w:t xml:space="preserve"> </w:t>
      </w:r>
    </w:p>
    <w:p w14:paraId="6873605C" w14:textId="739D564B" w:rsidR="00F8391B" w:rsidRDefault="006150C6" w:rsidP="006150C6">
      <w:pPr>
        <w:pStyle w:val="SourceandNotes"/>
      </w:pPr>
      <w:r w:rsidRPr="00BF7EEF">
        <w:t xml:space="preserve">Base: All respondents (n=278); Very frequently (n=45) Frequently (n=158) Occasionally (n=73); based on responses to </w:t>
      </w:r>
      <w:r w:rsidR="00326E74">
        <w:t>Q</w:t>
      </w:r>
      <w:r w:rsidRPr="00BF7EEF">
        <w:t>7.3; 2</w:t>
      </w:r>
      <w:r w:rsidR="00F8391B">
        <w:t> </w:t>
      </w:r>
      <w:r w:rsidRPr="00BF7EEF">
        <w:t xml:space="preserve">responses of </w:t>
      </w:r>
      <w:r w:rsidR="00326E74">
        <w:t>‘</w:t>
      </w:r>
      <w:r w:rsidRPr="00BF7EEF">
        <w:t>Rarely</w:t>
      </w:r>
      <w:r w:rsidR="00326E74">
        <w:t>’</w:t>
      </w:r>
      <w:r w:rsidRPr="00BF7EEF">
        <w:t xml:space="preserve"> and </w:t>
      </w:r>
      <w:r w:rsidR="00326E74">
        <w:t>‘</w:t>
      </w:r>
      <w:r w:rsidRPr="00BF7EEF">
        <w:t>Don</w:t>
      </w:r>
      <w:r w:rsidR="00F8391B">
        <w:t>’</w:t>
      </w:r>
      <w:r w:rsidRPr="00BF7EEF">
        <w:t>t know</w:t>
      </w:r>
      <w:r w:rsidR="00326E74">
        <w:t>’</w:t>
      </w:r>
      <w:r w:rsidRPr="00BF7EEF">
        <w:t xml:space="preserve"> to </w:t>
      </w:r>
      <w:r w:rsidR="00326E74">
        <w:t>Q</w:t>
      </w:r>
      <w:r w:rsidRPr="00BF7EEF">
        <w:t>5.4 are not shown</w:t>
      </w:r>
      <w:r w:rsidR="00326E74">
        <w:t>.</w:t>
      </w:r>
    </w:p>
    <w:p w14:paraId="70FD09D6" w14:textId="6647B839" w:rsidR="00F8391B" w:rsidRDefault="006150C6" w:rsidP="006150C6">
      <w:pPr>
        <w:pStyle w:val="SourceandNotes"/>
      </w:pPr>
      <w:r w:rsidRPr="00BF7EEF">
        <w:t>Q5.4 How often, on average, do staff at the [site name] site have contact with participants other than at their scheduled appointments?</w:t>
      </w:r>
    </w:p>
    <w:p w14:paraId="7424EB36" w14:textId="6243CFEE" w:rsidR="006150C6" w:rsidRPr="00BF7EEF" w:rsidRDefault="006150C6" w:rsidP="006150C6">
      <w:pPr>
        <w:pStyle w:val="SourceandNotes"/>
      </w:pPr>
      <w:r w:rsidRPr="00BF7EEF">
        <w:t>Q7</w:t>
      </w:r>
      <w:r>
        <w:t>.</w:t>
      </w:r>
      <w:r w:rsidRPr="00BF7EEF">
        <w:t xml:space="preserve">3 We can think about the confidence, motivation, resilience, health and connectedness of TtW participants as their </w:t>
      </w:r>
      <w:r w:rsidR="00F8391B">
        <w:t>‘</w:t>
      </w:r>
      <w:r w:rsidRPr="00BF7EEF">
        <w:t>human capabilities</w:t>
      </w:r>
      <w:r w:rsidR="00F8391B">
        <w:t>’</w:t>
      </w:r>
      <w:r w:rsidRPr="00BF7EEF">
        <w:t>. To what extent do you think that TtW has a positive impact on the human capabilities of participants?</w:t>
      </w:r>
    </w:p>
    <w:p w14:paraId="476059D2" w14:textId="024505AA" w:rsidR="006150C6" w:rsidRDefault="006150C6" w:rsidP="006150C6">
      <w:pPr>
        <w:pStyle w:val="Caption"/>
        <w:keepNext/>
      </w:pPr>
      <w:bookmarkStart w:id="2003" w:name="_Ref119424134"/>
      <w:bookmarkStart w:id="2004" w:name="_Toc132647860"/>
      <w:bookmarkStart w:id="2005" w:name="_Toc145883329"/>
      <w:bookmarkStart w:id="2006" w:name="_Hlk110423230"/>
      <w:bookmarkEnd w:id="2001"/>
      <w:r>
        <w:t xml:space="preserve">Figure </w:t>
      </w:r>
      <w:r w:rsidR="00BE71D4">
        <w:fldChar w:fldCharType="begin"/>
      </w:r>
      <w:r w:rsidR="00BE71D4">
        <w:instrText xml:space="preserve"> SEQ Figure \* ARABIC </w:instrText>
      </w:r>
      <w:r w:rsidR="00BE71D4">
        <w:fldChar w:fldCharType="separate"/>
      </w:r>
      <w:r w:rsidR="00180E14">
        <w:rPr>
          <w:noProof/>
        </w:rPr>
        <w:t>19</w:t>
      </w:r>
      <w:r w:rsidR="00BE71D4">
        <w:rPr>
          <w:noProof/>
        </w:rPr>
        <w:fldChar w:fldCharType="end"/>
      </w:r>
      <w:bookmarkEnd w:id="2003"/>
      <w:r>
        <w:rPr>
          <w:noProof/>
        </w:rPr>
        <w:t xml:space="preserve">: </w:t>
      </w:r>
      <w:r>
        <w:t>Provider views on i</w:t>
      </w:r>
      <w:r w:rsidRPr="00311103">
        <w:t>mpact of TtW on participant</w:t>
      </w:r>
      <w:r w:rsidR="00F8391B">
        <w:t>’</w:t>
      </w:r>
      <w:r w:rsidRPr="00311103">
        <w:t>s human capabilities, by post program contact</w:t>
      </w:r>
      <w:r w:rsidR="00BA693D">
        <w:t xml:space="preserve"> (</w:t>
      </w:r>
      <w:r>
        <w:t>% to a great extent/moderate extent)</w:t>
      </w:r>
      <w:bookmarkEnd w:id="2004"/>
      <w:bookmarkEnd w:id="2005"/>
    </w:p>
    <w:bookmarkEnd w:id="2006"/>
    <w:p w14:paraId="2486CE12" w14:textId="77A8D382" w:rsidR="006150C6" w:rsidRDefault="00D23BA0" w:rsidP="006150C6">
      <w:pPr>
        <w:pStyle w:val="SourceandNotes"/>
      </w:pPr>
      <w:r>
        <w:rPr>
          <w:rStyle w:val="FigurefootnoteChar"/>
          <w:rFonts w:ascii="Calibri" w:hAnsi="Calibri"/>
          <w:noProof/>
        </w:rPr>
        <w:drawing>
          <wp:inline distT="0" distB="0" distL="0" distR="0" wp14:anchorId="33821E86" wp14:editId="613F4716">
            <wp:extent cx="5773420" cy="1554480"/>
            <wp:effectExtent l="0" t="0" r="0" b="0"/>
            <wp:docPr id="60" name="Picture 60" descr="Very frequently/frequently: To a great extent 80.4%, To a moderate extent 19.2%&#10;Occasionally: To a great extent 75.6%, To a moderate extent 24.4%&#10;Very rarely/rarely: To a great extent 77.8%, To a moderate extent 2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Very frequently/frequently: To a great extent 80.4%, To a moderate extent 19.2%&#10;Occasionally: To a great extent 75.6%, To a moderate extent 24.4%&#10;Very rarely/rarely: To a great extent 77.8%, To a moderate extent 22.2%&#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3420" cy="1554480"/>
                    </a:xfrm>
                    <a:prstGeom prst="rect">
                      <a:avLst/>
                    </a:prstGeom>
                    <a:noFill/>
                  </pic:spPr>
                </pic:pic>
              </a:graphicData>
            </a:graphic>
          </wp:inline>
        </w:drawing>
      </w:r>
      <w:r w:rsidR="00450959">
        <w:rPr>
          <w:rStyle w:val="FigurefootnoteChar"/>
          <w:rFonts w:ascii="Calibri" w:hAnsi="Calibri"/>
        </w:rPr>
        <w:t>Source: Provider survey 2021</w:t>
      </w:r>
      <w:r w:rsidR="006150C6">
        <w:t xml:space="preserve"> </w:t>
      </w:r>
    </w:p>
    <w:p w14:paraId="629C5F3B" w14:textId="4A97FDB1" w:rsidR="006150C6" w:rsidRPr="00BF7EEF" w:rsidRDefault="006150C6" w:rsidP="006150C6">
      <w:pPr>
        <w:pStyle w:val="SourceandNotes"/>
      </w:pPr>
      <w:r w:rsidRPr="00BF7EEF">
        <w:t xml:space="preserve">Base: All respondents (n=278); </w:t>
      </w:r>
      <w:r w:rsidRPr="00BF7EEF">
        <w:rPr>
          <w:rStyle w:val="FigurefootnoteChar"/>
          <w:rFonts w:asciiTheme="minorHAnsi" w:eastAsiaTheme="minorHAnsi" w:hAnsiTheme="minorHAnsi"/>
        </w:rPr>
        <w:t xml:space="preserve">Very frequently (n=10) Frequently (n=42) Occasionally (n=160), Rarely (n=36), Very rarely (n=27); based on responses to </w:t>
      </w:r>
      <w:r w:rsidR="00326E74">
        <w:rPr>
          <w:rStyle w:val="FigurefootnoteChar"/>
          <w:rFonts w:asciiTheme="minorHAnsi" w:eastAsiaTheme="minorHAnsi" w:hAnsiTheme="minorHAnsi"/>
        </w:rPr>
        <w:t>Q</w:t>
      </w:r>
      <w:r w:rsidRPr="00BF7EEF">
        <w:rPr>
          <w:rStyle w:val="FigurefootnoteChar"/>
          <w:rFonts w:asciiTheme="minorHAnsi" w:eastAsiaTheme="minorHAnsi" w:hAnsiTheme="minorHAnsi"/>
        </w:rPr>
        <w:t xml:space="preserve">7.3; </w:t>
      </w:r>
      <w:r>
        <w:rPr>
          <w:rStyle w:val="FigurefootnoteChar"/>
          <w:rFonts w:asciiTheme="minorHAnsi" w:eastAsiaTheme="minorHAnsi" w:hAnsiTheme="minorHAnsi"/>
        </w:rPr>
        <w:t>3</w:t>
      </w:r>
      <w:r w:rsidRPr="00BF7EEF">
        <w:rPr>
          <w:rStyle w:val="FigurefootnoteChar"/>
          <w:rFonts w:asciiTheme="minorHAnsi" w:eastAsiaTheme="minorHAnsi" w:hAnsiTheme="minorHAnsi"/>
        </w:rPr>
        <w:t xml:space="preserve"> responses of </w:t>
      </w:r>
      <w:r w:rsidR="00326E74">
        <w:rPr>
          <w:rStyle w:val="FigurefootnoteChar"/>
          <w:rFonts w:asciiTheme="minorHAnsi" w:eastAsiaTheme="minorHAnsi" w:hAnsiTheme="minorHAnsi"/>
        </w:rPr>
        <w:t>‘</w:t>
      </w:r>
      <w:r w:rsidRPr="00BF7EEF">
        <w:rPr>
          <w:rStyle w:val="FigurefootnoteChar"/>
          <w:rFonts w:asciiTheme="minorHAnsi" w:eastAsiaTheme="minorHAnsi" w:hAnsiTheme="minorHAnsi"/>
        </w:rPr>
        <w:t>Never</w:t>
      </w:r>
      <w:r w:rsidR="00326E74">
        <w:rPr>
          <w:rStyle w:val="FigurefootnoteChar"/>
          <w:rFonts w:asciiTheme="minorHAnsi" w:eastAsiaTheme="minorHAnsi" w:hAnsiTheme="minorHAnsi"/>
        </w:rPr>
        <w:t>’</w:t>
      </w:r>
      <w:r w:rsidRPr="00BF7EEF">
        <w:rPr>
          <w:rStyle w:val="FigurefootnoteChar"/>
          <w:rFonts w:asciiTheme="minorHAnsi" w:eastAsiaTheme="minorHAnsi" w:hAnsiTheme="minorHAnsi"/>
        </w:rPr>
        <w:t xml:space="preserve"> and </w:t>
      </w:r>
      <w:r w:rsidR="00326E74">
        <w:rPr>
          <w:rStyle w:val="FigurefootnoteChar"/>
          <w:rFonts w:asciiTheme="minorHAnsi" w:eastAsiaTheme="minorHAnsi" w:hAnsiTheme="minorHAnsi"/>
        </w:rPr>
        <w:t>‘</w:t>
      </w:r>
      <w:r w:rsidRPr="00BF7EEF">
        <w:rPr>
          <w:rStyle w:val="FigurefootnoteChar"/>
          <w:rFonts w:asciiTheme="minorHAnsi" w:eastAsiaTheme="minorHAnsi" w:hAnsiTheme="minorHAnsi"/>
        </w:rPr>
        <w:t>Don</w:t>
      </w:r>
      <w:r w:rsidR="00F8391B">
        <w:rPr>
          <w:rStyle w:val="FigurefootnoteChar"/>
          <w:rFonts w:asciiTheme="minorHAnsi" w:eastAsiaTheme="minorHAnsi" w:hAnsiTheme="minorHAnsi"/>
        </w:rPr>
        <w:t>’</w:t>
      </w:r>
      <w:r w:rsidRPr="00BF7EEF">
        <w:rPr>
          <w:rStyle w:val="FigurefootnoteChar"/>
          <w:rFonts w:asciiTheme="minorHAnsi" w:eastAsiaTheme="minorHAnsi" w:hAnsiTheme="minorHAnsi"/>
        </w:rPr>
        <w:t>t know</w:t>
      </w:r>
      <w:r w:rsidR="00326E74">
        <w:rPr>
          <w:rStyle w:val="FigurefootnoteChar"/>
          <w:rFonts w:asciiTheme="minorHAnsi" w:eastAsiaTheme="minorHAnsi" w:hAnsiTheme="minorHAnsi"/>
        </w:rPr>
        <w:t>’</w:t>
      </w:r>
      <w:r w:rsidRPr="00BF7EEF">
        <w:rPr>
          <w:rStyle w:val="FigurefootnoteChar"/>
          <w:rFonts w:asciiTheme="minorHAnsi" w:eastAsiaTheme="minorHAnsi" w:hAnsiTheme="minorHAnsi"/>
        </w:rPr>
        <w:t xml:space="preserve"> to </w:t>
      </w:r>
      <w:r w:rsidR="00326E74">
        <w:rPr>
          <w:rStyle w:val="FigurefootnoteChar"/>
          <w:rFonts w:asciiTheme="minorHAnsi" w:eastAsiaTheme="minorHAnsi" w:hAnsiTheme="minorHAnsi"/>
        </w:rPr>
        <w:t>Q</w:t>
      </w:r>
      <w:r w:rsidRPr="00BF7EEF">
        <w:rPr>
          <w:rStyle w:val="FigurefootnoteChar"/>
          <w:rFonts w:asciiTheme="minorHAnsi" w:eastAsiaTheme="minorHAnsi" w:hAnsiTheme="minorHAnsi"/>
        </w:rPr>
        <w:t>3.19 are not shown</w:t>
      </w:r>
      <w:r w:rsidR="00326E74">
        <w:rPr>
          <w:rStyle w:val="FigurefootnoteChar"/>
          <w:rFonts w:asciiTheme="minorHAnsi" w:eastAsiaTheme="minorHAnsi" w:hAnsiTheme="minorHAnsi"/>
        </w:rPr>
        <w:t>.</w:t>
      </w:r>
    </w:p>
    <w:p w14:paraId="079C8B43" w14:textId="77777777" w:rsidR="00F8391B" w:rsidRDefault="006150C6" w:rsidP="006150C6">
      <w:pPr>
        <w:pStyle w:val="SourceandNotes"/>
      </w:pPr>
      <w:r w:rsidRPr="00BF7EEF">
        <w:t>Q3.19 How frequently do you have any contact with participants after they have exited the TtW program?</w:t>
      </w:r>
    </w:p>
    <w:p w14:paraId="23FE3A58" w14:textId="081EEFE4" w:rsidR="006150C6" w:rsidRDefault="006150C6" w:rsidP="006150C6">
      <w:pPr>
        <w:pStyle w:val="SourceandNotes"/>
      </w:pPr>
      <w:r w:rsidRPr="00BF7EEF">
        <w:t>Q7</w:t>
      </w:r>
      <w:r>
        <w:t>.</w:t>
      </w:r>
      <w:r w:rsidRPr="00BF7EEF">
        <w:t xml:space="preserve">3 We can think about the confidence, motivation, resilience, health and connectedness of TtW participants as their </w:t>
      </w:r>
      <w:r w:rsidR="00F8391B">
        <w:t>‘</w:t>
      </w:r>
      <w:r w:rsidRPr="00BF7EEF">
        <w:t>human capabilities</w:t>
      </w:r>
      <w:r w:rsidR="00F8391B">
        <w:t>’</w:t>
      </w:r>
      <w:r w:rsidRPr="00BF7EEF">
        <w:t>. To what extent do you think that TtW has a positive impact on the human capabilities of participants?</w:t>
      </w:r>
    </w:p>
    <w:bookmarkEnd w:id="2002"/>
    <w:p w14:paraId="6B1108A0" w14:textId="77777777" w:rsidR="006150C6" w:rsidRDefault="006150C6" w:rsidP="00023E59">
      <w:pPr>
        <w:pStyle w:val="Heading4"/>
        <w:numPr>
          <w:ilvl w:val="0"/>
          <w:numId w:val="0"/>
        </w:numPr>
        <w:ind w:left="864" w:hanging="864"/>
      </w:pPr>
      <w:r>
        <w:t>Site size and use of specialist staff</w:t>
      </w:r>
    </w:p>
    <w:p w14:paraId="0784C6FB" w14:textId="62A80BCA" w:rsidR="006150C6" w:rsidRDefault="006150C6" w:rsidP="006150C6">
      <w:r>
        <w:t>Respondents from sites with larger caseloads or more staff were more likely to feel the program impacted participants</w:t>
      </w:r>
      <w:r w:rsidR="00F8391B">
        <w:t>’</w:t>
      </w:r>
      <w:r>
        <w:t xml:space="preserve"> human capabilities to a </w:t>
      </w:r>
      <w:r w:rsidR="00F8391B">
        <w:t>‘</w:t>
      </w:r>
      <w:r>
        <w:t>great extent</w:t>
      </w:r>
      <w:r w:rsidR="00F8391B">
        <w:t>’</w:t>
      </w:r>
      <w:r>
        <w:t xml:space="preserve"> than those from smaller sites. More respondents from sites with caseloads </w:t>
      </w:r>
      <w:r w:rsidR="009F1529">
        <w:t xml:space="preserve">larger </w:t>
      </w:r>
      <w:r>
        <w:t>than 120 (82%) felt the program impacted participants</w:t>
      </w:r>
      <w:r w:rsidR="00F8391B">
        <w:t>’</w:t>
      </w:r>
      <w:r>
        <w:t xml:space="preserve"> human capabilities to a </w:t>
      </w:r>
      <w:r w:rsidR="00F8391B">
        <w:t>‘</w:t>
      </w:r>
      <w:r>
        <w:t>great extent</w:t>
      </w:r>
      <w:r w:rsidR="00F8391B">
        <w:t>’</w:t>
      </w:r>
      <w:r>
        <w:t xml:space="preserve"> compared to around 74% of respondents from smaller sites. Similarly, 86% of respondents from sites with </w:t>
      </w:r>
      <w:r w:rsidR="00F8391B">
        <w:t>6</w:t>
      </w:r>
      <w:r>
        <w:t xml:space="preserve"> or more staff had this view compared to around 76% of sites with </w:t>
      </w:r>
      <w:r w:rsidR="00BA693D">
        <w:t>5 or fewer</w:t>
      </w:r>
      <w:r>
        <w:t xml:space="preserve"> staff</w:t>
      </w:r>
      <w:r w:rsidR="00D10B9E">
        <w:t xml:space="preserve"> </w:t>
      </w:r>
      <w:r>
        <w:t>(</w:t>
      </w:r>
      <w:r w:rsidR="00D10B9E" w:rsidRPr="00D10B9E">
        <w:rPr>
          <w:b/>
          <w:bCs/>
        </w:rPr>
        <w:fldChar w:fldCharType="begin"/>
      </w:r>
      <w:r w:rsidR="00D10B9E" w:rsidRPr="00D10B9E">
        <w:rPr>
          <w:b/>
          <w:bCs/>
        </w:rPr>
        <w:instrText xml:space="preserve"> REF _Ref124860253 \h </w:instrText>
      </w:r>
      <w:r w:rsidR="00D10B9E">
        <w:rPr>
          <w:b/>
          <w:bCs/>
        </w:rPr>
        <w:instrText xml:space="preserve"> \* MERGEFORMAT </w:instrText>
      </w:r>
      <w:r w:rsidR="00D10B9E" w:rsidRPr="00D10B9E">
        <w:rPr>
          <w:b/>
          <w:bCs/>
        </w:rPr>
      </w:r>
      <w:r w:rsidR="00D10B9E" w:rsidRPr="00D10B9E">
        <w:rPr>
          <w:b/>
          <w:bCs/>
        </w:rPr>
        <w:fldChar w:fldCharType="separate"/>
      </w:r>
      <w:r w:rsidR="00180E14" w:rsidRPr="00180E14">
        <w:rPr>
          <w:b/>
          <w:bCs/>
        </w:rPr>
        <w:t xml:space="preserve">Figure </w:t>
      </w:r>
      <w:r w:rsidR="00180E14" w:rsidRPr="00180E14">
        <w:rPr>
          <w:b/>
          <w:bCs/>
          <w:noProof/>
        </w:rPr>
        <w:t>20</w:t>
      </w:r>
      <w:r w:rsidR="00D10B9E" w:rsidRPr="00D10B9E">
        <w:rPr>
          <w:b/>
          <w:bCs/>
        </w:rPr>
        <w:fldChar w:fldCharType="end"/>
      </w:r>
      <w:r w:rsidR="00D10B9E">
        <w:t xml:space="preserve"> </w:t>
      </w:r>
      <w:r w:rsidRPr="004A440A">
        <w:t>and</w:t>
      </w:r>
      <w:r w:rsidR="00D10B9E">
        <w:t xml:space="preserve"> </w:t>
      </w:r>
      <w:r w:rsidR="00D10B9E" w:rsidRPr="00D10B9E">
        <w:rPr>
          <w:b/>
          <w:bCs/>
        </w:rPr>
        <w:fldChar w:fldCharType="begin"/>
      </w:r>
      <w:r w:rsidR="00D10B9E" w:rsidRPr="00D10B9E">
        <w:rPr>
          <w:b/>
          <w:bCs/>
        </w:rPr>
        <w:instrText xml:space="preserve"> REF _Ref124860271 \h </w:instrText>
      </w:r>
      <w:r w:rsidR="00D10B9E">
        <w:rPr>
          <w:b/>
          <w:bCs/>
        </w:rPr>
        <w:instrText xml:space="preserve"> \* MERGEFORMAT </w:instrText>
      </w:r>
      <w:r w:rsidR="00D10B9E" w:rsidRPr="00D10B9E">
        <w:rPr>
          <w:b/>
          <w:bCs/>
        </w:rPr>
      </w:r>
      <w:r w:rsidR="00D10B9E" w:rsidRPr="00D10B9E">
        <w:rPr>
          <w:b/>
          <w:bCs/>
        </w:rPr>
        <w:fldChar w:fldCharType="separate"/>
      </w:r>
      <w:r w:rsidR="00180E14" w:rsidRPr="00180E14">
        <w:rPr>
          <w:b/>
          <w:bCs/>
        </w:rPr>
        <w:t xml:space="preserve">Figure </w:t>
      </w:r>
      <w:r w:rsidR="00180E14" w:rsidRPr="00180E14">
        <w:rPr>
          <w:b/>
          <w:bCs/>
          <w:noProof/>
        </w:rPr>
        <w:t>21</w:t>
      </w:r>
      <w:r w:rsidR="00D10B9E" w:rsidRPr="00D10B9E">
        <w:rPr>
          <w:b/>
          <w:bCs/>
        </w:rPr>
        <w:fldChar w:fldCharType="end"/>
      </w:r>
      <w:r w:rsidRPr="00CD6FB8">
        <w:t>). Sites</w:t>
      </w:r>
      <w:r>
        <w:t xml:space="preserve"> with specialist staff were also more likely to believe that TtW had a positive impact to a </w:t>
      </w:r>
      <w:r w:rsidR="00F8391B">
        <w:t>‘</w:t>
      </w:r>
      <w:r>
        <w:t>great extent</w:t>
      </w:r>
      <w:r w:rsidR="00F8391B">
        <w:t>’</w:t>
      </w:r>
      <w:r>
        <w:t xml:space="preserve"> on participants</w:t>
      </w:r>
      <w:r w:rsidR="00F8391B">
        <w:t>’</w:t>
      </w:r>
      <w:r>
        <w:t xml:space="preserve"> human capabilities compared to sites without specialist staff (80% </w:t>
      </w:r>
      <w:r w:rsidRPr="00CD6FB8">
        <w:t>compared to 64%) (</w:t>
      </w:r>
      <w:r w:rsidR="0017387F" w:rsidRPr="0017387F">
        <w:rPr>
          <w:b/>
          <w:bCs/>
        </w:rPr>
        <w:fldChar w:fldCharType="begin"/>
      </w:r>
      <w:r w:rsidR="0017387F" w:rsidRPr="0017387F">
        <w:rPr>
          <w:b/>
          <w:bCs/>
        </w:rPr>
        <w:instrText xml:space="preserve"> REF _Ref124860376 \h </w:instrText>
      </w:r>
      <w:r w:rsidR="0017387F">
        <w:rPr>
          <w:b/>
          <w:bCs/>
        </w:rPr>
        <w:instrText xml:space="preserve"> \* MERGEFORMAT </w:instrText>
      </w:r>
      <w:r w:rsidR="0017387F" w:rsidRPr="0017387F">
        <w:rPr>
          <w:b/>
          <w:bCs/>
        </w:rPr>
      </w:r>
      <w:r w:rsidR="0017387F" w:rsidRPr="0017387F">
        <w:rPr>
          <w:b/>
          <w:bCs/>
        </w:rPr>
        <w:fldChar w:fldCharType="separate"/>
      </w:r>
      <w:r w:rsidR="00180E14" w:rsidRPr="00180E14">
        <w:rPr>
          <w:b/>
          <w:bCs/>
        </w:rPr>
        <w:t xml:space="preserve">Figure </w:t>
      </w:r>
      <w:r w:rsidR="00180E14" w:rsidRPr="00180E14">
        <w:rPr>
          <w:b/>
          <w:bCs/>
          <w:noProof/>
        </w:rPr>
        <w:t>22</w:t>
      </w:r>
      <w:r w:rsidR="0017387F" w:rsidRPr="0017387F">
        <w:rPr>
          <w:b/>
          <w:bCs/>
        </w:rPr>
        <w:fldChar w:fldCharType="end"/>
      </w:r>
      <w:r w:rsidRPr="00CD6FB8">
        <w:t>). It should</w:t>
      </w:r>
      <w:r>
        <w:t xml:space="preserve"> be noted that sites with specialist staff are more likely to be larger sites</w:t>
      </w:r>
      <w:r w:rsidR="00BA693D">
        <w:t>.</w:t>
      </w:r>
      <w:r>
        <w:rPr>
          <w:rStyle w:val="FootnoteReference"/>
        </w:rPr>
        <w:footnoteReference w:id="80"/>
      </w:r>
      <w:r>
        <w:t xml:space="preserve"> It is unclear why respondents from </w:t>
      </w:r>
      <w:r>
        <w:lastRenderedPageBreak/>
        <w:t>larger sites would have a more positive view of the impact of TtW on participants</w:t>
      </w:r>
      <w:r w:rsidR="00F8391B">
        <w:t>’</w:t>
      </w:r>
      <w:r>
        <w:t xml:space="preserve"> human capabilities.</w:t>
      </w:r>
    </w:p>
    <w:p w14:paraId="0BD2518B" w14:textId="32DF0D08" w:rsidR="006150C6" w:rsidRDefault="006150C6" w:rsidP="006150C6">
      <w:pPr>
        <w:pStyle w:val="Caption"/>
        <w:keepNext/>
      </w:pPr>
      <w:bookmarkStart w:id="2007" w:name="_Ref124860253"/>
      <w:bookmarkStart w:id="2008" w:name="_Ref124860202"/>
      <w:bookmarkStart w:id="2009" w:name="_Toc132647861"/>
      <w:bookmarkStart w:id="2010" w:name="_Toc145883330"/>
      <w:bookmarkStart w:id="2011" w:name="_Hlk124850006"/>
      <w:r>
        <w:t xml:space="preserve">Figure </w:t>
      </w:r>
      <w:r w:rsidR="00BE71D4">
        <w:fldChar w:fldCharType="begin"/>
      </w:r>
      <w:r w:rsidR="00BE71D4">
        <w:instrText xml:space="preserve"> SEQ Figure \* ARABIC </w:instrText>
      </w:r>
      <w:r w:rsidR="00BE71D4">
        <w:fldChar w:fldCharType="separate"/>
      </w:r>
      <w:r w:rsidR="00180E14">
        <w:rPr>
          <w:noProof/>
        </w:rPr>
        <w:t>20</w:t>
      </w:r>
      <w:r w:rsidR="00BE71D4">
        <w:rPr>
          <w:noProof/>
        </w:rPr>
        <w:fldChar w:fldCharType="end"/>
      </w:r>
      <w:bookmarkEnd w:id="2007"/>
      <w:r>
        <w:t>: Provider views on i</w:t>
      </w:r>
      <w:r w:rsidRPr="006671BC">
        <w:t>mpact of TtW on participants</w:t>
      </w:r>
      <w:r w:rsidR="00BA693D">
        <w:t>’</w:t>
      </w:r>
      <w:r w:rsidRPr="006671BC">
        <w:t xml:space="preserve"> human capabilities, by caseload count</w:t>
      </w:r>
      <w:r>
        <w:t xml:space="preserve"> at site</w:t>
      </w:r>
      <w:r w:rsidR="00BA693D">
        <w:t xml:space="preserve"> (</w:t>
      </w:r>
      <w:r>
        <w:t>% to a great extent/moderate extent)</w:t>
      </w:r>
      <w:bookmarkEnd w:id="2008"/>
      <w:bookmarkEnd w:id="2009"/>
      <w:bookmarkEnd w:id="2010"/>
    </w:p>
    <w:p w14:paraId="7091C102" w14:textId="4357EF47" w:rsidR="006150C6" w:rsidRPr="001D461A" w:rsidRDefault="00D23BA0" w:rsidP="006150C6">
      <w:pPr>
        <w:pStyle w:val="SourceandNotes"/>
        <w:rPr>
          <w:rStyle w:val="FigurefootnoteChar"/>
          <w:rFonts w:ascii="Calibri" w:hAnsi="Calibri"/>
        </w:rPr>
      </w:pPr>
      <w:r>
        <w:rPr>
          <w:rStyle w:val="FigurefootnoteChar"/>
          <w:rFonts w:ascii="Calibri" w:hAnsi="Calibri"/>
          <w:noProof/>
        </w:rPr>
        <w:drawing>
          <wp:inline distT="0" distB="0" distL="0" distR="0" wp14:anchorId="75AFA6EB" wp14:editId="5637D9DE">
            <wp:extent cx="5608955" cy="1170305"/>
            <wp:effectExtent l="0" t="0" r="0" b="0"/>
            <wp:docPr id="61" name="Picture 61" descr="Large (120+): To a great extent 82.3%, To a moderate extent 17.7%&#10;Small (&lt;120): To a great extent 73.9%, To a moderate extent 2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Large (120+): To a great extent 82.3%, To a moderate extent 17.7%&#10;Small (&lt;120): To a great extent 73.9%, To a moderate extent 26.1%&#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08955" cy="1170305"/>
                    </a:xfrm>
                    <a:prstGeom prst="rect">
                      <a:avLst/>
                    </a:prstGeom>
                    <a:noFill/>
                  </pic:spPr>
                </pic:pic>
              </a:graphicData>
            </a:graphic>
          </wp:inline>
        </w:drawing>
      </w:r>
      <w:r w:rsidR="00450959">
        <w:rPr>
          <w:rStyle w:val="FigurefootnoteChar"/>
          <w:rFonts w:ascii="Calibri" w:hAnsi="Calibri"/>
        </w:rPr>
        <w:t>Source: Provider survey 2021</w:t>
      </w:r>
    </w:p>
    <w:p w14:paraId="22A67000" w14:textId="41AAB815" w:rsidR="006150C6" w:rsidRPr="007334AD" w:rsidRDefault="006150C6" w:rsidP="006150C6">
      <w:pPr>
        <w:pStyle w:val="SourceandNotes"/>
      </w:pPr>
      <w:r w:rsidRPr="007334AD">
        <w:t>Base: All respondents (n=278); Extra-large (n=85); Large (n=28); Medium (n=37); Small (n=74); Very small (n=54)</w:t>
      </w:r>
      <w:r w:rsidR="008D62FD">
        <w:t>;</w:t>
      </w:r>
      <w:r w:rsidRPr="007334AD">
        <w:t xml:space="preserve"> based on caseload count from the department</w:t>
      </w:r>
      <w:r w:rsidR="00F8391B">
        <w:t>’</w:t>
      </w:r>
      <w:r w:rsidRPr="007334AD">
        <w:t>s administrative data</w:t>
      </w:r>
    </w:p>
    <w:p w14:paraId="662376A8" w14:textId="44BFC95C" w:rsidR="006150C6" w:rsidRPr="007334AD" w:rsidRDefault="006150C6" w:rsidP="006150C6">
      <w:pPr>
        <w:pStyle w:val="SourceandNotes"/>
      </w:pPr>
      <w:r w:rsidRPr="007334AD">
        <w:t xml:space="preserve">Q7.3 We can think about the confidence, motivation, resilience, health and connectedness of TtW participants as their </w:t>
      </w:r>
      <w:r w:rsidR="00F8391B">
        <w:t>‘</w:t>
      </w:r>
      <w:r w:rsidRPr="007334AD">
        <w:t>human capabilities</w:t>
      </w:r>
      <w:r w:rsidR="00F8391B">
        <w:t>’</w:t>
      </w:r>
      <w:r w:rsidRPr="007334AD">
        <w:t>. To what extent do you think that TtW has a positive impact on the human capabilities of participants?</w:t>
      </w:r>
    </w:p>
    <w:p w14:paraId="798BEFE2" w14:textId="77367535" w:rsidR="006150C6" w:rsidRDefault="006150C6" w:rsidP="006150C6">
      <w:pPr>
        <w:pStyle w:val="Caption"/>
        <w:keepNext/>
      </w:pPr>
      <w:bookmarkStart w:id="2012" w:name="_Ref124860271"/>
      <w:bookmarkStart w:id="2013" w:name="_Toc132647862"/>
      <w:bookmarkStart w:id="2014" w:name="_Toc145883331"/>
      <w:r>
        <w:t xml:space="preserve">Figure </w:t>
      </w:r>
      <w:r w:rsidR="00BE71D4">
        <w:fldChar w:fldCharType="begin"/>
      </w:r>
      <w:r w:rsidR="00BE71D4">
        <w:instrText xml:space="preserve"> SEQ Figure \* ARABIC </w:instrText>
      </w:r>
      <w:r w:rsidR="00BE71D4">
        <w:fldChar w:fldCharType="separate"/>
      </w:r>
      <w:r w:rsidR="00180E14">
        <w:rPr>
          <w:noProof/>
        </w:rPr>
        <w:t>21</w:t>
      </w:r>
      <w:r w:rsidR="00BE71D4">
        <w:rPr>
          <w:noProof/>
        </w:rPr>
        <w:fldChar w:fldCharType="end"/>
      </w:r>
      <w:bookmarkEnd w:id="2012"/>
      <w:r>
        <w:t>: Provider views on i</w:t>
      </w:r>
      <w:r w:rsidRPr="005B3456">
        <w:t>mpact of TtW on participants</w:t>
      </w:r>
      <w:r w:rsidR="00BA693D">
        <w:t>’</w:t>
      </w:r>
      <w:r w:rsidRPr="005B3456">
        <w:t xml:space="preserve"> human capabilities, by </w:t>
      </w:r>
      <w:r w:rsidR="00BA693D">
        <w:t>f</w:t>
      </w:r>
      <w:r>
        <w:t>ull</w:t>
      </w:r>
      <w:r w:rsidR="00BA693D">
        <w:t>-t</w:t>
      </w:r>
      <w:r>
        <w:t xml:space="preserve">ime </w:t>
      </w:r>
      <w:r w:rsidR="00BA693D">
        <w:t>e</w:t>
      </w:r>
      <w:r>
        <w:t>quivalent (</w:t>
      </w:r>
      <w:r w:rsidRPr="005B3456">
        <w:t>FTE</w:t>
      </w:r>
      <w:r>
        <w:t>) at site</w:t>
      </w:r>
      <w:r w:rsidR="00BA693D">
        <w:t xml:space="preserve"> (</w:t>
      </w:r>
      <w:r>
        <w:t>% to a great extent/moderate extent)</w:t>
      </w:r>
      <w:bookmarkEnd w:id="2013"/>
      <w:bookmarkEnd w:id="2014"/>
    </w:p>
    <w:p w14:paraId="7C73B0F6" w14:textId="797D3B26" w:rsidR="006150C6" w:rsidRDefault="00D23BA0" w:rsidP="006150C6">
      <w:pPr>
        <w:pStyle w:val="SourceandNotes"/>
        <w:rPr>
          <w:rStyle w:val="FigurefootnoteChar"/>
          <w:rFonts w:asciiTheme="minorHAnsi" w:eastAsiaTheme="minorHAnsi" w:hAnsiTheme="minorHAnsi"/>
        </w:rPr>
      </w:pPr>
      <w:r>
        <w:rPr>
          <w:rStyle w:val="FigurefootnoteChar"/>
          <w:rFonts w:ascii="Calibri" w:hAnsi="Calibri"/>
          <w:noProof/>
        </w:rPr>
        <w:drawing>
          <wp:inline distT="0" distB="0" distL="0" distR="0" wp14:anchorId="50BDAE57" wp14:editId="3C32BB31">
            <wp:extent cx="5675630" cy="1134110"/>
            <wp:effectExtent l="0" t="0" r="0" b="0"/>
            <wp:docPr id="64" name="Picture 64" descr="6 or more: To a great extent 86.1%, To a moderate extent 13.9%&#10;Les than 6: To a great extent 76.0%, To a moderate extent 2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6 or more: To a great extent 86.1%, To a moderate extent 13.9%&#10;Les than 6: To a great extent 76.0%, To a moderate extent 24.0%&#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5630" cy="1134110"/>
                    </a:xfrm>
                    <a:prstGeom prst="rect">
                      <a:avLst/>
                    </a:prstGeom>
                    <a:noFill/>
                  </pic:spPr>
                </pic:pic>
              </a:graphicData>
            </a:graphic>
          </wp:inline>
        </w:drawing>
      </w:r>
      <w:r w:rsidR="00450959">
        <w:rPr>
          <w:rStyle w:val="FigurefootnoteChar"/>
          <w:rFonts w:ascii="Calibri" w:hAnsi="Calibri"/>
        </w:rPr>
        <w:t>Source: Provider survey 2021</w:t>
      </w:r>
      <w:r w:rsidR="006150C6" w:rsidRPr="003F182E">
        <w:rPr>
          <w:rStyle w:val="FigurefootnoteChar"/>
          <w:rFonts w:asciiTheme="minorHAnsi" w:eastAsiaTheme="minorHAnsi" w:hAnsiTheme="minorHAnsi"/>
        </w:rPr>
        <w:t xml:space="preserve"> </w:t>
      </w:r>
    </w:p>
    <w:p w14:paraId="7D58D9A1" w14:textId="11D5F61E" w:rsidR="006150C6" w:rsidRPr="003F182E" w:rsidRDefault="006150C6" w:rsidP="006150C6">
      <w:pPr>
        <w:pStyle w:val="SourceandNotes"/>
        <w:rPr>
          <w:rStyle w:val="FigurefootnoteChar"/>
          <w:rFonts w:asciiTheme="minorHAnsi" w:eastAsiaTheme="minorHAnsi" w:hAnsiTheme="minorHAnsi"/>
        </w:rPr>
      </w:pPr>
      <w:r w:rsidRPr="003F182E">
        <w:rPr>
          <w:rStyle w:val="FigurefootnoteChar"/>
          <w:rFonts w:asciiTheme="minorHAnsi" w:eastAsiaTheme="minorHAnsi" w:hAnsiTheme="minorHAnsi"/>
        </w:rPr>
        <w:t>Base: All respondents (n=278); FTE fewer than 3 (n=172); FTE 3</w:t>
      </w:r>
      <w:r w:rsidR="00326E74">
        <w:rPr>
          <w:rStyle w:val="FigurefootnoteChar"/>
          <w:rFonts w:asciiTheme="minorHAnsi" w:eastAsiaTheme="minorHAnsi" w:hAnsiTheme="minorHAnsi"/>
        </w:rPr>
        <w:t>–</w:t>
      </w:r>
      <w:r w:rsidRPr="003F182E">
        <w:rPr>
          <w:rStyle w:val="FigurefootnoteChar"/>
          <w:rFonts w:asciiTheme="minorHAnsi" w:eastAsiaTheme="minorHAnsi" w:hAnsiTheme="minorHAnsi"/>
        </w:rPr>
        <w:t>5.9 (n=70); FTE 6 or more (n=36)</w:t>
      </w:r>
      <w:r w:rsidR="00326E74">
        <w:rPr>
          <w:rStyle w:val="FigurefootnoteChar"/>
          <w:rFonts w:asciiTheme="minorHAnsi" w:eastAsiaTheme="minorHAnsi" w:hAnsiTheme="minorHAnsi"/>
        </w:rPr>
        <w:t>;</w:t>
      </w:r>
      <w:r w:rsidRPr="003F182E">
        <w:rPr>
          <w:rStyle w:val="FigurefootnoteChar"/>
          <w:rFonts w:asciiTheme="minorHAnsi" w:eastAsiaTheme="minorHAnsi" w:hAnsiTheme="minorHAnsi"/>
        </w:rPr>
        <w:t xml:space="preserve"> based on </w:t>
      </w:r>
      <w:r w:rsidR="00326E74">
        <w:rPr>
          <w:rStyle w:val="FigurefootnoteChar"/>
          <w:rFonts w:asciiTheme="minorHAnsi" w:eastAsiaTheme="minorHAnsi" w:hAnsiTheme="minorHAnsi"/>
        </w:rPr>
        <w:t>Q</w:t>
      </w:r>
      <w:r w:rsidRPr="003F182E">
        <w:rPr>
          <w:rStyle w:val="FigurefootnoteChar"/>
          <w:rFonts w:asciiTheme="minorHAnsi" w:eastAsiaTheme="minorHAnsi" w:hAnsiTheme="minorHAnsi"/>
        </w:rPr>
        <w:t>2.6</w:t>
      </w:r>
    </w:p>
    <w:p w14:paraId="55C07BBF" w14:textId="77777777" w:rsidR="00F8391B" w:rsidRDefault="006150C6" w:rsidP="006150C6">
      <w:pPr>
        <w:pStyle w:val="SourceandNotes"/>
        <w:rPr>
          <w:rStyle w:val="FigurefootnoteChar"/>
          <w:rFonts w:asciiTheme="minorHAnsi" w:eastAsiaTheme="minorHAnsi" w:hAnsiTheme="minorHAnsi"/>
        </w:rPr>
      </w:pPr>
      <w:r w:rsidRPr="003F182E">
        <w:rPr>
          <w:rStyle w:val="FigurefootnoteChar"/>
          <w:rFonts w:asciiTheme="minorHAnsi" w:eastAsiaTheme="minorHAnsi" w:hAnsiTheme="minorHAnsi"/>
        </w:rPr>
        <w:t>Q2.6 At the [site name] site, how many full-time equivalent (FTE) staff, including yourself, are employed to service Transition to Work clients?</w:t>
      </w:r>
    </w:p>
    <w:p w14:paraId="54A1F6E3" w14:textId="20040D11" w:rsidR="006150C6" w:rsidRPr="003F182E" w:rsidRDefault="006150C6" w:rsidP="006150C6">
      <w:pPr>
        <w:pStyle w:val="SourceandNotes"/>
        <w:rPr>
          <w:rStyle w:val="FigurefootnoteChar"/>
          <w:rFonts w:asciiTheme="minorHAnsi" w:eastAsiaTheme="minorHAnsi" w:hAnsiTheme="minorHAnsi"/>
        </w:rPr>
      </w:pPr>
      <w:r w:rsidRPr="003F182E">
        <w:rPr>
          <w:rStyle w:val="FigurefootnoteChar"/>
          <w:rFonts w:asciiTheme="minorHAnsi" w:eastAsiaTheme="minorHAnsi" w:hAnsiTheme="minorHAnsi"/>
        </w:rPr>
        <w:t>Q7</w:t>
      </w:r>
      <w:r>
        <w:rPr>
          <w:rStyle w:val="FigurefootnoteChar"/>
          <w:rFonts w:asciiTheme="minorHAnsi" w:eastAsiaTheme="minorHAnsi" w:hAnsiTheme="minorHAnsi"/>
        </w:rPr>
        <w:t>.3</w:t>
      </w:r>
      <w:r w:rsidRPr="003F182E">
        <w:rPr>
          <w:rStyle w:val="FigurefootnoteChar"/>
          <w:rFonts w:asciiTheme="minorHAnsi" w:eastAsiaTheme="minorHAnsi" w:hAnsiTheme="minorHAnsi"/>
        </w:rPr>
        <w:t xml:space="preserve"> We can think about the confidence, motivation, resilience, health and connectedness of TtW participants as their </w:t>
      </w:r>
      <w:r w:rsidR="00F8391B">
        <w:rPr>
          <w:rStyle w:val="FigurefootnoteChar"/>
          <w:rFonts w:asciiTheme="minorHAnsi" w:eastAsiaTheme="minorHAnsi" w:hAnsiTheme="minorHAnsi"/>
        </w:rPr>
        <w:t>‘</w:t>
      </w:r>
      <w:r w:rsidRPr="003F182E">
        <w:rPr>
          <w:rStyle w:val="FigurefootnoteChar"/>
          <w:rFonts w:asciiTheme="minorHAnsi" w:eastAsiaTheme="minorHAnsi" w:hAnsiTheme="minorHAnsi"/>
        </w:rPr>
        <w:t>human capabilities</w:t>
      </w:r>
      <w:r w:rsidR="00F8391B">
        <w:rPr>
          <w:rStyle w:val="FigurefootnoteChar"/>
          <w:rFonts w:asciiTheme="minorHAnsi" w:eastAsiaTheme="minorHAnsi" w:hAnsiTheme="minorHAnsi"/>
        </w:rPr>
        <w:t>’</w:t>
      </w:r>
      <w:r w:rsidRPr="003F182E">
        <w:rPr>
          <w:rStyle w:val="FigurefootnoteChar"/>
          <w:rFonts w:asciiTheme="minorHAnsi" w:eastAsiaTheme="minorHAnsi" w:hAnsiTheme="minorHAnsi"/>
        </w:rPr>
        <w:t>. To what extent do you think that TtW has a positive impact on the human capabilities of participants?</w:t>
      </w:r>
    </w:p>
    <w:p w14:paraId="648956FA" w14:textId="31EF1C93" w:rsidR="006150C6" w:rsidRDefault="006150C6" w:rsidP="006150C6">
      <w:pPr>
        <w:pStyle w:val="Caption"/>
        <w:keepNext/>
      </w:pPr>
      <w:bookmarkStart w:id="2015" w:name="_Ref124860376"/>
      <w:bookmarkStart w:id="2016" w:name="_Toc132647863"/>
      <w:bookmarkStart w:id="2017" w:name="_Toc145883332"/>
      <w:r w:rsidRPr="00406E5B">
        <w:t xml:space="preserve">Figure </w:t>
      </w:r>
      <w:r w:rsidR="00BE71D4">
        <w:fldChar w:fldCharType="begin"/>
      </w:r>
      <w:r w:rsidR="00BE71D4">
        <w:instrText xml:space="preserve"> SEQ Figure \* ARABIC </w:instrText>
      </w:r>
      <w:r w:rsidR="00BE71D4">
        <w:fldChar w:fldCharType="separate"/>
      </w:r>
      <w:r w:rsidR="00180E14">
        <w:rPr>
          <w:noProof/>
        </w:rPr>
        <w:t>22</w:t>
      </w:r>
      <w:r w:rsidR="00BE71D4">
        <w:rPr>
          <w:noProof/>
        </w:rPr>
        <w:fldChar w:fldCharType="end"/>
      </w:r>
      <w:bookmarkEnd w:id="2015"/>
      <w:r w:rsidRPr="00406E5B">
        <w:t>: Provider views on impact of TtW on participants</w:t>
      </w:r>
      <w:r w:rsidR="00BA693D">
        <w:t>’</w:t>
      </w:r>
      <w:r w:rsidRPr="00406E5B">
        <w:t xml:space="preserve"> human capabilities, by specialist staffing levels at site</w:t>
      </w:r>
      <w:r w:rsidR="00BA693D">
        <w:t xml:space="preserve"> (</w:t>
      </w:r>
      <w:r w:rsidRPr="00406E5B">
        <w:t>% to a great extent/moderate extent)</w:t>
      </w:r>
      <w:bookmarkEnd w:id="2016"/>
      <w:bookmarkEnd w:id="2017"/>
    </w:p>
    <w:p w14:paraId="7537BD30" w14:textId="3041FC80" w:rsidR="006150C6" w:rsidRDefault="00D23BA0" w:rsidP="006150C6">
      <w:pPr>
        <w:pStyle w:val="SourceandNotes"/>
      </w:pPr>
      <w:r>
        <w:rPr>
          <w:rStyle w:val="FigurefootnoteChar"/>
          <w:rFonts w:ascii="Calibri" w:hAnsi="Calibri"/>
          <w:noProof/>
        </w:rPr>
        <w:drawing>
          <wp:inline distT="0" distB="0" distL="0" distR="0" wp14:anchorId="590B1B88" wp14:editId="1176AF9B">
            <wp:extent cx="5627370" cy="1134110"/>
            <wp:effectExtent l="0" t="0" r="0" b="0"/>
            <wp:docPr id="65" name="Picture 65" descr="Has specialist staff on site: To a great extent 79.9%, To a moderate extent 20.1%&#10;No specialist staff on site: To a great extent 63.6%, To a moderate extent 3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Has specialist staff on site: To a great extent 79.9%, To a moderate extent 20.1%&#10;No specialist staff on site: To a great extent 63.6%, To a moderate extent 36.4%&#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27370" cy="1134110"/>
                    </a:xfrm>
                    <a:prstGeom prst="rect">
                      <a:avLst/>
                    </a:prstGeom>
                    <a:noFill/>
                  </pic:spPr>
                </pic:pic>
              </a:graphicData>
            </a:graphic>
          </wp:inline>
        </w:drawing>
      </w:r>
      <w:r w:rsidR="00450959">
        <w:rPr>
          <w:rStyle w:val="FigurefootnoteChar"/>
          <w:rFonts w:ascii="Calibri" w:hAnsi="Calibri"/>
        </w:rPr>
        <w:t>Source: Provider survey 2021</w:t>
      </w:r>
      <w:r w:rsidR="006150C6">
        <w:t xml:space="preserve"> </w:t>
      </w:r>
    </w:p>
    <w:p w14:paraId="7661E14E" w14:textId="6E808FFE" w:rsidR="006150C6" w:rsidRDefault="006150C6" w:rsidP="006150C6">
      <w:pPr>
        <w:pStyle w:val="SourceandNotes"/>
      </w:pPr>
      <w:r>
        <w:t xml:space="preserve">Base: All </w:t>
      </w:r>
      <w:r w:rsidRPr="00BC4A6A">
        <w:t>respondents (n=</w:t>
      </w:r>
      <w:r>
        <w:t>278); Has specialist staff (n=234); No specialist staff (n=44)</w:t>
      </w:r>
      <w:r w:rsidR="00326E74">
        <w:t>;</w:t>
      </w:r>
      <w:r>
        <w:t xml:space="preserve"> based on </w:t>
      </w:r>
      <w:r w:rsidR="00326E74">
        <w:t>Q</w:t>
      </w:r>
      <w:r>
        <w:t>2.10</w:t>
      </w:r>
    </w:p>
    <w:p w14:paraId="3DC1D048" w14:textId="77777777" w:rsidR="00F8391B" w:rsidRDefault="006150C6" w:rsidP="006150C6">
      <w:pPr>
        <w:pStyle w:val="SourceandNotes"/>
      </w:pPr>
      <w:r>
        <w:t>Q2.10 Thinking about staff roles, are there any of the following specialist roles at the [site name] site?</w:t>
      </w:r>
    </w:p>
    <w:p w14:paraId="240D6BBE" w14:textId="5F26DF50" w:rsidR="006150C6" w:rsidRPr="00BF7EEF" w:rsidRDefault="006150C6" w:rsidP="006150C6">
      <w:pPr>
        <w:pStyle w:val="SourceandNotes"/>
      </w:pPr>
      <w:r w:rsidRPr="00BC4A6A">
        <w:t>Q</w:t>
      </w:r>
      <w:r>
        <w:t xml:space="preserve">7.3 We can think about the confidence, motivation, resilience, health and connectedness of TtW participants as their </w:t>
      </w:r>
      <w:r w:rsidR="00F8391B">
        <w:t>‘</w:t>
      </w:r>
      <w:r>
        <w:t>human capabilities</w:t>
      </w:r>
      <w:r w:rsidR="00F8391B">
        <w:t>’</w:t>
      </w:r>
      <w:r>
        <w:t>. To what extent do you think that TtW has a positive impact on the human capabilities of participants?</w:t>
      </w:r>
    </w:p>
    <w:p w14:paraId="31EB1BFC" w14:textId="77777777" w:rsidR="006150C6" w:rsidRDefault="006150C6" w:rsidP="006E41FD">
      <w:pPr>
        <w:pStyle w:val="Heading2"/>
      </w:pPr>
      <w:bookmarkStart w:id="2018" w:name="_Toc108540149"/>
      <w:bookmarkStart w:id="2019" w:name="_Toc109823393"/>
      <w:bookmarkStart w:id="2020" w:name="_Toc109919891"/>
      <w:bookmarkStart w:id="2021" w:name="_Toc110250702"/>
      <w:bookmarkStart w:id="2022" w:name="_Toc110252743"/>
      <w:bookmarkStart w:id="2023" w:name="_Toc110266141"/>
      <w:bookmarkStart w:id="2024" w:name="_Toc110412378"/>
      <w:bookmarkStart w:id="2025" w:name="_Toc108540150"/>
      <w:bookmarkStart w:id="2026" w:name="_Toc109823394"/>
      <w:bookmarkStart w:id="2027" w:name="_Toc109919892"/>
      <w:bookmarkStart w:id="2028" w:name="_Toc110250703"/>
      <w:bookmarkStart w:id="2029" w:name="_Toc110252744"/>
      <w:bookmarkStart w:id="2030" w:name="_Toc110266142"/>
      <w:bookmarkStart w:id="2031" w:name="_Toc110412379"/>
      <w:bookmarkStart w:id="2032" w:name="_Toc108540151"/>
      <w:bookmarkStart w:id="2033" w:name="_Toc109823395"/>
      <w:bookmarkStart w:id="2034" w:name="_Toc109919893"/>
      <w:bookmarkStart w:id="2035" w:name="_Toc110250704"/>
      <w:bookmarkStart w:id="2036" w:name="_Toc110252745"/>
      <w:bookmarkStart w:id="2037" w:name="_Toc110266143"/>
      <w:bookmarkStart w:id="2038" w:name="_Toc110412380"/>
      <w:bookmarkStart w:id="2039" w:name="_Toc108540152"/>
      <w:bookmarkStart w:id="2040" w:name="_Toc109823396"/>
      <w:bookmarkStart w:id="2041" w:name="_Toc109919894"/>
      <w:bookmarkStart w:id="2042" w:name="_Toc110250705"/>
      <w:bookmarkStart w:id="2043" w:name="_Toc110252746"/>
      <w:bookmarkStart w:id="2044" w:name="_Toc110266144"/>
      <w:bookmarkStart w:id="2045" w:name="_Toc110412381"/>
      <w:bookmarkStart w:id="2046" w:name="_Toc108540153"/>
      <w:bookmarkStart w:id="2047" w:name="_Toc109823397"/>
      <w:bookmarkStart w:id="2048" w:name="_Toc109919895"/>
      <w:bookmarkStart w:id="2049" w:name="_Toc110250706"/>
      <w:bookmarkStart w:id="2050" w:name="_Toc110252747"/>
      <w:bookmarkStart w:id="2051" w:name="_Toc110266145"/>
      <w:bookmarkStart w:id="2052" w:name="_Toc110412382"/>
      <w:bookmarkStart w:id="2053" w:name="_Toc108540166"/>
      <w:bookmarkStart w:id="2054" w:name="_Toc109823410"/>
      <w:bookmarkStart w:id="2055" w:name="_Toc109919908"/>
      <w:bookmarkStart w:id="2056" w:name="_Toc110250719"/>
      <w:bookmarkStart w:id="2057" w:name="_Toc110252760"/>
      <w:bookmarkStart w:id="2058" w:name="_Toc110266158"/>
      <w:bookmarkStart w:id="2059" w:name="_Toc110412395"/>
      <w:bookmarkStart w:id="2060" w:name="_Toc108540167"/>
      <w:bookmarkStart w:id="2061" w:name="_Toc109823411"/>
      <w:bookmarkStart w:id="2062" w:name="_Toc109919909"/>
      <w:bookmarkStart w:id="2063" w:name="_Toc110250720"/>
      <w:bookmarkStart w:id="2064" w:name="_Toc110252761"/>
      <w:bookmarkStart w:id="2065" w:name="_Toc110266159"/>
      <w:bookmarkStart w:id="2066" w:name="_Toc110412396"/>
      <w:bookmarkStart w:id="2067" w:name="_Toc108540168"/>
      <w:bookmarkStart w:id="2068" w:name="_Toc109823412"/>
      <w:bookmarkStart w:id="2069" w:name="_Toc109919910"/>
      <w:bookmarkStart w:id="2070" w:name="_Toc110250721"/>
      <w:bookmarkStart w:id="2071" w:name="_Toc110252762"/>
      <w:bookmarkStart w:id="2072" w:name="_Toc110266160"/>
      <w:bookmarkStart w:id="2073" w:name="_Toc110412397"/>
      <w:bookmarkStart w:id="2074" w:name="_Toc108540170"/>
      <w:bookmarkStart w:id="2075" w:name="_Toc109823414"/>
      <w:bookmarkStart w:id="2076" w:name="_Toc109919912"/>
      <w:bookmarkStart w:id="2077" w:name="_Toc110250723"/>
      <w:bookmarkStart w:id="2078" w:name="_Toc110252764"/>
      <w:bookmarkStart w:id="2079" w:name="_Toc110266162"/>
      <w:bookmarkStart w:id="2080" w:name="_Toc110412399"/>
      <w:bookmarkStart w:id="2081" w:name="_Toc108540171"/>
      <w:bookmarkStart w:id="2082" w:name="_Toc109823415"/>
      <w:bookmarkStart w:id="2083" w:name="_Toc109919913"/>
      <w:bookmarkStart w:id="2084" w:name="_Toc110250724"/>
      <w:bookmarkStart w:id="2085" w:name="_Toc110252765"/>
      <w:bookmarkStart w:id="2086" w:name="_Toc110266163"/>
      <w:bookmarkStart w:id="2087" w:name="_Toc110412400"/>
      <w:bookmarkStart w:id="2088" w:name="_Toc108540172"/>
      <w:bookmarkStart w:id="2089" w:name="_Toc109823416"/>
      <w:bookmarkStart w:id="2090" w:name="_Toc109919914"/>
      <w:bookmarkStart w:id="2091" w:name="_Toc110250725"/>
      <w:bookmarkStart w:id="2092" w:name="_Toc110252766"/>
      <w:bookmarkStart w:id="2093" w:name="_Toc110266164"/>
      <w:bookmarkStart w:id="2094" w:name="_Toc110412401"/>
      <w:bookmarkStart w:id="2095" w:name="_Toc108540173"/>
      <w:bookmarkStart w:id="2096" w:name="_Toc109823417"/>
      <w:bookmarkStart w:id="2097" w:name="_Toc109919915"/>
      <w:bookmarkStart w:id="2098" w:name="_Toc110250726"/>
      <w:bookmarkStart w:id="2099" w:name="_Toc110252767"/>
      <w:bookmarkStart w:id="2100" w:name="_Toc110266165"/>
      <w:bookmarkStart w:id="2101" w:name="_Toc110412402"/>
      <w:bookmarkStart w:id="2102" w:name="_Toc108540174"/>
      <w:bookmarkStart w:id="2103" w:name="_Toc109823418"/>
      <w:bookmarkStart w:id="2104" w:name="_Toc109919916"/>
      <w:bookmarkStart w:id="2105" w:name="_Toc110250727"/>
      <w:bookmarkStart w:id="2106" w:name="_Toc110252768"/>
      <w:bookmarkStart w:id="2107" w:name="_Toc110266166"/>
      <w:bookmarkStart w:id="2108" w:name="_Toc110412403"/>
      <w:bookmarkStart w:id="2109" w:name="_Toc108540176"/>
      <w:bookmarkStart w:id="2110" w:name="_Toc109823420"/>
      <w:bookmarkStart w:id="2111" w:name="_Toc109919918"/>
      <w:bookmarkStart w:id="2112" w:name="_Toc110250729"/>
      <w:bookmarkStart w:id="2113" w:name="_Toc110252770"/>
      <w:bookmarkStart w:id="2114" w:name="_Toc110266168"/>
      <w:bookmarkStart w:id="2115" w:name="_Toc110412405"/>
      <w:bookmarkStart w:id="2116" w:name="_Toc108540183"/>
      <w:bookmarkStart w:id="2117" w:name="_Toc109823427"/>
      <w:bookmarkStart w:id="2118" w:name="_Toc109919925"/>
      <w:bookmarkStart w:id="2119" w:name="_Toc110250736"/>
      <w:bookmarkStart w:id="2120" w:name="_Toc110252777"/>
      <w:bookmarkStart w:id="2121" w:name="_Toc110266175"/>
      <w:bookmarkStart w:id="2122" w:name="_Toc110412412"/>
      <w:bookmarkStart w:id="2123" w:name="_Toc108540255"/>
      <w:bookmarkStart w:id="2124" w:name="_Toc109823499"/>
      <w:bookmarkStart w:id="2125" w:name="_Toc109919997"/>
      <w:bookmarkStart w:id="2126" w:name="_Toc110250808"/>
      <w:bookmarkStart w:id="2127" w:name="_Toc110252849"/>
      <w:bookmarkStart w:id="2128" w:name="_Toc110266247"/>
      <w:bookmarkStart w:id="2129" w:name="_Toc110412484"/>
      <w:bookmarkStart w:id="2130" w:name="_Toc108540256"/>
      <w:bookmarkStart w:id="2131" w:name="_Toc109823500"/>
      <w:bookmarkStart w:id="2132" w:name="_Toc109919998"/>
      <w:bookmarkStart w:id="2133" w:name="_Toc110250809"/>
      <w:bookmarkStart w:id="2134" w:name="_Toc110252850"/>
      <w:bookmarkStart w:id="2135" w:name="_Toc110266248"/>
      <w:bookmarkStart w:id="2136" w:name="_Toc110412485"/>
      <w:bookmarkStart w:id="2137" w:name="_Toc108540258"/>
      <w:bookmarkStart w:id="2138" w:name="_Toc109823502"/>
      <w:bookmarkStart w:id="2139" w:name="_Toc109920000"/>
      <w:bookmarkStart w:id="2140" w:name="_Toc110250811"/>
      <w:bookmarkStart w:id="2141" w:name="_Toc110252852"/>
      <w:bookmarkStart w:id="2142" w:name="_Toc110266250"/>
      <w:bookmarkStart w:id="2143" w:name="_Toc110412487"/>
      <w:bookmarkStart w:id="2144" w:name="_Toc108540259"/>
      <w:bookmarkStart w:id="2145" w:name="_Toc109823503"/>
      <w:bookmarkStart w:id="2146" w:name="_Toc109920001"/>
      <w:bookmarkStart w:id="2147" w:name="_Toc110250812"/>
      <w:bookmarkStart w:id="2148" w:name="_Toc110252853"/>
      <w:bookmarkStart w:id="2149" w:name="_Toc110266251"/>
      <w:bookmarkStart w:id="2150" w:name="_Toc110412488"/>
      <w:bookmarkStart w:id="2151" w:name="_Toc108540260"/>
      <w:bookmarkStart w:id="2152" w:name="_Toc109823504"/>
      <w:bookmarkStart w:id="2153" w:name="_Toc109920002"/>
      <w:bookmarkStart w:id="2154" w:name="_Toc110250813"/>
      <w:bookmarkStart w:id="2155" w:name="_Toc110252854"/>
      <w:bookmarkStart w:id="2156" w:name="_Toc110266252"/>
      <w:bookmarkStart w:id="2157" w:name="_Toc110412489"/>
      <w:bookmarkStart w:id="2158" w:name="_Toc108540261"/>
      <w:bookmarkStart w:id="2159" w:name="_Toc109823505"/>
      <w:bookmarkStart w:id="2160" w:name="_Toc109920003"/>
      <w:bookmarkStart w:id="2161" w:name="_Toc110250814"/>
      <w:bookmarkStart w:id="2162" w:name="_Toc110252855"/>
      <w:bookmarkStart w:id="2163" w:name="_Toc110266253"/>
      <w:bookmarkStart w:id="2164" w:name="_Toc110412490"/>
      <w:bookmarkStart w:id="2165" w:name="_Toc108540262"/>
      <w:bookmarkStart w:id="2166" w:name="_Toc109823506"/>
      <w:bookmarkStart w:id="2167" w:name="_Toc109920004"/>
      <w:bookmarkStart w:id="2168" w:name="_Toc110250815"/>
      <w:bookmarkStart w:id="2169" w:name="_Toc110252856"/>
      <w:bookmarkStart w:id="2170" w:name="_Toc110266254"/>
      <w:bookmarkStart w:id="2171" w:name="_Toc110412491"/>
      <w:bookmarkStart w:id="2172" w:name="_Toc108540263"/>
      <w:bookmarkStart w:id="2173" w:name="_Toc109823507"/>
      <w:bookmarkStart w:id="2174" w:name="_Toc109920005"/>
      <w:bookmarkStart w:id="2175" w:name="_Toc110250816"/>
      <w:bookmarkStart w:id="2176" w:name="_Toc110252857"/>
      <w:bookmarkStart w:id="2177" w:name="_Toc110266255"/>
      <w:bookmarkStart w:id="2178" w:name="_Toc110412492"/>
      <w:bookmarkStart w:id="2179" w:name="_Toc108540264"/>
      <w:bookmarkStart w:id="2180" w:name="_Toc109823508"/>
      <w:bookmarkStart w:id="2181" w:name="_Toc109920006"/>
      <w:bookmarkStart w:id="2182" w:name="_Toc110250817"/>
      <w:bookmarkStart w:id="2183" w:name="_Toc110252858"/>
      <w:bookmarkStart w:id="2184" w:name="_Toc110266256"/>
      <w:bookmarkStart w:id="2185" w:name="_Toc110412493"/>
      <w:bookmarkStart w:id="2186" w:name="_Toc108540265"/>
      <w:bookmarkStart w:id="2187" w:name="_Toc109823509"/>
      <w:bookmarkStart w:id="2188" w:name="_Toc109920007"/>
      <w:bookmarkStart w:id="2189" w:name="_Toc110250818"/>
      <w:bookmarkStart w:id="2190" w:name="_Toc110252859"/>
      <w:bookmarkStart w:id="2191" w:name="_Toc110266257"/>
      <w:bookmarkStart w:id="2192" w:name="_Toc110412494"/>
      <w:bookmarkStart w:id="2193" w:name="_Toc108540266"/>
      <w:bookmarkStart w:id="2194" w:name="_Toc109823510"/>
      <w:bookmarkStart w:id="2195" w:name="_Toc109920008"/>
      <w:bookmarkStart w:id="2196" w:name="_Toc110250819"/>
      <w:bookmarkStart w:id="2197" w:name="_Toc110252860"/>
      <w:bookmarkStart w:id="2198" w:name="_Toc110266258"/>
      <w:bookmarkStart w:id="2199" w:name="_Toc110412495"/>
      <w:bookmarkStart w:id="2200" w:name="_Toc108540267"/>
      <w:bookmarkStart w:id="2201" w:name="_Toc109823511"/>
      <w:bookmarkStart w:id="2202" w:name="_Toc109920009"/>
      <w:bookmarkStart w:id="2203" w:name="_Toc110250820"/>
      <w:bookmarkStart w:id="2204" w:name="_Toc110252861"/>
      <w:bookmarkStart w:id="2205" w:name="_Toc110266259"/>
      <w:bookmarkStart w:id="2206" w:name="_Toc110412496"/>
      <w:bookmarkStart w:id="2207" w:name="_Toc108540268"/>
      <w:bookmarkStart w:id="2208" w:name="_Toc109823512"/>
      <w:bookmarkStart w:id="2209" w:name="_Toc109920010"/>
      <w:bookmarkStart w:id="2210" w:name="_Toc110250821"/>
      <w:bookmarkStart w:id="2211" w:name="_Toc110252862"/>
      <w:bookmarkStart w:id="2212" w:name="_Toc110266260"/>
      <w:bookmarkStart w:id="2213" w:name="_Toc110412497"/>
      <w:bookmarkStart w:id="2214" w:name="_Toc108540269"/>
      <w:bookmarkStart w:id="2215" w:name="_Toc109823513"/>
      <w:bookmarkStart w:id="2216" w:name="_Toc109920011"/>
      <w:bookmarkStart w:id="2217" w:name="_Toc110250822"/>
      <w:bookmarkStart w:id="2218" w:name="_Toc110252863"/>
      <w:bookmarkStart w:id="2219" w:name="_Toc110266261"/>
      <w:bookmarkStart w:id="2220" w:name="_Toc110412498"/>
      <w:bookmarkStart w:id="2221" w:name="_Toc108540270"/>
      <w:bookmarkStart w:id="2222" w:name="_Toc109823514"/>
      <w:bookmarkStart w:id="2223" w:name="_Toc109920012"/>
      <w:bookmarkStart w:id="2224" w:name="_Toc110250823"/>
      <w:bookmarkStart w:id="2225" w:name="_Toc110252864"/>
      <w:bookmarkStart w:id="2226" w:name="_Toc110266262"/>
      <w:bookmarkStart w:id="2227" w:name="_Toc110412499"/>
      <w:bookmarkStart w:id="2228" w:name="_Toc108540271"/>
      <w:bookmarkStart w:id="2229" w:name="_Toc109823515"/>
      <w:bookmarkStart w:id="2230" w:name="_Toc109920013"/>
      <w:bookmarkStart w:id="2231" w:name="_Toc110250824"/>
      <w:bookmarkStart w:id="2232" w:name="_Toc110252865"/>
      <w:bookmarkStart w:id="2233" w:name="_Toc110266263"/>
      <w:bookmarkStart w:id="2234" w:name="_Toc110412500"/>
      <w:bookmarkStart w:id="2235" w:name="_Toc108540272"/>
      <w:bookmarkStart w:id="2236" w:name="_Toc109823516"/>
      <w:bookmarkStart w:id="2237" w:name="_Toc109920014"/>
      <w:bookmarkStart w:id="2238" w:name="_Toc110250825"/>
      <w:bookmarkStart w:id="2239" w:name="_Toc110252866"/>
      <w:bookmarkStart w:id="2240" w:name="_Toc110266264"/>
      <w:bookmarkStart w:id="2241" w:name="_Toc110412501"/>
      <w:bookmarkStart w:id="2242" w:name="_Toc108540274"/>
      <w:bookmarkStart w:id="2243" w:name="_Toc109823518"/>
      <w:bookmarkStart w:id="2244" w:name="_Toc109920016"/>
      <w:bookmarkStart w:id="2245" w:name="_Toc110250827"/>
      <w:bookmarkStart w:id="2246" w:name="_Toc110252868"/>
      <w:bookmarkStart w:id="2247" w:name="_Toc110266266"/>
      <w:bookmarkStart w:id="2248" w:name="_Toc110412503"/>
      <w:bookmarkStart w:id="2249" w:name="_Toc108540275"/>
      <w:bookmarkStart w:id="2250" w:name="_Toc109823519"/>
      <w:bookmarkStart w:id="2251" w:name="_Toc109920017"/>
      <w:bookmarkStart w:id="2252" w:name="_Toc110250828"/>
      <w:bookmarkStart w:id="2253" w:name="_Toc110252869"/>
      <w:bookmarkStart w:id="2254" w:name="_Toc110266267"/>
      <w:bookmarkStart w:id="2255" w:name="_Toc110412504"/>
      <w:bookmarkStart w:id="2256" w:name="_Toc108540276"/>
      <w:bookmarkStart w:id="2257" w:name="_Toc109823520"/>
      <w:bookmarkStart w:id="2258" w:name="_Toc109920018"/>
      <w:bookmarkStart w:id="2259" w:name="_Toc110250829"/>
      <w:bookmarkStart w:id="2260" w:name="_Toc110252870"/>
      <w:bookmarkStart w:id="2261" w:name="_Toc110266268"/>
      <w:bookmarkStart w:id="2262" w:name="_Toc110412505"/>
      <w:bookmarkStart w:id="2263" w:name="_Toc108540277"/>
      <w:bookmarkStart w:id="2264" w:name="_Toc109823521"/>
      <w:bookmarkStart w:id="2265" w:name="_Toc109920019"/>
      <w:bookmarkStart w:id="2266" w:name="_Toc110250830"/>
      <w:bookmarkStart w:id="2267" w:name="_Toc110252871"/>
      <w:bookmarkStart w:id="2268" w:name="_Toc110266269"/>
      <w:bookmarkStart w:id="2269" w:name="_Toc110412506"/>
      <w:bookmarkStart w:id="2270" w:name="_Toc108540278"/>
      <w:bookmarkStart w:id="2271" w:name="_Toc109823522"/>
      <w:bookmarkStart w:id="2272" w:name="_Toc109920020"/>
      <w:bookmarkStart w:id="2273" w:name="_Toc110250831"/>
      <w:bookmarkStart w:id="2274" w:name="_Toc110252872"/>
      <w:bookmarkStart w:id="2275" w:name="_Toc110266270"/>
      <w:bookmarkStart w:id="2276" w:name="_Toc110412507"/>
      <w:bookmarkStart w:id="2277" w:name="_Toc108540279"/>
      <w:bookmarkStart w:id="2278" w:name="_Toc109823523"/>
      <w:bookmarkStart w:id="2279" w:name="_Toc109920021"/>
      <w:bookmarkStart w:id="2280" w:name="_Toc110250832"/>
      <w:bookmarkStart w:id="2281" w:name="_Toc110252873"/>
      <w:bookmarkStart w:id="2282" w:name="_Toc110266271"/>
      <w:bookmarkStart w:id="2283" w:name="_Toc110412508"/>
      <w:bookmarkStart w:id="2284" w:name="_Toc106711891"/>
      <w:bookmarkStart w:id="2285" w:name="_Toc132650477"/>
      <w:bookmarkStart w:id="2286" w:name="_Toc146033508"/>
      <w:bookmarkEnd w:id="2011"/>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r>
        <w:t>Conclusion</w:t>
      </w:r>
      <w:bookmarkEnd w:id="2284"/>
      <w:bookmarkEnd w:id="2285"/>
      <w:bookmarkEnd w:id="2286"/>
    </w:p>
    <w:p w14:paraId="239D62B9" w14:textId="535887ED" w:rsidR="006150C6" w:rsidRPr="00D554AE" w:rsidRDefault="006150C6" w:rsidP="006150C6">
      <w:r w:rsidRPr="00D554AE">
        <w:t>Participation in TtW had a significant impact on participants</w:t>
      </w:r>
      <w:r w:rsidR="00F8391B">
        <w:t>’</w:t>
      </w:r>
      <w:r w:rsidRPr="00D554AE">
        <w:t xml:space="preserve"> self-confidence, understanding of what they wanted to do in the future, motivation to work towards their goals,</w:t>
      </w:r>
      <w:r w:rsidR="003754FD">
        <w:t xml:space="preserve"> </w:t>
      </w:r>
      <w:r w:rsidRPr="00D554AE">
        <w:t>resilience, and access to the support and services they needed.</w:t>
      </w:r>
    </w:p>
    <w:p w14:paraId="67E11451" w14:textId="70EB9F52" w:rsidR="006150C6" w:rsidRDefault="006150C6" w:rsidP="006150C6">
      <w:r w:rsidRPr="00D554AE">
        <w:lastRenderedPageBreak/>
        <w:t xml:space="preserve">TtW participants also demonstrated </w:t>
      </w:r>
      <w:r w:rsidR="009F1529">
        <w:t>better</w:t>
      </w:r>
      <w:r w:rsidR="009F1529" w:rsidRPr="00D554AE">
        <w:t xml:space="preserve"> </w:t>
      </w:r>
      <w:r w:rsidRPr="00D554AE">
        <w:t>self-rated mental health, life satisfaction and personal wellbeing than the comparison group</w:t>
      </w:r>
      <w:r w:rsidR="00624AF2">
        <w:t>.</w:t>
      </w:r>
      <w:r w:rsidRPr="00D554AE">
        <w:t xml:space="preserve"> </w:t>
      </w:r>
      <w:r w:rsidR="00624AF2">
        <w:t>P</w:t>
      </w:r>
      <w:r w:rsidRPr="00D554AE">
        <w:t>articipants provided examples where participation in TtW had let them take more control of their lives: managing substance abuse, leaving abusive work or personal relationships, finding stable housing, reducing contact with the criminal justice system, and improving their mental and physical health.</w:t>
      </w:r>
    </w:p>
    <w:p w14:paraId="083A143C" w14:textId="066376E1" w:rsidR="00E32E69" w:rsidRDefault="00E32E69" w:rsidP="00E32E69">
      <w:r>
        <w:t xml:space="preserve">A few of the participants interviewed during the qualitative research reported negative impacts of the program on their confidence, resilience and mental health, as a result of feeling that their caseworkers were neither interested in nor supportive of their needs. This highlights the importance of caseworkers needing to </w:t>
      </w:r>
      <w:r w:rsidR="00A33974">
        <w:t xml:space="preserve">have good communication skills and a supportive attitude, as well as </w:t>
      </w:r>
      <w:r>
        <w:t>be</w:t>
      </w:r>
      <w:r w:rsidR="00A33974">
        <w:t>ing</w:t>
      </w:r>
      <w:r>
        <w:t xml:space="preserve"> sensitive to mental health and other factors in participants</w:t>
      </w:r>
      <w:r w:rsidR="00F8391B">
        <w:t>’</w:t>
      </w:r>
      <w:r>
        <w:t xml:space="preserve"> lives. The qualitative research showed that participants are unlikely to disclose everything to caseworkers</w:t>
      </w:r>
      <w:r w:rsidR="00AA611C">
        <w:t xml:space="preserve"> in the first instance</w:t>
      </w:r>
      <w:r>
        <w:t>, so caseworkers need to build trust and rapport before meaningful progress can take place.</w:t>
      </w:r>
    </w:p>
    <w:p w14:paraId="40D561B6" w14:textId="56C08207" w:rsidR="006150C6" w:rsidRPr="00D554AE" w:rsidRDefault="006150C6" w:rsidP="006150C6">
      <w:r w:rsidRPr="00D554AE">
        <w:t>This research confirms that key elements of the TtW model support the building of participants</w:t>
      </w:r>
      <w:r w:rsidR="00F06DFC">
        <w:t>’</w:t>
      </w:r>
      <w:r w:rsidRPr="00D554AE">
        <w:t xml:space="preserve"> human capabilities, including:</w:t>
      </w:r>
    </w:p>
    <w:p w14:paraId="55124760" w14:textId="00446705" w:rsidR="006150C6" w:rsidRPr="00CD6FB8" w:rsidRDefault="006150C6" w:rsidP="007F37E0">
      <w:pPr>
        <w:pStyle w:val="ListBullet"/>
      </w:pPr>
      <w:r>
        <w:t xml:space="preserve">Use of a </w:t>
      </w:r>
      <w:r w:rsidRPr="726FFB36">
        <w:rPr>
          <w:b/>
          <w:bCs/>
        </w:rPr>
        <w:t>strengths</w:t>
      </w:r>
      <w:r w:rsidR="00F06DFC">
        <w:rPr>
          <w:b/>
          <w:bCs/>
        </w:rPr>
        <w:t>-</w:t>
      </w:r>
      <w:r w:rsidRPr="726FFB36">
        <w:rPr>
          <w:b/>
          <w:bCs/>
        </w:rPr>
        <w:t>based and client-centred</w:t>
      </w:r>
      <w:r>
        <w:t xml:space="preserve"> model that provides constructive and tailored support, within a safe, enabling environment. This is supported by </w:t>
      </w:r>
      <w:r w:rsidRPr="726FFB36">
        <w:rPr>
          <w:b/>
          <w:bCs/>
        </w:rPr>
        <w:t>low caseloads per caseworker</w:t>
      </w:r>
      <w:r>
        <w:t>, giving caseworkers the time to provide intensive wraparound support</w:t>
      </w:r>
      <w:r w:rsidR="00F06DFC">
        <w:t>;</w:t>
      </w:r>
      <w:r>
        <w:t xml:space="preserve"> a </w:t>
      </w:r>
      <w:r w:rsidRPr="726FFB36">
        <w:rPr>
          <w:b/>
          <w:bCs/>
        </w:rPr>
        <w:t>flexible funding model</w:t>
      </w:r>
      <w:r>
        <w:t>, allowing providers to use innovative methods to engage young participants</w:t>
      </w:r>
      <w:r w:rsidR="00F06DFC">
        <w:t>;</w:t>
      </w:r>
      <w:r>
        <w:t xml:space="preserve"> and a </w:t>
      </w:r>
      <w:r w:rsidRPr="726FFB36">
        <w:rPr>
          <w:b/>
          <w:bCs/>
        </w:rPr>
        <w:t>youth focus</w:t>
      </w:r>
      <w:r>
        <w:t xml:space="preserve"> which helps participants feel welcome and valued.</w:t>
      </w:r>
    </w:p>
    <w:p w14:paraId="394919EC" w14:textId="2184AF86" w:rsidR="006150C6" w:rsidRDefault="006150C6" w:rsidP="007F37E0">
      <w:pPr>
        <w:pStyle w:val="ListBullet"/>
      </w:pPr>
      <w:r w:rsidRPr="00CD6FB8">
        <w:rPr>
          <w:b/>
          <w:bCs/>
        </w:rPr>
        <w:t>Flexible servicing</w:t>
      </w:r>
      <w:r w:rsidRPr="00CD6FB8">
        <w:t xml:space="preserve"> that takes the needs of individuals into account when determining the frequency and duration of servicing.</w:t>
      </w:r>
      <w:bookmarkStart w:id="2287" w:name="_Toc109823525"/>
      <w:bookmarkStart w:id="2288" w:name="_Toc109920023"/>
      <w:bookmarkStart w:id="2289" w:name="_Toc110250834"/>
      <w:bookmarkStart w:id="2290" w:name="_Toc110252875"/>
      <w:bookmarkEnd w:id="2287"/>
      <w:bookmarkEnd w:id="2288"/>
      <w:bookmarkEnd w:id="2289"/>
      <w:bookmarkEnd w:id="2290"/>
    </w:p>
    <w:p w14:paraId="49A00442" w14:textId="698FDA01" w:rsidR="00BB62B4" w:rsidRDefault="00BB62B4">
      <w:pPr>
        <w:spacing w:after="160" w:line="259" w:lineRule="auto"/>
      </w:pPr>
      <w:r>
        <w:br w:type="page"/>
      </w:r>
    </w:p>
    <w:p w14:paraId="5E948479" w14:textId="13A4CA95" w:rsidR="003A491D" w:rsidRDefault="00477DF1" w:rsidP="003A491D">
      <w:pPr>
        <w:pStyle w:val="Heading1"/>
      </w:pPr>
      <w:bookmarkStart w:id="2291" w:name="_Toc132650478"/>
      <w:bookmarkStart w:id="2292" w:name="_Toc146033509"/>
      <w:r w:rsidRPr="00BC5965">
        <w:lastRenderedPageBreak/>
        <w:t>–</w:t>
      </w:r>
      <w:bookmarkStart w:id="2293" w:name="_Toc109823526"/>
      <w:bookmarkStart w:id="2294" w:name="_Toc109920024"/>
      <w:bookmarkStart w:id="2295" w:name="_Toc110250835"/>
      <w:bookmarkStart w:id="2296" w:name="_Toc110252876"/>
      <w:bookmarkStart w:id="2297" w:name="_Toc110412510"/>
      <w:bookmarkStart w:id="2298" w:name="_Toc109823527"/>
      <w:bookmarkStart w:id="2299" w:name="_Toc109920025"/>
      <w:bookmarkStart w:id="2300" w:name="_Toc110250836"/>
      <w:bookmarkStart w:id="2301" w:name="_Toc110252877"/>
      <w:bookmarkStart w:id="2302" w:name="_Toc110412511"/>
      <w:bookmarkStart w:id="2303" w:name="_Toc109823528"/>
      <w:bookmarkStart w:id="2304" w:name="_Toc109920026"/>
      <w:bookmarkStart w:id="2305" w:name="_Toc110250837"/>
      <w:bookmarkStart w:id="2306" w:name="_Toc110252878"/>
      <w:bookmarkStart w:id="2307" w:name="_Toc110412512"/>
      <w:bookmarkStart w:id="2308" w:name="_Toc109823529"/>
      <w:bookmarkStart w:id="2309" w:name="_Toc109920027"/>
      <w:bookmarkStart w:id="2310" w:name="_Toc110250838"/>
      <w:bookmarkStart w:id="2311" w:name="_Toc110252879"/>
      <w:bookmarkStart w:id="2312" w:name="_Toc110412513"/>
      <w:bookmarkStart w:id="2313" w:name="_Toc109823530"/>
      <w:bookmarkStart w:id="2314" w:name="_Toc109920028"/>
      <w:bookmarkStart w:id="2315" w:name="_Toc110250839"/>
      <w:bookmarkStart w:id="2316" w:name="_Toc110252880"/>
      <w:bookmarkStart w:id="2317" w:name="_Toc110412514"/>
      <w:bookmarkStart w:id="2318" w:name="_Toc109823531"/>
      <w:bookmarkStart w:id="2319" w:name="_Toc109920029"/>
      <w:bookmarkStart w:id="2320" w:name="_Toc110250840"/>
      <w:bookmarkStart w:id="2321" w:name="_Toc110252881"/>
      <w:bookmarkStart w:id="2322" w:name="_Toc110412515"/>
      <w:bookmarkStart w:id="2323" w:name="_Toc109823532"/>
      <w:bookmarkStart w:id="2324" w:name="_Toc109920030"/>
      <w:bookmarkStart w:id="2325" w:name="_Toc110250841"/>
      <w:bookmarkStart w:id="2326" w:name="_Toc110252882"/>
      <w:bookmarkStart w:id="2327" w:name="_Toc110412516"/>
      <w:bookmarkStart w:id="2328" w:name="_Toc109823533"/>
      <w:bookmarkStart w:id="2329" w:name="_Toc109920031"/>
      <w:bookmarkStart w:id="2330" w:name="_Toc110250842"/>
      <w:bookmarkStart w:id="2331" w:name="_Toc110252883"/>
      <w:bookmarkStart w:id="2332" w:name="_Toc110412517"/>
      <w:bookmarkStart w:id="2333" w:name="_Toc109823534"/>
      <w:bookmarkStart w:id="2334" w:name="_Toc109920032"/>
      <w:bookmarkStart w:id="2335" w:name="_Toc110250843"/>
      <w:bookmarkStart w:id="2336" w:name="_Toc110252884"/>
      <w:bookmarkStart w:id="2337" w:name="_Toc110412518"/>
      <w:bookmarkStart w:id="2338" w:name="_Toc109823535"/>
      <w:bookmarkStart w:id="2339" w:name="_Toc109920033"/>
      <w:bookmarkStart w:id="2340" w:name="_Toc110250844"/>
      <w:bookmarkStart w:id="2341" w:name="_Toc110252885"/>
      <w:bookmarkStart w:id="2342" w:name="_Toc110412519"/>
      <w:bookmarkStart w:id="2343" w:name="_Toc109823536"/>
      <w:bookmarkStart w:id="2344" w:name="_Toc109920034"/>
      <w:bookmarkStart w:id="2345" w:name="_Toc110250845"/>
      <w:bookmarkStart w:id="2346" w:name="_Toc110252886"/>
      <w:bookmarkStart w:id="2347" w:name="_Toc110412520"/>
      <w:bookmarkStart w:id="2348" w:name="_Toc109823537"/>
      <w:bookmarkStart w:id="2349" w:name="_Toc109920035"/>
      <w:bookmarkStart w:id="2350" w:name="_Toc110250846"/>
      <w:bookmarkStart w:id="2351" w:name="_Toc110252887"/>
      <w:bookmarkStart w:id="2352" w:name="_Toc110412521"/>
      <w:bookmarkStart w:id="2353" w:name="_Toc109823538"/>
      <w:bookmarkStart w:id="2354" w:name="_Toc109920036"/>
      <w:bookmarkStart w:id="2355" w:name="_Toc110250847"/>
      <w:bookmarkStart w:id="2356" w:name="_Toc110252888"/>
      <w:bookmarkStart w:id="2357" w:name="_Toc110412522"/>
      <w:bookmarkStart w:id="2358" w:name="_Toc109823539"/>
      <w:bookmarkStart w:id="2359" w:name="_Toc109920037"/>
      <w:bookmarkStart w:id="2360" w:name="_Toc110250848"/>
      <w:bookmarkStart w:id="2361" w:name="_Toc110252889"/>
      <w:bookmarkStart w:id="2362" w:name="_Toc110412523"/>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r w:rsidR="003A491D">
        <w:t xml:space="preserve"> What impact does TtW have on participants</w:t>
      </w:r>
      <w:r w:rsidR="00F8391B">
        <w:t>’</w:t>
      </w:r>
      <w:r w:rsidR="003A491D">
        <w:t xml:space="preserve"> incarceration rates?</w:t>
      </w:r>
      <w:bookmarkEnd w:id="2291"/>
      <w:bookmarkEnd w:id="2292"/>
    </w:p>
    <w:p w14:paraId="02AAF798" w14:textId="77777777" w:rsidR="003A491D" w:rsidRDefault="003A491D" w:rsidP="006E41FD">
      <w:pPr>
        <w:pStyle w:val="Heading2"/>
      </w:pPr>
      <w:bookmarkStart w:id="2363" w:name="_Toc132650479"/>
      <w:bookmarkStart w:id="2364" w:name="_Toc146033510"/>
      <w:r>
        <w:t>Introduction</w:t>
      </w:r>
      <w:bookmarkEnd w:id="2363"/>
      <w:bookmarkEnd w:id="2364"/>
    </w:p>
    <w:p w14:paraId="73E92954" w14:textId="7BC160F2" w:rsidR="003A491D" w:rsidRDefault="003A491D" w:rsidP="003A491D">
      <w:r>
        <w:t xml:space="preserve">This chapter explores the impact of TtW on the likelihood that participants will enter or re-enter the criminal justice system, examining the overall impact and the specific impact on participants who were ex-offenders on referral, and </w:t>
      </w:r>
      <w:r w:rsidR="00F06DFC">
        <w:t xml:space="preserve">on </w:t>
      </w:r>
      <w:r>
        <w:t xml:space="preserve">Aboriginal and/or Torres Strait Islander participants. This analysis is limited to the examination of incarceration rates – i.e., where a participant is sent to prison. </w:t>
      </w:r>
      <w:r w:rsidRPr="004A440A">
        <w:t xml:space="preserve">It does not include criminal activity that did not lead to </w:t>
      </w:r>
      <w:r w:rsidRPr="007427A6">
        <w:t>contact with the criminal justice system</w:t>
      </w:r>
      <w:r w:rsidRPr="004A440A">
        <w:t>, contact with the criminal justice system which did not lead to a conviction, or a conviction led to a sentence that was unsupervised or supervised in the community.</w:t>
      </w:r>
    </w:p>
    <w:p w14:paraId="52E374AD" w14:textId="77777777" w:rsidR="003A491D" w:rsidRDefault="003A491D" w:rsidP="006E41FD">
      <w:pPr>
        <w:pStyle w:val="Heading2"/>
      </w:pPr>
      <w:bookmarkStart w:id="2365" w:name="_Toc132650480"/>
      <w:bookmarkStart w:id="2366" w:name="_Toc146033511"/>
      <w:r>
        <w:t>Prison sentences</w:t>
      </w:r>
      <w:bookmarkEnd w:id="2365"/>
      <w:bookmarkEnd w:id="2366"/>
    </w:p>
    <w:p w14:paraId="7AFFF6AC" w14:textId="1F0916BF" w:rsidR="003A491D" w:rsidRDefault="003A491D" w:rsidP="003A491D">
      <w:bookmarkStart w:id="2367" w:name="_Hlk118810019"/>
      <w:r>
        <w:t xml:space="preserve">Analysis of income support data (exits from income support with an exit reason </w:t>
      </w:r>
      <w:r w:rsidR="00F8391B">
        <w:t>‘</w:t>
      </w:r>
      <w:r>
        <w:t>exited to prison</w:t>
      </w:r>
      <w:r w:rsidR="00F8391B">
        <w:t>’</w:t>
      </w:r>
      <w:r>
        <w:t xml:space="preserve">) demonstrates that TtW participants are less likely than participants in the comparison group to go to prison in the </w:t>
      </w:r>
      <w:r w:rsidR="00624AF2">
        <w:t xml:space="preserve">4 </w:t>
      </w:r>
      <w:r>
        <w:t>years from commencement.</w:t>
      </w:r>
    </w:p>
    <w:p w14:paraId="48A71EEB" w14:textId="26BDF2B8" w:rsidR="003A491D" w:rsidRDefault="00130BFE" w:rsidP="003A491D">
      <w:bookmarkStart w:id="2368" w:name="_Hlk108531890"/>
      <w:r>
        <w:t>L</w:t>
      </w:r>
      <w:r w:rsidR="003A491D">
        <w:t xml:space="preserve">ogistic regression </w:t>
      </w:r>
      <w:r w:rsidR="49A7DD55">
        <w:t>modelling</w:t>
      </w:r>
      <w:bookmarkEnd w:id="2368"/>
      <w:r w:rsidR="003A491D">
        <w:rPr>
          <w:rStyle w:val="FootnoteReference"/>
        </w:rPr>
        <w:footnoteReference w:id="81"/>
      </w:r>
      <w:r w:rsidR="003A491D">
        <w:t xml:space="preserve"> showed that TtW had a significant, if small, positive impact on incarceration rates for participants. TtW participants were 0.83 percentage points less likely to be incarcerated in the 4 years from commencement than comparison group </w:t>
      </w:r>
      <w:r w:rsidR="003A491D" w:rsidRPr="00CD6FB8">
        <w:t xml:space="preserve">participants </w:t>
      </w:r>
      <w:r w:rsidR="003A491D" w:rsidRPr="00CD7319">
        <w:rPr>
          <w:b/>
          <w:bCs/>
        </w:rPr>
        <w:t>(</w:t>
      </w:r>
      <w:r w:rsidR="003A491D" w:rsidRPr="00C7240E">
        <w:rPr>
          <w:b/>
          <w:bCs/>
        </w:rPr>
        <w:fldChar w:fldCharType="begin"/>
      </w:r>
      <w:r w:rsidR="003A491D" w:rsidRPr="002A3123">
        <w:rPr>
          <w:b/>
          <w:bCs/>
        </w:rPr>
        <w:instrText xml:space="preserve"> REF _Ref118811415 \h </w:instrText>
      </w:r>
      <w:r w:rsidR="003A491D" w:rsidRPr="00CD7319">
        <w:rPr>
          <w:b/>
          <w:bCs/>
        </w:rPr>
        <w:instrText xml:space="preserve"> \* MERGEFORMAT </w:instrText>
      </w:r>
      <w:r w:rsidR="003A491D" w:rsidRPr="00C7240E">
        <w:rPr>
          <w:b/>
          <w:bCs/>
        </w:rPr>
      </w:r>
      <w:r w:rsidR="003A491D" w:rsidRPr="00C7240E">
        <w:rPr>
          <w:b/>
          <w:bCs/>
        </w:rPr>
        <w:fldChar w:fldCharType="separate"/>
      </w:r>
      <w:r w:rsidR="00180E14" w:rsidRPr="00180E14">
        <w:rPr>
          <w:b/>
          <w:bCs/>
        </w:rPr>
        <w:t xml:space="preserve">Table </w:t>
      </w:r>
      <w:r w:rsidR="00180E14" w:rsidRPr="00180E14">
        <w:rPr>
          <w:b/>
          <w:bCs/>
          <w:noProof/>
        </w:rPr>
        <w:t>9</w:t>
      </w:r>
      <w:r w:rsidR="003A491D" w:rsidRPr="00C7240E">
        <w:rPr>
          <w:b/>
          <w:bCs/>
        </w:rPr>
        <w:fldChar w:fldCharType="end"/>
      </w:r>
      <w:r w:rsidR="003A491D" w:rsidRPr="00CD6FB8">
        <w:t>).</w:t>
      </w:r>
      <w:r w:rsidR="003A491D">
        <w:t xml:space="preserve"> While this seems to be a small difference, only around 5% of participants were incarcerated overall, so a 1 percentage point difference in the probability of being incarcerated is notable.</w:t>
      </w:r>
    </w:p>
    <w:bookmarkEnd w:id="2367"/>
    <w:p w14:paraId="4E59EFB7" w14:textId="556EF448" w:rsidR="003A491D" w:rsidRDefault="003A491D" w:rsidP="003A491D">
      <w:r>
        <w:t>In terms of the number of people this affected, c</w:t>
      </w:r>
      <w:r w:rsidRPr="00990B6C">
        <w:t xml:space="preserve">ompared to </w:t>
      </w:r>
      <w:r>
        <w:t>the comparison group</w:t>
      </w:r>
      <w:r w:rsidRPr="00990B6C">
        <w:t xml:space="preserve">, 95 </w:t>
      </w:r>
      <w:r>
        <w:t>fewer</w:t>
      </w:r>
      <w:r w:rsidRPr="00990B6C">
        <w:t xml:space="preserve"> </w:t>
      </w:r>
      <w:r>
        <w:t>TtW</w:t>
      </w:r>
      <w:r w:rsidRPr="00990B6C">
        <w:t xml:space="preserve"> participants were incarcerated in the </w:t>
      </w:r>
      <w:r w:rsidR="00F8391B">
        <w:t>4</w:t>
      </w:r>
      <w:r w:rsidRPr="00990B6C">
        <w:t xml:space="preserve"> years from their commencement, with a total of 265 </w:t>
      </w:r>
      <w:r>
        <w:t xml:space="preserve">fewer </w:t>
      </w:r>
      <w:r w:rsidRPr="00990B6C">
        <w:t xml:space="preserve">periods of incarceration </w:t>
      </w:r>
      <w:r>
        <w:t xml:space="preserve">(from almost 16,722 </w:t>
      </w:r>
      <w:r w:rsidRPr="00CD6FB8">
        <w:t>participants) (</w:t>
      </w:r>
      <w:r w:rsidRPr="00C7240E">
        <w:rPr>
          <w:b/>
          <w:bCs/>
        </w:rPr>
        <w:fldChar w:fldCharType="begin"/>
      </w:r>
      <w:r w:rsidRPr="002A3123">
        <w:rPr>
          <w:b/>
          <w:bCs/>
        </w:rPr>
        <w:instrText xml:space="preserve"> REF _Ref118811667 \h </w:instrText>
      </w:r>
      <w:r w:rsidRPr="00CD7319">
        <w:rPr>
          <w:b/>
          <w:bCs/>
        </w:rPr>
        <w:instrText xml:space="preserve"> \* MERGEFORMAT </w:instrText>
      </w:r>
      <w:r w:rsidRPr="00C7240E">
        <w:rPr>
          <w:b/>
          <w:bCs/>
        </w:rPr>
      </w:r>
      <w:r w:rsidRPr="00C7240E">
        <w:rPr>
          <w:b/>
          <w:bCs/>
        </w:rPr>
        <w:fldChar w:fldCharType="separate"/>
      </w:r>
      <w:r w:rsidR="00180E14" w:rsidRPr="00180E14">
        <w:rPr>
          <w:b/>
          <w:bCs/>
        </w:rPr>
        <w:t xml:space="preserve">Figure </w:t>
      </w:r>
      <w:r w:rsidR="00180E14" w:rsidRPr="00180E14">
        <w:rPr>
          <w:b/>
          <w:bCs/>
          <w:noProof/>
        </w:rPr>
        <w:t>23</w:t>
      </w:r>
      <w:r w:rsidRPr="00C7240E">
        <w:rPr>
          <w:b/>
          <w:bCs/>
        </w:rPr>
        <w:fldChar w:fldCharType="end"/>
      </w:r>
      <w:r w:rsidRPr="00CD6FB8">
        <w:t>).</w:t>
      </w:r>
    </w:p>
    <w:p w14:paraId="6B4E3138" w14:textId="435C0E01" w:rsidR="003A491D" w:rsidRDefault="003A491D" w:rsidP="003A491D">
      <w:r>
        <w:t>The average number of days spent in prison per incarceration was also calculated by looking at average time spent off income support, and this is the same for both TtW and comparison group participants, at 142 days/prison episode.</w:t>
      </w:r>
    </w:p>
    <w:p w14:paraId="31C32735" w14:textId="1864DC57" w:rsidR="003A491D" w:rsidRPr="0066699D" w:rsidRDefault="003A491D" w:rsidP="00633F11">
      <w:pPr>
        <w:pStyle w:val="Caption"/>
        <w:keepNext/>
      </w:pPr>
      <w:bookmarkStart w:id="2369" w:name="_Ref118811415"/>
      <w:bookmarkStart w:id="2370" w:name="_Toc132647785"/>
      <w:bookmarkStart w:id="2371" w:name="_Toc145877298"/>
      <w:r>
        <w:lastRenderedPageBreak/>
        <w:t xml:space="preserve">Table </w:t>
      </w:r>
      <w:r>
        <w:fldChar w:fldCharType="begin"/>
      </w:r>
      <w:r>
        <w:instrText>SEQ Table \* ARABIC</w:instrText>
      </w:r>
      <w:r>
        <w:fldChar w:fldCharType="separate"/>
      </w:r>
      <w:r w:rsidR="00180E14">
        <w:rPr>
          <w:noProof/>
        </w:rPr>
        <w:t>9</w:t>
      </w:r>
      <w:r>
        <w:fldChar w:fldCharType="end"/>
      </w:r>
      <w:bookmarkEnd w:id="2369"/>
      <w:r>
        <w:t xml:space="preserve">: </w:t>
      </w:r>
      <w:r w:rsidRPr="00477F48">
        <w:t>Predicted probability that a participant will be incarcerated once within 4 years of commencement</w:t>
      </w:r>
      <w:bookmarkEnd w:id="2370"/>
      <w:bookmarkEnd w:id="2371"/>
    </w:p>
    <w:tbl>
      <w:tblPr>
        <w:tblStyle w:val="TtWReportTableTemplate2"/>
        <w:tblW w:w="0" w:type="auto"/>
        <w:tblLook w:val="04A0" w:firstRow="1" w:lastRow="0" w:firstColumn="1" w:lastColumn="0" w:noHBand="0" w:noVBand="1"/>
      </w:tblPr>
      <w:tblGrid>
        <w:gridCol w:w="3005"/>
        <w:gridCol w:w="3005"/>
      </w:tblGrid>
      <w:tr w:rsidR="003A491D" w14:paraId="5B39C13E" w14:textId="77777777" w:rsidTr="000466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5D7A38"/>
          </w:tcPr>
          <w:p w14:paraId="26C3EB74" w14:textId="77777777" w:rsidR="003A491D" w:rsidRDefault="003A491D" w:rsidP="00633F11">
            <w:pPr>
              <w:keepNext/>
            </w:pPr>
            <w:bookmarkStart w:id="2372" w:name="_Hlk110867842"/>
            <w:r>
              <w:t>Program</w:t>
            </w:r>
          </w:p>
        </w:tc>
        <w:tc>
          <w:tcPr>
            <w:tcW w:w="3005" w:type="dxa"/>
            <w:shd w:val="clear" w:color="auto" w:fill="5D7A38"/>
          </w:tcPr>
          <w:p w14:paraId="452C9AC1" w14:textId="77777777" w:rsidR="003A491D" w:rsidRDefault="003A491D" w:rsidP="00633F11">
            <w:pPr>
              <w:keepNext/>
              <w:cnfStyle w:val="100000000000" w:firstRow="1" w:lastRow="0" w:firstColumn="0" w:lastColumn="0" w:oddVBand="0" w:evenVBand="0" w:oddHBand="0" w:evenHBand="0" w:firstRowFirstColumn="0" w:firstRowLastColumn="0" w:lastRowFirstColumn="0" w:lastRowLastColumn="0"/>
            </w:pPr>
            <w:r>
              <w:t>Probability (%)</w:t>
            </w:r>
          </w:p>
        </w:tc>
      </w:tr>
      <w:tr w:rsidR="003A491D" w14:paraId="5D174C82"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1B74D46" w14:textId="77777777" w:rsidR="003A491D" w:rsidRDefault="003A491D" w:rsidP="00633F11">
            <w:pPr>
              <w:keepNext/>
            </w:pPr>
            <w:r>
              <w:t>TtW</w:t>
            </w:r>
          </w:p>
        </w:tc>
        <w:tc>
          <w:tcPr>
            <w:tcW w:w="3005" w:type="dxa"/>
          </w:tcPr>
          <w:p w14:paraId="001C69E6" w14:textId="77777777" w:rsidR="003A491D" w:rsidRDefault="003A491D" w:rsidP="00633F11">
            <w:pPr>
              <w:keepNext/>
              <w:cnfStyle w:val="000000100000" w:firstRow="0" w:lastRow="0" w:firstColumn="0" w:lastColumn="0" w:oddVBand="0" w:evenVBand="0" w:oddHBand="1" w:evenHBand="0" w:firstRowFirstColumn="0" w:firstRowLastColumn="0" w:lastRowFirstColumn="0" w:lastRowLastColumn="0"/>
            </w:pPr>
            <w:r>
              <w:rPr>
                <w:color w:val="000000"/>
              </w:rPr>
              <w:t>4.97</w:t>
            </w:r>
          </w:p>
        </w:tc>
      </w:tr>
      <w:tr w:rsidR="003A491D" w14:paraId="1BE53966"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1DEFAA8" w14:textId="77777777" w:rsidR="003A491D" w:rsidRDefault="003A491D" w:rsidP="00633F11">
            <w:pPr>
              <w:keepNext/>
            </w:pPr>
            <w:r>
              <w:t>jobactive</w:t>
            </w:r>
          </w:p>
        </w:tc>
        <w:tc>
          <w:tcPr>
            <w:tcW w:w="3005" w:type="dxa"/>
          </w:tcPr>
          <w:p w14:paraId="4242E8AE" w14:textId="77777777" w:rsidR="003A491D" w:rsidRDefault="003A491D" w:rsidP="00633F11">
            <w:pPr>
              <w:keepNext/>
              <w:cnfStyle w:val="000000010000" w:firstRow="0" w:lastRow="0" w:firstColumn="0" w:lastColumn="0" w:oddVBand="0" w:evenVBand="0" w:oddHBand="0" w:evenHBand="1" w:firstRowFirstColumn="0" w:firstRowLastColumn="0" w:lastRowFirstColumn="0" w:lastRowLastColumn="0"/>
            </w:pPr>
            <w:r>
              <w:rPr>
                <w:color w:val="000000"/>
              </w:rPr>
              <w:t>5.79</w:t>
            </w:r>
          </w:p>
        </w:tc>
      </w:tr>
      <w:bookmarkEnd w:id="2372"/>
      <w:tr w:rsidR="003A491D" w14:paraId="081A989E"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3D7BDE5" w14:textId="77777777" w:rsidR="003A491D" w:rsidRDefault="003A491D" w:rsidP="00897071">
            <w:r>
              <w:t>Difference</w:t>
            </w:r>
          </w:p>
        </w:tc>
        <w:tc>
          <w:tcPr>
            <w:tcW w:w="3005" w:type="dxa"/>
          </w:tcPr>
          <w:p w14:paraId="469CCABD" w14:textId="77777777" w:rsidR="003A491D" w:rsidRDefault="003A491D" w:rsidP="00897071">
            <w:pPr>
              <w:cnfStyle w:val="000000100000" w:firstRow="0" w:lastRow="0" w:firstColumn="0" w:lastColumn="0" w:oddVBand="0" w:evenVBand="0" w:oddHBand="1" w:evenHBand="0" w:firstRowFirstColumn="0" w:firstRowLastColumn="0" w:lastRowFirstColumn="0" w:lastRowLastColumn="0"/>
            </w:pPr>
            <w:r>
              <w:rPr>
                <w:color w:val="000000"/>
              </w:rPr>
              <w:t>-0.83 percentage points</w:t>
            </w:r>
          </w:p>
        </w:tc>
      </w:tr>
    </w:tbl>
    <w:p w14:paraId="7F5DA4B6" w14:textId="570BEF60" w:rsidR="003A491D" w:rsidRPr="00437DC9" w:rsidRDefault="003A491D" w:rsidP="003A491D">
      <w:pPr>
        <w:pStyle w:val="SourceandNotes"/>
      </w:pPr>
      <w:r w:rsidRPr="005E0ED0">
        <w:t xml:space="preserve">Source: The </w:t>
      </w:r>
      <w:r w:rsidRPr="00437DC9">
        <w:t>department</w:t>
      </w:r>
      <w:r w:rsidR="00F8391B">
        <w:t>’</w:t>
      </w:r>
      <w:r w:rsidRPr="00437DC9">
        <w:t>s administrative data</w:t>
      </w:r>
    </w:p>
    <w:p w14:paraId="4684C69D" w14:textId="4B446621" w:rsidR="003A491D" w:rsidRDefault="003A491D" w:rsidP="003A491D">
      <w:pPr>
        <w:pStyle w:val="SourceandNotes"/>
      </w:pPr>
      <w:r>
        <w:t>Base: Matched TtW (n=</w:t>
      </w:r>
      <w:r w:rsidR="0054194B">
        <w:t>8,361</w:t>
      </w:r>
      <w:r>
        <w:t>) and jobactive (n=</w:t>
      </w:r>
      <w:r w:rsidR="0054194B">
        <w:t>8,361</w:t>
      </w:r>
      <w:r>
        <w:t>) samples</w:t>
      </w:r>
    </w:p>
    <w:p w14:paraId="6EC44F79" w14:textId="1A0ECAB2" w:rsidR="003A491D" w:rsidRDefault="003A491D" w:rsidP="003A491D">
      <w:pPr>
        <w:pStyle w:val="SourceandNotes"/>
      </w:pPr>
      <w:r>
        <w:t xml:space="preserve">Note: </w:t>
      </w:r>
      <w:r w:rsidR="0023225E">
        <w:t>S</w:t>
      </w:r>
      <w:r>
        <w:t xml:space="preserve">tatistically significant to </w:t>
      </w:r>
      <w:r w:rsidRPr="00C239FD">
        <w:rPr>
          <w:i/>
          <w:iCs/>
        </w:rPr>
        <w:t>p</w:t>
      </w:r>
      <w:r>
        <w:t xml:space="preserve"> &lt; 0.05</w:t>
      </w:r>
    </w:p>
    <w:p w14:paraId="7C29B802" w14:textId="7A472D0D" w:rsidR="003A491D" w:rsidRDefault="003A491D" w:rsidP="003A491D">
      <w:pPr>
        <w:pStyle w:val="Caption"/>
        <w:keepNext/>
      </w:pPr>
      <w:bookmarkStart w:id="2373" w:name="_Ref118811667"/>
      <w:bookmarkStart w:id="2374" w:name="_Ref118811652"/>
      <w:bookmarkStart w:id="2375" w:name="_Toc132647864"/>
      <w:bookmarkStart w:id="2376" w:name="_Toc145883333"/>
      <w:bookmarkStart w:id="2377" w:name="_Hlk124850017"/>
      <w:r>
        <w:t xml:space="preserve">Figure </w:t>
      </w:r>
      <w:r w:rsidR="00BE71D4">
        <w:fldChar w:fldCharType="begin"/>
      </w:r>
      <w:r w:rsidR="00BE71D4">
        <w:instrText xml:space="preserve"> SEQ Figure \* ARABIC </w:instrText>
      </w:r>
      <w:r w:rsidR="00BE71D4">
        <w:fldChar w:fldCharType="separate"/>
      </w:r>
      <w:r w:rsidR="00180E14">
        <w:rPr>
          <w:noProof/>
        </w:rPr>
        <w:t>23</w:t>
      </w:r>
      <w:r w:rsidR="00BE71D4">
        <w:rPr>
          <w:noProof/>
        </w:rPr>
        <w:fldChar w:fldCharType="end"/>
      </w:r>
      <w:bookmarkEnd w:id="2373"/>
      <w:r>
        <w:t xml:space="preserve">: </w:t>
      </w:r>
      <w:r w:rsidRPr="0050377D">
        <w:t xml:space="preserve">Number of individuals </w:t>
      </w:r>
      <w:r>
        <w:t xml:space="preserve">who were incarcerated </w:t>
      </w:r>
      <w:r w:rsidRPr="0050377D">
        <w:t>and episodes of incarceration within 4</w:t>
      </w:r>
      <w:r w:rsidR="00F06DFC">
        <w:t> </w:t>
      </w:r>
      <w:r w:rsidRPr="0050377D">
        <w:t>years of commencement</w:t>
      </w:r>
      <w:bookmarkEnd w:id="2374"/>
      <w:bookmarkEnd w:id="2375"/>
      <w:bookmarkEnd w:id="2376"/>
    </w:p>
    <w:p w14:paraId="2735AF6A" w14:textId="77777777" w:rsidR="00D23BA0" w:rsidRDefault="00D23BA0" w:rsidP="003A491D">
      <w:pPr>
        <w:pStyle w:val="SourceandNotes"/>
      </w:pPr>
      <w:r>
        <w:rPr>
          <w:noProof/>
        </w:rPr>
        <w:drawing>
          <wp:inline distT="0" distB="0" distL="0" distR="0" wp14:anchorId="36C53C30" wp14:editId="758BCD9A">
            <wp:extent cx="4572635" cy="2737485"/>
            <wp:effectExtent l="0" t="0" r="0" b="0"/>
            <wp:docPr id="70" name="Picture 70" descr="Individuals: TtW 421, comparison 516&#10;Episodes: TtW 760, comparison 1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Individuals: TtW 421, comparison 516&#10;Episodes: TtW 760, comparison 1025&#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2635" cy="2737485"/>
                    </a:xfrm>
                    <a:prstGeom prst="rect">
                      <a:avLst/>
                    </a:prstGeom>
                    <a:noFill/>
                  </pic:spPr>
                </pic:pic>
              </a:graphicData>
            </a:graphic>
          </wp:inline>
        </w:drawing>
      </w:r>
    </w:p>
    <w:p w14:paraId="7AAA0769" w14:textId="67EB8A69" w:rsidR="003A491D" w:rsidRPr="00437DC9" w:rsidRDefault="003A491D" w:rsidP="003A491D">
      <w:pPr>
        <w:pStyle w:val="SourceandNotes"/>
      </w:pPr>
      <w:r w:rsidRPr="005E0ED0">
        <w:t xml:space="preserve">Source: The </w:t>
      </w:r>
      <w:r w:rsidRPr="00437DC9">
        <w:t>department</w:t>
      </w:r>
      <w:r w:rsidR="00F8391B">
        <w:t>’</w:t>
      </w:r>
      <w:r w:rsidRPr="00437DC9">
        <w:t>s administrative data</w:t>
      </w:r>
    </w:p>
    <w:p w14:paraId="67EB422D" w14:textId="267A832C" w:rsidR="003A491D" w:rsidRDefault="003A491D" w:rsidP="003A491D">
      <w:pPr>
        <w:pStyle w:val="SourceandNotes"/>
      </w:pPr>
      <w:r>
        <w:t>Base: Matched TtW (n=</w:t>
      </w:r>
      <w:r w:rsidR="0054194B">
        <w:t>8,361</w:t>
      </w:r>
      <w:r>
        <w:t>) and jobactive (n=</w:t>
      </w:r>
      <w:r w:rsidR="0054194B">
        <w:t>8,361</w:t>
      </w:r>
      <w:r>
        <w:t>) samples</w:t>
      </w:r>
    </w:p>
    <w:p w14:paraId="47569C14" w14:textId="77777777" w:rsidR="003A491D" w:rsidRDefault="003A491D" w:rsidP="003A491D">
      <w:pPr>
        <w:pStyle w:val="SourceandNotes"/>
      </w:pPr>
      <w:r>
        <w:t>Note: *People incarcerated as a percentage of total number of people in program sample</w:t>
      </w:r>
    </w:p>
    <w:p w14:paraId="60AE7C09" w14:textId="77777777" w:rsidR="003A491D" w:rsidRDefault="003A491D" w:rsidP="006E41FD">
      <w:pPr>
        <w:pStyle w:val="Heading2"/>
      </w:pPr>
      <w:bookmarkStart w:id="2378" w:name="_Toc132650481"/>
      <w:bookmarkStart w:id="2379" w:name="_Toc146033512"/>
      <w:bookmarkEnd w:id="2377"/>
      <w:r>
        <w:t>Reoffending</w:t>
      </w:r>
      <w:bookmarkEnd w:id="2378"/>
      <w:bookmarkEnd w:id="2379"/>
    </w:p>
    <w:p w14:paraId="20D95E22" w14:textId="519E07BE" w:rsidR="003A491D" w:rsidRDefault="003A491D" w:rsidP="003A491D">
      <w:bookmarkStart w:id="2380" w:name="_Hlk118810034"/>
      <w:r>
        <w:t>Comparison group participants who were incarcerated during the 4-year study period were more likely to return to prison after being released than TtW participants. Of TtW participants who were incarcerated during the study period, 44.7% returned to prison at least once, compared to 51.9% of the comparison group (</w:t>
      </w:r>
      <w:r w:rsidR="0017387F" w:rsidRPr="0017387F">
        <w:rPr>
          <w:b/>
          <w:bCs/>
        </w:rPr>
        <w:fldChar w:fldCharType="begin"/>
      </w:r>
      <w:r w:rsidR="0017387F" w:rsidRPr="0017387F">
        <w:rPr>
          <w:b/>
          <w:bCs/>
        </w:rPr>
        <w:instrText xml:space="preserve"> REF _Ref124860430 \h </w:instrText>
      </w:r>
      <w:r w:rsidR="0017387F">
        <w:rPr>
          <w:b/>
          <w:bCs/>
        </w:rPr>
        <w:instrText xml:space="preserve"> \* MERGEFORMAT </w:instrText>
      </w:r>
      <w:r w:rsidR="0017387F" w:rsidRPr="0017387F">
        <w:rPr>
          <w:b/>
          <w:bCs/>
        </w:rPr>
      </w:r>
      <w:r w:rsidR="0017387F" w:rsidRPr="0017387F">
        <w:rPr>
          <w:b/>
          <w:bCs/>
        </w:rPr>
        <w:fldChar w:fldCharType="separate"/>
      </w:r>
      <w:r w:rsidR="00180E14" w:rsidRPr="00180E14">
        <w:rPr>
          <w:b/>
          <w:bCs/>
        </w:rPr>
        <w:t xml:space="preserve">Table </w:t>
      </w:r>
      <w:r w:rsidR="00180E14" w:rsidRPr="00180E14">
        <w:rPr>
          <w:b/>
          <w:bCs/>
          <w:noProof/>
        </w:rPr>
        <w:t>10</w:t>
      </w:r>
      <w:r w:rsidR="0017387F" w:rsidRPr="0017387F">
        <w:rPr>
          <w:b/>
          <w:bCs/>
        </w:rPr>
        <w:fldChar w:fldCharType="end"/>
      </w:r>
      <w:r>
        <w:t>).</w:t>
      </w:r>
    </w:p>
    <w:bookmarkEnd w:id="2380"/>
    <w:p w14:paraId="4DFCF14D" w14:textId="06934F98" w:rsidR="003A491D" w:rsidRDefault="003A491D" w:rsidP="003A491D">
      <w:r>
        <w:t>To put this in context, while not exactly comparable, in 2018</w:t>
      </w:r>
      <w:r w:rsidR="00DE47C4">
        <w:t>–</w:t>
      </w:r>
      <w:r>
        <w:t xml:space="preserve">19, 60% of young people aged 10 </w:t>
      </w:r>
      <w:r w:rsidR="00DE47C4">
        <w:t>to</w:t>
      </w:r>
      <w:r>
        <w:t xml:space="preserve"> 17 who were in juvenile detention returned to juvenile detention within 12 months (</w:t>
      </w:r>
      <w:r w:rsidRPr="004A440A">
        <w:rPr>
          <w:b/>
          <w:bCs/>
        </w:rPr>
        <w:t>AIHW 2021</w:t>
      </w:r>
      <w:r>
        <w:t>), and 45.2% of adult prisoners who were released were returned to prison within 2 years (</w:t>
      </w:r>
      <w:r w:rsidR="000F5A37">
        <w:rPr>
          <w:b/>
          <w:bCs/>
        </w:rPr>
        <w:t>Productivity Commission</w:t>
      </w:r>
      <w:r w:rsidRPr="004A440A">
        <w:rPr>
          <w:b/>
          <w:bCs/>
        </w:rPr>
        <w:t xml:space="preserve"> 2022</w:t>
      </w:r>
      <w:r>
        <w:t>). These outcomes</w:t>
      </w:r>
      <w:r w:rsidRPr="00D219E3">
        <w:t xml:space="preserve"> var</w:t>
      </w:r>
      <w:r>
        <w:t>y</w:t>
      </w:r>
      <w:r w:rsidRPr="00D219E3">
        <w:t xml:space="preserve"> slightly depending on state of residence, Indigeneity and gender. A slightly higher proportion of Aboriginal and Torres Strait Islander </w:t>
      </w:r>
      <w:r w:rsidR="003A0923">
        <w:t>men</w:t>
      </w:r>
      <w:r w:rsidRPr="00D219E3">
        <w:t xml:space="preserve"> </w:t>
      </w:r>
      <w:r>
        <w:t xml:space="preserve">(both young people and adults) </w:t>
      </w:r>
      <w:r w:rsidRPr="00D219E3">
        <w:t xml:space="preserve">returned to detention than non-Indigenous </w:t>
      </w:r>
      <w:r w:rsidR="003A0923">
        <w:t>men</w:t>
      </w:r>
      <w:r w:rsidRPr="00D219E3">
        <w:t>.</w:t>
      </w:r>
    </w:p>
    <w:p w14:paraId="7BC20497" w14:textId="786B8DDD" w:rsidR="003A491D" w:rsidRDefault="003A491D" w:rsidP="00D23BA0">
      <w:pPr>
        <w:pStyle w:val="Caption"/>
        <w:keepNext/>
      </w:pPr>
      <w:bookmarkStart w:id="2381" w:name="_Ref124860430"/>
      <w:bookmarkStart w:id="2382" w:name="_Toc132647786"/>
      <w:bookmarkStart w:id="2383" w:name="_Toc145877299"/>
      <w:bookmarkStart w:id="2384" w:name="_Hlk124850035"/>
      <w:r>
        <w:lastRenderedPageBreak/>
        <w:t xml:space="preserve">Table </w:t>
      </w:r>
      <w:r>
        <w:fldChar w:fldCharType="begin"/>
      </w:r>
      <w:r>
        <w:instrText>SEQ Table \* ARABIC</w:instrText>
      </w:r>
      <w:r>
        <w:fldChar w:fldCharType="separate"/>
      </w:r>
      <w:r w:rsidR="00180E14">
        <w:rPr>
          <w:noProof/>
        </w:rPr>
        <w:t>10</w:t>
      </w:r>
      <w:r>
        <w:fldChar w:fldCharType="end"/>
      </w:r>
      <w:bookmarkEnd w:id="2381"/>
      <w:r>
        <w:t xml:space="preserve">: </w:t>
      </w:r>
      <w:r w:rsidRPr="00EA3575">
        <w:t>Number of times in prison per person within 4 years from commencement</w:t>
      </w:r>
      <w:bookmarkEnd w:id="2382"/>
      <w:bookmarkEnd w:id="2383"/>
    </w:p>
    <w:tbl>
      <w:tblPr>
        <w:tblStyle w:val="TtWReportTableTemplate2"/>
        <w:tblW w:w="7088" w:type="dxa"/>
        <w:tblLook w:val="04A0" w:firstRow="1" w:lastRow="0" w:firstColumn="1" w:lastColumn="0" w:noHBand="0" w:noVBand="1"/>
      </w:tblPr>
      <w:tblGrid>
        <w:gridCol w:w="1418"/>
        <w:gridCol w:w="1417"/>
        <w:gridCol w:w="1418"/>
        <w:gridCol w:w="1418"/>
        <w:gridCol w:w="1417"/>
      </w:tblGrid>
      <w:tr w:rsidR="003A491D" w:rsidRPr="005463BD" w14:paraId="2C246413" w14:textId="77777777" w:rsidTr="0004663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18" w:type="dxa"/>
            <w:shd w:val="clear" w:color="auto" w:fill="5D7A38"/>
            <w:noWrap/>
            <w:hideMark/>
          </w:tcPr>
          <w:p w14:paraId="5D370B17" w14:textId="77777777" w:rsidR="003A491D" w:rsidRPr="009811ED" w:rsidRDefault="003A491D" w:rsidP="00D23BA0">
            <w:pPr>
              <w:keepNext/>
              <w:spacing w:after="0" w:line="240" w:lineRule="auto"/>
              <w:rPr>
                <w:rFonts w:eastAsia="Times New Roman" w:cs="Arial"/>
                <w:sz w:val="24"/>
                <w:szCs w:val="24"/>
                <w:lang w:eastAsia="en-AU"/>
              </w:rPr>
            </w:pPr>
            <w:r>
              <w:rPr>
                <w:rFonts w:eastAsia="Times New Roman" w:cs="Arial"/>
                <w:lang w:eastAsia="en-AU"/>
              </w:rPr>
              <w:t>Frequency</w:t>
            </w:r>
          </w:p>
        </w:tc>
        <w:tc>
          <w:tcPr>
            <w:tcW w:w="1417" w:type="dxa"/>
            <w:shd w:val="clear" w:color="auto" w:fill="5D7A38"/>
            <w:noWrap/>
            <w:hideMark/>
          </w:tcPr>
          <w:p w14:paraId="23B16379" w14:textId="77777777" w:rsidR="003A491D" w:rsidRPr="009811ED" w:rsidRDefault="003A491D" w:rsidP="00D23BA0">
            <w:pPr>
              <w:keepNext/>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Arial"/>
                <w:lang w:eastAsia="en-AU"/>
              </w:rPr>
            </w:pPr>
            <w:r w:rsidRPr="009811ED">
              <w:rPr>
                <w:rFonts w:eastAsia="Times New Roman" w:cs="Arial"/>
                <w:lang w:eastAsia="en-AU"/>
              </w:rPr>
              <w:t>TtW</w:t>
            </w:r>
          </w:p>
        </w:tc>
        <w:tc>
          <w:tcPr>
            <w:tcW w:w="1418" w:type="dxa"/>
            <w:shd w:val="clear" w:color="auto" w:fill="5D7A38"/>
            <w:noWrap/>
            <w:hideMark/>
          </w:tcPr>
          <w:p w14:paraId="6741E4EF" w14:textId="77777777" w:rsidR="003A491D" w:rsidRPr="009811ED" w:rsidRDefault="003A491D" w:rsidP="00D23BA0">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lang w:eastAsia="en-AU"/>
              </w:rPr>
            </w:pPr>
          </w:p>
        </w:tc>
        <w:tc>
          <w:tcPr>
            <w:tcW w:w="1418" w:type="dxa"/>
            <w:shd w:val="clear" w:color="auto" w:fill="5D7A38"/>
            <w:noWrap/>
            <w:hideMark/>
          </w:tcPr>
          <w:p w14:paraId="65F885B4" w14:textId="77777777" w:rsidR="003A491D" w:rsidRPr="009811ED" w:rsidRDefault="003A491D" w:rsidP="00D23BA0">
            <w:pPr>
              <w:keepNext/>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Arial"/>
                <w:lang w:eastAsia="en-AU"/>
              </w:rPr>
            </w:pPr>
            <w:r>
              <w:rPr>
                <w:rFonts w:eastAsia="Times New Roman" w:cs="Arial"/>
                <w:lang w:eastAsia="en-AU"/>
              </w:rPr>
              <w:t>Comparison</w:t>
            </w:r>
          </w:p>
        </w:tc>
        <w:tc>
          <w:tcPr>
            <w:tcW w:w="1417" w:type="dxa"/>
            <w:shd w:val="clear" w:color="auto" w:fill="5D7A38"/>
            <w:noWrap/>
            <w:hideMark/>
          </w:tcPr>
          <w:p w14:paraId="0A2E4547" w14:textId="77777777" w:rsidR="003A491D" w:rsidRPr="009811ED" w:rsidRDefault="003A491D" w:rsidP="00D23BA0">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lang w:eastAsia="en-AU"/>
              </w:rPr>
            </w:pPr>
          </w:p>
        </w:tc>
      </w:tr>
      <w:tr w:rsidR="003A491D" w:rsidRPr="009811ED" w14:paraId="4B683E7C"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0B1FF7FC" w14:textId="77777777" w:rsidR="003A491D" w:rsidRPr="009811ED" w:rsidRDefault="003A491D" w:rsidP="00D23BA0">
            <w:pPr>
              <w:keepNext/>
              <w:spacing w:after="0" w:line="240" w:lineRule="auto"/>
              <w:jc w:val="right"/>
              <w:rPr>
                <w:rFonts w:eastAsia="Times New Roman" w:cs="Arial"/>
                <w:color w:val="000000"/>
                <w:lang w:eastAsia="en-AU"/>
              </w:rPr>
            </w:pPr>
          </w:p>
        </w:tc>
        <w:tc>
          <w:tcPr>
            <w:tcW w:w="1417" w:type="dxa"/>
            <w:noWrap/>
            <w:vAlign w:val="center"/>
            <w:hideMark/>
          </w:tcPr>
          <w:p w14:paraId="6479322C"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w:t>
            </w:r>
          </w:p>
        </w:tc>
        <w:tc>
          <w:tcPr>
            <w:tcW w:w="1418" w:type="dxa"/>
            <w:noWrap/>
            <w:vAlign w:val="center"/>
            <w:hideMark/>
          </w:tcPr>
          <w:p w14:paraId="1886A198"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w:t>
            </w:r>
          </w:p>
        </w:tc>
        <w:tc>
          <w:tcPr>
            <w:tcW w:w="1418" w:type="dxa"/>
            <w:noWrap/>
            <w:vAlign w:val="center"/>
            <w:hideMark/>
          </w:tcPr>
          <w:p w14:paraId="7FF2155D"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w:t>
            </w:r>
          </w:p>
        </w:tc>
        <w:tc>
          <w:tcPr>
            <w:tcW w:w="1417" w:type="dxa"/>
            <w:noWrap/>
            <w:vAlign w:val="center"/>
            <w:hideMark/>
          </w:tcPr>
          <w:p w14:paraId="052A8620"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w:t>
            </w:r>
          </w:p>
        </w:tc>
      </w:tr>
      <w:tr w:rsidR="003A491D" w:rsidRPr="009811ED" w14:paraId="624103D2"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7931F21C" w14:textId="77777777" w:rsidR="003A491D" w:rsidRPr="009811ED" w:rsidRDefault="003A491D" w:rsidP="00D23BA0">
            <w:pPr>
              <w:keepNext/>
              <w:spacing w:after="0" w:line="240" w:lineRule="auto"/>
              <w:jc w:val="right"/>
              <w:rPr>
                <w:rFonts w:eastAsia="Times New Roman" w:cs="Arial"/>
                <w:color w:val="000000"/>
                <w:lang w:eastAsia="en-AU"/>
              </w:rPr>
            </w:pPr>
            <w:r w:rsidRPr="009811ED">
              <w:rPr>
                <w:rFonts w:eastAsia="Times New Roman" w:cs="Arial"/>
                <w:color w:val="000000"/>
                <w:lang w:eastAsia="en-AU"/>
              </w:rPr>
              <w:t>1</w:t>
            </w:r>
          </w:p>
        </w:tc>
        <w:tc>
          <w:tcPr>
            <w:tcW w:w="1417" w:type="dxa"/>
            <w:noWrap/>
            <w:vAlign w:val="center"/>
            <w:hideMark/>
          </w:tcPr>
          <w:p w14:paraId="0C221EED" w14:textId="77777777" w:rsidR="003A491D" w:rsidRPr="009811ED" w:rsidRDefault="003A491D" w:rsidP="00D23BA0">
            <w:pPr>
              <w:keepNext/>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233</w:t>
            </w:r>
          </w:p>
        </w:tc>
        <w:tc>
          <w:tcPr>
            <w:tcW w:w="1418" w:type="dxa"/>
            <w:noWrap/>
            <w:vAlign w:val="center"/>
            <w:hideMark/>
          </w:tcPr>
          <w:p w14:paraId="14091C3A" w14:textId="77777777" w:rsidR="003A491D" w:rsidRPr="009811ED" w:rsidRDefault="003A491D" w:rsidP="00D23BA0">
            <w:pPr>
              <w:keepNext/>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55.3</w:t>
            </w:r>
          </w:p>
        </w:tc>
        <w:tc>
          <w:tcPr>
            <w:tcW w:w="1418" w:type="dxa"/>
            <w:noWrap/>
            <w:vAlign w:val="center"/>
            <w:hideMark/>
          </w:tcPr>
          <w:p w14:paraId="3C8CA467" w14:textId="77777777" w:rsidR="003A491D" w:rsidRPr="009811ED" w:rsidRDefault="003A491D" w:rsidP="00D23BA0">
            <w:pPr>
              <w:keepNext/>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248</w:t>
            </w:r>
          </w:p>
        </w:tc>
        <w:tc>
          <w:tcPr>
            <w:tcW w:w="1417" w:type="dxa"/>
            <w:noWrap/>
            <w:vAlign w:val="center"/>
            <w:hideMark/>
          </w:tcPr>
          <w:p w14:paraId="7A8BDA42" w14:textId="77777777" w:rsidR="003A491D" w:rsidRPr="009811ED" w:rsidRDefault="003A491D" w:rsidP="00D23BA0">
            <w:pPr>
              <w:keepNext/>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48.1</w:t>
            </w:r>
          </w:p>
        </w:tc>
      </w:tr>
      <w:tr w:rsidR="003A491D" w:rsidRPr="009811ED" w14:paraId="0EE93D02"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733C7437" w14:textId="77777777" w:rsidR="003A491D" w:rsidRPr="009811ED" w:rsidRDefault="003A491D" w:rsidP="00D23BA0">
            <w:pPr>
              <w:keepNext/>
              <w:spacing w:after="0" w:line="240" w:lineRule="auto"/>
              <w:jc w:val="right"/>
              <w:rPr>
                <w:rFonts w:eastAsia="Times New Roman" w:cs="Arial"/>
                <w:color w:val="000000"/>
                <w:lang w:eastAsia="en-AU"/>
              </w:rPr>
            </w:pPr>
            <w:r w:rsidRPr="009811ED">
              <w:rPr>
                <w:rFonts w:eastAsia="Times New Roman" w:cs="Arial"/>
                <w:color w:val="000000"/>
                <w:lang w:eastAsia="en-AU"/>
              </w:rPr>
              <w:t>2</w:t>
            </w:r>
          </w:p>
        </w:tc>
        <w:tc>
          <w:tcPr>
            <w:tcW w:w="1417" w:type="dxa"/>
            <w:noWrap/>
            <w:vAlign w:val="center"/>
            <w:hideMark/>
          </w:tcPr>
          <w:p w14:paraId="71435584"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106</w:t>
            </w:r>
          </w:p>
        </w:tc>
        <w:tc>
          <w:tcPr>
            <w:tcW w:w="1418" w:type="dxa"/>
            <w:noWrap/>
            <w:vAlign w:val="center"/>
            <w:hideMark/>
          </w:tcPr>
          <w:p w14:paraId="3F34ACC1"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25.2</w:t>
            </w:r>
          </w:p>
        </w:tc>
        <w:tc>
          <w:tcPr>
            <w:tcW w:w="1418" w:type="dxa"/>
            <w:noWrap/>
            <w:vAlign w:val="center"/>
            <w:hideMark/>
          </w:tcPr>
          <w:p w14:paraId="62D42F12"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133</w:t>
            </w:r>
          </w:p>
        </w:tc>
        <w:tc>
          <w:tcPr>
            <w:tcW w:w="1417" w:type="dxa"/>
            <w:noWrap/>
            <w:vAlign w:val="center"/>
            <w:hideMark/>
          </w:tcPr>
          <w:p w14:paraId="011E9FE8"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25.8</w:t>
            </w:r>
          </w:p>
        </w:tc>
      </w:tr>
      <w:tr w:rsidR="003A491D" w:rsidRPr="009811ED" w14:paraId="6DDDD818"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24D63246" w14:textId="77777777" w:rsidR="003A491D" w:rsidRPr="009811ED" w:rsidRDefault="003A491D" w:rsidP="00D23BA0">
            <w:pPr>
              <w:keepNext/>
              <w:spacing w:after="0" w:line="240" w:lineRule="auto"/>
              <w:jc w:val="right"/>
              <w:rPr>
                <w:rFonts w:eastAsia="Times New Roman" w:cs="Arial"/>
                <w:color w:val="000000"/>
                <w:lang w:eastAsia="en-AU"/>
              </w:rPr>
            </w:pPr>
            <w:r w:rsidRPr="009811ED">
              <w:rPr>
                <w:rFonts w:eastAsia="Times New Roman" w:cs="Arial"/>
                <w:color w:val="000000"/>
                <w:lang w:eastAsia="en-AU"/>
              </w:rPr>
              <w:t>3</w:t>
            </w:r>
          </w:p>
        </w:tc>
        <w:tc>
          <w:tcPr>
            <w:tcW w:w="1417" w:type="dxa"/>
            <w:noWrap/>
            <w:vAlign w:val="center"/>
            <w:hideMark/>
          </w:tcPr>
          <w:p w14:paraId="48535D6A" w14:textId="77777777" w:rsidR="003A491D" w:rsidRPr="009811ED" w:rsidRDefault="003A491D" w:rsidP="00D23BA0">
            <w:pPr>
              <w:keepNext/>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46</w:t>
            </w:r>
          </w:p>
        </w:tc>
        <w:tc>
          <w:tcPr>
            <w:tcW w:w="1418" w:type="dxa"/>
            <w:noWrap/>
            <w:vAlign w:val="center"/>
            <w:hideMark/>
          </w:tcPr>
          <w:p w14:paraId="4133939F" w14:textId="77777777" w:rsidR="003A491D" w:rsidRPr="009811ED" w:rsidRDefault="003A491D" w:rsidP="00D23BA0">
            <w:pPr>
              <w:keepNext/>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10.9</w:t>
            </w:r>
          </w:p>
        </w:tc>
        <w:tc>
          <w:tcPr>
            <w:tcW w:w="1418" w:type="dxa"/>
            <w:noWrap/>
            <w:vAlign w:val="center"/>
            <w:hideMark/>
          </w:tcPr>
          <w:p w14:paraId="72B31054" w14:textId="77777777" w:rsidR="003A491D" w:rsidRPr="009811ED" w:rsidRDefault="003A491D" w:rsidP="00D23BA0">
            <w:pPr>
              <w:keepNext/>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70</w:t>
            </w:r>
          </w:p>
        </w:tc>
        <w:tc>
          <w:tcPr>
            <w:tcW w:w="1417" w:type="dxa"/>
            <w:noWrap/>
            <w:vAlign w:val="center"/>
            <w:hideMark/>
          </w:tcPr>
          <w:p w14:paraId="5A8650FD" w14:textId="77777777" w:rsidR="003A491D" w:rsidRPr="009811ED" w:rsidRDefault="003A491D" w:rsidP="00D23BA0">
            <w:pPr>
              <w:keepNext/>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13.6</w:t>
            </w:r>
          </w:p>
        </w:tc>
      </w:tr>
      <w:tr w:rsidR="003A491D" w:rsidRPr="009811ED" w14:paraId="0B488F3C"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72B7F6EB" w14:textId="77777777" w:rsidR="003A491D" w:rsidRPr="009811ED" w:rsidRDefault="003A491D" w:rsidP="00D23BA0">
            <w:pPr>
              <w:keepNext/>
              <w:spacing w:after="0" w:line="240" w:lineRule="auto"/>
              <w:jc w:val="right"/>
              <w:rPr>
                <w:rFonts w:eastAsia="Times New Roman" w:cs="Arial"/>
                <w:color w:val="000000"/>
                <w:lang w:eastAsia="en-AU"/>
              </w:rPr>
            </w:pPr>
            <w:r w:rsidRPr="009811ED">
              <w:rPr>
                <w:rFonts w:eastAsia="Times New Roman" w:cs="Arial"/>
                <w:color w:val="000000"/>
                <w:lang w:eastAsia="en-AU"/>
              </w:rPr>
              <w:t>4</w:t>
            </w:r>
          </w:p>
        </w:tc>
        <w:tc>
          <w:tcPr>
            <w:tcW w:w="1417" w:type="dxa"/>
            <w:noWrap/>
            <w:vAlign w:val="center"/>
            <w:hideMark/>
          </w:tcPr>
          <w:p w14:paraId="16888C49"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21</w:t>
            </w:r>
          </w:p>
        </w:tc>
        <w:tc>
          <w:tcPr>
            <w:tcW w:w="1418" w:type="dxa"/>
            <w:noWrap/>
            <w:vAlign w:val="center"/>
            <w:hideMark/>
          </w:tcPr>
          <w:p w14:paraId="0F7A8A30"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5.0</w:t>
            </w:r>
          </w:p>
        </w:tc>
        <w:tc>
          <w:tcPr>
            <w:tcW w:w="1418" w:type="dxa"/>
            <w:noWrap/>
            <w:vAlign w:val="center"/>
            <w:hideMark/>
          </w:tcPr>
          <w:p w14:paraId="6B1419B8"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41</w:t>
            </w:r>
          </w:p>
        </w:tc>
        <w:tc>
          <w:tcPr>
            <w:tcW w:w="1417" w:type="dxa"/>
            <w:noWrap/>
            <w:vAlign w:val="center"/>
            <w:hideMark/>
          </w:tcPr>
          <w:p w14:paraId="7D2B9037" w14:textId="77777777" w:rsidR="003A491D" w:rsidRPr="009811ED" w:rsidRDefault="003A491D" w:rsidP="00D23BA0">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7.9</w:t>
            </w:r>
          </w:p>
        </w:tc>
      </w:tr>
      <w:tr w:rsidR="003A491D" w:rsidRPr="009811ED" w14:paraId="0F62DFE8"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79ABB102" w14:textId="77777777" w:rsidR="003A491D" w:rsidRPr="009811ED" w:rsidRDefault="003A491D" w:rsidP="00897071">
            <w:pPr>
              <w:spacing w:after="0" w:line="240" w:lineRule="auto"/>
              <w:jc w:val="right"/>
              <w:rPr>
                <w:rFonts w:eastAsia="Times New Roman" w:cs="Arial"/>
                <w:color w:val="000000"/>
                <w:lang w:eastAsia="en-AU"/>
              </w:rPr>
            </w:pPr>
            <w:r w:rsidRPr="009811ED">
              <w:rPr>
                <w:rFonts w:eastAsia="Times New Roman" w:cs="Arial"/>
                <w:color w:val="000000"/>
                <w:lang w:eastAsia="en-AU"/>
              </w:rPr>
              <w:t>5</w:t>
            </w:r>
            <w:r>
              <w:rPr>
                <w:rFonts w:eastAsia="Times New Roman" w:cs="Arial"/>
                <w:color w:val="000000"/>
                <w:lang w:eastAsia="en-AU"/>
              </w:rPr>
              <w:t xml:space="preserve"> or more</w:t>
            </w:r>
          </w:p>
        </w:tc>
        <w:tc>
          <w:tcPr>
            <w:tcW w:w="1417" w:type="dxa"/>
            <w:noWrap/>
            <w:vAlign w:val="center"/>
            <w:hideMark/>
          </w:tcPr>
          <w:p w14:paraId="4AB28D1E" w14:textId="77777777" w:rsidR="003A491D" w:rsidRPr="009811ED" w:rsidRDefault="003A491D" w:rsidP="0089707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Pr>
                <w:rFonts w:eastAsia="Times New Roman" w:cs="Arial"/>
                <w:color w:val="000000"/>
                <w:lang w:eastAsia="en-AU"/>
              </w:rPr>
              <w:t>15</w:t>
            </w:r>
          </w:p>
        </w:tc>
        <w:tc>
          <w:tcPr>
            <w:tcW w:w="1418" w:type="dxa"/>
            <w:noWrap/>
            <w:vAlign w:val="center"/>
            <w:hideMark/>
          </w:tcPr>
          <w:p w14:paraId="3EDC873F" w14:textId="77777777" w:rsidR="003A491D" w:rsidRPr="009811ED" w:rsidRDefault="003A491D" w:rsidP="0089707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Pr>
                <w:rFonts w:eastAsia="Times New Roman" w:cs="Arial"/>
                <w:color w:val="000000"/>
                <w:lang w:eastAsia="en-AU"/>
              </w:rPr>
              <w:t>3.5</w:t>
            </w:r>
          </w:p>
        </w:tc>
        <w:tc>
          <w:tcPr>
            <w:tcW w:w="1418" w:type="dxa"/>
            <w:noWrap/>
            <w:vAlign w:val="center"/>
            <w:hideMark/>
          </w:tcPr>
          <w:p w14:paraId="2D3D6370" w14:textId="77777777" w:rsidR="003A491D" w:rsidRPr="009811ED" w:rsidRDefault="003A491D" w:rsidP="0089707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Pr>
                <w:rFonts w:eastAsia="Times New Roman" w:cs="Arial"/>
                <w:color w:val="000000"/>
                <w:lang w:eastAsia="en-AU"/>
              </w:rPr>
              <w:t>24</w:t>
            </w:r>
          </w:p>
        </w:tc>
        <w:tc>
          <w:tcPr>
            <w:tcW w:w="1417" w:type="dxa"/>
            <w:noWrap/>
            <w:vAlign w:val="center"/>
            <w:hideMark/>
          </w:tcPr>
          <w:p w14:paraId="271C9A94" w14:textId="77777777" w:rsidR="003A491D" w:rsidRPr="009811ED" w:rsidRDefault="003A491D" w:rsidP="0089707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lang w:eastAsia="en-AU"/>
              </w:rPr>
            </w:pPr>
            <w:r>
              <w:rPr>
                <w:rFonts w:eastAsia="Times New Roman" w:cs="Arial"/>
                <w:color w:val="000000"/>
                <w:lang w:eastAsia="en-AU"/>
              </w:rPr>
              <w:t>4.7</w:t>
            </w:r>
          </w:p>
        </w:tc>
      </w:tr>
      <w:tr w:rsidR="003A491D" w:rsidRPr="009811ED" w14:paraId="4E4B4D4B"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5F348D56" w14:textId="77777777" w:rsidR="003A491D" w:rsidRPr="009811ED" w:rsidRDefault="003A491D" w:rsidP="00897071">
            <w:pPr>
              <w:spacing w:after="0" w:line="240" w:lineRule="auto"/>
              <w:jc w:val="right"/>
              <w:rPr>
                <w:rFonts w:eastAsia="Times New Roman" w:cs="Arial"/>
                <w:color w:val="000000"/>
                <w:lang w:eastAsia="en-AU"/>
              </w:rPr>
            </w:pPr>
            <w:r w:rsidRPr="005463BD">
              <w:rPr>
                <w:rFonts w:eastAsia="Times New Roman" w:cs="Arial"/>
                <w:color w:val="000000"/>
                <w:lang w:eastAsia="en-AU"/>
              </w:rPr>
              <w:t>T</w:t>
            </w:r>
            <w:r w:rsidRPr="009811ED">
              <w:rPr>
                <w:rFonts w:eastAsia="Times New Roman" w:cs="Arial"/>
                <w:color w:val="000000"/>
                <w:lang w:eastAsia="en-AU"/>
              </w:rPr>
              <w:t>otal</w:t>
            </w:r>
          </w:p>
        </w:tc>
        <w:tc>
          <w:tcPr>
            <w:tcW w:w="0" w:type="dxa"/>
            <w:noWrap/>
            <w:vAlign w:val="center"/>
            <w:hideMark/>
          </w:tcPr>
          <w:p w14:paraId="7E1F1612" w14:textId="77777777" w:rsidR="003A491D" w:rsidRPr="009811ED" w:rsidRDefault="003A491D" w:rsidP="008970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421</w:t>
            </w:r>
          </w:p>
        </w:tc>
        <w:tc>
          <w:tcPr>
            <w:tcW w:w="0" w:type="dxa"/>
            <w:noWrap/>
            <w:vAlign w:val="center"/>
            <w:hideMark/>
          </w:tcPr>
          <w:p w14:paraId="099EBE15" w14:textId="77777777" w:rsidR="003A491D" w:rsidRPr="009811ED" w:rsidRDefault="003A491D" w:rsidP="008970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100</w:t>
            </w:r>
          </w:p>
        </w:tc>
        <w:tc>
          <w:tcPr>
            <w:tcW w:w="0" w:type="dxa"/>
            <w:noWrap/>
            <w:vAlign w:val="center"/>
            <w:hideMark/>
          </w:tcPr>
          <w:p w14:paraId="29EEE3C0" w14:textId="77777777" w:rsidR="003A491D" w:rsidRPr="009811ED" w:rsidRDefault="003A491D" w:rsidP="008970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516</w:t>
            </w:r>
          </w:p>
        </w:tc>
        <w:tc>
          <w:tcPr>
            <w:tcW w:w="0" w:type="dxa"/>
            <w:noWrap/>
            <w:vAlign w:val="center"/>
            <w:hideMark/>
          </w:tcPr>
          <w:p w14:paraId="4CA41876" w14:textId="77777777" w:rsidR="003A491D" w:rsidRPr="009811ED" w:rsidRDefault="003A491D" w:rsidP="008970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9811ED">
              <w:rPr>
                <w:rFonts w:eastAsia="Times New Roman" w:cs="Arial"/>
                <w:color w:val="000000"/>
                <w:lang w:eastAsia="en-AU"/>
              </w:rPr>
              <w:t>100</w:t>
            </w:r>
          </w:p>
        </w:tc>
      </w:tr>
    </w:tbl>
    <w:p w14:paraId="39E11BB3" w14:textId="5C613928" w:rsidR="003A491D" w:rsidRPr="00437DC9" w:rsidRDefault="003A491D" w:rsidP="003A491D">
      <w:pPr>
        <w:pStyle w:val="SourceandNotes"/>
      </w:pPr>
      <w:r w:rsidRPr="005E0ED0">
        <w:t xml:space="preserve">Source: The </w:t>
      </w:r>
      <w:r w:rsidRPr="00437DC9">
        <w:t>department</w:t>
      </w:r>
      <w:r w:rsidR="00F8391B">
        <w:t>’</w:t>
      </w:r>
      <w:r w:rsidRPr="00437DC9">
        <w:t>s administrative data</w:t>
      </w:r>
    </w:p>
    <w:p w14:paraId="0BF0799F" w14:textId="0A181F1B" w:rsidR="003A491D" w:rsidRDefault="003A491D" w:rsidP="003A491D">
      <w:pPr>
        <w:pStyle w:val="SourceandNotes"/>
      </w:pPr>
      <w:r>
        <w:t>Base: Matched TtW (n=</w:t>
      </w:r>
      <w:r w:rsidR="0054194B">
        <w:t>8,361</w:t>
      </w:r>
      <w:r>
        <w:t>) and jobactive (n=</w:t>
      </w:r>
      <w:r w:rsidR="0054194B">
        <w:t>8,361</w:t>
      </w:r>
      <w:r>
        <w:t>) samples</w:t>
      </w:r>
    </w:p>
    <w:bookmarkEnd w:id="2384"/>
    <w:p w14:paraId="157A4B76" w14:textId="24CA3431" w:rsidR="003A491D" w:rsidRDefault="003A491D" w:rsidP="003A491D">
      <w:r>
        <w:t xml:space="preserve">It should be noted that the above results (presented in </w:t>
      </w:r>
      <w:r w:rsidRPr="00C239FD">
        <w:rPr>
          <w:b/>
          <w:bCs/>
        </w:rPr>
        <w:fldChar w:fldCharType="begin"/>
      </w:r>
      <w:r w:rsidRPr="00C239FD">
        <w:rPr>
          <w:b/>
          <w:bCs/>
        </w:rPr>
        <w:instrText xml:space="preserve"> REF _Ref118811415 \h </w:instrText>
      </w:r>
      <w:r w:rsidR="00F06DFC">
        <w:rPr>
          <w:b/>
          <w:bCs/>
        </w:rPr>
        <w:instrText xml:space="preserve"> \* MERGEFORMAT </w:instrText>
      </w:r>
      <w:r w:rsidRPr="00C239FD">
        <w:rPr>
          <w:b/>
          <w:bCs/>
        </w:rPr>
      </w:r>
      <w:r w:rsidRPr="00C239FD">
        <w:rPr>
          <w:b/>
          <w:bCs/>
        </w:rPr>
        <w:fldChar w:fldCharType="separate"/>
      </w:r>
      <w:r w:rsidR="00180E14" w:rsidRPr="00180E14">
        <w:rPr>
          <w:b/>
          <w:bCs/>
        </w:rPr>
        <w:t xml:space="preserve">Table </w:t>
      </w:r>
      <w:r w:rsidR="00180E14" w:rsidRPr="00180E14">
        <w:rPr>
          <w:b/>
          <w:bCs/>
          <w:noProof/>
        </w:rPr>
        <w:t>9</w:t>
      </w:r>
      <w:r w:rsidRPr="00C239FD">
        <w:rPr>
          <w:b/>
          <w:bCs/>
        </w:rPr>
        <w:fldChar w:fldCharType="end"/>
      </w:r>
      <w:r>
        <w:t xml:space="preserve"> and </w:t>
      </w:r>
      <w:r w:rsidRPr="00C239FD">
        <w:rPr>
          <w:b/>
          <w:bCs/>
        </w:rPr>
        <w:fldChar w:fldCharType="begin"/>
      </w:r>
      <w:r w:rsidRPr="00C239FD">
        <w:rPr>
          <w:b/>
          <w:bCs/>
        </w:rPr>
        <w:instrText xml:space="preserve"> REF _Ref118811667 \h </w:instrText>
      </w:r>
      <w:r w:rsidR="00F06DFC">
        <w:rPr>
          <w:b/>
          <w:bCs/>
        </w:rPr>
        <w:instrText xml:space="preserve"> \* MERGEFORMAT </w:instrText>
      </w:r>
      <w:r w:rsidRPr="00C239FD">
        <w:rPr>
          <w:b/>
          <w:bCs/>
        </w:rPr>
      </w:r>
      <w:r w:rsidRPr="00C239FD">
        <w:rPr>
          <w:b/>
          <w:bCs/>
        </w:rPr>
        <w:fldChar w:fldCharType="separate"/>
      </w:r>
      <w:r w:rsidR="00180E14" w:rsidRPr="00180E14">
        <w:rPr>
          <w:b/>
          <w:bCs/>
        </w:rPr>
        <w:t xml:space="preserve">Figure </w:t>
      </w:r>
      <w:r w:rsidR="00180E14" w:rsidRPr="00180E14">
        <w:rPr>
          <w:b/>
          <w:bCs/>
          <w:noProof/>
        </w:rPr>
        <w:t>23</w:t>
      </w:r>
      <w:r w:rsidRPr="00C239FD">
        <w:rPr>
          <w:b/>
          <w:bCs/>
        </w:rPr>
        <w:fldChar w:fldCharType="end"/>
      </w:r>
      <w:r>
        <w:t>) were mainly driven by participants who had a previous history of offending at referral (see below).</w:t>
      </w:r>
    </w:p>
    <w:p w14:paraId="0FADB0DB" w14:textId="77777777" w:rsidR="003A491D" w:rsidRDefault="003A491D" w:rsidP="006E41FD">
      <w:pPr>
        <w:pStyle w:val="Heading2"/>
      </w:pPr>
      <w:bookmarkStart w:id="2385" w:name="_Toc132650482"/>
      <w:bookmarkStart w:id="2386" w:name="_Toc146033513"/>
      <w:r>
        <w:t>Participants who are ex-offenders on referral</w:t>
      </w:r>
      <w:bookmarkEnd w:id="2385"/>
      <w:bookmarkEnd w:id="2386"/>
    </w:p>
    <w:p w14:paraId="156683E0" w14:textId="7D75BEC1" w:rsidR="003A491D" w:rsidRDefault="003A491D" w:rsidP="003A491D">
      <w:r>
        <w:t>TtW was more effective at supporting participants who were ex-offenders</w:t>
      </w:r>
      <w:r>
        <w:rPr>
          <w:rStyle w:val="FootnoteReference"/>
        </w:rPr>
        <w:footnoteReference w:id="82"/>
      </w:r>
      <w:r>
        <w:t xml:space="preserve"> at referral to avoid being sent to prison than jobactive. Of the TtW participants who were ex-offenders at referral</w:t>
      </w:r>
      <w:r w:rsidR="00F06DFC">
        <w:t>,</w:t>
      </w:r>
      <w:r>
        <w:rPr>
          <w:rStyle w:val="FootnoteReference"/>
        </w:rPr>
        <w:footnoteReference w:id="83"/>
      </w:r>
      <w:r>
        <w:t xml:space="preserve"> 24.2% were sent to prison in the </w:t>
      </w:r>
      <w:r w:rsidR="7FACF849">
        <w:t xml:space="preserve">4 </w:t>
      </w:r>
      <w:r>
        <w:t xml:space="preserve">years from commencement, compared to 35.7% of jobactive participants who were ex-offenders at referral (11.5 percentage points difference). There is almost no difference between TtW and jobactive for participants who had no history of </w:t>
      </w:r>
      <w:r w:rsidRPr="00CD6FB8">
        <w:t>offending at referral (</w:t>
      </w:r>
      <w:r w:rsidR="0017387F" w:rsidRPr="0017387F">
        <w:rPr>
          <w:b/>
          <w:bCs/>
        </w:rPr>
        <w:fldChar w:fldCharType="begin"/>
      </w:r>
      <w:r w:rsidR="0017387F" w:rsidRPr="0017387F">
        <w:rPr>
          <w:b/>
          <w:bCs/>
        </w:rPr>
        <w:instrText xml:space="preserve"> REF _Ref124860461 \h </w:instrText>
      </w:r>
      <w:r w:rsidR="0017387F">
        <w:rPr>
          <w:b/>
          <w:bCs/>
        </w:rPr>
        <w:instrText xml:space="preserve"> \* MERGEFORMAT </w:instrText>
      </w:r>
      <w:r w:rsidR="0017387F" w:rsidRPr="0017387F">
        <w:rPr>
          <w:b/>
          <w:bCs/>
        </w:rPr>
      </w:r>
      <w:r w:rsidR="0017387F" w:rsidRPr="0017387F">
        <w:rPr>
          <w:b/>
          <w:bCs/>
        </w:rPr>
        <w:fldChar w:fldCharType="separate"/>
      </w:r>
      <w:r w:rsidR="00180E14" w:rsidRPr="00180E14">
        <w:rPr>
          <w:b/>
          <w:bCs/>
        </w:rPr>
        <w:t xml:space="preserve">Figure </w:t>
      </w:r>
      <w:r w:rsidR="00180E14" w:rsidRPr="00180E14">
        <w:rPr>
          <w:b/>
          <w:bCs/>
          <w:noProof/>
        </w:rPr>
        <w:t>24</w:t>
      </w:r>
      <w:r w:rsidR="0017387F" w:rsidRPr="0017387F">
        <w:rPr>
          <w:b/>
          <w:bCs/>
        </w:rPr>
        <w:fldChar w:fldCharType="end"/>
      </w:r>
      <w:r w:rsidRPr="00CD6FB8">
        <w:t>).</w:t>
      </w:r>
    </w:p>
    <w:p w14:paraId="18DDD256" w14:textId="1122182D" w:rsidR="003A491D" w:rsidRDefault="003A491D" w:rsidP="003A491D">
      <w:pPr>
        <w:pStyle w:val="Caption"/>
        <w:keepNext/>
      </w:pPr>
      <w:bookmarkStart w:id="2387" w:name="_Ref124860461"/>
      <w:bookmarkStart w:id="2388" w:name="_Toc132647865"/>
      <w:bookmarkStart w:id="2389" w:name="_Toc145883334"/>
      <w:bookmarkStart w:id="2390" w:name="_Hlk124850026"/>
      <w:r>
        <w:t xml:space="preserve">Figure </w:t>
      </w:r>
      <w:r w:rsidR="00BE71D4">
        <w:fldChar w:fldCharType="begin"/>
      </w:r>
      <w:r w:rsidR="00BE71D4">
        <w:instrText xml:space="preserve"> SEQ Figure \* ARABIC </w:instrText>
      </w:r>
      <w:r w:rsidR="00BE71D4">
        <w:fldChar w:fldCharType="separate"/>
      </w:r>
      <w:r w:rsidR="00180E14">
        <w:rPr>
          <w:noProof/>
        </w:rPr>
        <w:t>24</w:t>
      </w:r>
      <w:r w:rsidR="00BE71D4">
        <w:rPr>
          <w:noProof/>
        </w:rPr>
        <w:fldChar w:fldCharType="end"/>
      </w:r>
      <w:bookmarkEnd w:id="2387"/>
      <w:r>
        <w:t xml:space="preserve">: </w:t>
      </w:r>
      <w:r w:rsidRPr="00D678F2">
        <w:t xml:space="preserve">Proportion of </w:t>
      </w:r>
      <w:r>
        <w:t>participants who were ex-offenders (and non-ex-offenders) at the time of referral</w:t>
      </w:r>
      <w:r w:rsidRPr="00D678F2">
        <w:t xml:space="preserve"> who </w:t>
      </w:r>
      <w:r>
        <w:t>were</w:t>
      </w:r>
      <w:r w:rsidRPr="00D678F2">
        <w:t xml:space="preserve"> incarcerated at least once within </w:t>
      </w:r>
      <w:r w:rsidR="00F8391B">
        <w:t>4</w:t>
      </w:r>
      <w:r w:rsidRPr="00D678F2">
        <w:t xml:space="preserve"> years from commencement, by program</w:t>
      </w:r>
      <w:bookmarkEnd w:id="2388"/>
      <w:r w:rsidR="00F06DFC">
        <w:t xml:space="preserve"> (%)</w:t>
      </w:r>
      <w:bookmarkEnd w:id="2389"/>
    </w:p>
    <w:p w14:paraId="62C04A54" w14:textId="6078F333" w:rsidR="007E48EB" w:rsidRDefault="00D23BA0" w:rsidP="003A491D">
      <w:pPr>
        <w:pStyle w:val="SourceandNotes"/>
      </w:pPr>
      <w:r>
        <w:rPr>
          <w:noProof/>
        </w:rPr>
        <w:drawing>
          <wp:inline distT="0" distB="0" distL="0" distR="0" wp14:anchorId="09B32CD4" wp14:editId="088193C0">
            <wp:extent cx="4572635" cy="2552700"/>
            <wp:effectExtent l="0" t="0" r="0" b="0"/>
            <wp:docPr id="71" name="Picture 71" descr="Ex-offender: TtW 24.2, comparison 35.7&#10;Non ex-offender: TtW 3.2, compariso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Ex-offender: TtW 24.2, comparison 35.7&#10;Non ex-offender: TtW 3.2, comparison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635" cy="2552700"/>
                    </a:xfrm>
                    <a:prstGeom prst="rect">
                      <a:avLst/>
                    </a:prstGeom>
                    <a:noFill/>
                  </pic:spPr>
                </pic:pic>
              </a:graphicData>
            </a:graphic>
          </wp:inline>
        </w:drawing>
      </w:r>
    </w:p>
    <w:p w14:paraId="3C0D94ED" w14:textId="4B51F643" w:rsidR="003A491D" w:rsidRPr="00437DC9" w:rsidRDefault="003A491D" w:rsidP="003A491D">
      <w:pPr>
        <w:pStyle w:val="SourceandNotes"/>
      </w:pPr>
      <w:r w:rsidRPr="005E0ED0">
        <w:t xml:space="preserve">Source: The </w:t>
      </w:r>
      <w:r w:rsidRPr="00437DC9">
        <w:t>department</w:t>
      </w:r>
      <w:r w:rsidR="00F8391B">
        <w:t>’</w:t>
      </w:r>
      <w:r w:rsidRPr="00437DC9">
        <w:t>s administrative data</w:t>
      </w:r>
    </w:p>
    <w:p w14:paraId="70170D1B" w14:textId="49368954" w:rsidR="003A491D" w:rsidRDefault="003A491D" w:rsidP="003A491D">
      <w:pPr>
        <w:pStyle w:val="SourceandNotes"/>
      </w:pPr>
      <w:r>
        <w:t>Base: Matched TtW (n=</w:t>
      </w:r>
      <w:r w:rsidR="0054194B">
        <w:t>8,361</w:t>
      </w:r>
      <w:r>
        <w:t>) and jobactive (n=</w:t>
      </w:r>
      <w:r w:rsidR="0054194B">
        <w:t>8,361</w:t>
      </w:r>
      <w:r>
        <w:t>) samples</w:t>
      </w:r>
    </w:p>
    <w:p w14:paraId="3F5EA9D0" w14:textId="4C3F30C9" w:rsidR="003A491D" w:rsidRDefault="003A491D" w:rsidP="003A491D">
      <w:pPr>
        <w:pStyle w:val="SourceandNotes"/>
      </w:pPr>
      <w:r>
        <w:t>Note: Number of ex-offenders at referral in the samples: TtW – 753, of whom 186 reoffended, jobactive</w:t>
      </w:r>
      <w:r w:rsidR="00F8391B">
        <w:t xml:space="preserve"> – </w:t>
      </w:r>
      <w:r>
        <w:t>761 of whom 272 reoffended</w:t>
      </w:r>
    </w:p>
    <w:p w14:paraId="2DA564B5" w14:textId="77777777" w:rsidR="003A491D" w:rsidRDefault="003A491D" w:rsidP="006E41FD">
      <w:pPr>
        <w:pStyle w:val="Heading2"/>
      </w:pPr>
      <w:bookmarkStart w:id="2391" w:name="_Toc132650483"/>
      <w:bookmarkStart w:id="2392" w:name="_Toc146033514"/>
      <w:bookmarkEnd w:id="2390"/>
      <w:r>
        <w:lastRenderedPageBreak/>
        <w:t>Aboriginal and Torres Strait Islander participants</w:t>
      </w:r>
      <w:bookmarkEnd w:id="2391"/>
      <w:bookmarkEnd w:id="2392"/>
    </w:p>
    <w:p w14:paraId="3D154CEB" w14:textId="00491F1C" w:rsidR="003A491D" w:rsidRDefault="003A491D" w:rsidP="003A491D">
      <w:bookmarkStart w:id="2393" w:name="_Hlk118810130"/>
      <w:r w:rsidRPr="008D34CE">
        <w:t xml:space="preserve">TtW was </w:t>
      </w:r>
      <w:r>
        <w:t xml:space="preserve">also </w:t>
      </w:r>
      <w:r w:rsidRPr="008D34CE">
        <w:t xml:space="preserve">more effective at supporting </w:t>
      </w:r>
      <w:r w:rsidRPr="008D34CE">
        <w:rPr>
          <w:bCs/>
        </w:rPr>
        <w:t>Aboriginal and/or Torres Strait Islander participants</w:t>
      </w:r>
      <w:r w:rsidRPr="00F70175">
        <w:t xml:space="preserve"> </w:t>
      </w:r>
      <w:r w:rsidRPr="008D34CE">
        <w:t xml:space="preserve">to avoid </w:t>
      </w:r>
      <w:r>
        <w:t>contact with the criminal justice system</w:t>
      </w:r>
      <w:r w:rsidRPr="008D34CE">
        <w:t xml:space="preserve"> than jobactive</w:t>
      </w:r>
      <w:r w:rsidR="00F06DFC">
        <w:t>.</w:t>
      </w:r>
      <w:r>
        <w:rPr>
          <w:rStyle w:val="FootnoteReference"/>
        </w:rPr>
        <w:footnoteReference w:id="84"/>
      </w:r>
      <w:r w:rsidRPr="008D34CE">
        <w:t xml:space="preserve"> </w:t>
      </w:r>
      <w:r>
        <w:t>Fewer</w:t>
      </w:r>
      <w:r w:rsidRPr="008D34CE">
        <w:t xml:space="preserve"> </w:t>
      </w:r>
      <w:r w:rsidRPr="008D34CE">
        <w:rPr>
          <w:bCs/>
        </w:rPr>
        <w:t xml:space="preserve">Aboriginal and/or Torres Strait Islander </w:t>
      </w:r>
      <w:r>
        <w:rPr>
          <w:bCs/>
        </w:rPr>
        <w:t xml:space="preserve">participants in </w:t>
      </w:r>
      <w:r w:rsidRPr="008D34CE">
        <w:t xml:space="preserve">TtW </w:t>
      </w:r>
      <w:r>
        <w:t>(10%) were incarcerated</w:t>
      </w:r>
      <w:r w:rsidRPr="008D34CE">
        <w:t xml:space="preserve"> in the </w:t>
      </w:r>
      <w:r w:rsidR="7FACF849">
        <w:t xml:space="preserve">4 </w:t>
      </w:r>
      <w:r w:rsidRPr="008D34CE">
        <w:t xml:space="preserve">years from commencement, compared to </w:t>
      </w:r>
      <w:r>
        <w:t>13.6</w:t>
      </w:r>
      <w:r w:rsidRPr="008D34CE">
        <w:t xml:space="preserve">% of jobactive </w:t>
      </w:r>
      <w:r w:rsidRPr="008D34CE">
        <w:rPr>
          <w:bCs/>
        </w:rPr>
        <w:t xml:space="preserve">Aboriginal and/or Torres Strait Islander </w:t>
      </w:r>
      <w:r w:rsidRPr="00CD6FB8">
        <w:rPr>
          <w:bCs/>
        </w:rPr>
        <w:t xml:space="preserve">participants </w:t>
      </w:r>
      <w:bookmarkEnd w:id="2393"/>
      <w:r w:rsidRPr="00CD6FB8">
        <w:rPr>
          <w:bCs/>
        </w:rPr>
        <w:t>(</w:t>
      </w:r>
      <w:r w:rsidR="0017387F" w:rsidRPr="0017387F">
        <w:rPr>
          <w:b/>
        </w:rPr>
        <w:fldChar w:fldCharType="begin"/>
      </w:r>
      <w:r w:rsidR="0017387F" w:rsidRPr="0017387F">
        <w:rPr>
          <w:b/>
        </w:rPr>
        <w:instrText xml:space="preserve"> REF _Ref124860481 \h </w:instrText>
      </w:r>
      <w:r w:rsidR="0017387F">
        <w:rPr>
          <w:b/>
        </w:rPr>
        <w:instrText xml:space="preserve"> \* MERGEFORMAT </w:instrText>
      </w:r>
      <w:r w:rsidR="0017387F" w:rsidRPr="0017387F">
        <w:rPr>
          <w:b/>
        </w:rPr>
      </w:r>
      <w:r w:rsidR="0017387F" w:rsidRPr="0017387F">
        <w:rPr>
          <w:b/>
        </w:rPr>
        <w:fldChar w:fldCharType="separate"/>
      </w:r>
      <w:r w:rsidR="00180E14" w:rsidRPr="00180E14">
        <w:rPr>
          <w:b/>
        </w:rPr>
        <w:t xml:space="preserve">Figure </w:t>
      </w:r>
      <w:r w:rsidR="00180E14" w:rsidRPr="00180E14">
        <w:rPr>
          <w:b/>
          <w:noProof/>
        </w:rPr>
        <w:t>25</w:t>
      </w:r>
      <w:r w:rsidR="0017387F" w:rsidRPr="0017387F">
        <w:rPr>
          <w:b/>
        </w:rPr>
        <w:fldChar w:fldCharType="end"/>
      </w:r>
      <w:r w:rsidR="49A7DD55" w:rsidRPr="00CD6FB8">
        <w:rPr>
          <w:bCs/>
        </w:rPr>
        <w:t>)</w:t>
      </w:r>
      <w:r w:rsidR="00F06DFC">
        <w:rPr>
          <w:bCs/>
        </w:rPr>
        <w:t>.</w:t>
      </w:r>
      <w:r>
        <w:rPr>
          <w:rStyle w:val="FootnoteReference"/>
          <w:bCs/>
        </w:rPr>
        <w:footnoteReference w:id="85"/>
      </w:r>
    </w:p>
    <w:p w14:paraId="7534B30D" w14:textId="2ACE0098" w:rsidR="003A491D" w:rsidRDefault="003A491D" w:rsidP="003A491D">
      <w:pPr>
        <w:pStyle w:val="Caption"/>
        <w:keepNext/>
      </w:pPr>
      <w:bookmarkStart w:id="2395" w:name="_Ref124860481"/>
      <w:bookmarkStart w:id="2396" w:name="_Toc145883335"/>
      <w:bookmarkStart w:id="2397" w:name="_Toc132647866"/>
      <w:bookmarkStart w:id="2398" w:name="_Hlk124850046"/>
      <w:r>
        <w:t xml:space="preserve">Figure </w:t>
      </w:r>
      <w:r w:rsidR="00BE71D4">
        <w:fldChar w:fldCharType="begin"/>
      </w:r>
      <w:r w:rsidR="00BE71D4">
        <w:instrText xml:space="preserve"> SEQ Figure \* ARABIC </w:instrText>
      </w:r>
      <w:r w:rsidR="00BE71D4">
        <w:fldChar w:fldCharType="separate"/>
      </w:r>
      <w:r w:rsidR="00180E14">
        <w:rPr>
          <w:noProof/>
        </w:rPr>
        <w:t>25</w:t>
      </w:r>
      <w:r w:rsidR="00BE71D4">
        <w:rPr>
          <w:noProof/>
        </w:rPr>
        <w:fldChar w:fldCharType="end"/>
      </w:r>
      <w:bookmarkEnd w:id="2395"/>
      <w:r>
        <w:t>: P</w:t>
      </w:r>
      <w:r w:rsidRPr="00F70175">
        <w:t xml:space="preserve">roportion of </w:t>
      </w:r>
      <w:r w:rsidRPr="00182791">
        <w:t>Aboriginal and/or Torres Strait Islander</w:t>
      </w:r>
      <w:r w:rsidRPr="00F70175">
        <w:t xml:space="preserve"> participants </w:t>
      </w:r>
      <w:r>
        <w:t xml:space="preserve">(and non-Aboriginal and Torres Strait Islander participants) </w:t>
      </w:r>
      <w:r w:rsidRPr="00F70175">
        <w:t xml:space="preserve">who </w:t>
      </w:r>
      <w:r>
        <w:t>were</w:t>
      </w:r>
      <w:r w:rsidRPr="00F70175">
        <w:t xml:space="preserve"> incarcerated at least once</w:t>
      </w:r>
      <w:r>
        <w:t xml:space="preserve"> within</w:t>
      </w:r>
      <w:r w:rsidRPr="00F70175">
        <w:t xml:space="preserve"> </w:t>
      </w:r>
      <w:r w:rsidR="00F8391B">
        <w:t>4</w:t>
      </w:r>
      <w:r w:rsidRPr="00F70175">
        <w:t xml:space="preserve"> years</w:t>
      </w:r>
      <w:r>
        <w:t xml:space="preserve"> from commencement</w:t>
      </w:r>
      <w:r w:rsidR="00F06DFC">
        <w:t>, by program</w:t>
      </w:r>
      <w:r w:rsidR="00BA693D">
        <w:t xml:space="preserve"> (</w:t>
      </w:r>
      <w:r>
        <w:t>%)</w:t>
      </w:r>
      <w:bookmarkEnd w:id="2396"/>
      <w:bookmarkEnd w:id="2397"/>
    </w:p>
    <w:p w14:paraId="3974F3CF" w14:textId="50A70C7E" w:rsidR="00E717A3" w:rsidRDefault="00D23BA0" w:rsidP="003A491D">
      <w:pPr>
        <w:pStyle w:val="SourceandNotes"/>
      </w:pPr>
      <w:r>
        <w:rPr>
          <w:noProof/>
        </w:rPr>
        <w:drawing>
          <wp:inline distT="0" distB="0" distL="0" distR="0" wp14:anchorId="39DA46C4" wp14:editId="4671493F">
            <wp:extent cx="4657314" cy="2390775"/>
            <wp:effectExtent l="0" t="0" r="0" b="0"/>
            <wp:docPr id="78" name="Picture 78" descr="Aboriginal and/or Torres Strait Islander: TtW 9.8, comparison 13.6&#10;Non Aboriginal and/or Torres Strait Islander: TtW 3.6, comparison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boriginal and/or Torres Strait Islander: TtW 9.8, comparison 13.6&#10;Non Aboriginal and/or Torres Strait Islander: TtW 3.6, comparison 4.0&#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79180" cy="2402000"/>
                    </a:xfrm>
                    <a:prstGeom prst="rect">
                      <a:avLst/>
                    </a:prstGeom>
                    <a:noFill/>
                  </pic:spPr>
                </pic:pic>
              </a:graphicData>
            </a:graphic>
          </wp:inline>
        </w:drawing>
      </w:r>
    </w:p>
    <w:p w14:paraId="22CFADBF" w14:textId="7A5A6E8F" w:rsidR="003A491D" w:rsidRPr="00437DC9" w:rsidRDefault="003A491D" w:rsidP="003A491D">
      <w:pPr>
        <w:pStyle w:val="SourceandNotes"/>
      </w:pPr>
      <w:r w:rsidRPr="005E0ED0">
        <w:t xml:space="preserve">Source: The </w:t>
      </w:r>
      <w:r w:rsidRPr="00437DC9">
        <w:t>department</w:t>
      </w:r>
      <w:r w:rsidR="00F8391B">
        <w:t>’</w:t>
      </w:r>
      <w:r w:rsidRPr="00437DC9">
        <w:t>s administrative data</w:t>
      </w:r>
    </w:p>
    <w:p w14:paraId="14493D7A" w14:textId="0607189B" w:rsidR="003A491D" w:rsidRDefault="003A491D" w:rsidP="003A491D">
      <w:pPr>
        <w:pStyle w:val="SourceandNotes"/>
      </w:pPr>
      <w:r>
        <w:t>Base: Matched TtW (n=</w:t>
      </w:r>
      <w:r w:rsidR="0054194B">
        <w:t>8,361</w:t>
      </w:r>
      <w:r>
        <w:t>) and jobactive (n=</w:t>
      </w:r>
      <w:r w:rsidR="0054194B">
        <w:t>8,361</w:t>
      </w:r>
      <w:r>
        <w:t>) samples</w:t>
      </w:r>
    </w:p>
    <w:p w14:paraId="58C82791" w14:textId="76F44A05" w:rsidR="003A491D" w:rsidRDefault="003A491D" w:rsidP="003A491D">
      <w:pPr>
        <w:pStyle w:val="SourceandNotes"/>
      </w:pPr>
      <w:r>
        <w:t>Note: Number of Aboriginal and Torres Strait Islander participants in each sample: TtW – 1922 of whom 189 reoffended, jobactive – 1</w:t>
      </w:r>
      <w:r w:rsidR="00D71497">
        <w:t>,</w:t>
      </w:r>
      <w:r>
        <w:t>925 of whom 261 reoffended. Number of non-Aboriginal and Torres Strait Islander participants in each sample: TtW – 6</w:t>
      </w:r>
      <w:r w:rsidR="00D71497">
        <w:t>,</w:t>
      </w:r>
      <w:r>
        <w:t>439 of whom 232 reoffended, jobactive – 6</w:t>
      </w:r>
      <w:r w:rsidR="00D71497">
        <w:t>,</w:t>
      </w:r>
      <w:r>
        <w:t>436 of whom 255 reoffended</w:t>
      </w:r>
      <w:r w:rsidR="00D71497">
        <w:t>.</w:t>
      </w:r>
    </w:p>
    <w:bookmarkEnd w:id="2398"/>
    <w:p w14:paraId="11A2D300" w14:textId="25E0F7CB" w:rsidR="003A491D" w:rsidRDefault="003A491D" w:rsidP="003A491D">
      <w:r>
        <w:t>It is likely that the higher levels of support and engagement offered by TtW and the provision of more tailored and personalised support influence</w:t>
      </w:r>
      <w:r w:rsidR="00515F70">
        <w:t>d</w:t>
      </w:r>
      <w:r>
        <w:t xml:space="preserve"> this outcome. While a number of providers noted the importance of a young person</w:t>
      </w:r>
      <w:r w:rsidR="00F8391B">
        <w:t>’</w:t>
      </w:r>
      <w:r>
        <w:t>s attitude, it is clear that the TtW model enables caseworkers to identify moments when they can influence and work intensively with young people in a tailored way when they are receptive.</w:t>
      </w:r>
    </w:p>
    <w:p w14:paraId="2E855B00" w14:textId="7826C8E1" w:rsidR="003A491D" w:rsidRPr="00892423" w:rsidRDefault="003A491D" w:rsidP="003A491D">
      <w:pPr>
        <w:pStyle w:val="Quote"/>
      </w:pPr>
      <w:r w:rsidRPr="00892423">
        <w:t>We</w:t>
      </w:r>
      <w:r w:rsidR="00F8391B">
        <w:t>’</w:t>
      </w:r>
      <w:r w:rsidRPr="00892423">
        <w:t>ve got one young lad who has always done crime</w:t>
      </w:r>
      <w:r w:rsidR="00515F70">
        <w:t>.</w:t>
      </w:r>
      <w:r w:rsidRPr="00892423">
        <w:t xml:space="preserve"> </w:t>
      </w:r>
      <w:r>
        <w:t>[…]</w:t>
      </w:r>
      <w:r w:rsidRPr="00892423">
        <w:t xml:space="preserve"> His partner had a little baby girl three months ago and he came and he said </w:t>
      </w:r>
      <w:r w:rsidR="00F8391B">
        <w:t>‘</w:t>
      </w:r>
      <w:r w:rsidRPr="00892423">
        <w:t>I need to get a job, I</w:t>
      </w:r>
      <w:r w:rsidR="00F8391B">
        <w:t>’</w:t>
      </w:r>
      <w:r w:rsidRPr="00892423">
        <w:t xml:space="preserve">ve got to stop being in trouble </w:t>
      </w:r>
      <w:r w:rsidRPr="008F781F">
        <w:t>with the police,</w:t>
      </w:r>
      <w:r w:rsidRPr="00892423">
        <w:t xml:space="preserve"> I need to be a dad and I</w:t>
      </w:r>
      <w:r w:rsidR="00F8391B">
        <w:t>’</w:t>
      </w:r>
      <w:r w:rsidRPr="00892423">
        <w:t>ve got to stand on my own two feet</w:t>
      </w:r>
      <w:r w:rsidR="00F8391B">
        <w:t>’</w:t>
      </w:r>
      <w:r w:rsidRPr="00892423">
        <w:t xml:space="preserve">. We were proud of him for saying that and we were thinking what we were going to do. </w:t>
      </w:r>
      <w:r>
        <w:t>W</w:t>
      </w:r>
      <w:r w:rsidRPr="00892423">
        <w:t>e helped him to get his learners, his forklift licence, a job interview, he started and he</w:t>
      </w:r>
      <w:r w:rsidR="00F8391B">
        <w:t>’</w:t>
      </w:r>
      <w:r w:rsidRPr="00892423">
        <w:t>s still there now and he</w:t>
      </w:r>
      <w:r w:rsidR="00F8391B">
        <w:t>’</w:t>
      </w:r>
      <w:r w:rsidRPr="00892423">
        <w:t>s loving it and it</w:t>
      </w:r>
      <w:r w:rsidR="00F8391B">
        <w:t>’</w:t>
      </w:r>
      <w:r w:rsidRPr="00892423">
        <w:t>s absolutely changed his life. He</w:t>
      </w:r>
      <w:r w:rsidR="00F8391B">
        <w:t>’</w:t>
      </w:r>
      <w:r w:rsidRPr="00892423">
        <w:t>s a better dad, he</w:t>
      </w:r>
      <w:r w:rsidR="00F8391B">
        <w:t>’</w:t>
      </w:r>
      <w:r w:rsidRPr="00892423">
        <w:t>s a better partner, a better son to his mum. It</w:t>
      </w:r>
      <w:r w:rsidR="00F8391B">
        <w:t>’</w:t>
      </w:r>
      <w:r w:rsidRPr="00892423">
        <w:t>s just changed him altogether and his family are so much happier and grateful that he</w:t>
      </w:r>
      <w:r w:rsidR="00F8391B">
        <w:t>’</w:t>
      </w:r>
      <w:r w:rsidRPr="00892423">
        <w:t>s working and the hours that he</w:t>
      </w:r>
      <w:r w:rsidR="00F8391B">
        <w:t>’</w:t>
      </w:r>
      <w:r w:rsidRPr="00892423">
        <w:t xml:space="preserve">s </w:t>
      </w:r>
      <w:r w:rsidRPr="00892423">
        <w:lastRenderedPageBreak/>
        <w:t>working. He</w:t>
      </w:r>
      <w:r w:rsidR="00F8391B">
        <w:t>’</w:t>
      </w:r>
      <w:r w:rsidRPr="00892423">
        <w:t>s working forty hours a week and so he</w:t>
      </w:r>
      <w:r w:rsidR="00F8391B">
        <w:t>’</w:t>
      </w:r>
      <w:r w:rsidRPr="00892423">
        <w:t>s earning really good money and they</w:t>
      </w:r>
      <w:r w:rsidR="00F8391B">
        <w:t>’</w:t>
      </w:r>
      <w:r w:rsidRPr="00892423">
        <w:t xml:space="preserve">re starting to save for a house. </w:t>
      </w:r>
      <w:r>
        <w:t>(Provider, V</w:t>
      </w:r>
      <w:r w:rsidR="00ED248D">
        <w:t>ic</w:t>
      </w:r>
      <w:r>
        <w:t xml:space="preserve">, </w:t>
      </w:r>
      <w:r w:rsidR="00ED248D">
        <w:t>m</w:t>
      </w:r>
      <w:r>
        <w:t xml:space="preserve">edium, </w:t>
      </w:r>
      <w:r w:rsidR="00ED248D">
        <w:t>r</w:t>
      </w:r>
      <w:r>
        <w:t>egional)</w:t>
      </w:r>
    </w:p>
    <w:p w14:paraId="4D00EB16" w14:textId="54B3B08F" w:rsidR="003A491D" w:rsidRPr="00892423" w:rsidRDefault="003A491D" w:rsidP="003A491D">
      <w:pPr>
        <w:pStyle w:val="Quote"/>
      </w:pPr>
      <w:r>
        <w:t>…</w:t>
      </w:r>
      <w:r w:rsidR="000F16CA">
        <w:t xml:space="preserve"> </w:t>
      </w:r>
      <w:r w:rsidRPr="00892423">
        <w:t>we</w:t>
      </w:r>
      <w:r w:rsidR="00F8391B">
        <w:t>’</w:t>
      </w:r>
      <w:r w:rsidRPr="00892423">
        <w:t>ve certainly had our fair share of ex-offenders come through, and we treat them as we would anybody else. But you know, we work with them like any client. We meet them, we tailor the service that we</w:t>
      </w:r>
      <w:r w:rsidR="00F8391B">
        <w:t>’</w:t>
      </w:r>
      <w:r w:rsidRPr="00892423">
        <w:t>re going to give them, and you know, that</w:t>
      </w:r>
      <w:r w:rsidR="00F8391B">
        <w:t>’</w:t>
      </w:r>
      <w:r w:rsidRPr="00892423">
        <w:t>s different for everybody and ex-offenders again, it</w:t>
      </w:r>
      <w:r w:rsidR="00F8391B">
        <w:t>’</w:t>
      </w:r>
      <w:r w:rsidRPr="00892423">
        <w:t>s different. I mean, we</w:t>
      </w:r>
      <w:r w:rsidR="00F8391B">
        <w:t>’</w:t>
      </w:r>
      <w:r w:rsidRPr="00892423">
        <w:t>ve got one young lad who came in, who</w:t>
      </w:r>
      <w:r w:rsidR="00F8391B">
        <w:t>’</w:t>
      </w:r>
      <w:r w:rsidRPr="00892423">
        <w:t xml:space="preserve">d </w:t>
      </w:r>
      <w:r w:rsidRPr="008F781F">
        <w:t>been in jail, and he</w:t>
      </w:r>
      <w:r w:rsidRPr="00892423">
        <w:t xml:space="preserve"> goes </w:t>
      </w:r>
      <w:r w:rsidR="000C50D1">
        <w:t>‘</w:t>
      </w:r>
      <w:r w:rsidRPr="00892423">
        <w:t>I just want a job, I just want to work.</w:t>
      </w:r>
      <w:r w:rsidR="000C50D1">
        <w:t>’</w:t>
      </w:r>
      <w:r w:rsidRPr="00892423">
        <w:t xml:space="preserve"> Great. He</w:t>
      </w:r>
      <w:r w:rsidR="00F8391B">
        <w:t>’</w:t>
      </w:r>
      <w:r w:rsidRPr="00892423">
        <w:t>s now, we</w:t>
      </w:r>
      <w:r w:rsidR="00F8391B">
        <w:t>’</w:t>
      </w:r>
      <w:r w:rsidRPr="00892423">
        <w:t>re tracking for a 26-week outcome for him. So he came out with a really good attitude, we</w:t>
      </w:r>
      <w:r w:rsidR="00F8391B">
        <w:t>’</w:t>
      </w:r>
      <w:r w:rsidRPr="00892423">
        <w:t>ve had some come out with not so great attitudes, but.</w:t>
      </w:r>
      <w:r>
        <w:t xml:space="preserve"> (Provider, SA, </w:t>
      </w:r>
      <w:r w:rsidR="00ED248D">
        <w:t>l</w:t>
      </w:r>
      <w:r>
        <w:t xml:space="preserve">arge, </w:t>
      </w:r>
      <w:r w:rsidR="00ED248D">
        <w:t>r</w:t>
      </w:r>
      <w:r>
        <w:t>egional)</w:t>
      </w:r>
    </w:p>
    <w:p w14:paraId="37478DE6" w14:textId="428EE46A" w:rsidR="003A491D" w:rsidRPr="008F781F" w:rsidRDefault="003A491D" w:rsidP="003A491D">
      <w:r>
        <w:t>Providers may also play a proactive role with employers. One of the provider</w:t>
      </w:r>
      <w:r w:rsidRPr="008F781F">
        <w:t xml:space="preserve"> peak bod</w:t>
      </w:r>
      <w:r>
        <w:t>ies</w:t>
      </w:r>
      <w:r w:rsidRPr="008F781F">
        <w:t xml:space="preserve"> mentioned that providers work with employers to try to change any negative attitudes about working with certain </w:t>
      </w:r>
      <w:r>
        <w:t>groups</w:t>
      </w:r>
      <w:r w:rsidRPr="008F781F">
        <w:t xml:space="preserve"> of young people, including ex-o</w:t>
      </w:r>
      <w:r>
        <w:t>f</w:t>
      </w:r>
      <w:r w:rsidRPr="008F781F">
        <w:t>fenders.</w:t>
      </w:r>
    </w:p>
    <w:p w14:paraId="4F1B8167" w14:textId="7EDD7CC9" w:rsidR="003A491D" w:rsidRDefault="003A491D" w:rsidP="003A491D">
      <w:r>
        <w:t xml:space="preserve">The strong connections that caseworkers form with participants may also be important in the success of the program, with one provider noting they ran a program in prison to build connections </w:t>
      </w:r>
      <w:r w:rsidR="003B705A">
        <w:t>before</w:t>
      </w:r>
      <w:r>
        <w:t xml:space="preserve"> young people </w:t>
      </w:r>
      <w:r w:rsidR="001A5EC7">
        <w:t xml:space="preserve">are </w:t>
      </w:r>
      <w:r>
        <w:t>released.</w:t>
      </w:r>
    </w:p>
    <w:p w14:paraId="6D4025E1" w14:textId="19A4AEF2" w:rsidR="003A491D" w:rsidRDefault="003A491D" w:rsidP="003A491D">
      <w:pPr>
        <w:pStyle w:val="Quote"/>
      </w:pPr>
      <w:r w:rsidRPr="008F781F">
        <w:t>We run a couple of programs in prison in [</w:t>
      </w:r>
      <w:r>
        <w:t>location</w:t>
      </w:r>
      <w:r w:rsidRPr="008F781F">
        <w:t>]. They approach us … we</w:t>
      </w:r>
      <w:r w:rsidR="00F8391B">
        <w:t>’</w:t>
      </w:r>
      <w:r w:rsidRPr="008F781F">
        <w:t>re running a program so when those that are incarcerated are released, they</w:t>
      </w:r>
      <w:r w:rsidR="00F8391B">
        <w:t>’</w:t>
      </w:r>
      <w:r w:rsidRPr="008F781F">
        <w:t>ve got a connection to us, they can be referred to us. We really feel very strongly about that. It</w:t>
      </w:r>
      <w:r w:rsidR="00F8391B">
        <w:t>’</w:t>
      </w:r>
      <w:r w:rsidRPr="008F781F">
        <w:t>s probably something that</w:t>
      </w:r>
      <w:r w:rsidR="00F8391B">
        <w:t>’</w:t>
      </w:r>
      <w:r w:rsidRPr="008F781F">
        <w:t>s lacking … as you know people who are released and it</w:t>
      </w:r>
      <w:r w:rsidR="00F8391B">
        <w:t>’</w:t>
      </w:r>
      <w:r w:rsidRPr="008F781F">
        <w:t xml:space="preserve">s really good if you already got a connection with us. </w:t>
      </w:r>
      <w:r>
        <w:t>(</w:t>
      </w:r>
      <w:r w:rsidRPr="008F781F">
        <w:t xml:space="preserve">Provider, </w:t>
      </w:r>
      <w:r w:rsidR="009F1529">
        <w:t>Qld</w:t>
      </w:r>
      <w:r w:rsidRPr="008F781F">
        <w:t xml:space="preserve">, </w:t>
      </w:r>
      <w:r w:rsidR="00ED248D">
        <w:t>m</w:t>
      </w:r>
      <w:r w:rsidRPr="008F781F">
        <w:t xml:space="preserve">edium, </w:t>
      </w:r>
      <w:r w:rsidR="00ED248D">
        <w:t>m</w:t>
      </w:r>
      <w:r w:rsidRPr="008F781F">
        <w:t>etro</w:t>
      </w:r>
      <w:r>
        <w:t>)</w:t>
      </w:r>
    </w:p>
    <w:p w14:paraId="50FA244B" w14:textId="77777777" w:rsidR="003A491D" w:rsidRDefault="003A491D" w:rsidP="006E41FD">
      <w:pPr>
        <w:pStyle w:val="Heading2"/>
        <w:rPr>
          <w:lang w:eastAsia="en-AU"/>
        </w:rPr>
      </w:pPr>
      <w:bookmarkStart w:id="2399" w:name="_Toc132650484"/>
      <w:bookmarkStart w:id="2400" w:name="_Toc146033515"/>
      <w:r w:rsidRPr="726FFB36">
        <w:rPr>
          <w:lang w:eastAsia="en-AU"/>
        </w:rPr>
        <w:t>Conclusion</w:t>
      </w:r>
      <w:bookmarkEnd w:id="2399"/>
      <w:bookmarkEnd w:id="2400"/>
    </w:p>
    <w:p w14:paraId="274F3F51" w14:textId="5DD84464" w:rsidR="003A491D" w:rsidRDefault="003A491D" w:rsidP="003A491D">
      <w:r>
        <w:t>TtW is shown to have a positive impact on reducing reoffending</w:t>
      </w:r>
      <w:r w:rsidR="004B4F0F">
        <w:t>, when compared with jobactive</w:t>
      </w:r>
      <w:r>
        <w:t xml:space="preserve">. TtW participants who were ex-offenders at referral were 11.5 percentage points less likely than ex-offenders in the comparison group to reoffend in the </w:t>
      </w:r>
      <w:r w:rsidR="00DE47C4">
        <w:t xml:space="preserve">4 </w:t>
      </w:r>
      <w:r>
        <w:t>years from commencement. There is almost no difference in incarceration rates between TtW and</w:t>
      </w:r>
      <w:r w:rsidR="001A5EC7">
        <w:t xml:space="preserve"> the</w:t>
      </w:r>
      <w:r>
        <w:t xml:space="preserve"> comparison group for participants who had no history of offending at referral.</w:t>
      </w:r>
    </w:p>
    <w:p w14:paraId="263CD9BF" w14:textId="21EF8953" w:rsidR="003A491D" w:rsidRPr="009251AF" w:rsidRDefault="003A491D" w:rsidP="003A491D">
      <w:r>
        <w:t xml:space="preserve">TtW was also more effective at supporting </w:t>
      </w:r>
      <w:r>
        <w:rPr>
          <w:bCs/>
        </w:rPr>
        <w:t>Aboriginal and/or Torres Strait Islander participants</w:t>
      </w:r>
      <w:r>
        <w:t xml:space="preserve"> to avoid contact with the criminal justice system.</w:t>
      </w:r>
      <w:r w:rsidR="00F8391B">
        <w:t xml:space="preserve"> </w:t>
      </w:r>
      <w:r>
        <w:rPr>
          <w:bCs/>
        </w:rPr>
        <w:t xml:space="preserve">Aboriginal and/or Torres Strait Islander participants in </w:t>
      </w:r>
      <w:r>
        <w:t xml:space="preserve">TtW were 3.8 percentage points less likely to be incarcerated in the </w:t>
      </w:r>
      <w:r w:rsidR="00DE47C4">
        <w:t xml:space="preserve">4 </w:t>
      </w:r>
      <w:r>
        <w:t>years from commencement than those in the comparison group.</w:t>
      </w:r>
    </w:p>
    <w:p w14:paraId="1EEDE500" w14:textId="544A1AFE" w:rsidR="00BB62B4" w:rsidRDefault="00BB62B4">
      <w:pPr>
        <w:spacing w:after="160" w:line="259" w:lineRule="auto"/>
        <w:rPr>
          <w:bCs/>
        </w:rPr>
      </w:pPr>
      <w:r>
        <w:rPr>
          <w:bCs/>
        </w:rPr>
        <w:br w:type="page"/>
      </w:r>
    </w:p>
    <w:p w14:paraId="37BDEB68" w14:textId="574B276B" w:rsidR="001F5249" w:rsidRDefault="00477DF1" w:rsidP="009251AF">
      <w:pPr>
        <w:pStyle w:val="Heading1"/>
      </w:pPr>
      <w:bookmarkStart w:id="2401" w:name="_Toc132650485"/>
      <w:bookmarkStart w:id="2402" w:name="_Toc146033516"/>
      <w:r w:rsidRPr="00F07233">
        <w:lastRenderedPageBreak/>
        <w:t>–</w:t>
      </w:r>
      <w:bookmarkEnd w:id="1495"/>
      <w:bookmarkEnd w:id="2401"/>
      <w:r w:rsidR="00560B7C">
        <w:t xml:space="preserve"> </w:t>
      </w:r>
      <w:r w:rsidR="00560B7C" w:rsidRPr="00560B7C">
        <w:t>To what extent is TtW achieving the intended longer-term (3 to 4 year) objective of increased employment and labour market engagement and reduced dependence on income support for young people?</w:t>
      </w:r>
      <w:bookmarkEnd w:id="2402"/>
    </w:p>
    <w:p w14:paraId="33901298" w14:textId="1D1346EB" w:rsidR="000556FD" w:rsidRDefault="1DFBA0F7" w:rsidP="006E41FD">
      <w:pPr>
        <w:pStyle w:val="Heading2"/>
      </w:pPr>
      <w:bookmarkStart w:id="2403" w:name="_Toc132650486"/>
      <w:bookmarkStart w:id="2404" w:name="_Toc146033517"/>
      <w:r>
        <w:t>Introduction</w:t>
      </w:r>
      <w:bookmarkEnd w:id="2403"/>
      <w:bookmarkEnd w:id="2404"/>
    </w:p>
    <w:p w14:paraId="72D976F2" w14:textId="4B69D115" w:rsidR="00201627" w:rsidRDefault="002905BF" w:rsidP="000556FD">
      <w:r w:rsidRPr="002905BF">
        <w:t xml:space="preserve">This chapter examines the </w:t>
      </w:r>
      <w:r w:rsidRPr="009F1529">
        <w:t>long</w:t>
      </w:r>
      <w:r w:rsidR="003F7942" w:rsidRPr="009F1529">
        <w:t>er</w:t>
      </w:r>
      <w:r w:rsidR="009F1529">
        <w:t>-</w:t>
      </w:r>
      <w:r w:rsidRPr="009F1529">
        <w:t>term</w:t>
      </w:r>
      <w:r w:rsidRPr="002905BF">
        <w:t xml:space="preserve"> </w:t>
      </w:r>
      <w:r w:rsidR="000936D3">
        <w:t>(3</w:t>
      </w:r>
      <w:r w:rsidR="00DE47C4">
        <w:t xml:space="preserve"> to </w:t>
      </w:r>
      <w:r w:rsidR="000936D3">
        <w:t xml:space="preserve">4 years) </w:t>
      </w:r>
      <w:r w:rsidRPr="002905BF">
        <w:t>impact of TtW on young people</w:t>
      </w:r>
      <w:r w:rsidR="00F8391B">
        <w:t>’</w:t>
      </w:r>
      <w:r w:rsidRPr="002905BF">
        <w:t xml:space="preserve">s employment and labour market engagement and their dependence on income support by comparing </w:t>
      </w:r>
      <w:r w:rsidR="00191978">
        <w:t>the impact of the program on</w:t>
      </w:r>
      <w:r w:rsidRPr="002905BF">
        <w:t xml:space="preserve"> </w:t>
      </w:r>
      <w:r w:rsidR="00C5585D">
        <w:t xml:space="preserve">a cohort of </w:t>
      </w:r>
      <w:r w:rsidRPr="002905BF">
        <w:t xml:space="preserve">TtW participants with </w:t>
      </w:r>
      <w:r w:rsidR="00191978">
        <w:t>that on</w:t>
      </w:r>
      <w:r w:rsidRPr="002905BF">
        <w:t xml:space="preserve"> a matched cohort of jobactive participants</w:t>
      </w:r>
      <w:r>
        <w:t xml:space="preserve"> </w:t>
      </w:r>
      <w:r w:rsidR="00987E71">
        <w:t>(the comparison group)</w:t>
      </w:r>
      <w:r w:rsidRPr="002905BF">
        <w:t>.</w:t>
      </w:r>
      <w:r w:rsidR="000936D3">
        <w:t xml:space="preserve"> </w:t>
      </w:r>
      <w:r w:rsidR="009107AE">
        <w:t xml:space="preserve">The relative program impact over </w:t>
      </w:r>
      <w:r w:rsidR="009E4B68">
        <w:t>the longer term</w:t>
      </w:r>
      <w:r w:rsidR="009107AE">
        <w:t xml:space="preserve"> i</w:t>
      </w:r>
      <w:r w:rsidR="00CB11AD">
        <w:t xml:space="preserve">s analysed using a number of measures described </w:t>
      </w:r>
      <w:r w:rsidR="00CB11AD" w:rsidRPr="00E62B01">
        <w:t xml:space="preserve">in </w:t>
      </w:r>
      <w:r w:rsidR="00CB11AD" w:rsidRPr="004A440A">
        <w:rPr>
          <w:b/>
          <w:bCs/>
        </w:rPr>
        <w:t>Section 2.</w:t>
      </w:r>
      <w:r w:rsidR="001A5EC7">
        <w:rPr>
          <w:b/>
          <w:bCs/>
        </w:rPr>
        <w:t>4</w:t>
      </w:r>
      <w:r w:rsidR="00CB11AD" w:rsidRPr="004A440A">
        <w:rPr>
          <w:b/>
          <w:bCs/>
        </w:rPr>
        <w:t>.3</w:t>
      </w:r>
      <w:r w:rsidR="00201627" w:rsidRPr="00C239FD">
        <w:t>,</w:t>
      </w:r>
      <w:r w:rsidR="00201627" w:rsidRPr="00E62B01">
        <w:rPr>
          <w:b/>
          <w:bCs/>
        </w:rPr>
        <w:t xml:space="preserve"> </w:t>
      </w:r>
      <w:r w:rsidR="00201627" w:rsidRPr="00E62B01">
        <w:t>namely</w:t>
      </w:r>
      <w:r w:rsidR="00201627" w:rsidRPr="001431BC">
        <w:t>:</w:t>
      </w:r>
    </w:p>
    <w:p w14:paraId="1BB529E9" w14:textId="64A54ADF" w:rsidR="00201627" w:rsidRPr="00915B51" w:rsidRDefault="00196844" w:rsidP="007F37E0">
      <w:pPr>
        <w:pStyle w:val="ListBullet"/>
      </w:pPr>
      <w:r>
        <w:t>e</w:t>
      </w:r>
      <w:r w:rsidR="2498016E">
        <w:t>mployment, which occurs when</w:t>
      </w:r>
      <w:r w:rsidR="3F315739">
        <w:t xml:space="preserve"> the department</w:t>
      </w:r>
      <w:r w:rsidR="00F8391B">
        <w:t>’</w:t>
      </w:r>
      <w:r w:rsidR="3F315739">
        <w:t xml:space="preserve">s income support </w:t>
      </w:r>
      <w:r w:rsidR="45FF712A">
        <w:t xml:space="preserve">data indicates that </w:t>
      </w:r>
      <w:r w:rsidR="2498016E">
        <w:t xml:space="preserve">a participant </w:t>
      </w:r>
      <w:r w:rsidR="45FF712A">
        <w:t>exits</w:t>
      </w:r>
      <w:r w:rsidR="2865942F">
        <w:t xml:space="preserve"> from income support </w:t>
      </w:r>
      <w:r w:rsidR="004E07B5">
        <w:t>for an employment-related reason</w:t>
      </w:r>
    </w:p>
    <w:p w14:paraId="05DA4E09" w14:textId="120939C3" w:rsidR="000566A4" w:rsidRPr="00915B51" w:rsidRDefault="00196844" w:rsidP="007F37E0">
      <w:pPr>
        <w:pStyle w:val="ListBullet"/>
      </w:pPr>
      <w:r>
        <w:t>labour market attachment (</w:t>
      </w:r>
      <w:r w:rsidR="00573637" w:rsidRPr="00915B51">
        <w:t>LMA</w:t>
      </w:r>
      <w:r>
        <w:t>)</w:t>
      </w:r>
      <w:r w:rsidR="00573637" w:rsidRPr="00915B51">
        <w:t xml:space="preserve">, </w:t>
      </w:r>
      <w:r w:rsidR="001800B2" w:rsidRPr="00915B51">
        <w:t xml:space="preserve">which occurs </w:t>
      </w:r>
      <w:r w:rsidR="00A213FA" w:rsidRPr="00915B51">
        <w:t>when</w:t>
      </w:r>
      <w:r w:rsidR="00915B51" w:rsidRPr="00915B51">
        <w:t xml:space="preserve"> income support data </w:t>
      </w:r>
      <w:r w:rsidR="00E84AC7" w:rsidRPr="00915B51">
        <w:t xml:space="preserve">indicates that a participant has </w:t>
      </w:r>
      <w:r w:rsidR="00915B51" w:rsidRPr="00915B51">
        <w:t xml:space="preserve">a </w:t>
      </w:r>
      <w:r w:rsidR="000566A4" w:rsidRPr="001431BC">
        <w:t xml:space="preserve">reduction in </w:t>
      </w:r>
      <w:r w:rsidR="00915B51" w:rsidRPr="001431BC">
        <w:t xml:space="preserve">their </w:t>
      </w:r>
      <w:r w:rsidR="000566A4" w:rsidRPr="001431BC">
        <w:t>income support rate from their initial base rate</w:t>
      </w:r>
      <w:r w:rsidR="00915B51" w:rsidRPr="001431BC">
        <w:t>,</w:t>
      </w:r>
      <w:r w:rsidR="000566A4" w:rsidRPr="001431BC">
        <w:t xml:space="preserve"> any reported earnings and/or a</w:t>
      </w:r>
      <w:r w:rsidR="00915B51" w:rsidRPr="001431BC">
        <w:t>n</w:t>
      </w:r>
      <w:r w:rsidR="000566A4" w:rsidRPr="001431BC">
        <w:t xml:space="preserve"> </w:t>
      </w:r>
      <w:r w:rsidR="001A5EC7">
        <w:t>income support</w:t>
      </w:r>
      <w:r w:rsidR="001A5EC7" w:rsidRPr="001431BC">
        <w:t xml:space="preserve"> </w:t>
      </w:r>
      <w:r w:rsidR="000566A4" w:rsidRPr="001431BC">
        <w:t>exit</w:t>
      </w:r>
      <w:r w:rsidR="004E07B5">
        <w:t xml:space="preserve"> for an employment-related reason</w:t>
      </w:r>
    </w:p>
    <w:p w14:paraId="647CC7D5" w14:textId="06F9A25E" w:rsidR="000556FD" w:rsidRDefault="00E84AC7" w:rsidP="007F37E0">
      <w:pPr>
        <w:pStyle w:val="ListBullet"/>
      </w:pPr>
      <w:r w:rsidRPr="00915B51">
        <w:t>full-time study or apprenticeship</w:t>
      </w:r>
      <w:r w:rsidR="00E71CAE">
        <w:t>,</w:t>
      </w:r>
      <w:r w:rsidRPr="00915B51">
        <w:t xml:space="preserve"> which occurs when </w:t>
      </w:r>
      <w:r w:rsidR="000566A4" w:rsidRPr="00915B51">
        <w:t>a participant moves to</w:t>
      </w:r>
      <w:r w:rsidR="00201627" w:rsidRPr="00915B51">
        <w:t xml:space="preserve"> a study</w:t>
      </w:r>
      <w:r w:rsidR="001A5EC7">
        <w:t>-</w:t>
      </w:r>
      <w:r w:rsidR="00201627" w:rsidRPr="00915B51">
        <w:t>related income support payment</w:t>
      </w:r>
      <w:r w:rsidR="00201627">
        <w:t>.</w:t>
      </w:r>
    </w:p>
    <w:p w14:paraId="5F7E57DC" w14:textId="2D7E1C51" w:rsidR="00E71CAE" w:rsidRDefault="006628EF" w:rsidP="001431BC">
      <w:r>
        <w:t>This chapter also discusses t</w:t>
      </w:r>
      <w:r w:rsidR="00F84A29">
        <w:t xml:space="preserve">he impact of </w:t>
      </w:r>
      <w:r w:rsidR="00DD71F1">
        <w:t>COVID</w:t>
      </w:r>
      <w:r w:rsidR="00682AAB">
        <w:t xml:space="preserve">-19 </w:t>
      </w:r>
      <w:r>
        <w:t>on participants</w:t>
      </w:r>
      <w:r w:rsidR="00F8391B">
        <w:t>’</w:t>
      </w:r>
      <w:r>
        <w:t xml:space="preserve"> employment, as well as </w:t>
      </w:r>
      <w:r w:rsidR="00682AAB">
        <w:t xml:space="preserve">the impact of </w:t>
      </w:r>
      <w:r w:rsidR="00F84A29">
        <w:t xml:space="preserve">TtW on employment </w:t>
      </w:r>
      <w:r w:rsidR="00191978">
        <w:t xml:space="preserve">over </w:t>
      </w:r>
      <w:r w:rsidR="009E4B68">
        <w:t>the longer term</w:t>
      </w:r>
      <w:r w:rsidR="00191978">
        <w:t xml:space="preserve"> </w:t>
      </w:r>
      <w:r w:rsidR="00F84A29">
        <w:t xml:space="preserve">for participants </w:t>
      </w:r>
      <w:r w:rsidR="00F016F8">
        <w:t>of different equity cohorts</w:t>
      </w:r>
      <w:r w:rsidR="00F84A29">
        <w:t>, including</w:t>
      </w:r>
      <w:r w:rsidR="0007215C">
        <w:t xml:space="preserve"> </w:t>
      </w:r>
      <w:r w:rsidR="007C667C">
        <w:t>young people who are female</w:t>
      </w:r>
      <w:r w:rsidR="0007215C">
        <w:t xml:space="preserve">, </w:t>
      </w:r>
      <w:r w:rsidR="001A5EC7">
        <w:t xml:space="preserve">are </w:t>
      </w:r>
      <w:r w:rsidR="007C667C">
        <w:t>Aboriginal and</w:t>
      </w:r>
      <w:r w:rsidR="001A5EC7">
        <w:t>/or</w:t>
      </w:r>
      <w:r w:rsidR="007C667C">
        <w:t xml:space="preserve"> Torres Strait Islander</w:t>
      </w:r>
      <w:r w:rsidR="0007215C">
        <w:t xml:space="preserve">, </w:t>
      </w:r>
      <w:r w:rsidR="007C667C">
        <w:t>identify</w:t>
      </w:r>
      <w:r w:rsidR="001A5EC7">
        <w:t xml:space="preserve"> that</w:t>
      </w:r>
      <w:r w:rsidR="007C667C">
        <w:t xml:space="preserve"> they have a </w:t>
      </w:r>
      <w:r w:rsidR="0007215C">
        <w:t xml:space="preserve">disability, </w:t>
      </w:r>
      <w:r w:rsidR="007C667C">
        <w:t xml:space="preserve">have not completed </w:t>
      </w:r>
      <w:r w:rsidR="001A5EC7">
        <w:t>Y</w:t>
      </w:r>
      <w:r w:rsidR="007C667C">
        <w:t>ear 12</w:t>
      </w:r>
      <w:r w:rsidR="001A5EC7">
        <w:t>,</w:t>
      </w:r>
      <w:r w:rsidR="0007215C">
        <w:t xml:space="preserve"> and</w:t>
      </w:r>
      <w:r w:rsidR="001A5EC7">
        <w:t>/</w:t>
      </w:r>
      <w:r w:rsidR="007C667C">
        <w:t xml:space="preserve">or </w:t>
      </w:r>
      <w:r w:rsidR="001A5EC7">
        <w:t>have</w:t>
      </w:r>
      <w:r w:rsidR="007C667C">
        <w:t xml:space="preserve"> poor or mixed </w:t>
      </w:r>
      <w:r w:rsidR="0007215C">
        <w:t>English language competency</w:t>
      </w:r>
      <w:r>
        <w:t>.</w:t>
      </w:r>
    </w:p>
    <w:p w14:paraId="301F3B20" w14:textId="31D6B04A" w:rsidR="00D04B6A" w:rsidRDefault="1DDEFBBE" w:rsidP="006E41FD">
      <w:pPr>
        <w:pStyle w:val="Heading2"/>
      </w:pPr>
      <w:bookmarkStart w:id="2405" w:name="_Toc118817723"/>
      <w:bookmarkStart w:id="2406" w:name="_Toc120273704"/>
      <w:bookmarkStart w:id="2407" w:name="_Toc108539489"/>
      <w:bookmarkStart w:id="2408" w:name="_Toc109822265"/>
      <w:bookmarkStart w:id="2409" w:name="_Toc109918747"/>
      <w:bookmarkStart w:id="2410" w:name="_Toc110249558"/>
      <w:bookmarkStart w:id="2411" w:name="_Toc110251599"/>
      <w:bookmarkStart w:id="2412" w:name="_Toc110264996"/>
      <w:bookmarkStart w:id="2413" w:name="_Toc110411174"/>
      <w:bookmarkStart w:id="2414" w:name="_Toc108539490"/>
      <w:bookmarkStart w:id="2415" w:name="_Toc109822266"/>
      <w:bookmarkStart w:id="2416" w:name="_Toc109918748"/>
      <w:bookmarkStart w:id="2417" w:name="_Toc110249559"/>
      <w:bookmarkStart w:id="2418" w:name="_Toc110251600"/>
      <w:bookmarkStart w:id="2419" w:name="_Toc110264997"/>
      <w:bookmarkStart w:id="2420" w:name="_Toc110411175"/>
      <w:bookmarkStart w:id="2421" w:name="_Toc108539491"/>
      <w:bookmarkStart w:id="2422" w:name="_Toc109822267"/>
      <w:bookmarkStart w:id="2423" w:name="_Toc109918749"/>
      <w:bookmarkStart w:id="2424" w:name="_Toc110249560"/>
      <w:bookmarkStart w:id="2425" w:name="_Toc110251601"/>
      <w:bookmarkStart w:id="2426" w:name="_Toc110264998"/>
      <w:bookmarkStart w:id="2427" w:name="_Toc110411176"/>
      <w:bookmarkStart w:id="2428" w:name="_Toc108539492"/>
      <w:bookmarkStart w:id="2429" w:name="_Toc109822268"/>
      <w:bookmarkStart w:id="2430" w:name="_Toc109918750"/>
      <w:bookmarkStart w:id="2431" w:name="_Toc110249561"/>
      <w:bookmarkStart w:id="2432" w:name="_Toc110251602"/>
      <w:bookmarkStart w:id="2433" w:name="_Toc110264999"/>
      <w:bookmarkStart w:id="2434" w:name="_Toc110411177"/>
      <w:bookmarkStart w:id="2435" w:name="_Toc108539493"/>
      <w:bookmarkStart w:id="2436" w:name="_Toc109822269"/>
      <w:bookmarkStart w:id="2437" w:name="_Toc109918751"/>
      <w:bookmarkStart w:id="2438" w:name="_Toc110249562"/>
      <w:bookmarkStart w:id="2439" w:name="_Toc110251603"/>
      <w:bookmarkStart w:id="2440" w:name="_Toc110265000"/>
      <w:bookmarkStart w:id="2441" w:name="_Toc110411178"/>
      <w:bookmarkStart w:id="2442" w:name="_Toc132650487"/>
      <w:bookmarkStart w:id="2443" w:name="_Toc146033518"/>
      <w:bookmarkStart w:id="2444" w:name="_Toc106711832"/>
      <w:bookmarkStart w:id="2445" w:name="_Hlk104379185"/>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r w:rsidRPr="726FFB36">
        <w:t xml:space="preserve">The impact of TtW </w:t>
      </w:r>
      <w:r w:rsidR="00191978">
        <w:t xml:space="preserve">over </w:t>
      </w:r>
      <w:bookmarkEnd w:id="2442"/>
      <w:r w:rsidR="009E4B68">
        <w:t>the longer term</w:t>
      </w:r>
      <w:bookmarkEnd w:id="2443"/>
      <w:bookmarkEnd w:id="2444"/>
    </w:p>
    <w:p w14:paraId="48F7FE42" w14:textId="6D434809" w:rsidR="005F399C" w:rsidRDefault="5332510F" w:rsidP="009125CE">
      <w:pPr>
        <w:pStyle w:val="Heading3"/>
        <w:ind w:left="0"/>
      </w:pPr>
      <w:bookmarkStart w:id="2446" w:name="_Toc109822271"/>
      <w:bookmarkStart w:id="2447" w:name="_Toc109918753"/>
      <w:bookmarkStart w:id="2448" w:name="_Toc110249564"/>
      <w:bookmarkStart w:id="2449" w:name="_Toc110251605"/>
      <w:bookmarkStart w:id="2450" w:name="_Toc110265002"/>
      <w:bookmarkStart w:id="2451" w:name="_Toc110411180"/>
      <w:bookmarkStart w:id="2452" w:name="_Toc109822272"/>
      <w:bookmarkStart w:id="2453" w:name="_Toc109918754"/>
      <w:bookmarkStart w:id="2454" w:name="_Toc110249565"/>
      <w:bookmarkStart w:id="2455" w:name="_Toc110251606"/>
      <w:bookmarkStart w:id="2456" w:name="_Toc110265003"/>
      <w:bookmarkStart w:id="2457" w:name="_Toc110411181"/>
      <w:bookmarkStart w:id="2458" w:name="_Toc109822273"/>
      <w:bookmarkStart w:id="2459" w:name="_Toc109918755"/>
      <w:bookmarkStart w:id="2460" w:name="_Toc110249566"/>
      <w:bookmarkStart w:id="2461" w:name="_Toc110251607"/>
      <w:bookmarkStart w:id="2462" w:name="_Toc110265004"/>
      <w:bookmarkStart w:id="2463" w:name="_Toc110411182"/>
      <w:bookmarkStart w:id="2464" w:name="_Toc109822274"/>
      <w:bookmarkStart w:id="2465" w:name="_Toc109918756"/>
      <w:bookmarkStart w:id="2466" w:name="_Toc110249567"/>
      <w:bookmarkStart w:id="2467" w:name="_Toc110251608"/>
      <w:bookmarkStart w:id="2468" w:name="_Toc110265005"/>
      <w:bookmarkStart w:id="2469" w:name="_Toc110411183"/>
      <w:bookmarkStart w:id="2470" w:name="_Toc109822275"/>
      <w:bookmarkStart w:id="2471" w:name="_Toc109918757"/>
      <w:bookmarkStart w:id="2472" w:name="_Toc110249568"/>
      <w:bookmarkStart w:id="2473" w:name="_Toc110251609"/>
      <w:bookmarkStart w:id="2474" w:name="_Toc110265006"/>
      <w:bookmarkStart w:id="2475" w:name="_Toc110411184"/>
      <w:bookmarkStart w:id="2476" w:name="_Toc109822276"/>
      <w:bookmarkStart w:id="2477" w:name="_Toc109918758"/>
      <w:bookmarkStart w:id="2478" w:name="_Toc110249569"/>
      <w:bookmarkStart w:id="2479" w:name="_Toc110251610"/>
      <w:bookmarkStart w:id="2480" w:name="_Toc110265007"/>
      <w:bookmarkStart w:id="2481" w:name="_Toc110411185"/>
      <w:bookmarkStart w:id="2482" w:name="_Toc109822277"/>
      <w:bookmarkStart w:id="2483" w:name="_Toc109918759"/>
      <w:bookmarkStart w:id="2484" w:name="_Toc110249570"/>
      <w:bookmarkStart w:id="2485" w:name="_Toc110251611"/>
      <w:bookmarkStart w:id="2486" w:name="_Toc110265008"/>
      <w:bookmarkStart w:id="2487" w:name="_Toc110411186"/>
      <w:bookmarkStart w:id="2488" w:name="_Toc109822278"/>
      <w:bookmarkStart w:id="2489" w:name="_Toc109918760"/>
      <w:bookmarkStart w:id="2490" w:name="_Toc110249571"/>
      <w:bookmarkStart w:id="2491" w:name="_Toc110251612"/>
      <w:bookmarkStart w:id="2492" w:name="_Toc110265009"/>
      <w:bookmarkStart w:id="2493" w:name="_Toc110411187"/>
      <w:bookmarkStart w:id="2494" w:name="_Toc109822279"/>
      <w:bookmarkStart w:id="2495" w:name="_Toc109918761"/>
      <w:bookmarkStart w:id="2496" w:name="_Toc110249572"/>
      <w:bookmarkStart w:id="2497" w:name="_Toc110251613"/>
      <w:bookmarkStart w:id="2498" w:name="_Toc110265010"/>
      <w:bookmarkStart w:id="2499" w:name="_Toc110411188"/>
      <w:bookmarkStart w:id="2500" w:name="_Toc109822310"/>
      <w:bookmarkStart w:id="2501" w:name="_Toc109918792"/>
      <w:bookmarkStart w:id="2502" w:name="_Toc110249603"/>
      <w:bookmarkStart w:id="2503" w:name="_Toc110251644"/>
      <w:bookmarkStart w:id="2504" w:name="_Toc110265041"/>
      <w:bookmarkStart w:id="2505" w:name="_Toc110411219"/>
      <w:bookmarkStart w:id="2506" w:name="_Toc109822311"/>
      <w:bookmarkStart w:id="2507" w:name="_Toc109918793"/>
      <w:bookmarkStart w:id="2508" w:name="_Toc110249604"/>
      <w:bookmarkStart w:id="2509" w:name="_Toc110251645"/>
      <w:bookmarkStart w:id="2510" w:name="_Toc110265042"/>
      <w:bookmarkStart w:id="2511" w:name="_Toc110411220"/>
      <w:bookmarkStart w:id="2512" w:name="_Toc109822312"/>
      <w:bookmarkStart w:id="2513" w:name="_Toc109918794"/>
      <w:bookmarkStart w:id="2514" w:name="_Toc110249605"/>
      <w:bookmarkStart w:id="2515" w:name="_Toc110251646"/>
      <w:bookmarkStart w:id="2516" w:name="_Toc110265043"/>
      <w:bookmarkStart w:id="2517" w:name="_Toc110411221"/>
      <w:bookmarkStart w:id="2518" w:name="_Toc109822313"/>
      <w:bookmarkStart w:id="2519" w:name="_Toc109918795"/>
      <w:bookmarkStart w:id="2520" w:name="_Toc110249606"/>
      <w:bookmarkStart w:id="2521" w:name="_Toc110251647"/>
      <w:bookmarkStart w:id="2522" w:name="_Toc110265044"/>
      <w:bookmarkStart w:id="2523" w:name="_Toc110411222"/>
      <w:bookmarkStart w:id="2524" w:name="_Toc109822314"/>
      <w:bookmarkStart w:id="2525" w:name="_Toc109918796"/>
      <w:bookmarkStart w:id="2526" w:name="_Toc110249607"/>
      <w:bookmarkStart w:id="2527" w:name="_Toc110251648"/>
      <w:bookmarkStart w:id="2528" w:name="_Toc110265045"/>
      <w:bookmarkStart w:id="2529" w:name="_Toc110411223"/>
      <w:bookmarkStart w:id="2530" w:name="_Toc109822336"/>
      <w:bookmarkStart w:id="2531" w:name="_Toc109918818"/>
      <w:bookmarkStart w:id="2532" w:name="_Toc110249629"/>
      <w:bookmarkStart w:id="2533" w:name="_Toc110251670"/>
      <w:bookmarkStart w:id="2534" w:name="_Toc110265067"/>
      <w:bookmarkStart w:id="2535" w:name="_Toc110411245"/>
      <w:bookmarkStart w:id="2536" w:name="_Toc109822337"/>
      <w:bookmarkStart w:id="2537" w:name="_Toc109918819"/>
      <w:bookmarkStart w:id="2538" w:name="_Toc110249630"/>
      <w:bookmarkStart w:id="2539" w:name="_Toc110251671"/>
      <w:bookmarkStart w:id="2540" w:name="_Toc110265068"/>
      <w:bookmarkStart w:id="2541" w:name="_Toc110411246"/>
      <w:bookmarkStart w:id="2542" w:name="_Toc109822338"/>
      <w:bookmarkStart w:id="2543" w:name="_Toc109918820"/>
      <w:bookmarkStart w:id="2544" w:name="_Toc110249631"/>
      <w:bookmarkStart w:id="2545" w:name="_Toc110251672"/>
      <w:bookmarkStart w:id="2546" w:name="_Toc110265069"/>
      <w:bookmarkStart w:id="2547" w:name="_Toc110411247"/>
      <w:bookmarkStart w:id="2548" w:name="_Toc109822339"/>
      <w:bookmarkStart w:id="2549" w:name="_Toc109918821"/>
      <w:bookmarkStart w:id="2550" w:name="_Toc110249632"/>
      <w:bookmarkStart w:id="2551" w:name="_Toc110251673"/>
      <w:bookmarkStart w:id="2552" w:name="_Toc110265070"/>
      <w:bookmarkStart w:id="2553" w:name="_Toc110411248"/>
      <w:bookmarkStart w:id="2554" w:name="_Toc109822340"/>
      <w:bookmarkStart w:id="2555" w:name="_Toc109918822"/>
      <w:bookmarkStart w:id="2556" w:name="_Toc110249633"/>
      <w:bookmarkStart w:id="2557" w:name="_Toc110251674"/>
      <w:bookmarkStart w:id="2558" w:name="_Toc110265071"/>
      <w:bookmarkStart w:id="2559" w:name="_Toc110411249"/>
      <w:bookmarkStart w:id="2560" w:name="_Toc109822341"/>
      <w:bookmarkStart w:id="2561" w:name="_Toc109918823"/>
      <w:bookmarkStart w:id="2562" w:name="_Toc110249634"/>
      <w:bookmarkStart w:id="2563" w:name="_Toc110251675"/>
      <w:bookmarkStart w:id="2564" w:name="_Toc110265072"/>
      <w:bookmarkStart w:id="2565" w:name="_Toc110411250"/>
      <w:bookmarkStart w:id="2566" w:name="_Toc109822342"/>
      <w:bookmarkStart w:id="2567" w:name="_Toc109918824"/>
      <w:bookmarkStart w:id="2568" w:name="_Toc110249635"/>
      <w:bookmarkStart w:id="2569" w:name="_Toc110251676"/>
      <w:bookmarkStart w:id="2570" w:name="_Toc110265073"/>
      <w:bookmarkStart w:id="2571" w:name="_Toc110411251"/>
      <w:bookmarkStart w:id="2572" w:name="_Toc109822343"/>
      <w:bookmarkStart w:id="2573" w:name="_Toc109918825"/>
      <w:bookmarkStart w:id="2574" w:name="_Toc110249636"/>
      <w:bookmarkStart w:id="2575" w:name="_Toc110251677"/>
      <w:bookmarkStart w:id="2576" w:name="_Toc110265074"/>
      <w:bookmarkStart w:id="2577" w:name="_Toc110411252"/>
      <w:bookmarkStart w:id="2578" w:name="_Toc106711834"/>
      <w:bookmarkStart w:id="2579" w:name="_Toc132650488"/>
      <w:bookmarkStart w:id="2580" w:name="_Toc146033519"/>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r>
        <w:t>Employment</w:t>
      </w:r>
      <w:bookmarkEnd w:id="2578"/>
      <w:bookmarkEnd w:id="2579"/>
      <w:bookmarkEnd w:id="2580"/>
    </w:p>
    <w:p w14:paraId="581A8090" w14:textId="6AD363D8" w:rsidR="00042AC7" w:rsidRDefault="00FF665F" w:rsidP="00D04B6A">
      <w:r>
        <w:t>T</w:t>
      </w:r>
      <w:r w:rsidR="71469254" w:rsidRPr="00E62B01">
        <w:t xml:space="preserve">he proportion of participants from </w:t>
      </w:r>
      <w:r w:rsidR="1BD4641A" w:rsidRPr="00E62B01">
        <w:t xml:space="preserve">TtW and the comparison </w:t>
      </w:r>
      <w:r w:rsidR="71469254" w:rsidRPr="00E62B01">
        <w:t xml:space="preserve">group who </w:t>
      </w:r>
      <w:r w:rsidR="00F13C29">
        <w:t>we</w:t>
      </w:r>
      <w:r w:rsidR="00F13C29" w:rsidRPr="00E62B01">
        <w:t xml:space="preserve">re </w:t>
      </w:r>
      <w:r w:rsidR="18C821BF" w:rsidRPr="00E62B01">
        <w:t xml:space="preserve">off </w:t>
      </w:r>
      <w:r w:rsidR="002A4286">
        <w:t>i</w:t>
      </w:r>
      <w:r w:rsidR="006F7970">
        <w:t xml:space="preserve">ncome </w:t>
      </w:r>
      <w:r w:rsidR="002A4286">
        <w:t>s</w:t>
      </w:r>
      <w:r w:rsidR="006F7970">
        <w:t>upport</w:t>
      </w:r>
      <w:r w:rsidR="18C821BF" w:rsidRPr="00E62B01">
        <w:t xml:space="preserve"> for a</w:t>
      </w:r>
      <w:r w:rsidR="00F016F8">
        <w:t>n employment-related</w:t>
      </w:r>
      <w:r w:rsidR="18C821BF" w:rsidRPr="00E62B01">
        <w:t xml:space="preserve"> reason</w:t>
      </w:r>
      <w:r w:rsidR="71469254">
        <w:t xml:space="preserve"> at any point in time</w:t>
      </w:r>
      <w:r w:rsidR="001A5EC7">
        <w:t>,</w:t>
      </w:r>
      <w:r w:rsidR="00C83E93">
        <w:rPr>
          <w:rStyle w:val="FootnoteReference"/>
        </w:rPr>
        <w:footnoteReference w:id="86"/>
      </w:r>
      <w:r w:rsidR="5768039B">
        <w:t xml:space="preserve"> as an </w:t>
      </w:r>
      <w:r w:rsidR="71469254">
        <w:t>indicator of the influence of TtW on participants entering employment</w:t>
      </w:r>
      <w:r>
        <w:t xml:space="preserve">, is presented in </w:t>
      </w:r>
      <w:r w:rsidR="00EC1908" w:rsidRPr="009251AF">
        <w:rPr>
          <w:b/>
          <w:bCs/>
        </w:rPr>
        <w:fldChar w:fldCharType="begin"/>
      </w:r>
      <w:r w:rsidR="00EC1908" w:rsidRPr="009251AF">
        <w:rPr>
          <w:b/>
          <w:bCs/>
        </w:rPr>
        <w:instrText xml:space="preserve"> REF _Ref110961031 \h </w:instrText>
      </w:r>
      <w:r w:rsidR="00EC1908">
        <w:rPr>
          <w:b/>
          <w:bCs/>
        </w:rPr>
        <w:instrText xml:space="preserve"> \* MERGEFORMAT</w:instrText>
      </w:r>
      <w:r w:rsidR="00EC1908" w:rsidRPr="0058019A">
        <w:rPr>
          <w:b/>
        </w:rPr>
        <w:instrText xml:space="preserve"> </w:instrText>
      </w:r>
      <w:r w:rsidR="00EC1908" w:rsidRPr="009251AF">
        <w:rPr>
          <w:b/>
          <w:bCs/>
        </w:rPr>
      </w:r>
      <w:r w:rsidR="00EC1908" w:rsidRPr="009251AF">
        <w:rPr>
          <w:b/>
          <w:bCs/>
        </w:rPr>
        <w:fldChar w:fldCharType="separate"/>
      </w:r>
      <w:r w:rsidR="00180E14" w:rsidRPr="00180E14">
        <w:rPr>
          <w:b/>
          <w:bCs/>
        </w:rPr>
        <w:t xml:space="preserve">Figure </w:t>
      </w:r>
      <w:r w:rsidR="00180E14" w:rsidRPr="00180E14">
        <w:rPr>
          <w:b/>
          <w:bCs/>
          <w:noProof/>
        </w:rPr>
        <w:t>26</w:t>
      </w:r>
      <w:r w:rsidR="00EC1908" w:rsidRPr="009251AF">
        <w:rPr>
          <w:b/>
          <w:bCs/>
        </w:rPr>
        <w:fldChar w:fldCharType="end"/>
      </w:r>
      <w:r w:rsidR="5F5149FE">
        <w:t>.</w:t>
      </w:r>
    </w:p>
    <w:p w14:paraId="018282CC" w14:textId="1435CCF2" w:rsidR="00D37718" w:rsidRDefault="009125CE" w:rsidP="00C9352A">
      <w:r>
        <w:t>W</w:t>
      </w:r>
      <w:r w:rsidR="00C9352A" w:rsidRPr="001431BC">
        <w:t xml:space="preserve">hile the TtW participants appeared to be slightly less likely to </w:t>
      </w:r>
      <w:r w:rsidR="00761BC5" w:rsidRPr="001431BC">
        <w:t>be employed</w:t>
      </w:r>
      <w:r w:rsidR="00C9352A" w:rsidRPr="001431BC">
        <w:rPr>
          <w:rStyle w:val="FootnoteReference"/>
          <w:rFonts w:eastAsia="Calibri" w:cstheme="minorHAnsi"/>
        </w:rPr>
        <w:footnoteReference w:id="87"/>
      </w:r>
      <w:r w:rsidR="00C9352A" w:rsidRPr="001431BC">
        <w:t xml:space="preserve"> </w:t>
      </w:r>
      <w:r w:rsidR="009F6406" w:rsidRPr="001431BC">
        <w:t>during</w:t>
      </w:r>
      <w:r w:rsidR="00C9352A" w:rsidRPr="001431BC">
        <w:t xml:space="preserve"> the first</w:t>
      </w:r>
      <w:r w:rsidR="001A5EC7">
        <w:t xml:space="preserve"> </w:t>
      </w:r>
      <w:r w:rsidR="00EC1908">
        <w:t>2</w:t>
      </w:r>
      <w:r w:rsidR="001A5EC7">
        <w:t> </w:t>
      </w:r>
      <w:r w:rsidR="00C9352A" w:rsidRPr="001431BC">
        <w:t>years than the comparison group</w:t>
      </w:r>
      <w:r w:rsidR="001A5EC7">
        <w:t>,</w:t>
      </w:r>
      <w:r w:rsidR="00F65CF6">
        <w:rPr>
          <w:rStyle w:val="FootnoteReference"/>
        </w:rPr>
        <w:footnoteReference w:id="88"/>
      </w:r>
      <w:r w:rsidR="00D95386" w:rsidRPr="00E3620C">
        <w:t xml:space="preserve"> this equalises </w:t>
      </w:r>
      <w:r w:rsidR="00D95386" w:rsidRPr="000612C7">
        <w:t xml:space="preserve">at around </w:t>
      </w:r>
      <w:r w:rsidR="005854B9">
        <w:t>2 years</w:t>
      </w:r>
      <w:r w:rsidR="00D95386" w:rsidRPr="00E3620C">
        <w:t xml:space="preserve">. The proportion of participants </w:t>
      </w:r>
      <w:r w:rsidR="00492100">
        <w:t xml:space="preserve">who are in employment at any </w:t>
      </w:r>
      <w:r w:rsidR="00F016F8">
        <w:t xml:space="preserve">given point in time </w:t>
      </w:r>
      <w:r w:rsidR="00D95386" w:rsidRPr="00E3620C">
        <w:t xml:space="preserve">continues to rise slowly, with </w:t>
      </w:r>
      <w:r w:rsidR="00F8391B">
        <w:t>2</w:t>
      </w:r>
      <w:r w:rsidR="00D95386" w:rsidRPr="00E3620C">
        <w:t xml:space="preserve"> out of </w:t>
      </w:r>
      <w:r w:rsidR="001A5EC7">
        <w:t>5</w:t>
      </w:r>
      <w:r w:rsidR="00D95386" w:rsidRPr="00E3620C">
        <w:t xml:space="preserve"> (39%) </w:t>
      </w:r>
      <w:r w:rsidR="00D95386" w:rsidRPr="00E3620C">
        <w:lastRenderedPageBreak/>
        <w:t>participants from both TtW a</w:t>
      </w:r>
      <w:r w:rsidR="00D95386" w:rsidRPr="000612C7">
        <w:t>nd the comparison group in employment 36 months</w:t>
      </w:r>
      <w:r w:rsidR="00131896">
        <w:rPr>
          <w:rStyle w:val="FootnoteReference"/>
        </w:rPr>
        <w:footnoteReference w:id="89"/>
      </w:r>
      <w:r w:rsidR="00D95386" w:rsidRPr="000612C7">
        <w:t xml:space="preserve"> after commencement in the program</w:t>
      </w:r>
      <w:r w:rsidR="00956D76">
        <w:t>.</w:t>
      </w:r>
    </w:p>
    <w:p w14:paraId="37624ADE" w14:textId="6E6A3DA6" w:rsidR="00FF02B4" w:rsidRDefault="00FF02B4" w:rsidP="00FF02B4">
      <w:r>
        <w:t>It is also evident that COVID</w:t>
      </w:r>
      <w:r w:rsidR="002F3296">
        <w:t>-1</w:t>
      </w:r>
      <w:r>
        <w:t>9 had a marked impact on participants</w:t>
      </w:r>
      <w:r w:rsidR="00F8391B">
        <w:t>’</w:t>
      </w:r>
      <w:r>
        <w:t xml:space="preserve"> movement back on to income support. It appears that the impact of the COVID-19 pandemic was similar on both TtW</w:t>
      </w:r>
      <w:r w:rsidR="001A5EC7">
        <w:t xml:space="preserve"> participants</w:t>
      </w:r>
      <w:r>
        <w:t xml:space="preserve"> and participants from the comparison group.</w:t>
      </w:r>
    </w:p>
    <w:p w14:paraId="6DDEDDB1" w14:textId="06513CD5" w:rsidR="00FF02B4" w:rsidRDefault="00FF02B4" w:rsidP="00FF02B4">
      <w:pPr>
        <w:pStyle w:val="Caption"/>
        <w:keepNext/>
      </w:pPr>
      <w:bookmarkStart w:id="2581" w:name="_Ref110961031"/>
      <w:bookmarkStart w:id="2582" w:name="_Ref121471424"/>
      <w:bookmarkStart w:id="2583" w:name="_Toc132647867"/>
      <w:bookmarkStart w:id="2584" w:name="_Toc145883336"/>
      <w:bookmarkStart w:id="2585" w:name="_Hlk135921866"/>
      <w:bookmarkStart w:id="2586" w:name="_Hlk124850058"/>
      <w:r>
        <w:t xml:space="preserve">Figure </w:t>
      </w:r>
      <w:r w:rsidR="00BE71D4">
        <w:fldChar w:fldCharType="begin"/>
      </w:r>
      <w:r w:rsidR="00BE71D4">
        <w:instrText xml:space="preserve"> SEQ Figure \* ARABIC </w:instrText>
      </w:r>
      <w:r w:rsidR="00BE71D4">
        <w:fldChar w:fldCharType="separate"/>
      </w:r>
      <w:r w:rsidR="00180E14">
        <w:rPr>
          <w:noProof/>
        </w:rPr>
        <w:t>26</w:t>
      </w:r>
      <w:r w:rsidR="00BE71D4">
        <w:rPr>
          <w:noProof/>
        </w:rPr>
        <w:fldChar w:fldCharType="end"/>
      </w:r>
      <w:bookmarkEnd w:id="2581"/>
      <w:r>
        <w:t xml:space="preserve">: </w:t>
      </w:r>
      <w:r w:rsidRPr="004130F6">
        <w:t xml:space="preserve">Proportion of participants </w:t>
      </w:r>
      <w:r w:rsidR="00907E94">
        <w:t>off income support</w:t>
      </w:r>
      <w:r>
        <w:t xml:space="preserve"> </w:t>
      </w:r>
      <w:r w:rsidR="00886F30">
        <w:t>in any month</w:t>
      </w:r>
      <w:r w:rsidRPr="004130F6">
        <w:t xml:space="preserve"> (</w:t>
      </w:r>
      <w:r>
        <w:t>1</w:t>
      </w:r>
      <w:r w:rsidR="114FC89D">
        <w:t xml:space="preserve"> to </w:t>
      </w:r>
      <w:r>
        <w:t>48 months from commencement</w:t>
      </w:r>
      <w:r w:rsidRPr="004130F6">
        <w:t>)</w:t>
      </w:r>
      <w:bookmarkEnd w:id="2582"/>
      <w:bookmarkEnd w:id="2583"/>
      <w:bookmarkEnd w:id="2584"/>
    </w:p>
    <w:p w14:paraId="34459660" w14:textId="16B5F075" w:rsidR="00D23BA0" w:rsidRPr="00D23BA0" w:rsidRDefault="00D23BA0" w:rsidP="00D23BA0">
      <w:r>
        <w:rPr>
          <w:noProof/>
        </w:rPr>
        <w:drawing>
          <wp:inline distT="0" distB="0" distL="0" distR="0" wp14:anchorId="4A3B00EF" wp14:editId="396C01C2">
            <wp:extent cx="5248275" cy="3402959"/>
            <wp:effectExtent l="0" t="0" r="0" b="0"/>
            <wp:docPr id="85" name="Picture 85" descr="Graph showing the trend discuss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 showing the trend discussed in the preceding paragraph."/>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58556" cy="3409625"/>
                    </a:xfrm>
                    <a:prstGeom prst="rect">
                      <a:avLst/>
                    </a:prstGeom>
                    <a:noFill/>
                  </pic:spPr>
                </pic:pic>
              </a:graphicData>
            </a:graphic>
          </wp:inline>
        </w:drawing>
      </w:r>
    </w:p>
    <w:bookmarkEnd w:id="2585"/>
    <w:p w14:paraId="03D83865" w14:textId="0697C8F8" w:rsidR="00FF02B4" w:rsidRPr="00484450" w:rsidRDefault="00FF02B4" w:rsidP="00FF02B4">
      <w:pPr>
        <w:pStyle w:val="SourceandNotes"/>
      </w:pPr>
      <w:r w:rsidRPr="005E0ED0">
        <w:t xml:space="preserve">Source: The </w:t>
      </w:r>
      <w:r w:rsidRPr="00484450">
        <w:t>department</w:t>
      </w:r>
      <w:r w:rsidR="00F8391B">
        <w:t>’</w:t>
      </w:r>
      <w:r w:rsidRPr="00484450">
        <w:t>s administrative data</w:t>
      </w:r>
    </w:p>
    <w:p w14:paraId="18F8240E" w14:textId="70CEDE11" w:rsidR="00FF02B4" w:rsidRPr="00484450" w:rsidRDefault="00FF02B4" w:rsidP="00FF02B4">
      <w:pPr>
        <w:pStyle w:val="SourceandNotes"/>
      </w:pPr>
      <w:r w:rsidRPr="00484450">
        <w:t>Base: Matched TtW (n=</w:t>
      </w:r>
      <w:r w:rsidR="0054194B">
        <w:t>8,361</w:t>
      </w:r>
      <w:r w:rsidRPr="00484450">
        <w:t>) and jobactive (n=</w:t>
      </w:r>
      <w:r w:rsidR="0054194B">
        <w:t>8,361</w:t>
      </w:r>
      <w:r w:rsidRPr="00484450">
        <w:t>) samples</w:t>
      </w:r>
    </w:p>
    <w:p w14:paraId="028BEAC2" w14:textId="4B2A2843" w:rsidR="00FF02B4" w:rsidRPr="00484450" w:rsidRDefault="00FF02B4" w:rsidP="00FF02B4">
      <w:pPr>
        <w:pStyle w:val="SourceandNotes"/>
      </w:pPr>
      <w:r w:rsidRPr="00484450">
        <w:t xml:space="preserve">Note: Off-income support status was based on exits from income support for </w:t>
      </w:r>
      <w:r w:rsidR="00F8391B">
        <w:t>‘</w:t>
      </w:r>
      <w:r w:rsidR="00907E94">
        <w:t>employment-related</w:t>
      </w:r>
      <w:r w:rsidR="00F8391B">
        <w:t>’</w:t>
      </w:r>
      <w:r w:rsidRPr="00484450">
        <w:t xml:space="preserve"> reasons</w:t>
      </w:r>
    </w:p>
    <w:bookmarkEnd w:id="2586"/>
    <w:p w14:paraId="146BCC87" w14:textId="7ACF90CB" w:rsidR="00C9352A" w:rsidRDefault="00D37718" w:rsidP="00C9352A">
      <w:r w:rsidRPr="00F8442B">
        <w:t>Regression analysis was undertaken to adjust for participant characteristics</w:t>
      </w:r>
      <w:bookmarkStart w:id="2587" w:name="_Hlk119061704"/>
      <w:r w:rsidRPr="00F8442B">
        <w:t xml:space="preserve">. TtW participants </w:t>
      </w:r>
      <w:r w:rsidR="00F8442B">
        <w:t xml:space="preserve">were </w:t>
      </w:r>
      <w:r w:rsidR="00C9409F">
        <w:t>3.7</w:t>
      </w:r>
      <w:r w:rsidRPr="00F8442B">
        <w:t xml:space="preserve"> percentage points less likely to </w:t>
      </w:r>
      <w:r w:rsidRPr="001431BC">
        <w:t xml:space="preserve">be employed </w:t>
      </w:r>
      <w:r w:rsidR="00C9409F">
        <w:t>1</w:t>
      </w:r>
      <w:r w:rsidR="00A304B1" w:rsidRPr="00F8442B">
        <w:t>2</w:t>
      </w:r>
      <w:r w:rsidRPr="00F8442B">
        <w:t xml:space="preserve"> months from commencement in the program</w:t>
      </w:r>
      <w:r w:rsidR="00C9409F">
        <w:t xml:space="preserve"> than participants in the comparison group</w:t>
      </w:r>
      <w:r w:rsidRPr="00F8442B">
        <w:t xml:space="preserve">, and </w:t>
      </w:r>
      <w:r w:rsidR="00C9409F">
        <w:t>1.7</w:t>
      </w:r>
      <w:r w:rsidRPr="00F8442B">
        <w:t xml:space="preserve"> percentage points less likely to </w:t>
      </w:r>
      <w:r w:rsidRPr="001431BC">
        <w:t>be emp</w:t>
      </w:r>
      <w:r w:rsidR="00A304B1" w:rsidRPr="00F8442B">
        <w:t>l</w:t>
      </w:r>
      <w:r w:rsidRPr="001431BC">
        <w:t>oyed</w:t>
      </w:r>
      <w:r w:rsidRPr="00F8442B">
        <w:t xml:space="preserve"> </w:t>
      </w:r>
      <w:r w:rsidR="00C9409F">
        <w:t>at 24 months</w:t>
      </w:r>
      <w:r w:rsidRPr="00F8442B">
        <w:t xml:space="preserve">. </w:t>
      </w:r>
      <w:bookmarkStart w:id="2588" w:name="_Hlk124864755"/>
      <w:r w:rsidRPr="00F8442B">
        <w:t>However,</w:t>
      </w:r>
      <w:r w:rsidR="00CB5B1D">
        <w:t xml:space="preserve"> 36 and 48 months from commencement</w:t>
      </w:r>
      <w:r w:rsidRPr="00F8442B">
        <w:t xml:space="preserve"> there is no significant difference between the groups</w:t>
      </w:r>
      <w:r w:rsidR="00FF02B4">
        <w:t xml:space="preserve"> </w:t>
      </w:r>
      <w:bookmarkEnd w:id="2588"/>
      <w:r w:rsidR="00FF02B4">
        <w:t>(</w:t>
      </w:r>
      <w:r w:rsidR="00555083" w:rsidRPr="00CD7319">
        <w:rPr>
          <w:b/>
          <w:bCs/>
        </w:rPr>
        <w:fldChar w:fldCharType="begin"/>
      </w:r>
      <w:r w:rsidR="00555083" w:rsidRPr="00CD7319">
        <w:rPr>
          <w:b/>
          <w:bCs/>
        </w:rPr>
        <w:instrText xml:space="preserve"> REF _Ref116477594 \h </w:instrText>
      </w:r>
      <w:r w:rsidR="00F13C29">
        <w:rPr>
          <w:b/>
          <w:bCs/>
        </w:rPr>
        <w:instrText xml:space="preserve"> \* MERGEFORMAT </w:instrText>
      </w:r>
      <w:r w:rsidR="00555083" w:rsidRPr="00CD7319">
        <w:rPr>
          <w:b/>
          <w:bCs/>
        </w:rPr>
      </w:r>
      <w:r w:rsidR="00555083" w:rsidRPr="00CD7319">
        <w:rPr>
          <w:b/>
          <w:bCs/>
        </w:rPr>
        <w:fldChar w:fldCharType="separate"/>
      </w:r>
      <w:r w:rsidR="00180E14" w:rsidRPr="00180E14">
        <w:rPr>
          <w:b/>
          <w:bCs/>
        </w:rPr>
        <w:t xml:space="preserve">Table </w:t>
      </w:r>
      <w:r w:rsidR="00180E14" w:rsidRPr="00180E14">
        <w:rPr>
          <w:b/>
          <w:bCs/>
          <w:noProof/>
        </w:rPr>
        <w:t>11</w:t>
      </w:r>
      <w:r w:rsidR="00555083" w:rsidRPr="00CD7319">
        <w:rPr>
          <w:b/>
          <w:bCs/>
        </w:rPr>
        <w:fldChar w:fldCharType="end"/>
      </w:r>
      <w:r w:rsidR="00FF02B4">
        <w:t>)</w:t>
      </w:r>
      <w:r w:rsidR="00F57386">
        <w:t>.</w:t>
      </w:r>
      <w:bookmarkEnd w:id="2587"/>
    </w:p>
    <w:p w14:paraId="735DA3F0" w14:textId="0EA0618A" w:rsidR="00555083" w:rsidRDefault="00555083" w:rsidP="00633F11">
      <w:pPr>
        <w:pStyle w:val="Caption"/>
        <w:keepNext/>
        <w:keepLines/>
      </w:pPr>
      <w:bookmarkStart w:id="2589" w:name="_Ref116477594"/>
      <w:bookmarkStart w:id="2590" w:name="_Toc132647787"/>
      <w:bookmarkStart w:id="2591" w:name="_Toc145877300"/>
      <w:bookmarkStart w:id="2592" w:name="_Hlk118105747"/>
      <w:r>
        <w:lastRenderedPageBreak/>
        <w:t>T</w:t>
      </w:r>
      <w:r w:rsidRPr="00DD18B3">
        <w:t xml:space="preserve">able </w:t>
      </w:r>
      <w:r w:rsidR="00BE71D4">
        <w:fldChar w:fldCharType="begin"/>
      </w:r>
      <w:r w:rsidR="00BE71D4">
        <w:instrText xml:space="preserve"> SEQ Table \* ARABIC </w:instrText>
      </w:r>
      <w:r w:rsidR="00BE71D4">
        <w:fldChar w:fldCharType="separate"/>
      </w:r>
      <w:r w:rsidR="00180E14">
        <w:rPr>
          <w:noProof/>
        </w:rPr>
        <w:t>11</w:t>
      </w:r>
      <w:r w:rsidR="00BE71D4">
        <w:rPr>
          <w:noProof/>
        </w:rPr>
        <w:fldChar w:fldCharType="end"/>
      </w:r>
      <w:bookmarkEnd w:id="2589"/>
      <w:r>
        <w:t xml:space="preserve">: </w:t>
      </w:r>
      <w:r w:rsidRPr="00D22D95">
        <w:t>Average change</w:t>
      </w:r>
      <w:r w:rsidRPr="00384933">
        <w:rPr>
          <w:vertAlign w:val="superscript"/>
        </w:rPr>
        <w:t>1</w:t>
      </w:r>
      <w:r w:rsidRPr="00D22D95">
        <w:t xml:space="preserve"> in probability of exiting income support in TtW compared to jobactive, by period after commencement</w:t>
      </w:r>
      <w:bookmarkEnd w:id="2590"/>
      <w:bookmarkEnd w:id="2591"/>
    </w:p>
    <w:tbl>
      <w:tblPr>
        <w:tblStyle w:val="TtWReportTableTemplate2"/>
        <w:tblW w:w="0" w:type="auto"/>
        <w:tblLook w:val="04A0" w:firstRow="1" w:lastRow="0" w:firstColumn="1" w:lastColumn="0" w:noHBand="0" w:noVBand="1"/>
      </w:tblPr>
      <w:tblGrid>
        <w:gridCol w:w="2694"/>
        <w:gridCol w:w="4394"/>
      </w:tblGrid>
      <w:tr w:rsidR="003F3CFA" w:rsidRPr="00121B06" w14:paraId="38C3A265" w14:textId="77777777" w:rsidTr="00046630">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5D7A38"/>
            <w:noWrap/>
            <w:vAlign w:val="center"/>
            <w:hideMark/>
          </w:tcPr>
          <w:p w14:paraId="6A671BE1" w14:textId="77777777" w:rsidR="00555083" w:rsidRPr="000E2CC8" w:rsidRDefault="00555083" w:rsidP="009251AF">
            <w:pPr>
              <w:keepNext/>
              <w:keepLines/>
              <w:spacing w:after="0" w:line="25" w:lineRule="atLeast"/>
              <w:jc w:val="center"/>
              <w:rPr>
                <w:rFonts w:asciiTheme="minorHAnsi" w:hAnsiTheme="minorHAnsi" w:cstheme="minorHAnsi"/>
                <w:szCs w:val="20"/>
              </w:rPr>
            </w:pPr>
            <w:r w:rsidRPr="000E2CC8">
              <w:rPr>
                <w:rFonts w:cstheme="minorHAnsi"/>
                <w:szCs w:val="20"/>
              </w:rPr>
              <w:t xml:space="preserve">Period after </w:t>
            </w:r>
            <w:r>
              <w:rPr>
                <w:rFonts w:cstheme="minorHAnsi"/>
                <w:szCs w:val="20"/>
              </w:rPr>
              <w:t>commencement</w:t>
            </w:r>
            <w:r w:rsidR="00BE6BC2">
              <w:rPr>
                <w:rFonts w:cstheme="minorHAnsi"/>
                <w:szCs w:val="20"/>
              </w:rPr>
              <w:t xml:space="preserve"> </w:t>
            </w:r>
            <w:r w:rsidR="002D2096">
              <w:rPr>
                <w:rFonts w:cstheme="minorHAnsi"/>
                <w:szCs w:val="20"/>
              </w:rPr>
              <w:t>(months)</w:t>
            </w:r>
          </w:p>
        </w:tc>
        <w:tc>
          <w:tcPr>
            <w:tcW w:w="4394" w:type="dxa"/>
            <w:shd w:val="clear" w:color="auto" w:fill="5D7A38"/>
            <w:vAlign w:val="center"/>
            <w:hideMark/>
          </w:tcPr>
          <w:p w14:paraId="10A583F2" w14:textId="77777777" w:rsidR="00555083" w:rsidRPr="000E2CC8" w:rsidRDefault="00555083" w:rsidP="009251AF">
            <w:pPr>
              <w:keepNext/>
              <w:keepLines/>
              <w:spacing w:after="0" w:line="25"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E2CC8">
              <w:rPr>
                <w:rFonts w:cstheme="minorHAnsi"/>
                <w:szCs w:val="20"/>
              </w:rPr>
              <w:t xml:space="preserve">Average change in probability of </w:t>
            </w:r>
            <w:r>
              <w:rPr>
                <w:rFonts w:cstheme="minorHAnsi"/>
                <w:szCs w:val="20"/>
              </w:rPr>
              <w:t xml:space="preserve">exiting income support </w:t>
            </w:r>
            <w:r w:rsidRPr="000E2CC8">
              <w:rPr>
                <w:rFonts w:cstheme="minorHAnsi"/>
                <w:szCs w:val="20"/>
              </w:rPr>
              <w:t>in TtW compared to jobactive</w:t>
            </w:r>
            <w:r w:rsidRPr="000E2CC8">
              <w:rPr>
                <w:rFonts w:cstheme="minorHAnsi"/>
                <w:szCs w:val="20"/>
                <w:vertAlign w:val="superscript"/>
              </w:rPr>
              <w:t>2</w:t>
            </w:r>
            <w:r w:rsidR="00BE6BC2">
              <w:rPr>
                <w:rFonts w:cstheme="minorHAnsi"/>
                <w:szCs w:val="20"/>
              </w:rPr>
              <w:t xml:space="preserve"> (percentage points)</w:t>
            </w:r>
          </w:p>
        </w:tc>
      </w:tr>
      <w:tr w:rsidR="00555083" w:rsidRPr="00121B06" w14:paraId="117C034B"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E8669EF" w14:textId="77777777" w:rsidR="00555083" w:rsidRPr="00ED6857" w:rsidRDefault="00555083" w:rsidP="009251AF">
            <w:pPr>
              <w:keepNext/>
              <w:keepLines/>
              <w:spacing w:after="0" w:line="25" w:lineRule="atLeast"/>
              <w:jc w:val="center"/>
              <w:rPr>
                <w:rFonts w:cstheme="minorHAnsi"/>
                <w:b w:val="0"/>
                <w:bCs/>
                <w:szCs w:val="20"/>
              </w:rPr>
            </w:pPr>
            <w:r>
              <w:rPr>
                <w:rFonts w:cstheme="minorHAnsi"/>
                <w:bCs/>
                <w:szCs w:val="20"/>
              </w:rPr>
              <w:t>6</w:t>
            </w:r>
          </w:p>
        </w:tc>
        <w:tc>
          <w:tcPr>
            <w:tcW w:w="4394" w:type="dxa"/>
            <w:noWrap/>
          </w:tcPr>
          <w:p w14:paraId="359ADF79" w14:textId="77777777" w:rsidR="00555083" w:rsidRPr="00184F3E" w:rsidRDefault="00555083" w:rsidP="009251AF">
            <w:pPr>
              <w:keepNext/>
              <w:keepLines/>
              <w:spacing w:after="0"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-5.2</w:t>
            </w:r>
          </w:p>
        </w:tc>
      </w:tr>
      <w:tr w:rsidR="00555083" w:rsidRPr="00121B06" w14:paraId="64AF61C0"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D972205" w14:textId="77777777" w:rsidR="00555083" w:rsidRPr="00ED6857" w:rsidRDefault="00555083" w:rsidP="009251AF">
            <w:pPr>
              <w:keepNext/>
              <w:keepLines/>
              <w:spacing w:after="0" w:line="25" w:lineRule="atLeast"/>
              <w:jc w:val="center"/>
              <w:rPr>
                <w:rFonts w:cstheme="minorHAnsi"/>
                <w:b w:val="0"/>
                <w:bCs/>
                <w:szCs w:val="20"/>
              </w:rPr>
            </w:pPr>
            <w:r>
              <w:rPr>
                <w:rFonts w:cstheme="minorHAnsi"/>
                <w:bCs/>
                <w:szCs w:val="20"/>
              </w:rPr>
              <w:t xml:space="preserve">12 </w:t>
            </w:r>
          </w:p>
        </w:tc>
        <w:tc>
          <w:tcPr>
            <w:tcW w:w="4394" w:type="dxa"/>
            <w:noWrap/>
          </w:tcPr>
          <w:p w14:paraId="0A01087D" w14:textId="77777777" w:rsidR="00555083" w:rsidRPr="00184F3E" w:rsidRDefault="00555083" w:rsidP="009251AF">
            <w:pPr>
              <w:keepNext/>
              <w:keepLines/>
              <w:spacing w:after="0"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-3.7</w:t>
            </w:r>
          </w:p>
        </w:tc>
      </w:tr>
      <w:tr w:rsidR="00555083" w:rsidRPr="00121B06" w14:paraId="68CDB36F"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745E163" w14:textId="77777777" w:rsidR="00555083" w:rsidRPr="00ED6857" w:rsidRDefault="00555083" w:rsidP="009251AF">
            <w:pPr>
              <w:keepNext/>
              <w:keepLines/>
              <w:spacing w:after="0" w:line="25" w:lineRule="atLeast"/>
              <w:jc w:val="center"/>
              <w:rPr>
                <w:rFonts w:cstheme="minorHAnsi"/>
                <w:b w:val="0"/>
                <w:bCs/>
                <w:szCs w:val="20"/>
              </w:rPr>
            </w:pPr>
            <w:r>
              <w:rPr>
                <w:rFonts w:cstheme="minorHAnsi"/>
                <w:bCs/>
                <w:szCs w:val="20"/>
              </w:rPr>
              <w:t>24</w:t>
            </w:r>
          </w:p>
        </w:tc>
        <w:tc>
          <w:tcPr>
            <w:tcW w:w="4394" w:type="dxa"/>
            <w:noWrap/>
          </w:tcPr>
          <w:p w14:paraId="0EE45641" w14:textId="77777777" w:rsidR="00555083" w:rsidRPr="00184F3E" w:rsidRDefault="00555083" w:rsidP="009251AF">
            <w:pPr>
              <w:keepNext/>
              <w:keepLines/>
              <w:spacing w:after="0"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-1.7</w:t>
            </w:r>
          </w:p>
        </w:tc>
      </w:tr>
      <w:tr w:rsidR="00555083" w:rsidRPr="00121B06" w14:paraId="363ACAD0"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36698F87" w14:textId="77777777" w:rsidR="00555083" w:rsidRDefault="00555083" w:rsidP="009251AF">
            <w:pPr>
              <w:keepNext/>
              <w:keepLines/>
              <w:spacing w:after="0" w:line="25" w:lineRule="atLeast"/>
              <w:jc w:val="center"/>
              <w:rPr>
                <w:rFonts w:cstheme="minorHAnsi"/>
                <w:bCs/>
                <w:szCs w:val="20"/>
              </w:rPr>
            </w:pPr>
            <w:r>
              <w:rPr>
                <w:rFonts w:cstheme="minorHAnsi"/>
                <w:bCs/>
                <w:szCs w:val="20"/>
              </w:rPr>
              <w:t>36</w:t>
            </w:r>
          </w:p>
        </w:tc>
        <w:tc>
          <w:tcPr>
            <w:tcW w:w="4394" w:type="dxa"/>
            <w:noWrap/>
          </w:tcPr>
          <w:p w14:paraId="0AB3FE98" w14:textId="77777777" w:rsidR="00555083" w:rsidRDefault="00555083" w:rsidP="009251AF">
            <w:pPr>
              <w:keepNext/>
              <w:keepLines/>
              <w:spacing w:after="0"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Not significant</w:t>
            </w:r>
          </w:p>
        </w:tc>
      </w:tr>
      <w:tr w:rsidR="00555083" w:rsidRPr="00121B06" w14:paraId="33D25A74"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08834CE1" w14:textId="77777777" w:rsidR="00555083" w:rsidRDefault="00555083" w:rsidP="009251AF">
            <w:pPr>
              <w:keepNext/>
              <w:keepLines/>
              <w:spacing w:after="0" w:line="25" w:lineRule="atLeast"/>
              <w:jc w:val="center"/>
              <w:rPr>
                <w:rFonts w:cstheme="minorHAnsi"/>
                <w:bCs/>
                <w:szCs w:val="20"/>
              </w:rPr>
            </w:pPr>
            <w:r>
              <w:rPr>
                <w:rFonts w:cstheme="minorHAnsi"/>
                <w:bCs/>
                <w:szCs w:val="20"/>
              </w:rPr>
              <w:t>48</w:t>
            </w:r>
          </w:p>
        </w:tc>
        <w:tc>
          <w:tcPr>
            <w:tcW w:w="4394" w:type="dxa"/>
            <w:noWrap/>
          </w:tcPr>
          <w:p w14:paraId="302919DF" w14:textId="77777777" w:rsidR="00555083" w:rsidRDefault="00555083" w:rsidP="009251AF">
            <w:pPr>
              <w:keepNext/>
              <w:keepLines/>
              <w:spacing w:after="0"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Not significant</w:t>
            </w:r>
          </w:p>
        </w:tc>
      </w:tr>
    </w:tbl>
    <w:p w14:paraId="27E4D0D6" w14:textId="67DAF922" w:rsidR="00555083" w:rsidRPr="00206D87" w:rsidRDefault="00555083" w:rsidP="00C239FD">
      <w:pPr>
        <w:pStyle w:val="SourceandNotes"/>
      </w:pPr>
      <w:r w:rsidRPr="00206D87">
        <w:t xml:space="preserve">Base: Matched samples, excluding those with </w:t>
      </w:r>
      <w:r>
        <w:t xml:space="preserve">one or more regression model variable with a value of </w:t>
      </w:r>
      <w:r w:rsidR="00F8391B">
        <w:t>‘</w:t>
      </w:r>
      <w:r>
        <w:t>Unknown</w:t>
      </w:r>
      <w:r w:rsidR="00F8391B">
        <w:t>’</w:t>
      </w:r>
      <w:r>
        <w:t xml:space="preserve"> </w:t>
      </w:r>
      <w:r w:rsidRPr="00206D87">
        <w:t>(TtW: n=8</w:t>
      </w:r>
      <w:r w:rsidR="006C5F71">
        <w:t>,</w:t>
      </w:r>
      <w:r w:rsidRPr="00206D87">
        <w:t>148</w:t>
      </w:r>
      <w:r w:rsidR="00326E74">
        <w:t>;</w:t>
      </w:r>
      <w:r w:rsidRPr="00206D87">
        <w:t xml:space="preserve"> jobactive: n=8</w:t>
      </w:r>
      <w:r w:rsidR="006C5F71">
        <w:t>,</w:t>
      </w:r>
      <w:r w:rsidRPr="00206D87">
        <w:t>130)</w:t>
      </w:r>
    </w:p>
    <w:p w14:paraId="59684157" w14:textId="16E534EF" w:rsidR="00F8391B" w:rsidRDefault="00555083" w:rsidP="00C239FD">
      <w:pPr>
        <w:pStyle w:val="SourceandNotes"/>
      </w:pPr>
      <w:r w:rsidRPr="00C239FD">
        <w:t>1</w:t>
      </w:r>
      <w:r w:rsidRPr="001A5EC7">
        <w:t>.</w:t>
      </w:r>
      <w:r>
        <w:t xml:space="preserve"> </w:t>
      </w:r>
      <w:r w:rsidRPr="00206D87">
        <w:t xml:space="preserve">The </w:t>
      </w:r>
      <w:r w:rsidR="00F8391B">
        <w:t>‘</w:t>
      </w:r>
      <w:r w:rsidRPr="00206D87">
        <w:t>average change</w:t>
      </w:r>
      <w:r w:rsidR="00F8391B">
        <w:t>’</w:t>
      </w:r>
      <w:r w:rsidRPr="00206D87">
        <w:t xml:space="preserve"> is the difference in probability of the average participant exiting income support in TtW compared to jobactive, adjusted for participant characteristics – that is, the </w:t>
      </w:r>
      <w:r w:rsidR="00F8391B">
        <w:t>‘</w:t>
      </w:r>
      <w:r w:rsidRPr="00206D87">
        <w:t>average marginal effect</w:t>
      </w:r>
      <w:r w:rsidR="00F8391B">
        <w:t>’</w:t>
      </w:r>
      <w:r w:rsidRPr="00206D87">
        <w:t xml:space="preserve"> of TtW compared to jobactive.</w:t>
      </w:r>
    </w:p>
    <w:p w14:paraId="39A31549" w14:textId="509371C2" w:rsidR="00FF02B4" w:rsidRPr="001431BC" w:rsidRDefault="00555083" w:rsidP="00C239FD">
      <w:pPr>
        <w:pStyle w:val="SourceandNotes"/>
      </w:pPr>
      <w:r w:rsidRPr="00C239FD">
        <w:t>2</w:t>
      </w:r>
      <w:r w:rsidRPr="001A5EC7">
        <w:t>.</w:t>
      </w:r>
      <w:r>
        <w:t xml:space="preserve"> Exits from income support only included those which were for </w:t>
      </w:r>
      <w:r w:rsidR="00F8391B">
        <w:t>‘</w:t>
      </w:r>
      <w:r>
        <w:t>employment</w:t>
      </w:r>
      <w:r w:rsidR="00907E94">
        <w:t>-</w:t>
      </w:r>
      <w:r>
        <w:t>related</w:t>
      </w:r>
      <w:r w:rsidR="00F8391B">
        <w:t>’</w:t>
      </w:r>
      <w:r>
        <w:t xml:space="preserve"> reasons.</w:t>
      </w:r>
      <w:bookmarkEnd w:id="2592"/>
    </w:p>
    <w:p w14:paraId="7FAE0E38" w14:textId="437FFB30" w:rsidR="00D04B6A" w:rsidRDefault="00D27A8D" w:rsidP="00D04B6A">
      <w:r>
        <w:t xml:space="preserve">While there is no data available on the types of work TtW participants exit into, analysis of administrative data showed that approximately 70% of jobactive participants </w:t>
      </w:r>
      <w:r w:rsidR="00270721">
        <w:t xml:space="preserve">(of any age) </w:t>
      </w:r>
      <w:r>
        <w:t>who gain employment are employed in casual positions</w:t>
      </w:r>
      <w:r w:rsidR="00BA693D">
        <w:t xml:space="preserve"> (</w:t>
      </w:r>
      <w:r w:rsidR="00270721">
        <w:t xml:space="preserve">with approximately </w:t>
      </w:r>
      <w:r>
        <w:t>20% gain</w:t>
      </w:r>
      <w:r w:rsidR="00270721">
        <w:t>ing</w:t>
      </w:r>
      <w:r>
        <w:t xml:space="preserve"> full</w:t>
      </w:r>
      <w:r w:rsidR="002707A9">
        <w:t>-</w:t>
      </w:r>
      <w:r>
        <w:t>time positions and 10% gain</w:t>
      </w:r>
      <w:r w:rsidR="00270721">
        <w:t>ing</w:t>
      </w:r>
      <w:r>
        <w:t xml:space="preserve"> part</w:t>
      </w:r>
      <w:r w:rsidR="002707A9">
        <w:t>-</w:t>
      </w:r>
      <w:r>
        <w:t>time positions</w:t>
      </w:r>
      <w:r w:rsidR="00270721">
        <w:t>)</w:t>
      </w:r>
      <w:r>
        <w:t xml:space="preserve">. </w:t>
      </w:r>
      <w:r w:rsidR="00270721">
        <w:t xml:space="preserve">This goes some way to explaining why only 40% of participants from either TtW or </w:t>
      </w:r>
      <w:r w:rsidR="00675D5E">
        <w:t>the comparison group</w:t>
      </w:r>
      <w:r w:rsidR="00270721">
        <w:t xml:space="preserve"> are off income support at month 36, as they are mainly employed in casual positions which </w:t>
      </w:r>
      <w:r w:rsidR="00722895">
        <w:t>may</w:t>
      </w:r>
      <w:r w:rsidR="00270721">
        <w:t xml:space="preserve"> be unstable, </w:t>
      </w:r>
      <w:r w:rsidR="00344D0E">
        <w:t xml:space="preserve">with </w:t>
      </w:r>
      <w:r w:rsidR="00270721">
        <w:t xml:space="preserve">inadequate pay or hours to </w:t>
      </w:r>
      <w:r w:rsidR="000F47D0">
        <w:t xml:space="preserve">enable </w:t>
      </w:r>
      <w:r w:rsidR="00270721">
        <w:t xml:space="preserve">them to earn </w:t>
      </w:r>
      <w:r w:rsidR="005445EE">
        <w:t>enough to</w:t>
      </w:r>
      <w:r w:rsidR="00270721">
        <w:t xml:space="preserve"> completely exit income support.</w:t>
      </w:r>
    </w:p>
    <w:p w14:paraId="4DE024F3" w14:textId="1FD446DE" w:rsidR="00C60CC0" w:rsidRDefault="00C60CC0" w:rsidP="00C60CC0">
      <w:r>
        <w:t xml:space="preserve">The </w:t>
      </w:r>
      <w:r w:rsidR="008A3A5B">
        <w:t xml:space="preserve">initial </w:t>
      </w:r>
      <w:r>
        <w:t xml:space="preserve">difference in employment reflects the different focus and services </w:t>
      </w:r>
      <w:r w:rsidRPr="00484450">
        <w:t xml:space="preserve">provided by TtW and jobactive. TtW has an intensive focus on supporting participation in activities that build employment readiness and address barriers to employment, </w:t>
      </w:r>
      <w:r w:rsidR="00F016F8">
        <w:t xml:space="preserve">in contrast to the strong </w:t>
      </w:r>
      <w:r w:rsidR="00F8391B">
        <w:t>‘</w:t>
      </w:r>
      <w:r w:rsidR="00F016F8">
        <w:t>work first</w:t>
      </w:r>
      <w:r w:rsidR="00F8391B">
        <w:t>’</w:t>
      </w:r>
      <w:r w:rsidR="00F016F8">
        <w:t xml:space="preserve"> focus of jobactive</w:t>
      </w:r>
      <w:r w:rsidRPr="00484450">
        <w:t xml:space="preserve">. This is likely to encourage both </w:t>
      </w:r>
      <w:r w:rsidR="00F016F8">
        <w:t xml:space="preserve">TtW </w:t>
      </w:r>
      <w:r w:rsidRPr="00484450">
        <w:t xml:space="preserve">providers and </w:t>
      </w:r>
      <w:r w:rsidR="006C5F71">
        <w:t xml:space="preserve">TtW </w:t>
      </w:r>
      <w:r w:rsidRPr="00484450">
        <w:t xml:space="preserve">participants to focus on a range of activities, </w:t>
      </w:r>
      <w:r w:rsidR="00F016F8">
        <w:t>along with</w:t>
      </w:r>
      <w:r w:rsidRPr="00484450">
        <w:t xml:space="preserve"> employment</w:t>
      </w:r>
      <w:r w:rsidR="00F016F8">
        <w:t>-related activities</w:t>
      </w:r>
      <w:r w:rsidRPr="00484450">
        <w:t>. This could also reduce the time participants have available for searching for and undertaking employment activities</w:t>
      </w:r>
      <w:r>
        <w:t>.</w:t>
      </w:r>
    </w:p>
    <w:p w14:paraId="2AF65EB6" w14:textId="2DAF71BD" w:rsidR="00C60CC0" w:rsidRDefault="00C60CC0" w:rsidP="00C60CC0">
      <w:r>
        <w:t>A comment from a Group 1 participant</w:t>
      </w:r>
      <w:r w:rsidR="006054D5">
        <w:t xml:space="preserve"> in interviews</w:t>
      </w:r>
      <w:r>
        <w:t xml:space="preserve"> reflects this focus:</w:t>
      </w:r>
    </w:p>
    <w:p w14:paraId="489C3D30" w14:textId="42EB30E9" w:rsidR="00C60CC0" w:rsidRDefault="00C60CC0" w:rsidP="00C60CC0">
      <w:pPr>
        <w:pStyle w:val="Quote"/>
      </w:pPr>
      <w:r>
        <w:t>I</w:t>
      </w:r>
      <w:r w:rsidR="00F8391B">
        <w:t>’</w:t>
      </w:r>
      <w:r>
        <w:t>d tell them, like if you need the help, go for it, … there</w:t>
      </w:r>
      <w:r w:rsidR="00F8391B">
        <w:t>’</w:t>
      </w:r>
      <w:r>
        <w:t>s a service [TtW] there for you that can, …, they can help you write resumes, they can do like sort of trial things and give me scenarios and things like that in a job interview. If you</w:t>
      </w:r>
      <w:r w:rsidR="00F8391B">
        <w:t>’</w:t>
      </w:r>
      <w:r>
        <w:t>re struggling with that, of course go and speak to them. But if you</w:t>
      </w:r>
      <w:r w:rsidR="00F8391B">
        <w:t>’</w:t>
      </w:r>
      <w:r>
        <w:t xml:space="preserve">re looking to try and get a job, … probably not the best place to go. (Participant, NSW </w:t>
      </w:r>
      <w:r w:rsidR="00ED248D">
        <w:t>m</w:t>
      </w:r>
      <w:r>
        <w:t>etro Aboriginal and/or Torres Strait Islander, Group 1)</w:t>
      </w:r>
    </w:p>
    <w:p w14:paraId="2CE448CF" w14:textId="65CD737B" w:rsidR="00C60CC0" w:rsidRDefault="599C4BBB" w:rsidP="00C60CC0">
      <w:r>
        <w:t xml:space="preserve">The </w:t>
      </w:r>
      <w:r w:rsidR="000F47D0">
        <w:t xml:space="preserve">TtW </w:t>
      </w:r>
      <w:r>
        <w:t>Final Evaluation Report (</w:t>
      </w:r>
      <w:r w:rsidR="00CE0CBD">
        <w:rPr>
          <w:b/>
          <w:bCs/>
        </w:rPr>
        <w:t>DESE 2021</w:t>
      </w:r>
      <w:r>
        <w:t xml:space="preserve">) proposed that this focus on pre-employment and training was likely to enhance the employability of </w:t>
      </w:r>
      <w:r w:rsidR="006D013D">
        <w:t xml:space="preserve">participants </w:t>
      </w:r>
      <w:r>
        <w:t xml:space="preserve">in </w:t>
      </w:r>
      <w:r w:rsidR="009E4B68">
        <w:t>the longer term</w:t>
      </w:r>
      <w:r>
        <w:t xml:space="preserve">. This is not yet evident </w:t>
      </w:r>
      <w:r w:rsidR="00BE6BC2">
        <w:t xml:space="preserve">3 </w:t>
      </w:r>
      <w:r>
        <w:t xml:space="preserve">and </w:t>
      </w:r>
      <w:r w:rsidR="00BE6BC2">
        <w:t xml:space="preserve">4 </w:t>
      </w:r>
      <w:r>
        <w:t xml:space="preserve">years after commencement. While we do not yet see any marked difference in the proportion of participants who </w:t>
      </w:r>
      <w:r w:rsidR="668B477E">
        <w:t>are employed</w:t>
      </w:r>
      <w:r w:rsidR="55D4B018">
        <w:t xml:space="preserve"> at 36 or 48</w:t>
      </w:r>
      <w:r>
        <w:t xml:space="preserve"> months, it is possible that individuals are undertaking work that requires more skills or participants are engaging in work that they are more suited to or happier with (with better </w:t>
      </w:r>
      <w:r w:rsidR="006150C6">
        <w:t>long-term</w:t>
      </w:r>
      <w:r>
        <w:t xml:space="preserve"> health and wellbeing outcomes). There is </w:t>
      </w:r>
      <w:r w:rsidR="55D4B018">
        <w:t xml:space="preserve">also </w:t>
      </w:r>
      <w:r>
        <w:t xml:space="preserve">evidence that the barriers faced by many young people who participate in TtW are significant, require a tailored approach and take time to manage. </w:t>
      </w:r>
      <w:r w:rsidR="437F956A">
        <w:t>All</w:t>
      </w:r>
      <w:r>
        <w:t xml:space="preserve"> providers </w:t>
      </w:r>
      <w:r w:rsidR="437F956A">
        <w:t xml:space="preserve">in interviews </w:t>
      </w:r>
      <w:r>
        <w:t xml:space="preserve">spoke about the </w:t>
      </w:r>
      <w:r w:rsidR="006150C6">
        <w:lastRenderedPageBreak/>
        <w:t>long-term</w:t>
      </w:r>
      <w:r w:rsidR="437F956A">
        <w:t xml:space="preserve"> </w:t>
      </w:r>
      <w:r>
        <w:t xml:space="preserve">process involved in supporting a participant with a number of non-vocational barriers </w:t>
      </w:r>
      <w:r w:rsidR="437F956A">
        <w:t>to move into work</w:t>
      </w:r>
      <w:r w:rsidR="39C949D3">
        <w:t xml:space="preserve"> </w:t>
      </w:r>
      <w:r>
        <w:t>– one such example is provided below.</w:t>
      </w:r>
    </w:p>
    <w:p w14:paraId="4CC9F607" w14:textId="7DF252D8" w:rsidR="00C60CC0" w:rsidRPr="0052097D" w:rsidRDefault="00C60CC0" w:rsidP="00C60CC0">
      <w:pPr>
        <w:pStyle w:val="Quote"/>
      </w:pPr>
      <w:r>
        <w:t>So, he was living in his car, using a Kmart stovetop for cooking. We helped him with getting food and support from the local communities in the local area, because again, you</w:t>
      </w:r>
      <w:r w:rsidR="00F8391B">
        <w:t>’</w:t>
      </w:r>
      <w:r>
        <w:t>d understand the homeless crisis is quite bad everywhere at the moment</w:t>
      </w:r>
      <w:r w:rsidR="006D013D">
        <w:t>.</w:t>
      </w:r>
      <w:r>
        <w:t xml:space="preserve"> […]. So, linking him in with all the support services in that local area. After many weeks, he was able to get accommodation, which we helped with. [… we paid for the car and registration …] We</w:t>
      </w:r>
      <w:r w:rsidR="00F8391B">
        <w:t>’</w:t>
      </w:r>
      <w:r>
        <w:t>re helping to support him, we</w:t>
      </w:r>
      <w:r w:rsidR="00F8391B">
        <w:t>’</w:t>
      </w:r>
      <w:r>
        <w:t>re not talking [yet] about anything employment or education. We … gave him an aim to get off the streets and be fully supported by Christmas. Does that make sense? That all happened, so great, he was stable. So, he was excited to keep coming in and telling us all this stuff. And staff were able to talk to him then about, great, let</w:t>
      </w:r>
      <w:r w:rsidR="00F8391B">
        <w:t>’</w:t>
      </w:r>
      <w:r>
        <w:t>s talk about getting you a job. Imagine what you could do. So [we] talked to local [employers about him], an employer gave him a go and boom. Got a job. So that</w:t>
      </w:r>
      <w:r w:rsidR="00F8391B">
        <w:t>’</w:t>
      </w:r>
      <w:r>
        <w:t>s the kind of stuff that we do. (Provider, regional Qld, large size)</w:t>
      </w:r>
    </w:p>
    <w:p w14:paraId="7AF059A9" w14:textId="78D5143F" w:rsidR="00C60CC0" w:rsidRDefault="00F016F8" w:rsidP="00C60CC0">
      <w:pPr>
        <w:rPr>
          <w:rFonts w:eastAsia="Calibri" w:cstheme="minorHAnsi"/>
        </w:rPr>
      </w:pPr>
      <w:r>
        <w:rPr>
          <w:rFonts w:eastAsia="Calibri" w:cstheme="minorHAnsi"/>
        </w:rPr>
        <w:t xml:space="preserve">Participant program status was also examined. </w:t>
      </w:r>
      <w:r w:rsidR="00BF51D2">
        <w:rPr>
          <w:rFonts w:eastAsia="Calibri" w:cstheme="minorHAnsi"/>
        </w:rPr>
        <w:t>At the</w:t>
      </w:r>
      <w:r w:rsidR="00BF51D2" w:rsidRPr="001431BC">
        <w:rPr>
          <w:rFonts w:eastAsia="Calibri" w:cstheme="minorHAnsi"/>
        </w:rPr>
        <w:t xml:space="preserve"> </w:t>
      </w:r>
      <w:r w:rsidR="00C60CC0" w:rsidRPr="001431BC">
        <w:rPr>
          <w:rFonts w:eastAsia="Calibri" w:cstheme="minorHAnsi"/>
        </w:rPr>
        <w:t>12</w:t>
      </w:r>
      <w:r w:rsidR="006C5F71">
        <w:rPr>
          <w:rFonts w:eastAsia="Calibri" w:cstheme="minorHAnsi"/>
        </w:rPr>
        <w:t>-</w:t>
      </w:r>
      <w:r w:rsidR="00C60CC0" w:rsidRPr="001431BC">
        <w:rPr>
          <w:rFonts w:eastAsia="Calibri" w:cstheme="minorHAnsi"/>
        </w:rPr>
        <w:t>month</w:t>
      </w:r>
      <w:r w:rsidR="00BF51D2">
        <w:rPr>
          <w:rFonts w:eastAsia="Calibri" w:cstheme="minorHAnsi"/>
        </w:rPr>
        <w:t xml:space="preserve"> mark,</w:t>
      </w:r>
      <w:r w:rsidR="00C60CC0" w:rsidRPr="001431BC">
        <w:rPr>
          <w:rFonts w:eastAsia="Calibri" w:cstheme="minorHAnsi"/>
        </w:rPr>
        <w:t xml:space="preserve"> only 32% of the TtW participants remain</w:t>
      </w:r>
      <w:r w:rsidR="00775E2E">
        <w:rPr>
          <w:rFonts w:eastAsia="Calibri" w:cstheme="minorHAnsi"/>
        </w:rPr>
        <w:t>ed</w:t>
      </w:r>
      <w:r w:rsidR="00C60CC0" w:rsidRPr="001431BC">
        <w:rPr>
          <w:rFonts w:eastAsia="Calibri" w:cstheme="minorHAnsi"/>
        </w:rPr>
        <w:t xml:space="preserve"> in TtW, and </w:t>
      </w:r>
      <w:r w:rsidR="00BF51D2">
        <w:rPr>
          <w:rFonts w:eastAsia="Calibri" w:cstheme="minorHAnsi"/>
        </w:rPr>
        <w:t>at the</w:t>
      </w:r>
      <w:r w:rsidR="00BF51D2" w:rsidRPr="001431BC">
        <w:rPr>
          <w:rFonts w:eastAsia="Calibri" w:cstheme="minorHAnsi"/>
        </w:rPr>
        <w:t xml:space="preserve"> </w:t>
      </w:r>
      <w:r w:rsidR="00C60CC0" w:rsidRPr="001431BC">
        <w:rPr>
          <w:rFonts w:eastAsia="Calibri" w:cstheme="minorHAnsi"/>
        </w:rPr>
        <w:t>24</w:t>
      </w:r>
      <w:r w:rsidR="006C5F71">
        <w:rPr>
          <w:rFonts w:eastAsia="Calibri" w:cstheme="minorHAnsi"/>
        </w:rPr>
        <w:t>-</w:t>
      </w:r>
      <w:r w:rsidR="00C60CC0" w:rsidRPr="001431BC">
        <w:rPr>
          <w:rFonts w:eastAsia="Calibri" w:cstheme="minorHAnsi"/>
        </w:rPr>
        <w:t>month</w:t>
      </w:r>
      <w:r w:rsidR="00BF51D2">
        <w:rPr>
          <w:rFonts w:eastAsia="Calibri" w:cstheme="minorHAnsi"/>
        </w:rPr>
        <w:t xml:space="preserve"> mark</w:t>
      </w:r>
      <w:r w:rsidR="00C60CC0" w:rsidRPr="001431BC">
        <w:rPr>
          <w:rFonts w:eastAsia="Calibri" w:cstheme="minorHAnsi"/>
        </w:rPr>
        <w:t xml:space="preserve"> only 5% remain</w:t>
      </w:r>
      <w:r w:rsidR="00775E2E">
        <w:rPr>
          <w:rFonts w:eastAsia="Calibri" w:cstheme="minorHAnsi"/>
        </w:rPr>
        <w:t>ed</w:t>
      </w:r>
      <w:r w:rsidR="00B8310E" w:rsidRPr="001431BC">
        <w:rPr>
          <w:rFonts w:eastAsia="Calibri" w:cstheme="minorHAnsi"/>
        </w:rPr>
        <w:t xml:space="preserve"> </w:t>
      </w:r>
      <w:r w:rsidR="00B8310E" w:rsidRPr="004A440A">
        <w:rPr>
          <w:rFonts w:eastAsia="Calibri" w:cstheme="minorHAnsi"/>
        </w:rPr>
        <w:t>(</w:t>
      </w:r>
      <w:r w:rsidR="009A495B" w:rsidRPr="009A495B">
        <w:rPr>
          <w:rFonts w:eastAsia="Calibri" w:cstheme="minorHAnsi"/>
          <w:b/>
          <w:bCs/>
        </w:rPr>
        <w:fldChar w:fldCharType="begin"/>
      </w:r>
      <w:r w:rsidR="009A495B" w:rsidRPr="009A495B">
        <w:rPr>
          <w:rFonts w:eastAsia="Calibri" w:cstheme="minorHAnsi"/>
          <w:b/>
          <w:bCs/>
        </w:rPr>
        <w:instrText xml:space="preserve"> REF _Ref110961751 \h  \* MERGEFORMAT </w:instrText>
      </w:r>
      <w:r w:rsidR="009A495B" w:rsidRPr="009A495B">
        <w:rPr>
          <w:rFonts w:eastAsia="Calibri" w:cstheme="minorHAnsi"/>
          <w:b/>
          <w:bCs/>
        </w:rPr>
      </w:r>
      <w:r w:rsidR="009A495B" w:rsidRPr="009A495B">
        <w:rPr>
          <w:rFonts w:eastAsia="Calibri" w:cstheme="minorHAnsi"/>
          <w:b/>
          <w:bCs/>
        </w:rPr>
        <w:fldChar w:fldCharType="separate"/>
      </w:r>
      <w:r w:rsidR="00180E14" w:rsidRPr="00180E14">
        <w:rPr>
          <w:b/>
          <w:bCs/>
        </w:rPr>
        <w:t xml:space="preserve">Figure </w:t>
      </w:r>
      <w:r w:rsidR="00180E14" w:rsidRPr="00180E14">
        <w:rPr>
          <w:b/>
          <w:bCs/>
          <w:noProof/>
        </w:rPr>
        <w:t>27</w:t>
      </w:r>
      <w:r w:rsidR="009A495B" w:rsidRPr="009A495B">
        <w:rPr>
          <w:rFonts w:eastAsia="Calibri" w:cstheme="minorHAnsi"/>
          <w:b/>
          <w:bCs/>
        </w:rPr>
        <w:fldChar w:fldCharType="end"/>
      </w:r>
      <w:r w:rsidR="00B8310E" w:rsidRPr="001431BC">
        <w:rPr>
          <w:rFonts w:eastAsia="Calibri" w:cstheme="minorHAnsi"/>
        </w:rPr>
        <w:t>)</w:t>
      </w:r>
      <w:r w:rsidR="00C60CC0" w:rsidRPr="001431BC">
        <w:rPr>
          <w:rFonts w:eastAsia="Calibri" w:cstheme="minorHAnsi"/>
        </w:rPr>
        <w:t>. Those who ha</w:t>
      </w:r>
      <w:r w:rsidR="002113EA">
        <w:rPr>
          <w:rFonts w:eastAsia="Calibri" w:cstheme="minorHAnsi"/>
        </w:rPr>
        <w:t>d</w:t>
      </w:r>
      <w:r w:rsidR="00C60CC0" w:rsidRPr="001431BC">
        <w:rPr>
          <w:rFonts w:eastAsia="Calibri" w:cstheme="minorHAnsi"/>
        </w:rPr>
        <w:t xml:space="preserve"> not exited income support w</w:t>
      </w:r>
      <w:r w:rsidR="002113EA">
        <w:rPr>
          <w:rFonts w:eastAsia="Calibri" w:cstheme="minorHAnsi"/>
        </w:rPr>
        <w:t>ould</w:t>
      </w:r>
      <w:r w:rsidR="00C60CC0" w:rsidRPr="001431BC">
        <w:rPr>
          <w:rFonts w:eastAsia="Calibri" w:cstheme="minorHAnsi"/>
        </w:rPr>
        <w:t xml:space="preserve"> have moved to an alternative employment program, usually jobactive. This could have the effect of refocusing participants on job</w:t>
      </w:r>
      <w:r w:rsidR="006C5F71">
        <w:rPr>
          <w:rFonts w:eastAsia="Calibri" w:cstheme="minorHAnsi"/>
        </w:rPr>
        <w:t xml:space="preserve"> </w:t>
      </w:r>
      <w:r w:rsidR="00C60CC0" w:rsidRPr="001431BC">
        <w:rPr>
          <w:rFonts w:eastAsia="Calibri" w:cstheme="minorHAnsi"/>
        </w:rPr>
        <w:t xml:space="preserve">search. While it is not yet apparent that TtW leads to </w:t>
      </w:r>
      <w:r w:rsidR="00191978">
        <w:rPr>
          <w:rFonts w:eastAsia="Calibri" w:cstheme="minorHAnsi"/>
        </w:rPr>
        <w:t>greater</w:t>
      </w:r>
      <w:r w:rsidR="00C60CC0" w:rsidRPr="001431BC">
        <w:rPr>
          <w:rFonts w:eastAsia="Calibri" w:cstheme="minorHAnsi"/>
        </w:rPr>
        <w:t xml:space="preserve"> employment in </w:t>
      </w:r>
      <w:r w:rsidR="009E4B68">
        <w:rPr>
          <w:rFonts w:eastAsia="Calibri" w:cstheme="minorHAnsi"/>
        </w:rPr>
        <w:t>the longer term</w:t>
      </w:r>
      <w:r w:rsidR="00C60CC0" w:rsidRPr="001431BC">
        <w:rPr>
          <w:rFonts w:eastAsia="Calibri" w:cstheme="minorHAnsi"/>
        </w:rPr>
        <w:t xml:space="preserve">, it appears that the </w:t>
      </w:r>
      <w:r w:rsidR="00F8391B">
        <w:rPr>
          <w:rFonts w:eastAsia="Calibri" w:cstheme="minorHAnsi"/>
        </w:rPr>
        <w:t>‘</w:t>
      </w:r>
      <w:r w:rsidR="00C60CC0" w:rsidRPr="001431BC">
        <w:rPr>
          <w:rFonts w:eastAsia="Calibri" w:cstheme="minorHAnsi"/>
        </w:rPr>
        <w:t>lock-in</w:t>
      </w:r>
      <w:r w:rsidR="00F8391B">
        <w:rPr>
          <w:rFonts w:eastAsia="Calibri" w:cstheme="minorHAnsi"/>
        </w:rPr>
        <w:t>’</w:t>
      </w:r>
      <w:r w:rsidR="00C60CC0" w:rsidRPr="001431BC">
        <w:rPr>
          <w:rFonts w:eastAsia="Calibri" w:cstheme="minorHAnsi"/>
        </w:rPr>
        <w:t xml:space="preserve"> </w:t>
      </w:r>
      <w:r w:rsidR="00AE299E">
        <w:rPr>
          <w:rFonts w:eastAsia="Calibri" w:cstheme="minorHAnsi"/>
        </w:rPr>
        <w:t xml:space="preserve">effect </w:t>
      </w:r>
      <w:r w:rsidR="00C60CC0" w:rsidRPr="001431BC">
        <w:rPr>
          <w:rFonts w:eastAsia="Calibri" w:cstheme="minorHAnsi"/>
        </w:rPr>
        <w:t>of TtW does not have a detrimental effect on participants</w:t>
      </w:r>
      <w:r w:rsidR="00F8391B">
        <w:rPr>
          <w:rFonts w:eastAsia="Calibri" w:cstheme="minorHAnsi"/>
        </w:rPr>
        <w:t>’</w:t>
      </w:r>
      <w:r w:rsidR="00C60CC0" w:rsidRPr="001431BC">
        <w:rPr>
          <w:rFonts w:eastAsia="Calibri" w:cstheme="minorHAnsi"/>
        </w:rPr>
        <w:t xml:space="preserve"> longer</w:t>
      </w:r>
      <w:r w:rsidR="00775E2E">
        <w:rPr>
          <w:rFonts w:eastAsia="Calibri" w:cstheme="minorHAnsi"/>
        </w:rPr>
        <w:t>-</w:t>
      </w:r>
      <w:r w:rsidR="00C60CC0" w:rsidRPr="001431BC">
        <w:rPr>
          <w:rFonts w:eastAsia="Calibri" w:cstheme="minorHAnsi"/>
        </w:rPr>
        <w:t xml:space="preserve">term </w:t>
      </w:r>
      <w:r w:rsidR="00191978">
        <w:rPr>
          <w:rFonts w:eastAsia="Calibri" w:cstheme="minorHAnsi"/>
        </w:rPr>
        <w:t>employment</w:t>
      </w:r>
      <w:r w:rsidR="00C60CC0" w:rsidRPr="001431BC">
        <w:rPr>
          <w:rFonts w:eastAsia="Calibri" w:cstheme="minorHAnsi"/>
        </w:rPr>
        <w:t>.</w:t>
      </w:r>
      <w:r w:rsidR="00C60CC0">
        <w:rPr>
          <w:rFonts w:eastAsia="Calibri" w:cstheme="minorHAnsi"/>
        </w:rPr>
        <w:t xml:space="preserve"> </w:t>
      </w:r>
      <w:r w:rsidR="00D0533B">
        <w:rPr>
          <w:rFonts w:eastAsia="Calibri" w:cstheme="minorHAnsi"/>
        </w:rPr>
        <w:t xml:space="preserve">The proportion of participants </w:t>
      </w:r>
      <w:r w:rsidR="00F8391B">
        <w:rPr>
          <w:rFonts w:eastAsia="Calibri" w:cstheme="minorHAnsi"/>
        </w:rPr>
        <w:t>‘</w:t>
      </w:r>
      <w:r w:rsidR="00D0533B">
        <w:rPr>
          <w:rFonts w:eastAsia="Calibri" w:cstheme="minorHAnsi"/>
        </w:rPr>
        <w:t>not in program</w:t>
      </w:r>
      <w:r w:rsidR="00F8391B">
        <w:rPr>
          <w:rFonts w:eastAsia="Calibri" w:cstheme="minorHAnsi"/>
        </w:rPr>
        <w:t>’</w:t>
      </w:r>
      <w:r w:rsidR="00D0533B">
        <w:rPr>
          <w:rFonts w:eastAsia="Calibri" w:cstheme="minorHAnsi"/>
        </w:rPr>
        <w:t xml:space="preserve"> tracked a similar trajectory as the </w:t>
      </w:r>
      <w:r w:rsidR="00F8391B">
        <w:rPr>
          <w:rFonts w:eastAsia="Calibri" w:cstheme="minorHAnsi"/>
        </w:rPr>
        <w:t>‘</w:t>
      </w:r>
      <w:r w:rsidR="00D0533B">
        <w:rPr>
          <w:rFonts w:eastAsia="Calibri" w:cstheme="minorHAnsi"/>
        </w:rPr>
        <w:t>off-income support</w:t>
      </w:r>
      <w:r w:rsidR="00F8391B">
        <w:rPr>
          <w:rFonts w:eastAsia="Calibri" w:cstheme="minorHAnsi"/>
        </w:rPr>
        <w:t>’</w:t>
      </w:r>
      <w:r w:rsidR="00D0533B">
        <w:rPr>
          <w:rFonts w:eastAsia="Calibri" w:cstheme="minorHAnsi"/>
        </w:rPr>
        <w:t xml:space="preserve"> figures, albeit at a </w:t>
      </w:r>
      <w:r w:rsidR="00F65CF6">
        <w:rPr>
          <w:rFonts w:eastAsia="Calibri" w:cstheme="minorHAnsi"/>
        </w:rPr>
        <w:t xml:space="preserve">slightly </w:t>
      </w:r>
      <w:r w:rsidR="00D0533B">
        <w:rPr>
          <w:rFonts w:eastAsia="Calibri" w:cstheme="minorHAnsi"/>
        </w:rPr>
        <w:t>higher proportion</w:t>
      </w:r>
    </w:p>
    <w:p w14:paraId="350621BA" w14:textId="593D3123" w:rsidR="00F40A59" w:rsidRDefault="00F40A59" w:rsidP="001431BC">
      <w:pPr>
        <w:pStyle w:val="Caption"/>
        <w:keepNext/>
      </w:pPr>
      <w:bookmarkStart w:id="2593" w:name="_Ref110961751"/>
      <w:bookmarkStart w:id="2594" w:name="_Toc132647868"/>
      <w:bookmarkStart w:id="2595" w:name="_Toc145883337"/>
      <w:bookmarkStart w:id="2596" w:name="_Hlk124850069"/>
      <w:r>
        <w:t xml:space="preserve">Figure </w:t>
      </w:r>
      <w:r w:rsidR="00BE71D4">
        <w:fldChar w:fldCharType="begin"/>
      </w:r>
      <w:r w:rsidR="00BE71D4">
        <w:instrText xml:space="preserve"> SEQ Figure \* ARABIC </w:instrText>
      </w:r>
      <w:r w:rsidR="00BE71D4">
        <w:fldChar w:fldCharType="separate"/>
      </w:r>
      <w:r w:rsidR="00180E14">
        <w:rPr>
          <w:noProof/>
        </w:rPr>
        <w:t>27</w:t>
      </w:r>
      <w:r w:rsidR="00BE71D4">
        <w:rPr>
          <w:noProof/>
        </w:rPr>
        <w:fldChar w:fldCharType="end"/>
      </w:r>
      <w:bookmarkEnd w:id="2593"/>
      <w:r>
        <w:t xml:space="preserve">: </w:t>
      </w:r>
      <w:r w:rsidRPr="00426F15">
        <w:t>Program types since commencement (TtW cohort)</w:t>
      </w:r>
      <w:bookmarkEnd w:id="2594"/>
      <w:bookmarkEnd w:id="2595"/>
    </w:p>
    <w:p w14:paraId="0FCF7F59" w14:textId="2D079E57" w:rsidR="007E7340" w:rsidRDefault="00D23BA0" w:rsidP="00D23BA0">
      <w:pPr>
        <w:spacing w:after="0" w:line="240" w:lineRule="auto"/>
        <w:rPr>
          <w:rFonts w:asciiTheme="majorHAnsi" w:eastAsiaTheme="majorEastAsia" w:hAnsiTheme="majorHAnsi" w:cstheme="majorBidi"/>
          <w:color w:val="002D3F"/>
          <w:sz w:val="26"/>
          <w:szCs w:val="26"/>
        </w:rPr>
      </w:pPr>
      <w:r>
        <w:rPr>
          <w:rFonts w:asciiTheme="majorHAnsi" w:eastAsiaTheme="majorEastAsia" w:hAnsiTheme="majorHAnsi" w:cstheme="majorBidi"/>
          <w:noProof/>
          <w:color w:val="002D3F"/>
          <w:sz w:val="26"/>
          <w:szCs w:val="26"/>
        </w:rPr>
        <w:drawing>
          <wp:inline distT="0" distB="0" distL="0" distR="0" wp14:anchorId="787CC896" wp14:editId="593ED589">
            <wp:extent cx="5810250" cy="2355850"/>
            <wp:effectExtent l="0" t="0" r="0" b="0"/>
            <wp:docPr id="87" name="Picture 87" descr="Graph showing the trends discuss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 showing the trends discussed in the preceding paragrap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10250" cy="2355850"/>
                    </a:xfrm>
                    <a:prstGeom prst="rect">
                      <a:avLst/>
                    </a:prstGeom>
                    <a:noFill/>
                  </pic:spPr>
                </pic:pic>
              </a:graphicData>
            </a:graphic>
          </wp:inline>
        </w:drawing>
      </w:r>
    </w:p>
    <w:p w14:paraId="6E6CDEE3" w14:textId="333F3E67" w:rsidR="00700D57" w:rsidRPr="00437DC9" w:rsidRDefault="00700D57" w:rsidP="00700D57">
      <w:pPr>
        <w:pStyle w:val="SourceandNotes"/>
      </w:pPr>
      <w:r w:rsidRPr="005E0ED0">
        <w:t xml:space="preserve">Source: The </w:t>
      </w:r>
      <w:r w:rsidRPr="00437DC9">
        <w:t>department</w:t>
      </w:r>
      <w:r w:rsidR="00F8391B">
        <w:t>’</w:t>
      </w:r>
      <w:r w:rsidRPr="00437DC9">
        <w:t>s administrative data</w:t>
      </w:r>
    </w:p>
    <w:p w14:paraId="26553D98" w14:textId="1C49D58E" w:rsidR="007E7340" w:rsidRPr="005E0ED0" w:rsidRDefault="007E7340" w:rsidP="007E7340">
      <w:pPr>
        <w:pStyle w:val="SourceandNotes"/>
      </w:pPr>
      <w:r w:rsidRPr="005E0ED0">
        <w:t>Base: Matched TtW cohort (n=</w:t>
      </w:r>
      <w:r w:rsidR="0054194B">
        <w:t>8,361</w:t>
      </w:r>
      <w:r w:rsidRPr="005E0ED0">
        <w:t>)</w:t>
      </w:r>
    </w:p>
    <w:p w14:paraId="2F28B5E7" w14:textId="2524C083" w:rsidR="007E7340" w:rsidRPr="005E0ED0" w:rsidRDefault="007E7340" w:rsidP="007E7340">
      <w:pPr>
        <w:pStyle w:val="SourceandNotes"/>
      </w:pPr>
      <w:r w:rsidRPr="005E0ED0">
        <w:t xml:space="preserve">Note: Other programs include </w:t>
      </w:r>
      <w:bookmarkStart w:id="2597" w:name="_Hlk110412949"/>
      <w:r w:rsidRPr="005E0ED0">
        <w:t>DESA, DESB and ParentsNext</w:t>
      </w:r>
      <w:bookmarkEnd w:id="2597"/>
    </w:p>
    <w:p w14:paraId="3960AA5E" w14:textId="0DFA28ED" w:rsidR="00D04B6A" w:rsidRDefault="4BCE2A7E" w:rsidP="009125CE">
      <w:pPr>
        <w:pStyle w:val="Heading3"/>
        <w:ind w:left="0"/>
      </w:pPr>
      <w:bookmarkStart w:id="2598" w:name="_Toc109822345"/>
      <w:bookmarkStart w:id="2599" w:name="_Toc109918827"/>
      <w:bookmarkStart w:id="2600" w:name="_Toc110249638"/>
      <w:bookmarkStart w:id="2601" w:name="_Toc110251679"/>
      <w:bookmarkStart w:id="2602" w:name="_Toc110265076"/>
      <w:bookmarkStart w:id="2603" w:name="_Toc110411254"/>
      <w:bookmarkStart w:id="2604" w:name="_Toc109822346"/>
      <w:bookmarkStart w:id="2605" w:name="_Toc109918828"/>
      <w:bookmarkStart w:id="2606" w:name="_Toc110249639"/>
      <w:bookmarkStart w:id="2607" w:name="_Toc110251680"/>
      <w:bookmarkStart w:id="2608" w:name="_Toc110265077"/>
      <w:bookmarkStart w:id="2609" w:name="_Toc110411255"/>
      <w:bookmarkStart w:id="2610" w:name="_Toc109822377"/>
      <w:bookmarkStart w:id="2611" w:name="_Toc109918859"/>
      <w:bookmarkStart w:id="2612" w:name="_Toc110249670"/>
      <w:bookmarkStart w:id="2613" w:name="_Toc110251711"/>
      <w:bookmarkStart w:id="2614" w:name="_Toc110265108"/>
      <w:bookmarkStart w:id="2615" w:name="_Toc110411286"/>
      <w:bookmarkStart w:id="2616" w:name="_Toc109822378"/>
      <w:bookmarkStart w:id="2617" w:name="_Toc109918860"/>
      <w:bookmarkStart w:id="2618" w:name="_Toc110249671"/>
      <w:bookmarkStart w:id="2619" w:name="_Toc110251712"/>
      <w:bookmarkStart w:id="2620" w:name="_Toc110265109"/>
      <w:bookmarkStart w:id="2621" w:name="_Toc110411287"/>
      <w:bookmarkStart w:id="2622" w:name="_Toc109822379"/>
      <w:bookmarkStart w:id="2623" w:name="_Toc109918861"/>
      <w:bookmarkStart w:id="2624" w:name="_Toc110249672"/>
      <w:bookmarkStart w:id="2625" w:name="_Toc110251713"/>
      <w:bookmarkStart w:id="2626" w:name="_Toc110265110"/>
      <w:bookmarkStart w:id="2627" w:name="_Toc110411288"/>
      <w:bookmarkStart w:id="2628" w:name="_Toc132650489"/>
      <w:bookmarkStart w:id="2629" w:name="_Toc146033520"/>
      <w:bookmarkEnd w:id="2596"/>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r>
        <w:t xml:space="preserve">Labour </w:t>
      </w:r>
      <w:r w:rsidR="00F77FA5">
        <w:t>m</w:t>
      </w:r>
      <w:r>
        <w:t xml:space="preserve">arket </w:t>
      </w:r>
      <w:r w:rsidR="00F77FA5">
        <w:t>a</w:t>
      </w:r>
      <w:r>
        <w:t>ttachment</w:t>
      </w:r>
      <w:bookmarkEnd w:id="2628"/>
      <w:bookmarkEnd w:id="2629"/>
    </w:p>
    <w:p w14:paraId="4C749D75" w14:textId="1EBF344D" w:rsidR="00D04B6A" w:rsidRDefault="00D04B6A" w:rsidP="00D04B6A">
      <w:bookmarkStart w:id="2630" w:name="_Hlk104381683"/>
      <w:r>
        <w:t xml:space="preserve">For the matched </w:t>
      </w:r>
      <w:r w:rsidR="00344D0E">
        <w:t>sample</w:t>
      </w:r>
      <w:r>
        <w:t xml:space="preserve">s, TtW </w:t>
      </w:r>
      <w:r w:rsidR="00344D0E">
        <w:t xml:space="preserve">participants </w:t>
      </w:r>
      <w:r w:rsidR="00873ED0">
        <w:t>were less likely to increase their LMA over their initial level t</w:t>
      </w:r>
      <w:r>
        <w:t xml:space="preserve">han the comparison group </w:t>
      </w:r>
      <w:r w:rsidR="00776685">
        <w:t xml:space="preserve">in </w:t>
      </w:r>
      <w:r w:rsidR="00F13C29">
        <w:t xml:space="preserve">any </w:t>
      </w:r>
      <w:r w:rsidR="00776685">
        <w:t xml:space="preserve">month </w:t>
      </w:r>
      <w:r>
        <w:t xml:space="preserve">for the first </w:t>
      </w:r>
      <w:r w:rsidR="00F8391B">
        <w:t>2</w:t>
      </w:r>
      <w:r>
        <w:t xml:space="preserve"> years, though this difference decreases </w:t>
      </w:r>
      <w:r>
        <w:lastRenderedPageBreak/>
        <w:t>over time</w:t>
      </w:r>
      <w:r w:rsidR="00776685">
        <w:t xml:space="preserve">, </w:t>
      </w:r>
      <w:r w:rsidR="00873ED0">
        <w:t>and appears to equalise at this point. J</w:t>
      </w:r>
      <w:r>
        <w:t xml:space="preserve">ust over half (56%) of </w:t>
      </w:r>
      <w:r w:rsidR="00C078A9">
        <w:t xml:space="preserve">both </w:t>
      </w:r>
      <w:r>
        <w:t xml:space="preserve">TtW </w:t>
      </w:r>
      <w:r w:rsidR="00C078A9">
        <w:t xml:space="preserve">and comparison group </w:t>
      </w:r>
      <w:r>
        <w:t>participants demonstrat</w:t>
      </w:r>
      <w:r w:rsidR="00776685">
        <w:t>e</w:t>
      </w:r>
      <w:r>
        <w:t xml:space="preserve"> </w:t>
      </w:r>
      <w:r w:rsidR="00873ED0">
        <w:t xml:space="preserve">increased </w:t>
      </w:r>
      <w:r w:rsidR="00C44E47">
        <w:t>LMA</w:t>
      </w:r>
      <w:r>
        <w:t xml:space="preserve"> at month </w:t>
      </w:r>
      <w:r w:rsidRPr="00E62B01">
        <w:t>36</w:t>
      </w:r>
      <w:r w:rsidR="00131896">
        <w:rPr>
          <w:rStyle w:val="FootnoteReference"/>
        </w:rPr>
        <w:footnoteReference w:id="90"/>
      </w:r>
      <w:r w:rsidR="00624D23" w:rsidRPr="00E62B01">
        <w:t xml:space="preserve"> </w:t>
      </w:r>
      <w:bookmarkStart w:id="2631" w:name="_Hlk116391451"/>
      <w:bookmarkEnd w:id="2630"/>
      <w:r w:rsidR="00624D23" w:rsidRPr="00E62B01">
        <w:t>(</w:t>
      </w:r>
      <w:r w:rsidR="00131896" w:rsidRPr="00CD7319">
        <w:rPr>
          <w:b/>
          <w:bCs/>
        </w:rPr>
        <w:fldChar w:fldCharType="begin"/>
      </w:r>
      <w:r w:rsidR="00131896" w:rsidRPr="00CD7319">
        <w:rPr>
          <w:b/>
          <w:bCs/>
        </w:rPr>
        <w:instrText xml:space="preserve"> REF _Ref120092271 \h </w:instrText>
      </w:r>
      <w:r w:rsidR="00131896">
        <w:rPr>
          <w:b/>
          <w:bCs/>
        </w:rPr>
        <w:instrText xml:space="preserve"> \* MERGEFORMAT </w:instrText>
      </w:r>
      <w:r w:rsidR="00131896" w:rsidRPr="00CD7319">
        <w:rPr>
          <w:b/>
          <w:bCs/>
        </w:rPr>
      </w:r>
      <w:r w:rsidR="00131896" w:rsidRPr="00CD7319">
        <w:rPr>
          <w:b/>
          <w:bCs/>
        </w:rPr>
        <w:fldChar w:fldCharType="separate"/>
      </w:r>
      <w:r w:rsidR="00180E14" w:rsidRPr="00180E14">
        <w:rPr>
          <w:b/>
          <w:bCs/>
        </w:rPr>
        <w:t xml:space="preserve">Figure </w:t>
      </w:r>
      <w:r w:rsidR="00180E14" w:rsidRPr="00180E14">
        <w:rPr>
          <w:b/>
          <w:bCs/>
          <w:noProof/>
        </w:rPr>
        <w:t>28</w:t>
      </w:r>
      <w:r w:rsidR="00131896" w:rsidRPr="00CD7319">
        <w:rPr>
          <w:b/>
          <w:bCs/>
        </w:rPr>
        <w:fldChar w:fldCharType="end"/>
      </w:r>
      <w:r w:rsidR="329579E2" w:rsidRPr="00E62B01">
        <w:t>)</w:t>
      </w:r>
      <w:r w:rsidR="0A8051D2" w:rsidRPr="00E62B01">
        <w:t>.</w:t>
      </w:r>
    </w:p>
    <w:p w14:paraId="77615736" w14:textId="5AEA96A1" w:rsidR="00FF02B4" w:rsidRDefault="00FF02B4" w:rsidP="00FF02B4">
      <w:pPr>
        <w:pStyle w:val="Caption"/>
        <w:keepNext/>
        <w:spacing w:after="120"/>
      </w:pPr>
      <w:bookmarkStart w:id="2632" w:name="_Ref120092271"/>
      <w:bookmarkStart w:id="2633" w:name="_Toc132647869"/>
      <w:bookmarkStart w:id="2634" w:name="_Toc145883338"/>
      <w:bookmarkStart w:id="2635" w:name="_Hlk135921845"/>
      <w:bookmarkStart w:id="2636" w:name="_Hlk124850082"/>
      <w:r>
        <w:t xml:space="preserve">Figure </w:t>
      </w:r>
      <w:r w:rsidR="00BE71D4">
        <w:fldChar w:fldCharType="begin"/>
      </w:r>
      <w:r w:rsidR="00BE71D4">
        <w:instrText xml:space="preserve"> SEQ Figure \* ARABIC </w:instrText>
      </w:r>
      <w:r w:rsidR="00BE71D4">
        <w:fldChar w:fldCharType="separate"/>
      </w:r>
      <w:r w:rsidR="00180E14">
        <w:rPr>
          <w:noProof/>
        </w:rPr>
        <w:t>28</w:t>
      </w:r>
      <w:r w:rsidR="00BE71D4">
        <w:rPr>
          <w:noProof/>
        </w:rPr>
        <w:fldChar w:fldCharType="end"/>
      </w:r>
      <w:bookmarkEnd w:id="2632"/>
      <w:r>
        <w:t xml:space="preserve">: </w:t>
      </w:r>
      <w:r w:rsidRPr="00726432">
        <w:t xml:space="preserve">Proportion of </w:t>
      </w:r>
      <w:r>
        <w:t xml:space="preserve">participants achieving LMA </w:t>
      </w:r>
      <w:r w:rsidRPr="00726432">
        <w:t>(</w:t>
      </w:r>
      <w:r>
        <w:t>1</w:t>
      </w:r>
      <w:r w:rsidR="5AFC35CC">
        <w:t xml:space="preserve"> to </w:t>
      </w:r>
      <w:r>
        <w:t>48 months from commencemen</w:t>
      </w:r>
      <w:r w:rsidR="00131896">
        <w:t>t</w:t>
      </w:r>
      <w:r w:rsidRPr="00726432">
        <w:t>)</w:t>
      </w:r>
      <w:bookmarkEnd w:id="2633"/>
      <w:bookmarkEnd w:id="2634"/>
    </w:p>
    <w:bookmarkEnd w:id="2635"/>
    <w:p w14:paraId="6C5BBA16" w14:textId="2F5715F5" w:rsidR="00FF02B4" w:rsidRPr="009646B6" w:rsidRDefault="00D23BA0" w:rsidP="00FF02B4">
      <w:r>
        <w:rPr>
          <w:noProof/>
        </w:rPr>
        <w:drawing>
          <wp:inline distT="0" distB="0" distL="0" distR="0" wp14:anchorId="3EE1CE9D" wp14:editId="40CC24A1">
            <wp:extent cx="5257800" cy="3616476"/>
            <wp:effectExtent l="0" t="0" r="0" b="0"/>
            <wp:docPr id="88" name="Picture 88" descr="Graph showing the trend discuss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Graph showing the trend discussed in the preceding paragrap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1244" cy="3618845"/>
                    </a:xfrm>
                    <a:prstGeom prst="rect">
                      <a:avLst/>
                    </a:prstGeom>
                    <a:noFill/>
                  </pic:spPr>
                </pic:pic>
              </a:graphicData>
            </a:graphic>
          </wp:inline>
        </w:drawing>
      </w:r>
    </w:p>
    <w:p w14:paraId="15FEC76B" w14:textId="126661AB" w:rsidR="00FF02B4" w:rsidRPr="00437DC9" w:rsidRDefault="00FF02B4" w:rsidP="00FF02B4">
      <w:pPr>
        <w:pStyle w:val="SourceandNotes"/>
      </w:pPr>
      <w:r w:rsidRPr="005E0ED0">
        <w:t xml:space="preserve">Source: The </w:t>
      </w:r>
      <w:r w:rsidRPr="00437DC9">
        <w:t>department</w:t>
      </w:r>
      <w:r w:rsidR="00F8391B">
        <w:t>’</w:t>
      </w:r>
      <w:r w:rsidRPr="00437DC9">
        <w:t>s administrative data</w:t>
      </w:r>
    </w:p>
    <w:p w14:paraId="6A351D39" w14:textId="2CB70FD3" w:rsidR="00FF02B4" w:rsidRPr="005E0ED0" w:rsidRDefault="00FF02B4" w:rsidP="00FF02B4">
      <w:pPr>
        <w:pStyle w:val="SourceandNotes"/>
      </w:pPr>
      <w:r w:rsidRPr="005E0ED0">
        <w:t>Base: Matched TtW (n=</w:t>
      </w:r>
      <w:r w:rsidR="0054194B">
        <w:t>8,361</w:t>
      </w:r>
      <w:r w:rsidRPr="005E0ED0">
        <w:t>) and jobactive (n=</w:t>
      </w:r>
      <w:r w:rsidR="0054194B">
        <w:t>8,361</w:t>
      </w:r>
      <w:r w:rsidRPr="005E0ED0">
        <w:t>) samples with full income support rate</w:t>
      </w:r>
    </w:p>
    <w:p w14:paraId="12AF0D3E" w14:textId="747272A8" w:rsidR="00FF02B4" w:rsidRDefault="00FF02B4" w:rsidP="00FF02B4">
      <w:pPr>
        <w:pStyle w:val="SourceandNotes"/>
      </w:pPr>
      <w:r w:rsidRPr="005E0ED0">
        <w:t xml:space="preserve">Note: Includes </w:t>
      </w:r>
      <w:r w:rsidR="00F8391B">
        <w:t>‘</w:t>
      </w:r>
      <w:r w:rsidR="00886F30">
        <w:t>employment-related</w:t>
      </w:r>
      <w:r w:rsidR="00F8391B">
        <w:t>’</w:t>
      </w:r>
      <w:r>
        <w:t xml:space="preserve"> </w:t>
      </w:r>
      <w:r w:rsidRPr="005E0ED0">
        <w:t xml:space="preserve">income support exits, reductions in income support, and earnings. A reduction in income support occurred when a participant recorded a rate lower than the initial rate on the first day of the month. Initial base rate is the highest base rate of income support received by a participant in the first </w:t>
      </w:r>
      <w:r w:rsidR="00F8391B">
        <w:t>2</w:t>
      </w:r>
      <w:r w:rsidRPr="005E0ED0">
        <w:t xml:space="preserve"> months following their commencement.</w:t>
      </w:r>
    </w:p>
    <w:p w14:paraId="75B29BC6" w14:textId="4BDC8557" w:rsidR="00050E90" w:rsidRDefault="6B9395A3" w:rsidP="00050E90">
      <w:bookmarkStart w:id="2637" w:name="_Hlk135728018"/>
      <w:bookmarkEnd w:id="2636"/>
      <w:r>
        <w:t>Regression analysis was undertaken to adjust for participant characteristics. TtW participants were 3.1 percentage points less likely to demonstrate increased LMA 12 months from commencement in the program than participants in the comparison group, and 2.1 percentage points less likely to demonstrate increased LMA at 24 months. However, at 36 months from commencement there is no significant difference between the groups. At 48 month</w:t>
      </w:r>
      <w:r w:rsidR="50178070">
        <w:t>s</w:t>
      </w:r>
      <w:r>
        <w:t xml:space="preserve"> (after COVID</w:t>
      </w:r>
      <w:r w:rsidR="001A200C">
        <w:t>-19</w:t>
      </w:r>
      <w:r>
        <w:t xml:space="preserve"> had impacted all participants) TtW participan</w:t>
      </w:r>
      <w:r w:rsidR="31DCE21A">
        <w:t>ts</w:t>
      </w:r>
      <w:r>
        <w:t xml:space="preserve"> were </w:t>
      </w:r>
      <w:r w:rsidR="31DCE21A">
        <w:t>2.0 percentage points less likely to demonstrate a</w:t>
      </w:r>
      <w:r w:rsidR="50178070">
        <w:t>n</w:t>
      </w:r>
      <w:r w:rsidR="31DCE21A">
        <w:t xml:space="preserve"> increased LMA on their original level of LMA than participants in the comparison group</w:t>
      </w:r>
      <w:r w:rsidR="00FF02B4">
        <w:t xml:space="preserve"> (</w:t>
      </w:r>
      <w:r w:rsidR="00FF02B4" w:rsidRPr="00CD7319">
        <w:rPr>
          <w:b/>
          <w:bCs/>
        </w:rPr>
        <w:fldChar w:fldCharType="begin"/>
      </w:r>
      <w:r w:rsidR="00FF02B4" w:rsidRPr="00CD7319">
        <w:rPr>
          <w:b/>
          <w:bCs/>
        </w:rPr>
        <w:instrText xml:space="preserve"> REF _Ref116477324 \h </w:instrText>
      </w:r>
      <w:r w:rsidR="00FF02B4">
        <w:rPr>
          <w:b/>
          <w:bCs/>
        </w:rPr>
        <w:instrText xml:space="preserve"> \* MERGEFORMAT </w:instrText>
      </w:r>
      <w:r w:rsidR="00FF02B4" w:rsidRPr="00CD7319">
        <w:rPr>
          <w:b/>
          <w:bCs/>
        </w:rPr>
      </w:r>
      <w:r w:rsidR="00FF02B4" w:rsidRPr="00CD7319">
        <w:rPr>
          <w:b/>
          <w:bCs/>
        </w:rPr>
        <w:fldChar w:fldCharType="separate"/>
      </w:r>
      <w:r w:rsidR="00180E14" w:rsidRPr="00180E14">
        <w:rPr>
          <w:b/>
          <w:bCs/>
        </w:rPr>
        <w:t xml:space="preserve">Table </w:t>
      </w:r>
      <w:r w:rsidR="00180E14" w:rsidRPr="00180E14">
        <w:rPr>
          <w:b/>
          <w:bCs/>
          <w:noProof/>
        </w:rPr>
        <w:t>12</w:t>
      </w:r>
      <w:r w:rsidR="00FF02B4" w:rsidRPr="00CD7319">
        <w:rPr>
          <w:b/>
          <w:bCs/>
        </w:rPr>
        <w:fldChar w:fldCharType="end"/>
      </w:r>
      <w:r w:rsidR="00FF02B4">
        <w:t>)</w:t>
      </w:r>
      <w:r w:rsidR="31DCE21A">
        <w:t>.</w:t>
      </w:r>
    </w:p>
    <w:p w14:paraId="0474DE08" w14:textId="291AD676" w:rsidR="00FF02B4" w:rsidRDefault="00FF02B4" w:rsidP="00D23BA0">
      <w:pPr>
        <w:pStyle w:val="Caption"/>
        <w:keepNext/>
      </w:pPr>
      <w:bookmarkStart w:id="2638" w:name="_Ref116477324"/>
      <w:bookmarkStart w:id="2639" w:name="_Toc132647788"/>
      <w:bookmarkStart w:id="2640" w:name="_Toc145877301"/>
      <w:bookmarkStart w:id="2641" w:name="_Hlk124850090"/>
      <w:bookmarkEnd w:id="2637"/>
      <w:r w:rsidRPr="007E1D33">
        <w:lastRenderedPageBreak/>
        <w:t xml:space="preserve">Table </w:t>
      </w:r>
      <w:r>
        <w:fldChar w:fldCharType="begin"/>
      </w:r>
      <w:r>
        <w:instrText>SEQ Table \* ARABIC</w:instrText>
      </w:r>
      <w:r>
        <w:fldChar w:fldCharType="separate"/>
      </w:r>
      <w:r w:rsidR="00180E14">
        <w:rPr>
          <w:noProof/>
        </w:rPr>
        <w:t>12</w:t>
      </w:r>
      <w:r>
        <w:fldChar w:fldCharType="end"/>
      </w:r>
      <w:bookmarkEnd w:id="2638"/>
      <w:r>
        <w:t xml:space="preserve">: </w:t>
      </w:r>
      <w:r w:rsidRPr="00D22D95">
        <w:t>Average change</w:t>
      </w:r>
      <w:r w:rsidRPr="00384933">
        <w:rPr>
          <w:vertAlign w:val="superscript"/>
        </w:rPr>
        <w:t>1</w:t>
      </w:r>
      <w:r w:rsidRPr="00D22D95">
        <w:t xml:space="preserve"> in probability of </w:t>
      </w:r>
      <w:r>
        <w:t>reducing income support reliance (</w:t>
      </w:r>
      <w:r w:rsidR="00907E94">
        <w:t xml:space="preserve">increased </w:t>
      </w:r>
      <w:r w:rsidR="006C5F71">
        <w:t>l</w:t>
      </w:r>
      <w:r>
        <w:t xml:space="preserve">abour </w:t>
      </w:r>
      <w:r w:rsidR="006C5F71">
        <w:t>m</w:t>
      </w:r>
      <w:r>
        <w:t xml:space="preserve">arket </w:t>
      </w:r>
      <w:r w:rsidR="006C5F71">
        <w:t>a</w:t>
      </w:r>
      <w:r>
        <w:t>ttachment)</w:t>
      </w:r>
      <w:r w:rsidRPr="00D22D95">
        <w:t xml:space="preserve"> in TtW compared to jobactive, by period after commencement</w:t>
      </w:r>
      <w:bookmarkEnd w:id="2639"/>
      <w:bookmarkEnd w:id="2640"/>
    </w:p>
    <w:tbl>
      <w:tblPr>
        <w:tblStyle w:val="TtWReportTableTemplate2"/>
        <w:tblW w:w="7230" w:type="dxa"/>
        <w:tblLook w:val="04A0" w:firstRow="1" w:lastRow="0" w:firstColumn="1" w:lastColumn="0" w:noHBand="0" w:noVBand="1"/>
      </w:tblPr>
      <w:tblGrid>
        <w:gridCol w:w="2694"/>
        <w:gridCol w:w="4536"/>
      </w:tblGrid>
      <w:tr w:rsidR="00FF02B4" w:rsidRPr="00121B06" w14:paraId="391C1D88" w14:textId="77777777" w:rsidTr="00046630">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5D7A38"/>
            <w:noWrap/>
            <w:vAlign w:val="center"/>
            <w:hideMark/>
          </w:tcPr>
          <w:p w14:paraId="1276803F" w14:textId="77777777" w:rsidR="00FF02B4" w:rsidRPr="000E2CC8" w:rsidRDefault="00FF02B4" w:rsidP="00C4508A">
            <w:pPr>
              <w:keepNext/>
              <w:keepLines/>
              <w:spacing w:after="0" w:line="25" w:lineRule="atLeast"/>
              <w:jc w:val="center"/>
              <w:rPr>
                <w:rFonts w:asciiTheme="minorHAnsi" w:hAnsiTheme="minorHAnsi" w:cstheme="minorHAnsi"/>
                <w:szCs w:val="20"/>
              </w:rPr>
            </w:pPr>
            <w:r w:rsidRPr="000E2CC8">
              <w:rPr>
                <w:rFonts w:cstheme="minorHAnsi"/>
                <w:szCs w:val="20"/>
              </w:rPr>
              <w:t xml:space="preserve">Period after </w:t>
            </w:r>
            <w:r>
              <w:rPr>
                <w:rFonts w:cstheme="minorHAnsi"/>
                <w:szCs w:val="20"/>
              </w:rPr>
              <w:t>commencement</w:t>
            </w:r>
            <w:r w:rsidR="008E6395">
              <w:rPr>
                <w:rFonts w:cstheme="minorHAnsi"/>
                <w:szCs w:val="20"/>
              </w:rPr>
              <w:t xml:space="preserve"> (months)</w:t>
            </w:r>
          </w:p>
        </w:tc>
        <w:tc>
          <w:tcPr>
            <w:tcW w:w="4536" w:type="dxa"/>
            <w:shd w:val="clear" w:color="auto" w:fill="5D7A38"/>
            <w:vAlign w:val="center"/>
            <w:hideMark/>
          </w:tcPr>
          <w:p w14:paraId="6722B239" w14:textId="77777777" w:rsidR="00FF02B4" w:rsidRPr="000E2CC8" w:rsidRDefault="00FF02B4" w:rsidP="00C4508A">
            <w:pPr>
              <w:keepNext/>
              <w:keepLines/>
              <w:spacing w:after="0" w:line="25"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E2CC8">
              <w:rPr>
                <w:rFonts w:cstheme="minorHAnsi"/>
                <w:szCs w:val="20"/>
              </w:rPr>
              <w:t xml:space="preserve">Average change in probability of </w:t>
            </w:r>
            <w:r>
              <w:rPr>
                <w:rFonts w:cstheme="minorHAnsi"/>
                <w:szCs w:val="20"/>
              </w:rPr>
              <w:t xml:space="preserve">reducing reliance on income support </w:t>
            </w:r>
            <w:r w:rsidRPr="000E2CC8">
              <w:rPr>
                <w:rFonts w:cstheme="minorHAnsi"/>
                <w:szCs w:val="20"/>
              </w:rPr>
              <w:t>in TtW compared to jobactive</w:t>
            </w:r>
            <w:r w:rsidRPr="000E2CC8">
              <w:rPr>
                <w:rFonts w:cstheme="minorHAnsi"/>
                <w:szCs w:val="20"/>
                <w:vertAlign w:val="superscript"/>
              </w:rPr>
              <w:t>2</w:t>
            </w:r>
            <w:r w:rsidR="008E6395">
              <w:rPr>
                <w:rFonts w:cstheme="minorHAnsi"/>
                <w:szCs w:val="20"/>
              </w:rPr>
              <w:t xml:space="preserve"> (percentage points)</w:t>
            </w:r>
          </w:p>
        </w:tc>
      </w:tr>
      <w:tr w:rsidR="00FF02B4" w:rsidRPr="00121B06" w14:paraId="52546098"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F3EC4CB" w14:textId="77777777" w:rsidR="00FF02B4" w:rsidRPr="00ED6857" w:rsidRDefault="00FF02B4" w:rsidP="00C4508A">
            <w:pPr>
              <w:keepNext/>
              <w:keepLines/>
              <w:spacing w:after="0" w:line="25" w:lineRule="atLeast"/>
              <w:jc w:val="center"/>
              <w:rPr>
                <w:rFonts w:cstheme="minorHAnsi"/>
                <w:b w:val="0"/>
                <w:bCs/>
                <w:szCs w:val="20"/>
              </w:rPr>
            </w:pPr>
            <w:r>
              <w:rPr>
                <w:rFonts w:cstheme="minorHAnsi"/>
                <w:bCs/>
                <w:szCs w:val="20"/>
              </w:rPr>
              <w:t>12</w:t>
            </w:r>
          </w:p>
        </w:tc>
        <w:tc>
          <w:tcPr>
            <w:tcW w:w="4536" w:type="dxa"/>
            <w:noWrap/>
          </w:tcPr>
          <w:p w14:paraId="561081E7" w14:textId="77777777" w:rsidR="00FF02B4" w:rsidRPr="00184F3E" w:rsidRDefault="00FF02B4" w:rsidP="00C4508A">
            <w:pPr>
              <w:keepNext/>
              <w:keepLines/>
              <w:spacing w:after="0"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-3.1</w:t>
            </w:r>
          </w:p>
        </w:tc>
      </w:tr>
      <w:tr w:rsidR="00FF02B4" w:rsidRPr="00121B06" w14:paraId="5109F36D"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A0A93B8" w14:textId="77777777" w:rsidR="00FF02B4" w:rsidRPr="00ED6857" w:rsidRDefault="00FF02B4" w:rsidP="00C4508A">
            <w:pPr>
              <w:keepNext/>
              <w:keepLines/>
              <w:spacing w:after="0" w:line="25" w:lineRule="atLeast"/>
              <w:jc w:val="center"/>
              <w:rPr>
                <w:rFonts w:cstheme="minorHAnsi"/>
                <w:b w:val="0"/>
                <w:bCs/>
                <w:szCs w:val="20"/>
              </w:rPr>
            </w:pPr>
            <w:r>
              <w:rPr>
                <w:rFonts w:cstheme="minorHAnsi"/>
                <w:bCs/>
                <w:szCs w:val="20"/>
              </w:rPr>
              <w:t>24</w:t>
            </w:r>
          </w:p>
        </w:tc>
        <w:tc>
          <w:tcPr>
            <w:tcW w:w="4536" w:type="dxa"/>
            <w:noWrap/>
          </w:tcPr>
          <w:p w14:paraId="52D1ADEB" w14:textId="77777777" w:rsidR="00FF02B4" w:rsidRPr="00184F3E" w:rsidRDefault="00FF02B4" w:rsidP="00C4508A">
            <w:pPr>
              <w:keepNext/>
              <w:keepLines/>
              <w:spacing w:after="0"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-2.1</w:t>
            </w:r>
          </w:p>
        </w:tc>
      </w:tr>
      <w:tr w:rsidR="00FF02B4" w:rsidRPr="00121B06" w14:paraId="52858798"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05CC7B63" w14:textId="77777777" w:rsidR="00FF02B4" w:rsidRDefault="00FF02B4" w:rsidP="00C4508A">
            <w:pPr>
              <w:keepNext/>
              <w:keepLines/>
              <w:spacing w:after="0" w:line="25" w:lineRule="atLeast"/>
              <w:jc w:val="center"/>
              <w:rPr>
                <w:rFonts w:cstheme="minorHAnsi"/>
                <w:bCs/>
                <w:szCs w:val="20"/>
              </w:rPr>
            </w:pPr>
            <w:r>
              <w:rPr>
                <w:rFonts w:cstheme="minorHAnsi"/>
                <w:bCs/>
                <w:szCs w:val="20"/>
              </w:rPr>
              <w:t>36</w:t>
            </w:r>
          </w:p>
        </w:tc>
        <w:tc>
          <w:tcPr>
            <w:tcW w:w="4536" w:type="dxa"/>
            <w:noWrap/>
          </w:tcPr>
          <w:p w14:paraId="10A62FD4" w14:textId="77777777" w:rsidR="00FF02B4" w:rsidRDefault="00FF02B4" w:rsidP="00C4508A">
            <w:pPr>
              <w:keepNext/>
              <w:keepLines/>
              <w:spacing w:after="0"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Not significant</w:t>
            </w:r>
          </w:p>
        </w:tc>
      </w:tr>
      <w:tr w:rsidR="00FF02B4" w:rsidRPr="00121B06" w14:paraId="7D1D1A84"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67AFB92B" w14:textId="77777777" w:rsidR="00FF02B4" w:rsidRDefault="00FF02B4" w:rsidP="00C4508A">
            <w:pPr>
              <w:keepNext/>
              <w:keepLines/>
              <w:spacing w:after="0" w:line="25" w:lineRule="atLeast"/>
              <w:jc w:val="center"/>
              <w:rPr>
                <w:rFonts w:cstheme="minorHAnsi"/>
                <w:bCs/>
                <w:szCs w:val="20"/>
              </w:rPr>
            </w:pPr>
            <w:r>
              <w:rPr>
                <w:rFonts w:cstheme="minorHAnsi"/>
                <w:bCs/>
                <w:szCs w:val="20"/>
              </w:rPr>
              <w:t>48</w:t>
            </w:r>
          </w:p>
        </w:tc>
        <w:tc>
          <w:tcPr>
            <w:tcW w:w="4536" w:type="dxa"/>
            <w:noWrap/>
          </w:tcPr>
          <w:p w14:paraId="5B5F967D" w14:textId="77777777" w:rsidR="00FF02B4" w:rsidRDefault="00FF02B4" w:rsidP="00C4508A">
            <w:pPr>
              <w:keepNext/>
              <w:keepLines/>
              <w:spacing w:after="0"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-2.0</w:t>
            </w:r>
          </w:p>
        </w:tc>
      </w:tr>
    </w:tbl>
    <w:p w14:paraId="608F2360" w14:textId="2D965B2A" w:rsidR="00FF02B4" w:rsidRPr="00206D87" w:rsidRDefault="00FF02B4" w:rsidP="00FF02B4">
      <w:pPr>
        <w:pStyle w:val="SourceandNotes"/>
      </w:pPr>
      <w:r w:rsidRPr="00206D87">
        <w:t xml:space="preserve">Base: Matched samples, excluding those with </w:t>
      </w:r>
      <w:r>
        <w:t xml:space="preserve">one or more regression model variable with a value of </w:t>
      </w:r>
      <w:r w:rsidR="00F8391B">
        <w:t>‘</w:t>
      </w:r>
      <w:r>
        <w:t>Unknown</w:t>
      </w:r>
      <w:r w:rsidR="00F8391B">
        <w:t>’</w:t>
      </w:r>
      <w:r>
        <w:t xml:space="preserve"> </w:t>
      </w:r>
      <w:r w:rsidRPr="00206D87">
        <w:t>(TtW: n=8</w:t>
      </w:r>
      <w:r w:rsidR="006C5F71">
        <w:t>,</w:t>
      </w:r>
      <w:r w:rsidRPr="00206D87">
        <w:t>148</w:t>
      </w:r>
      <w:r w:rsidR="00326E74">
        <w:t>;</w:t>
      </w:r>
      <w:r w:rsidRPr="00206D87">
        <w:t xml:space="preserve"> jobactive: n=8</w:t>
      </w:r>
      <w:r w:rsidR="006C5F71">
        <w:t>,</w:t>
      </w:r>
      <w:r w:rsidRPr="00206D87">
        <w:t>130)</w:t>
      </w:r>
    </w:p>
    <w:p w14:paraId="1460B0D6" w14:textId="1A78B112" w:rsidR="00F8391B" w:rsidRDefault="00FF02B4" w:rsidP="00FF02B4">
      <w:pPr>
        <w:pStyle w:val="SourceandNotes"/>
      </w:pPr>
      <w:r w:rsidRPr="00C239FD">
        <w:t>1</w:t>
      </w:r>
      <w:r w:rsidRPr="006C5F71">
        <w:t>.</w:t>
      </w:r>
      <w:r>
        <w:t xml:space="preserve"> </w:t>
      </w:r>
      <w:r w:rsidRPr="00206D87">
        <w:t xml:space="preserve">The </w:t>
      </w:r>
      <w:r w:rsidR="00F8391B">
        <w:t>‘</w:t>
      </w:r>
      <w:r w:rsidRPr="00206D87">
        <w:t>average change</w:t>
      </w:r>
      <w:r w:rsidR="00F8391B">
        <w:t>’</w:t>
      </w:r>
      <w:r w:rsidRPr="00206D87">
        <w:t xml:space="preserve"> is the difference in probability of the average participant </w:t>
      </w:r>
      <w:r>
        <w:t>reducing reliance on IS</w:t>
      </w:r>
      <w:r w:rsidRPr="00206D87">
        <w:t xml:space="preserve"> in TtW compared to jobactive, adjusted for participant characteristics – that is, the </w:t>
      </w:r>
      <w:r w:rsidR="00F8391B">
        <w:t>‘</w:t>
      </w:r>
      <w:r w:rsidRPr="00206D87">
        <w:t>average marginal effect</w:t>
      </w:r>
      <w:r w:rsidR="00F8391B">
        <w:t>’</w:t>
      </w:r>
      <w:r w:rsidRPr="00206D87">
        <w:t xml:space="preserve"> of TtW compared to jobactive.</w:t>
      </w:r>
    </w:p>
    <w:p w14:paraId="6E4D0997" w14:textId="1D6E4B47" w:rsidR="00FF02B4" w:rsidRDefault="00FF02B4" w:rsidP="00FF02B4">
      <w:pPr>
        <w:pStyle w:val="SourceandNotes"/>
      </w:pPr>
      <w:r w:rsidRPr="00C239FD">
        <w:t>2</w:t>
      </w:r>
      <w:r w:rsidRPr="006C5F71">
        <w:t>.</w:t>
      </w:r>
      <w:r>
        <w:t xml:space="preserve"> Reduced reliance on income support is flagged when a participant demonstrates one or more of the following: </w:t>
      </w:r>
      <w:r w:rsidRPr="0088448D">
        <w:t>reductions in a participants</w:t>
      </w:r>
      <w:r w:rsidR="00F8391B">
        <w:t>’</w:t>
      </w:r>
      <w:r w:rsidRPr="0088448D">
        <w:t xml:space="preserve"> income support rate</w:t>
      </w:r>
      <w:r>
        <w:t>, reduction</w:t>
      </w:r>
      <w:r w:rsidRPr="0088448D">
        <w:t xml:space="preserve"> </w:t>
      </w:r>
      <w:r>
        <w:t>in</w:t>
      </w:r>
      <w:r w:rsidRPr="0088448D">
        <w:t xml:space="preserve"> reported earnings </w:t>
      </w:r>
      <w:r>
        <w:t>and/or</w:t>
      </w:r>
      <w:r w:rsidRPr="0088448D">
        <w:t xml:space="preserve"> exits from income support</w:t>
      </w:r>
      <w:r>
        <w:t xml:space="preserve"> for </w:t>
      </w:r>
      <w:r w:rsidR="00907E94">
        <w:t xml:space="preserve">an </w:t>
      </w:r>
      <w:r w:rsidR="00F8391B">
        <w:t>‘</w:t>
      </w:r>
      <w:r>
        <w:t>employment</w:t>
      </w:r>
      <w:r w:rsidR="00907E94">
        <w:t xml:space="preserve">-related </w:t>
      </w:r>
      <w:r>
        <w:t>reason</w:t>
      </w:r>
      <w:r w:rsidR="00F8391B">
        <w:t>’</w:t>
      </w:r>
      <w:r>
        <w:t xml:space="preserve">. </w:t>
      </w:r>
    </w:p>
    <w:p w14:paraId="6EE886E2" w14:textId="75054B32" w:rsidR="0091404F" w:rsidRDefault="1696147A" w:rsidP="009125CE">
      <w:pPr>
        <w:pStyle w:val="Heading3"/>
        <w:ind w:left="0"/>
      </w:pPr>
      <w:bookmarkStart w:id="2642" w:name="_Toc118817727"/>
      <w:bookmarkStart w:id="2643" w:name="_Toc120273708"/>
      <w:bookmarkStart w:id="2644" w:name="_Toc118817728"/>
      <w:bookmarkStart w:id="2645" w:name="_Toc120273709"/>
      <w:bookmarkStart w:id="2646" w:name="_Toc118817729"/>
      <w:bookmarkStart w:id="2647" w:name="_Toc120273710"/>
      <w:bookmarkStart w:id="2648" w:name="_Toc118817730"/>
      <w:bookmarkStart w:id="2649" w:name="_Toc120273711"/>
      <w:bookmarkStart w:id="2650" w:name="_Toc118817731"/>
      <w:bookmarkStart w:id="2651" w:name="_Toc120273712"/>
      <w:bookmarkStart w:id="2652" w:name="_Toc118817732"/>
      <w:bookmarkStart w:id="2653" w:name="_Toc120273713"/>
      <w:bookmarkStart w:id="2654" w:name="_Toc132650490"/>
      <w:bookmarkStart w:id="2655" w:name="_Toc146033521"/>
      <w:bookmarkEnd w:id="2631"/>
      <w:bookmarkEnd w:id="2641"/>
      <w:bookmarkEnd w:id="2642"/>
      <w:bookmarkEnd w:id="2643"/>
      <w:bookmarkEnd w:id="2644"/>
      <w:bookmarkEnd w:id="2645"/>
      <w:bookmarkEnd w:id="2646"/>
      <w:bookmarkEnd w:id="2647"/>
      <w:bookmarkEnd w:id="2648"/>
      <w:bookmarkEnd w:id="2649"/>
      <w:bookmarkEnd w:id="2650"/>
      <w:bookmarkEnd w:id="2651"/>
      <w:bookmarkEnd w:id="2652"/>
      <w:bookmarkEnd w:id="2653"/>
      <w:r>
        <w:t xml:space="preserve">Number of </w:t>
      </w:r>
      <w:r w:rsidR="00AB0766">
        <w:t>income support</w:t>
      </w:r>
      <w:r>
        <w:t xml:space="preserve"> episodes</w:t>
      </w:r>
      <w:bookmarkEnd w:id="2654"/>
      <w:bookmarkEnd w:id="2655"/>
    </w:p>
    <w:p w14:paraId="698B6E2E" w14:textId="37F21C8B" w:rsidR="0091404F" w:rsidRPr="007A1D5B" w:rsidRDefault="0091404F" w:rsidP="0091404F">
      <w:r>
        <w:t xml:space="preserve">As can be seen in </w:t>
      </w:r>
      <w:r w:rsidR="009A495B" w:rsidRPr="009A495B">
        <w:rPr>
          <w:b/>
          <w:bCs/>
        </w:rPr>
        <w:fldChar w:fldCharType="begin"/>
      </w:r>
      <w:r w:rsidR="009A495B" w:rsidRPr="009A495B">
        <w:rPr>
          <w:b/>
          <w:bCs/>
        </w:rPr>
        <w:instrText xml:space="preserve"> REF _Ref110961823 \h  \* MERGEFORMAT </w:instrText>
      </w:r>
      <w:r w:rsidR="009A495B" w:rsidRPr="009A495B">
        <w:rPr>
          <w:b/>
          <w:bCs/>
        </w:rPr>
      </w:r>
      <w:r w:rsidR="009A495B" w:rsidRPr="009A495B">
        <w:rPr>
          <w:b/>
          <w:bCs/>
        </w:rPr>
        <w:fldChar w:fldCharType="separate"/>
      </w:r>
      <w:r w:rsidR="00180E14" w:rsidRPr="00180E14">
        <w:rPr>
          <w:b/>
          <w:bCs/>
        </w:rPr>
        <w:t xml:space="preserve">Figure </w:t>
      </w:r>
      <w:r w:rsidR="00180E14" w:rsidRPr="00180E14">
        <w:rPr>
          <w:b/>
          <w:bCs/>
          <w:noProof/>
        </w:rPr>
        <w:t>29</w:t>
      </w:r>
      <w:r w:rsidR="009A495B" w:rsidRPr="009A495B">
        <w:rPr>
          <w:b/>
          <w:bCs/>
        </w:rPr>
        <w:fldChar w:fldCharType="end"/>
      </w:r>
      <w:r w:rsidRPr="00E62B01">
        <w:t>, there</w:t>
      </w:r>
      <w:r>
        <w:t xml:space="preserve"> is very little difference between TtW </w:t>
      </w:r>
      <w:r w:rsidR="00E86346">
        <w:t xml:space="preserve">participants </w:t>
      </w:r>
      <w:r>
        <w:t xml:space="preserve">and the comparison group regarding the number of episodes of income support participants experience. Just over half of the TtW participants have one income support episode (53.6%) and just under a third (32.7%) experience </w:t>
      </w:r>
      <w:r w:rsidR="00F8391B">
        <w:t>2</w:t>
      </w:r>
      <w:r>
        <w:t xml:space="preserve"> episodes</w:t>
      </w:r>
      <w:r w:rsidR="006C5F71">
        <w:t>.</w:t>
      </w:r>
      <w:r>
        <w:rPr>
          <w:rStyle w:val="FootnoteReference"/>
        </w:rPr>
        <w:footnoteReference w:id="91"/>
      </w:r>
      <w:r>
        <w:t xml:space="preserve"> </w:t>
      </w:r>
    </w:p>
    <w:p w14:paraId="49D43F22" w14:textId="6B254BC9" w:rsidR="00312146" w:rsidRDefault="00312146" w:rsidP="004A440A">
      <w:pPr>
        <w:pStyle w:val="Caption"/>
        <w:keepNext/>
      </w:pPr>
      <w:bookmarkStart w:id="2656" w:name="_Ref110961823"/>
      <w:bookmarkStart w:id="2657" w:name="_Toc132647870"/>
      <w:bookmarkStart w:id="2658" w:name="_Toc145883339"/>
      <w:bookmarkStart w:id="2659" w:name="_Hlk124850098"/>
      <w:r>
        <w:t xml:space="preserve">Figure </w:t>
      </w:r>
      <w:r w:rsidR="00BE71D4">
        <w:fldChar w:fldCharType="begin"/>
      </w:r>
      <w:r w:rsidR="00BE71D4">
        <w:instrText xml:space="preserve"> SEQ Figure \* ARABIC </w:instrText>
      </w:r>
      <w:r w:rsidR="00BE71D4">
        <w:fldChar w:fldCharType="separate"/>
      </w:r>
      <w:r w:rsidR="00180E14">
        <w:rPr>
          <w:noProof/>
        </w:rPr>
        <w:t>29</w:t>
      </w:r>
      <w:r w:rsidR="00BE71D4">
        <w:rPr>
          <w:noProof/>
        </w:rPr>
        <w:fldChar w:fldCharType="end"/>
      </w:r>
      <w:bookmarkEnd w:id="2656"/>
      <w:r>
        <w:t xml:space="preserve">: </w:t>
      </w:r>
      <w:r w:rsidRPr="000C09A6">
        <w:t>Income support episodes per participant, as at 48 months post</w:t>
      </w:r>
      <w:r w:rsidR="009F1529">
        <w:t xml:space="preserve"> </w:t>
      </w:r>
      <w:r w:rsidRPr="000C09A6">
        <w:t>commencement</w:t>
      </w:r>
      <w:bookmarkEnd w:id="2657"/>
      <w:bookmarkEnd w:id="2658"/>
    </w:p>
    <w:p w14:paraId="4A048248" w14:textId="026DD6E8" w:rsidR="007F7DBC" w:rsidRPr="00C7240E" w:rsidRDefault="00D23BA0" w:rsidP="005C7967">
      <w:pPr>
        <w:spacing w:after="0"/>
      </w:pPr>
      <w:r>
        <w:rPr>
          <w:noProof/>
        </w:rPr>
        <w:drawing>
          <wp:inline distT="0" distB="0" distL="0" distR="0" wp14:anchorId="3A0B11E5" wp14:editId="67528041">
            <wp:extent cx="5675630" cy="2810510"/>
            <wp:effectExtent l="0" t="0" r="0" b="0"/>
            <wp:docPr id="89" name="Picture 89" descr="Graph showing the trends discuss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 showing the trends discussed in the preceding paragraph."/>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5630" cy="2810510"/>
                    </a:xfrm>
                    <a:prstGeom prst="rect">
                      <a:avLst/>
                    </a:prstGeom>
                    <a:noFill/>
                  </pic:spPr>
                </pic:pic>
              </a:graphicData>
            </a:graphic>
          </wp:inline>
        </w:drawing>
      </w:r>
    </w:p>
    <w:p w14:paraId="7C2852C6" w14:textId="1E891EE2" w:rsidR="0093605C" w:rsidRDefault="0093605C" w:rsidP="0091404F">
      <w:pPr>
        <w:pStyle w:val="SourceandNotes"/>
      </w:pPr>
      <w:r w:rsidRPr="005E0ED0">
        <w:t>Source: The department</w:t>
      </w:r>
      <w:r w:rsidR="00F8391B">
        <w:t>’</w:t>
      </w:r>
      <w:r w:rsidRPr="005E0ED0">
        <w:t>s administrative data</w:t>
      </w:r>
    </w:p>
    <w:p w14:paraId="64A715DC" w14:textId="54D78201" w:rsidR="0091404F" w:rsidRPr="005E0ED0" w:rsidRDefault="0091404F" w:rsidP="0091404F">
      <w:pPr>
        <w:pStyle w:val="SourceandNotes"/>
      </w:pPr>
      <w:r w:rsidRPr="005E0ED0">
        <w:t>Base: Matched TtW (n=</w:t>
      </w:r>
      <w:r w:rsidR="0054194B">
        <w:t>8,361</w:t>
      </w:r>
      <w:r w:rsidRPr="005E0ED0">
        <w:t>) and jobactive (n=</w:t>
      </w:r>
      <w:r w:rsidR="0054194B">
        <w:t>8,361</w:t>
      </w:r>
      <w:r w:rsidRPr="005E0ED0">
        <w:t>) cohorts</w:t>
      </w:r>
    </w:p>
    <w:p w14:paraId="7D8B0A4F" w14:textId="086C4248" w:rsidR="00EE664E" w:rsidRDefault="57393A4C" w:rsidP="009125CE">
      <w:pPr>
        <w:pStyle w:val="Heading3"/>
        <w:ind w:left="0"/>
      </w:pPr>
      <w:bookmarkStart w:id="2660" w:name="_Toc109822382"/>
      <w:bookmarkStart w:id="2661" w:name="_Toc109918864"/>
      <w:bookmarkStart w:id="2662" w:name="_Toc110249675"/>
      <w:bookmarkStart w:id="2663" w:name="_Toc110251716"/>
      <w:bookmarkStart w:id="2664" w:name="_Toc110265113"/>
      <w:bookmarkStart w:id="2665" w:name="_Toc110411291"/>
      <w:bookmarkStart w:id="2666" w:name="_Toc109822383"/>
      <w:bookmarkStart w:id="2667" w:name="_Toc109918865"/>
      <w:bookmarkStart w:id="2668" w:name="_Toc110249676"/>
      <w:bookmarkStart w:id="2669" w:name="_Toc110251717"/>
      <w:bookmarkStart w:id="2670" w:name="_Toc110265114"/>
      <w:bookmarkStart w:id="2671" w:name="_Toc110411292"/>
      <w:bookmarkStart w:id="2672" w:name="_Toc132650491"/>
      <w:bookmarkStart w:id="2673" w:name="_Toc146033522"/>
      <w:bookmarkStart w:id="2674" w:name="_Hlk120274941"/>
      <w:bookmarkEnd w:id="2659"/>
      <w:bookmarkEnd w:id="2660"/>
      <w:bookmarkEnd w:id="2661"/>
      <w:bookmarkEnd w:id="2662"/>
      <w:bookmarkEnd w:id="2663"/>
      <w:bookmarkEnd w:id="2664"/>
      <w:bookmarkEnd w:id="2665"/>
      <w:bookmarkEnd w:id="2666"/>
      <w:bookmarkEnd w:id="2667"/>
      <w:bookmarkEnd w:id="2668"/>
      <w:bookmarkEnd w:id="2669"/>
      <w:bookmarkEnd w:id="2670"/>
      <w:bookmarkEnd w:id="2671"/>
      <w:r>
        <w:t>Full-time accredited study or apprenticeships</w:t>
      </w:r>
      <w:bookmarkEnd w:id="2672"/>
      <w:bookmarkEnd w:id="2673"/>
      <w:r>
        <w:t xml:space="preserve"> </w:t>
      </w:r>
    </w:p>
    <w:p w14:paraId="5A178364" w14:textId="6C64B2F2" w:rsidR="00EE664E" w:rsidRDefault="00EE664E" w:rsidP="00EE664E">
      <w:r>
        <w:t xml:space="preserve">While the proportion of participants in either TtW or the comparison group receiving student payments at any time is small, </w:t>
      </w:r>
      <w:r w:rsidR="004976D8">
        <w:t xml:space="preserve">fewer </w:t>
      </w:r>
      <w:r>
        <w:t xml:space="preserve">of the TtW participants are on a student payment one month from commencement. There is a much stronger increase in student payments for the comparison </w:t>
      </w:r>
      <w:r>
        <w:lastRenderedPageBreak/>
        <w:t xml:space="preserve">group participants in the first 6 months from commencement (at 6 months TtW 4.5%, comparison 8.4%). The proportion of </w:t>
      </w:r>
      <w:r w:rsidR="00623A0C">
        <w:t xml:space="preserve">the </w:t>
      </w:r>
      <w:r>
        <w:t xml:space="preserve">TtW </w:t>
      </w:r>
      <w:r w:rsidR="00623A0C">
        <w:t xml:space="preserve">participants </w:t>
      </w:r>
      <w:r>
        <w:t xml:space="preserve">receiving student payments continues to rise slowly to 12 months, where it then remains fairly steady for the next 12 months, while the proportion of comparison group participants falls gradually from </w:t>
      </w:r>
      <w:r w:rsidR="5AFC35CC">
        <w:t xml:space="preserve">6 </w:t>
      </w:r>
      <w:r>
        <w:t xml:space="preserve">months onwards. By month 36, </w:t>
      </w:r>
      <w:r w:rsidR="003F123C">
        <w:t xml:space="preserve">fewer </w:t>
      </w:r>
      <w:r>
        <w:t xml:space="preserve">TtW participants </w:t>
      </w:r>
      <w:r w:rsidR="007F5BCA">
        <w:t xml:space="preserve">(by 2.5 percentage points) </w:t>
      </w:r>
      <w:r>
        <w:t>are receiving a student payment than the comparison group (TtW 3.1%, comparison 5.5%) (</w:t>
      </w:r>
      <w:r w:rsidR="009A495B" w:rsidRPr="009A495B">
        <w:rPr>
          <w:b/>
          <w:bCs/>
        </w:rPr>
        <w:fldChar w:fldCharType="begin"/>
      </w:r>
      <w:r w:rsidR="009A495B" w:rsidRPr="009A495B">
        <w:rPr>
          <w:b/>
          <w:bCs/>
        </w:rPr>
        <w:instrText xml:space="preserve"> REF _Ref110961847 \h </w:instrText>
      </w:r>
      <w:r w:rsidR="009A495B">
        <w:rPr>
          <w:b/>
          <w:bCs/>
        </w:rPr>
        <w:instrText xml:space="preserve"> \* MERGEFORMAT </w:instrText>
      </w:r>
      <w:r w:rsidR="009A495B" w:rsidRPr="009A495B">
        <w:rPr>
          <w:b/>
          <w:bCs/>
        </w:rPr>
      </w:r>
      <w:r w:rsidR="009A495B" w:rsidRPr="009A495B">
        <w:rPr>
          <w:b/>
          <w:bCs/>
        </w:rPr>
        <w:fldChar w:fldCharType="separate"/>
      </w:r>
      <w:r w:rsidR="00180E14" w:rsidRPr="00180E14">
        <w:rPr>
          <w:b/>
          <w:bCs/>
        </w:rPr>
        <w:t xml:space="preserve">Figure </w:t>
      </w:r>
      <w:r w:rsidR="00180E14" w:rsidRPr="00180E14">
        <w:rPr>
          <w:b/>
          <w:bCs/>
          <w:noProof/>
        </w:rPr>
        <w:t>30</w:t>
      </w:r>
      <w:r w:rsidR="009A495B" w:rsidRPr="009A495B">
        <w:rPr>
          <w:b/>
          <w:bCs/>
        </w:rPr>
        <w:fldChar w:fldCharType="end"/>
      </w:r>
      <w:r w:rsidRPr="00E62B01">
        <w:t>).</w:t>
      </w:r>
    </w:p>
    <w:p w14:paraId="5318758F" w14:textId="0993F0DA" w:rsidR="00EE664E" w:rsidRDefault="00EE664E" w:rsidP="00EE664E">
      <w:pPr>
        <w:pStyle w:val="Caption"/>
        <w:keepNext/>
      </w:pPr>
      <w:bookmarkStart w:id="2675" w:name="_Ref110961847"/>
      <w:bookmarkStart w:id="2676" w:name="_Toc132647871"/>
      <w:bookmarkStart w:id="2677" w:name="_Toc145883340"/>
      <w:bookmarkStart w:id="2678" w:name="_Hlk124850106"/>
      <w:r>
        <w:t xml:space="preserve">Figure </w:t>
      </w:r>
      <w:r w:rsidR="00BE71D4">
        <w:fldChar w:fldCharType="begin"/>
      </w:r>
      <w:r w:rsidR="00BE71D4">
        <w:instrText xml:space="preserve"> SEQ Figure \* ARABIC </w:instrText>
      </w:r>
      <w:r w:rsidR="00BE71D4">
        <w:fldChar w:fldCharType="separate"/>
      </w:r>
      <w:r w:rsidR="00180E14">
        <w:rPr>
          <w:noProof/>
        </w:rPr>
        <w:t>30</w:t>
      </w:r>
      <w:r w:rsidR="00BE71D4">
        <w:rPr>
          <w:noProof/>
        </w:rPr>
        <w:fldChar w:fldCharType="end"/>
      </w:r>
      <w:bookmarkEnd w:id="2675"/>
      <w:r>
        <w:t>: P</w:t>
      </w:r>
      <w:r w:rsidR="00D23BA0">
        <w:t>roportion</w:t>
      </w:r>
      <w:r>
        <w:t xml:space="preserve"> of participants on student payments </w:t>
      </w:r>
      <w:r w:rsidR="00D23BA0">
        <w:t xml:space="preserve">(%) </w:t>
      </w:r>
      <w:r>
        <w:t xml:space="preserve">(includes Youth Allowance (Student), Youth </w:t>
      </w:r>
      <w:r w:rsidR="006C5F71">
        <w:t>A</w:t>
      </w:r>
      <w:r>
        <w:t>llowance (Apprenticeship), ABSTUDY, Austudy)</w:t>
      </w:r>
      <w:r w:rsidR="00BA693D">
        <w:t xml:space="preserve"> (</w:t>
      </w:r>
      <w:r w:rsidR="00624266">
        <w:t>1</w:t>
      </w:r>
      <w:r w:rsidR="5AFC35CC">
        <w:t xml:space="preserve"> to </w:t>
      </w:r>
      <w:r w:rsidR="00624266">
        <w:t xml:space="preserve">48 </w:t>
      </w:r>
      <w:r>
        <w:t>months from commencement)</w:t>
      </w:r>
      <w:bookmarkEnd w:id="2676"/>
      <w:bookmarkEnd w:id="2677"/>
    </w:p>
    <w:p w14:paraId="6EB4AFE6" w14:textId="240310D2" w:rsidR="00BB0C7F" w:rsidRPr="00BB0C7F" w:rsidRDefault="00D23BA0" w:rsidP="008E1868">
      <w:pPr>
        <w:spacing w:before="120" w:after="0"/>
      </w:pPr>
      <w:r>
        <w:rPr>
          <w:noProof/>
        </w:rPr>
        <w:drawing>
          <wp:inline distT="0" distB="0" distL="0" distR="0" wp14:anchorId="41E6D73A" wp14:editId="7DCCFD56">
            <wp:extent cx="5499100" cy="2871470"/>
            <wp:effectExtent l="0" t="0" r="0" b="0"/>
            <wp:docPr id="90" name="Picture 90" descr="Graph showing the trends discuss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 showing the trends discussed in the preceding paragraph."/>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99100" cy="2871470"/>
                    </a:xfrm>
                    <a:prstGeom prst="rect">
                      <a:avLst/>
                    </a:prstGeom>
                    <a:noFill/>
                  </pic:spPr>
                </pic:pic>
              </a:graphicData>
            </a:graphic>
          </wp:inline>
        </w:drawing>
      </w:r>
    </w:p>
    <w:p w14:paraId="257E5664" w14:textId="4D75C444" w:rsidR="00EE664E" w:rsidRDefault="00EE664E" w:rsidP="00EE664E">
      <w:pPr>
        <w:pStyle w:val="SourceandNotes"/>
      </w:pPr>
      <w:r w:rsidRPr="002F1F24">
        <w:t>Source: The department</w:t>
      </w:r>
      <w:r w:rsidR="00F8391B">
        <w:t>’</w:t>
      </w:r>
      <w:r w:rsidRPr="002F1F24">
        <w:t xml:space="preserve">s </w:t>
      </w:r>
      <w:r>
        <w:t>administrative data</w:t>
      </w:r>
    </w:p>
    <w:p w14:paraId="7AC50C39" w14:textId="39F74C68" w:rsidR="00EE664E" w:rsidRDefault="00EE664E" w:rsidP="00EE664E">
      <w:pPr>
        <w:pStyle w:val="SourceandNotes"/>
      </w:pPr>
      <w:r>
        <w:t>Base: Matched TtW (n=8</w:t>
      </w:r>
      <w:r w:rsidR="006C5F71">
        <w:t>,</w:t>
      </w:r>
      <w:r>
        <w:t>361) and jobactive (n=8</w:t>
      </w:r>
      <w:r w:rsidR="006C5F71">
        <w:t>,</w:t>
      </w:r>
      <w:r>
        <w:t>361) samples</w:t>
      </w:r>
    </w:p>
    <w:p w14:paraId="34FD1A59" w14:textId="5F3AF43E" w:rsidR="00623A0C" w:rsidRDefault="00623A0C" w:rsidP="00EE664E">
      <w:pPr>
        <w:pStyle w:val="SourceandNotes"/>
      </w:pPr>
      <w:r>
        <w:t>Note: Participants are not required to participate in employment services when they move on to Youth Allowance (Student), Youth Allowance (Apprenticeship), ABSTUDY or Austudy</w:t>
      </w:r>
    </w:p>
    <w:bookmarkEnd w:id="2678"/>
    <w:p w14:paraId="7472D500" w14:textId="53E08DFD" w:rsidR="00EE664E" w:rsidRDefault="00EE664E" w:rsidP="00EE664E">
      <w:r w:rsidRPr="005E5BDE">
        <w:t>The TtW Final Evaluation Report (</w:t>
      </w:r>
      <w:r w:rsidR="00CE0CBD">
        <w:rPr>
          <w:b/>
          <w:bCs/>
        </w:rPr>
        <w:t>DESE 2021</w:t>
      </w:r>
      <w:r w:rsidRPr="005E5BDE">
        <w:t xml:space="preserve">) </w:t>
      </w:r>
      <w:r w:rsidR="00CE116E">
        <w:t>reported</w:t>
      </w:r>
      <w:r w:rsidR="00CE116E" w:rsidRPr="005E5BDE">
        <w:t xml:space="preserve"> </w:t>
      </w:r>
      <w:r w:rsidRPr="005E5BDE">
        <w:t>that TtW achieved almost double the number of study outcomes</w:t>
      </w:r>
      <w:r>
        <w:rPr>
          <w:rStyle w:val="FootnoteReference"/>
        </w:rPr>
        <w:footnoteReference w:id="92"/>
      </w:r>
      <w:r w:rsidRPr="005E5BDE">
        <w:t xml:space="preserve"> for its participants than did jobactive over </w:t>
      </w:r>
      <w:r>
        <w:t xml:space="preserve">the first </w:t>
      </w:r>
      <w:r w:rsidRPr="005E5BDE">
        <w:t xml:space="preserve">12 months </w:t>
      </w:r>
      <w:r>
        <w:t>from commencement and</w:t>
      </w:r>
      <w:r w:rsidRPr="005E5BDE">
        <w:t xml:space="preserve"> was more effective than jobactive at encouraging female participants to </w:t>
      </w:r>
      <w:r>
        <w:t>undertake training or education</w:t>
      </w:r>
      <w:r w:rsidR="00623A0C">
        <w:t>. It</w:t>
      </w:r>
      <w:r w:rsidRPr="005E5BDE">
        <w:t xml:space="preserve"> appears that this may not translate into </w:t>
      </w:r>
      <w:r w:rsidR="00623A0C">
        <w:t>full-time</w:t>
      </w:r>
      <w:r w:rsidRPr="005E5BDE">
        <w:t xml:space="preserve"> accredited study that </w:t>
      </w:r>
      <w:r>
        <w:t>would make participants eligible</w:t>
      </w:r>
      <w:r w:rsidRPr="005E5BDE">
        <w:t xml:space="preserve"> to rec</w:t>
      </w:r>
      <w:r>
        <w:t>eive</w:t>
      </w:r>
      <w:r w:rsidRPr="005E5BDE">
        <w:t xml:space="preserve"> study-related income support payments.</w:t>
      </w:r>
      <w:r w:rsidR="00623A0C">
        <w:t xml:space="preserve"> </w:t>
      </w:r>
    </w:p>
    <w:p w14:paraId="74624939" w14:textId="52F1780A" w:rsidR="00EE664E" w:rsidRDefault="00EE664E" w:rsidP="00EE664E">
      <w:bookmarkStart w:id="2679" w:name="_Hlk120275704"/>
      <w:r w:rsidRPr="00CD7319">
        <w:t xml:space="preserve">This pattern is not surprising given the focus of TtW on promoting </w:t>
      </w:r>
      <w:r w:rsidR="00E26A2B" w:rsidRPr="00CD7319">
        <w:t xml:space="preserve">completion of </w:t>
      </w:r>
      <w:r w:rsidR="006C5F71">
        <w:t>Y</w:t>
      </w:r>
      <w:r w:rsidR="00E26A2B" w:rsidRPr="00CD7319">
        <w:t xml:space="preserve">ear 12 education and </w:t>
      </w:r>
      <w:r w:rsidRPr="00CD7319">
        <w:t xml:space="preserve">training that targets specific skill sets required for work. In addition, compliance mechanisms in jobactive may cause a stronger </w:t>
      </w:r>
      <w:r w:rsidR="00F8391B">
        <w:t>‘</w:t>
      </w:r>
      <w:r w:rsidRPr="00CD7319">
        <w:t>deterrence effect</w:t>
      </w:r>
      <w:r w:rsidR="00F8391B">
        <w:t>’</w:t>
      </w:r>
      <w:r w:rsidRPr="00CD7319">
        <w:t xml:space="preserve"> for jobactive participants, which may motivate jobactive participants to choose to study or enter an apprenticeship with greater urgency. It is interesting that the TtW participants appear to have a slightly higher rate of </w:t>
      </w:r>
      <w:r w:rsidR="00F8391B">
        <w:t>‘</w:t>
      </w:r>
      <w:r w:rsidRPr="00CD7319">
        <w:t>sticking</w:t>
      </w:r>
      <w:r w:rsidR="00F8391B">
        <w:t>’</w:t>
      </w:r>
      <w:r w:rsidRPr="00CD7319">
        <w:t xml:space="preserve"> with their study than jobactive participants, with the proportion of participants on a study payment remaining </w:t>
      </w:r>
      <w:r w:rsidR="00BB0C7F" w:rsidRPr="00CD7319">
        <w:lastRenderedPageBreak/>
        <w:t xml:space="preserve">relatively </w:t>
      </w:r>
      <w:r w:rsidRPr="00CD7319">
        <w:t xml:space="preserve">steady from 6 to 24 months, while </w:t>
      </w:r>
      <w:r w:rsidR="006B2304" w:rsidRPr="00CD7319">
        <w:t xml:space="preserve">the proportion of jobactive </w:t>
      </w:r>
      <w:r w:rsidRPr="00CD7319">
        <w:t>participants show</w:t>
      </w:r>
      <w:r w:rsidR="006B2304" w:rsidRPr="00CD7319">
        <w:t>s</w:t>
      </w:r>
      <w:r w:rsidRPr="00CD7319">
        <w:t xml:space="preserve"> a steady decline</w:t>
      </w:r>
      <w:r w:rsidR="00C15BB9">
        <w:t xml:space="preserve"> after a large increase by month 6</w:t>
      </w:r>
      <w:r w:rsidRPr="00CD7319">
        <w:t>.</w:t>
      </w:r>
    </w:p>
    <w:p w14:paraId="6BCAEEDE" w14:textId="68F3F397" w:rsidR="00322B23" w:rsidRDefault="054E1D10" w:rsidP="006E41FD">
      <w:pPr>
        <w:pStyle w:val="Heading2"/>
      </w:pPr>
      <w:bookmarkStart w:id="2680" w:name="_Toc109822415"/>
      <w:bookmarkStart w:id="2681" w:name="_Toc109918897"/>
      <w:bookmarkStart w:id="2682" w:name="_Toc110249708"/>
      <w:bookmarkStart w:id="2683" w:name="_Toc110251749"/>
      <w:bookmarkStart w:id="2684" w:name="_Toc110265146"/>
      <w:bookmarkStart w:id="2685" w:name="_Toc110411324"/>
      <w:bookmarkStart w:id="2686" w:name="_Toc109822416"/>
      <w:bookmarkStart w:id="2687" w:name="_Toc109918898"/>
      <w:bookmarkStart w:id="2688" w:name="_Toc110249709"/>
      <w:bookmarkStart w:id="2689" w:name="_Toc110251750"/>
      <w:bookmarkStart w:id="2690" w:name="_Toc110265147"/>
      <w:bookmarkStart w:id="2691" w:name="_Toc110411325"/>
      <w:bookmarkStart w:id="2692" w:name="_Toc109822417"/>
      <w:bookmarkStart w:id="2693" w:name="_Toc109918899"/>
      <w:bookmarkStart w:id="2694" w:name="_Toc110249710"/>
      <w:bookmarkStart w:id="2695" w:name="_Toc110251751"/>
      <w:bookmarkStart w:id="2696" w:name="_Toc110265148"/>
      <w:bookmarkStart w:id="2697" w:name="_Toc110411326"/>
      <w:bookmarkStart w:id="2698" w:name="_Toc109822418"/>
      <w:bookmarkStart w:id="2699" w:name="_Toc109918900"/>
      <w:bookmarkStart w:id="2700" w:name="_Toc110249711"/>
      <w:bookmarkStart w:id="2701" w:name="_Toc110251752"/>
      <w:bookmarkStart w:id="2702" w:name="_Toc110265149"/>
      <w:bookmarkStart w:id="2703" w:name="_Toc110411327"/>
      <w:bookmarkStart w:id="2704" w:name="_Toc106711836"/>
      <w:bookmarkStart w:id="2705" w:name="_Toc132650492"/>
      <w:bookmarkStart w:id="2706" w:name="_Toc146033523"/>
      <w:bookmarkEnd w:id="2674"/>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r>
        <w:t>Impact of COVID-19 pandemic</w:t>
      </w:r>
      <w:bookmarkEnd w:id="2704"/>
      <w:bookmarkEnd w:id="2705"/>
      <w:bookmarkEnd w:id="2706"/>
    </w:p>
    <w:p w14:paraId="5EA983B8" w14:textId="7EC9E414" w:rsidR="004E0B64" w:rsidRDefault="004E0B64" w:rsidP="004E0B64">
      <w:bookmarkStart w:id="2707" w:name="_Toc106711837"/>
      <w:bookmarkStart w:id="2708" w:name="_Toc132650493"/>
      <w:bookmarkStart w:id="2709" w:name="_Hlk119076783"/>
      <w:bookmarkStart w:id="2710" w:name="_Hlk116379033"/>
      <w:r w:rsidRPr="004E4886">
        <w:t xml:space="preserve">The COVID-19 pandemic pushed participants from both TtW and jobactive out of the labour market and back on to income support. In both the TtW and jobactive samples, </w:t>
      </w:r>
      <w:r>
        <w:t>there was a 20% drop in the number of participant</w:t>
      </w:r>
      <w:r w:rsidR="00006C6A">
        <w:t>s</w:t>
      </w:r>
      <w:r>
        <w:t xml:space="preserve"> </w:t>
      </w:r>
      <w:r w:rsidRPr="004E4886">
        <w:t xml:space="preserve">who were in employment </w:t>
      </w:r>
      <w:r>
        <w:t>between</w:t>
      </w:r>
      <w:r w:rsidRPr="004E4886">
        <w:t xml:space="preserve"> month 36 </w:t>
      </w:r>
      <w:r>
        <w:t>and month 48</w:t>
      </w:r>
      <w:r>
        <w:rPr>
          <w:rStyle w:val="FootnoteReference"/>
        </w:rPr>
        <w:footnoteReference w:id="93"/>
      </w:r>
      <w:r>
        <w:t xml:space="preserve"> (from</w:t>
      </w:r>
      <w:r w:rsidRPr="004E4886">
        <w:t xml:space="preserve"> </w:t>
      </w:r>
      <w:r w:rsidRPr="004E4886">
        <w:rPr>
          <w:b/>
          <w:bCs/>
        </w:rPr>
        <w:fldChar w:fldCharType="begin"/>
      </w:r>
      <w:r w:rsidRPr="004E4886">
        <w:rPr>
          <w:b/>
          <w:bCs/>
        </w:rPr>
        <w:instrText xml:space="preserve"> REF _Ref110961031 \h  \* MERGEFORMAT </w:instrText>
      </w:r>
      <w:r w:rsidRPr="004E4886">
        <w:rPr>
          <w:b/>
          <w:bCs/>
        </w:rPr>
      </w:r>
      <w:r w:rsidRPr="004E4886">
        <w:rPr>
          <w:b/>
          <w:bCs/>
        </w:rPr>
        <w:fldChar w:fldCharType="separate"/>
      </w:r>
      <w:r w:rsidR="00180E14" w:rsidRPr="00180E14">
        <w:rPr>
          <w:b/>
          <w:bCs/>
        </w:rPr>
        <w:t>Figure</w:t>
      </w:r>
      <w:r w:rsidR="00180E14">
        <w:t xml:space="preserve"> </w:t>
      </w:r>
      <w:r w:rsidR="00180E14">
        <w:rPr>
          <w:noProof/>
        </w:rPr>
        <w:t>26</w:t>
      </w:r>
      <w:r w:rsidRPr="004E4886">
        <w:rPr>
          <w:b/>
          <w:bCs/>
        </w:rPr>
        <w:fldChar w:fldCharType="end"/>
      </w:r>
      <w:r>
        <w:rPr>
          <w:b/>
          <w:bCs/>
        </w:rPr>
        <w:t>)</w:t>
      </w:r>
      <w:r w:rsidRPr="004E4886">
        <w:t xml:space="preserve">. There was a slightly smaller impact on LMA, with a </w:t>
      </w:r>
      <w:r>
        <w:t>16%</w:t>
      </w:r>
      <w:r w:rsidRPr="004E4886">
        <w:t xml:space="preserve"> </w:t>
      </w:r>
      <w:r>
        <w:t>drop in the number of participants who had increased LMA between 36 months and 48 months</w:t>
      </w:r>
      <w:r w:rsidRPr="004E4886">
        <w:t xml:space="preserve">. This compared to a </w:t>
      </w:r>
      <w:r>
        <w:t>12.5%</w:t>
      </w:r>
      <w:r w:rsidRPr="004E4886">
        <w:t xml:space="preserve"> </w:t>
      </w:r>
      <w:r>
        <w:t>drop in the number of participants who had increased LMA between 36 months and 48 months for</w:t>
      </w:r>
      <w:r w:rsidRPr="004E4886">
        <w:t xml:space="preserve"> the comparison group (from </w:t>
      </w:r>
      <w:r w:rsidRPr="004E4886">
        <w:rPr>
          <w:b/>
          <w:bCs/>
        </w:rPr>
        <w:fldChar w:fldCharType="begin"/>
      </w:r>
      <w:r w:rsidRPr="004E4886">
        <w:rPr>
          <w:b/>
          <w:bCs/>
        </w:rPr>
        <w:instrText xml:space="preserve"> REF _Ref110961751 \h  \* MERGEFORMAT </w:instrText>
      </w:r>
      <w:r w:rsidRPr="004E4886">
        <w:rPr>
          <w:b/>
          <w:bCs/>
        </w:rPr>
      </w:r>
      <w:r w:rsidRPr="004E4886">
        <w:rPr>
          <w:b/>
          <w:bCs/>
        </w:rPr>
        <w:fldChar w:fldCharType="separate"/>
      </w:r>
      <w:r w:rsidR="00180E14" w:rsidRPr="00180E14">
        <w:rPr>
          <w:b/>
          <w:bCs/>
        </w:rPr>
        <w:t xml:space="preserve">Figure </w:t>
      </w:r>
      <w:r w:rsidR="00180E14" w:rsidRPr="00180E14">
        <w:rPr>
          <w:b/>
          <w:bCs/>
          <w:noProof/>
        </w:rPr>
        <w:t>27</w:t>
      </w:r>
      <w:r w:rsidRPr="004E4886">
        <w:rPr>
          <w:b/>
          <w:bCs/>
        </w:rPr>
        <w:fldChar w:fldCharType="end"/>
      </w:r>
      <w:r w:rsidRPr="004E4886">
        <w:t xml:space="preserve">). This could indicate that while a proportion of people lost all employment, others were able to maintain work but with reduced hours or wages. It also implies that the </w:t>
      </w:r>
      <w:r w:rsidR="00006C6A">
        <w:t xml:space="preserve">jobactive </w:t>
      </w:r>
      <w:r w:rsidRPr="004E4886">
        <w:t xml:space="preserve">comparison group </w:t>
      </w:r>
      <w:r>
        <w:t xml:space="preserve">may have </w:t>
      </w:r>
      <w:r w:rsidRPr="004E4886">
        <w:t>had a slightly higher degree of employment resilience.</w:t>
      </w:r>
    </w:p>
    <w:p w14:paraId="7FB03116" w14:textId="5DFB69B9" w:rsidR="00D04B6A" w:rsidRDefault="006150C6" w:rsidP="006E41FD">
      <w:pPr>
        <w:pStyle w:val="Heading2"/>
      </w:pPr>
      <w:bookmarkStart w:id="2711" w:name="_Toc146033524"/>
      <w:r>
        <w:t>Long-term</w:t>
      </w:r>
      <w:r w:rsidR="71469254">
        <w:t xml:space="preserve"> impact for participants </w:t>
      </w:r>
      <w:bookmarkEnd w:id="2707"/>
      <w:r w:rsidR="00C7240E">
        <w:t>of different equity cohorts</w:t>
      </w:r>
      <w:bookmarkEnd w:id="2708"/>
      <w:bookmarkEnd w:id="2711"/>
    </w:p>
    <w:p w14:paraId="22896971" w14:textId="224D3C70" w:rsidR="00590D10" w:rsidRDefault="00EF0322">
      <w:bookmarkStart w:id="2712" w:name="_Hlk119061653"/>
      <w:bookmarkStart w:id="2713" w:name="_Hlk119063615"/>
      <w:r>
        <w:t xml:space="preserve">The relative long-term impact of TtW on employment for individuals </w:t>
      </w:r>
      <w:r w:rsidR="00C7240E">
        <w:t>from different equity cohorts</w:t>
      </w:r>
      <w:r w:rsidR="00590D10">
        <w:t xml:space="preserve"> </w:t>
      </w:r>
      <w:r w:rsidR="007C667C">
        <w:t>–</w:t>
      </w:r>
      <w:r w:rsidR="00590D10">
        <w:t xml:space="preserve"> </w:t>
      </w:r>
      <w:r w:rsidR="007C667C">
        <w:t>young people who are female, Aboriginal and</w:t>
      </w:r>
      <w:r w:rsidR="001B09AC">
        <w:t>/or</w:t>
      </w:r>
      <w:r w:rsidR="007C667C">
        <w:t xml:space="preserve"> Torres Strait Islander, have a disability, have not completed </w:t>
      </w:r>
      <w:r w:rsidR="00D72C75">
        <w:t>Y</w:t>
      </w:r>
      <w:r w:rsidR="007C667C">
        <w:t>ear 12 and</w:t>
      </w:r>
      <w:r w:rsidR="00D72C75">
        <w:t>/</w:t>
      </w:r>
      <w:r w:rsidR="007C667C">
        <w:t xml:space="preserve">or </w:t>
      </w:r>
      <w:r w:rsidR="00D72C75">
        <w:t>have</w:t>
      </w:r>
      <w:r w:rsidR="007C667C">
        <w:t xml:space="preserve"> poor or mixed English language competency </w:t>
      </w:r>
      <w:r w:rsidR="00A0020D" w:rsidRPr="00A0020D">
        <w:t>–</w:t>
      </w:r>
      <w:r>
        <w:t xml:space="preserve"> was also explored</w:t>
      </w:r>
      <w:r w:rsidR="00590D10">
        <w:t xml:space="preserve">. The analysis examined the proportion of TtW and comparison group participants from </w:t>
      </w:r>
      <w:r w:rsidR="00F4384C">
        <w:t xml:space="preserve">each </w:t>
      </w:r>
      <w:r w:rsidR="00C7240E">
        <w:t>equity cohort</w:t>
      </w:r>
      <w:r w:rsidR="00590D10">
        <w:t xml:space="preserve"> who were </w:t>
      </w:r>
      <w:r w:rsidR="00C7240E">
        <w:t>off income support for an employment-related reason</w:t>
      </w:r>
      <w:r w:rsidR="00590D10">
        <w:t xml:space="preserve"> 6, 12, 24, 36 and 48 months from commencement</w:t>
      </w:r>
      <w:r>
        <w:t xml:space="preserve">. Regression analysis was used to examine </w:t>
      </w:r>
      <w:r w:rsidR="00C7240E">
        <w:t xml:space="preserve">the relative impact of </w:t>
      </w:r>
      <w:r>
        <w:t xml:space="preserve">TtW on participants </w:t>
      </w:r>
      <w:r w:rsidR="00C7240E">
        <w:t>from these cohorts</w:t>
      </w:r>
      <w:r>
        <w:t>, holding other characteristics constant.</w:t>
      </w:r>
    </w:p>
    <w:p w14:paraId="473964E1" w14:textId="30D30184" w:rsidR="00FF42A1" w:rsidRDefault="0000706C" w:rsidP="0000706C">
      <w:bookmarkStart w:id="2714" w:name="_Hlk121150507"/>
      <w:bookmarkEnd w:id="2712"/>
      <w:r>
        <w:t xml:space="preserve">Over </w:t>
      </w:r>
      <w:r w:rsidR="009E4B68">
        <w:t>the longer term</w:t>
      </w:r>
      <w:r>
        <w:t xml:space="preserve"> (24, 36 and 48 months) there was no significant difference in employment between TtW and jobactive participants </w:t>
      </w:r>
      <w:r w:rsidR="00C7240E">
        <w:t>from any of these cohorts</w:t>
      </w:r>
      <w:r w:rsidR="005C52FA">
        <w:t xml:space="preserve"> (</w:t>
      </w:r>
      <w:r w:rsidR="005C52FA" w:rsidRPr="00D21010">
        <w:rPr>
          <w:b/>
          <w:bCs/>
        </w:rPr>
        <w:fldChar w:fldCharType="begin"/>
      </w:r>
      <w:r w:rsidR="005C52FA" w:rsidRPr="00D21010">
        <w:rPr>
          <w:b/>
          <w:bCs/>
        </w:rPr>
        <w:instrText xml:space="preserve"> REF _Ref119063423 \h </w:instrText>
      </w:r>
      <w:r w:rsidR="005C52FA">
        <w:rPr>
          <w:b/>
          <w:bCs/>
        </w:rPr>
        <w:instrText xml:space="preserve"> \* MERGEFORMAT </w:instrText>
      </w:r>
      <w:r w:rsidR="005C52FA" w:rsidRPr="00D21010">
        <w:rPr>
          <w:b/>
          <w:bCs/>
        </w:rPr>
      </w:r>
      <w:r w:rsidR="005C52FA" w:rsidRPr="00D21010">
        <w:rPr>
          <w:b/>
          <w:bCs/>
        </w:rPr>
        <w:fldChar w:fldCharType="separate"/>
      </w:r>
      <w:r w:rsidR="00180E14" w:rsidRPr="00180E14">
        <w:rPr>
          <w:b/>
          <w:bCs/>
        </w:rPr>
        <w:t xml:space="preserve">Table </w:t>
      </w:r>
      <w:r w:rsidR="00180E14" w:rsidRPr="00180E14">
        <w:rPr>
          <w:b/>
          <w:bCs/>
          <w:noProof/>
        </w:rPr>
        <w:t>13</w:t>
      </w:r>
      <w:r w:rsidR="005C52FA" w:rsidRPr="00D21010">
        <w:rPr>
          <w:b/>
          <w:bCs/>
        </w:rPr>
        <w:fldChar w:fldCharType="end"/>
      </w:r>
      <w:r w:rsidR="005C52FA">
        <w:t>)</w:t>
      </w:r>
      <w:r>
        <w:t>. In line with results for the population as a whole, jobactive was more effective tha</w:t>
      </w:r>
      <w:r w:rsidR="00031180">
        <w:t>n</w:t>
      </w:r>
      <w:r>
        <w:t xml:space="preserve"> TtW at moving young people with any of these specific characteristics into employment at 6 months</w:t>
      </w:r>
      <w:r w:rsidR="00F4384C">
        <w:t xml:space="preserve"> (and for </w:t>
      </w:r>
      <w:r w:rsidR="003A0923">
        <w:t>women</w:t>
      </w:r>
      <w:r w:rsidR="00F4384C">
        <w:t>, jobactive was also more effective at moving them into employment at 12 months</w:t>
      </w:r>
      <w:r w:rsidR="004C5FF8">
        <w:t>)</w:t>
      </w:r>
      <w:r>
        <w:t>.</w:t>
      </w:r>
    </w:p>
    <w:p w14:paraId="758E76BD" w14:textId="6723B79E" w:rsidR="00A806BC" w:rsidRDefault="0000706C" w:rsidP="00CD7319">
      <w:pPr>
        <w:pStyle w:val="Caption"/>
        <w:keepNext/>
      </w:pPr>
      <w:bookmarkStart w:id="2715" w:name="_Ref119063423"/>
      <w:bookmarkStart w:id="2716" w:name="_Toc132647789"/>
      <w:bookmarkStart w:id="2717" w:name="_Toc145877302"/>
      <w:bookmarkStart w:id="2718" w:name="_Hlk124850116"/>
      <w:bookmarkEnd w:id="2714"/>
      <w:r>
        <w:lastRenderedPageBreak/>
        <w:t xml:space="preserve">Table </w:t>
      </w:r>
      <w:r w:rsidR="00BE71D4">
        <w:fldChar w:fldCharType="begin"/>
      </w:r>
      <w:r w:rsidR="00BE71D4">
        <w:instrText xml:space="preserve"> SEQ Table \* ARABIC </w:instrText>
      </w:r>
      <w:r w:rsidR="00BE71D4">
        <w:fldChar w:fldCharType="separate"/>
      </w:r>
      <w:r w:rsidR="00180E14">
        <w:rPr>
          <w:noProof/>
        </w:rPr>
        <w:t>13</w:t>
      </w:r>
      <w:r w:rsidR="00BE71D4">
        <w:rPr>
          <w:noProof/>
        </w:rPr>
        <w:fldChar w:fldCharType="end"/>
      </w:r>
      <w:bookmarkEnd w:id="2715"/>
      <w:r>
        <w:t xml:space="preserve">: </w:t>
      </w:r>
      <w:r w:rsidRPr="00D22D95">
        <w:t>Average change</w:t>
      </w:r>
      <w:r w:rsidRPr="00384933">
        <w:rPr>
          <w:vertAlign w:val="superscript"/>
        </w:rPr>
        <w:t>1</w:t>
      </w:r>
      <w:r w:rsidRPr="00D22D95">
        <w:t xml:space="preserve"> in probability of </w:t>
      </w:r>
      <w:r>
        <w:t xml:space="preserve">TtW </w:t>
      </w:r>
      <w:r w:rsidRPr="0021133F">
        <w:t>participants</w:t>
      </w:r>
      <w:r>
        <w:t xml:space="preserve"> </w:t>
      </w:r>
      <w:r w:rsidRPr="00D22D95">
        <w:t>exiting income support</w:t>
      </w:r>
      <w:r w:rsidRPr="000E2CC8">
        <w:rPr>
          <w:rFonts w:cstheme="minorHAnsi"/>
          <w:szCs w:val="20"/>
          <w:vertAlign w:val="superscript"/>
        </w:rPr>
        <w:t>2</w:t>
      </w:r>
      <w:r w:rsidRPr="00D22D95">
        <w:t xml:space="preserve"> compared to jobactive</w:t>
      </w:r>
      <w:r w:rsidR="008B3D99">
        <w:t>, by participant characteristic</w:t>
      </w:r>
      <w:r w:rsidR="00FF42A1">
        <w:t xml:space="preserve"> (percentage points)</w:t>
      </w:r>
      <w:r>
        <w:t>.</w:t>
      </w:r>
      <w:bookmarkEnd w:id="2716"/>
      <w:bookmarkEnd w:id="2717"/>
    </w:p>
    <w:tbl>
      <w:tblPr>
        <w:tblStyle w:val="TtWReportTableTemplate2"/>
        <w:tblW w:w="8930" w:type="dxa"/>
        <w:tblInd w:w="108" w:type="dxa"/>
        <w:tblLook w:val="04A0" w:firstRow="1" w:lastRow="0" w:firstColumn="1" w:lastColumn="0" w:noHBand="0" w:noVBand="1"/>
      </w:tblPr>
      <w:tblGrid>
        <w:gridCol w:w="2269"/>
        <w:gridCol w:w="1700"/>
        <w:gridCol w:w="1560"/>
        <w:gridCol w:w="1559"/>
        <w:gridCol w:w="1842"/>
      </w:tblGrid>
      <w:tr w:rsidR="00D23BA0" w:rsidRPr="00121B06" w14:paraId="5159BD30" w14:textId="77777777" w:rsidTr="00046630">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2269" w:type="dxa"/>
            <w:shd w:val="clear" w:color="auto" w:fill="5D7A38"/>
            <w:noWrap/>
          </w:tcPr>
          <w:p w14:paraId="2A1A70E5" w14:textId="77777777" w:rsidR="00D23BA0" w:rsidRDefault="00D23BA0" w:rsidP="0006250C">
            <w:pPr>
              <w:keepNext/>
              <w:spacing w:line="25" w:lineRule="atLeast"/>
              <w:jc w:val="center"/>
              <w:rPr>
                <w:rFonts w:cstheme="minorHAnsi"/>
                <w:szCs w:val="20"/>
              </w:rPr>
            </w:pPr>
            <w:r w:rsidRPr="00FF42A1">
              <w:rPr>
                <w:rFonts w:cstheme="minorHAnsi"/>
                <w:szCs w:val="20"/>
              </w:rPr>
              <w:t>Months from commencement</w:t>
            </w:r>
          </w:p>
        </w:tc>
        <w:tc>
          <w:tcPr>
            <w:tcW w:w="1700" w:type="dxa"/>
            <w:shd w:val="clear" w:color="auto" w:fill="5D7A38"/>
          </w:tcPr>
          <w:p w14:paraId="5369CF0B" w14:textId="77777777" w:rsidR="00D23BA0" w:rsidRPr="000E2CC8" w:rsidRDefault="00D23BA0" w:rsidP="0006250C">
            <w:pPr>
              <w:keepNext/>
              <w:spacing w:line="25" w:lineRule="atLeast"/>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Pr>
                <w:rFonts w:cstheme="minorHAnsi"/>
                <w:szCs w:val="20"/>
              </w:rPr>
              <w:t>Female</w:t>
            </w:r>
          </w:p>
        </w:tc>
        <w:tc>
          <w:tcPr>
            <w:tcW w:w="1560" w:type="dxa"/>
            <w:shd w:val="clear" w:color="auto" w:fill="5D7A38"/>
          </w:tcPr>
          <w:p w14:paraId="1D38A846" w14:textId="77777777" w:rsidR="00D23BA0" w:rsidRPr="000E2CC8" w:rsidRDefault="00D23BA0" w:rsidP="0006250C">
            <w:pPr>
              <w:keepNext/>
              <w:spacing w:line="25" w:lineRule="atLeast"/>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sidRPr="0021133F">
              <w:t>Aboriginal and/or Torres Strait Islander</w:t>
            </w:r>
          </w:p>
        </w:tc>
        <w:tc>
          <w:tcPr>
            <w:tcW w:w="1559" w:type="dxa"/>
            <w:shd w:val="clear" w:color="auto" w:fill="5D7A38"/>
          </w:tcPr>
          <w:p w14:paraId="219C3FA7" w14:textId="77777777" w:rsidR="00D23BA0" w:rsidRPr="000E2CC8" w:rsidRDefault="00D23BA0" w:rsidP="0006250C">
            <w:pPr>
              <w:keepNext/>
              <w:spacing w:line="25" w:lineRule="atLeast"/>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Pr>
                <w:rFonts w:cstheme="minorHAnsi"/>
                <w:szCs w:val="20"/>
              </w:rPr>
              <w:t>Disability</w:t>
            </w:r>
            <w:r w:rsidRPr="008E79BF">
              <w:rPr>
                <w:rFonts w:cstheme="minorHAnsi"/>
                <w:szCs w:val="20"/>
                <w:vertAlign w:val="superscript"/>
              </w:rPr>
              <w:t>3</w:t>
            </w:r>
          </w:p>
        </w:tc>
        <w:tc>
          <w:tcPr>
            <w:tcW w:w="1842" w:type="dxa"/>
            <w:shd w:val="clear" w:color="auto" w:fill="5D7A38"/>
          </w:tcPr>
          <w:p w14:paraId="0242A251" w14:textId="7D2DB2AB" w:rsidR="00D23BA0" w:rsidRPr="000E2CC8" w:rsidRDefault="00D23BA0" w:rsidP="0006250C">
            <w:pPr>
              <w:keepNext/>
              <w:spacing w:line="25" w:lineRule="atLeast"/>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Early </w:t>
            </w:r>
            <w:r w:rsidR="00D72C75">
              <w:rPr>
                <w:rFonts w:cstheme="minorHAnsi"/>
                <w:szCs w:val="20"/>
              </w:rPr>
              <w:t>s</w:t>
            </w:r>
            <w:r>
              <w:rPr>
                <w:rFonts w:cstheme="minorHAnsi"/>
                <w:szCs w:val="20"/>
              </w:rPr>
              <w:t xml:space="preserve">chool </w:t>
            </w:r>
            <w:r w:rsidR="00D72C75">
              <w:rPr>
                <w:rFonts w:cstheme="minorHAnsi"/>
                <w:szCs w:val="20"/>
              </w:rPr>
              <w:t>l</w:t>
            </w:r>
            <w:r>
              <w:rPr>
                <w:rFonts w:cstheme="minorHAnsi"/>
                <w:szCs w:val="20"/>
              </w:rPr>
              <w:t>eaver</w:t>
            </w:r>
            <w:r>
              <w:rPr>
                <w:rFonts w:cstheme="minorHAnsi"/>
                <w:szCs w:val="20"/>
                <w:vertAlign w:val="superscript"/>
              </w:rPr>
              <w:t>4</w:t>
            </w:r>
          </w:p>
        </w:tc>
      </w:tr>
      <w:tr w:rsidR="00D23BA0" w:rsidRPr="00121B06" w14:paraId="45815E6B" w14:textId="77777777" w:rsidTr="00D23B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14:paraId="7ABBCA61" w14:textId="77777777" w:rsidR="00D23BA0" w:rsidRPr="00ED6857" w:rsidRDefault="00D23BA0" w:rsidP="0006250C">
            <w:pPr>
              <w:keepNext/>
              <w:spacing w:line="25" w:lineRule="atLeast"/>
              <w:jc w:val="center"/>
              <w:rPr>
                <w:rFonts w:cstheme="minorHAnsi"/>
                <w:b w:val="0"/>
                <w:bCs/>
                <w:szCs w:val="20"/>
              </w:rPr>
            </w:pPr>
            <w:r>
              <w:rPr>
                <w:rFonts w:cstheme="minorHAnsi"/>
                <w:bCs/>
                <w:szCs w:val="20"/>
              </w:rPr>
              <w:t>6</w:t>
            </w:r>
          </w:p>
        </w:tc>
        <w:tc>
          <w:tcPr>
            <w:tcW w:w="1700" w:type="dxa"/>
            <w:noWrap/>
          </w:tcPr>
          <w:p w14:paraId="114FEA52" w14:textId="77777777" w:rsidR="00D23BA0" w:rsidRPr="00184F3E"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-4.9</w:t>
            </w:r>
          </w:p>
        </w:tc>
        <w:tc>
          <w:tcPr>
            <w:tcW w:w="1560" w:type="dxa"/>
          </w:tcPr>
          <w:p w14:paraId="41DD01AA"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-2.1</w:t>
            </w:r>
          </w:p>
        </w:tc>
        <w:tc>
          <w:tcPr>
            <w:tcW w:w="1559" w:type="dxa"/>
          </w:tcPr>
          <w:p w14:paraId="5695A13C"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-3.18</w:t>
            </w:r>
          </w:p>
        </w:tc>
        <w:tc>
          <w:tcPr>
            <w:tcW w:w="1842" w:type="dxa"/>
          </w:tcPr>
          <w:p w14:paraId="455769C4"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-6.19</w:t>
            </w:r>
          </w:p>
        </w:tc>
      </w:tr>
      <w:tr w:rsidR="00D23BA0" w:rsidRPr="00121B06" w14:paraId="074351FD" w14:textId="77777777" w:rsidTr="00D23BA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14:paraId="0F0FFD06" w14:textId="77777777" w:rsidR="00D23BA0" w:rsidRPr="00ED6857" w:rsidRDefault="00D23BA0" w:rsidP="0006250C">
            <w:pPr>
              <w:keepNext/>
              <w:spacing w:line="25" w:lineRule="atLeast"/>
              <w:jc w:val="center"/>
              <w:rPr>
                <w:rFonts w:cstheme="minorHAnsi"/>
                <w:b w:val="0"/>
                <w:bCs/>
                <w:szCs w:val="20"/>
              </w:rPr>
            </w:pPr>
            <w:r>
              <w:rPr>
                <w:rFonts w:cstheme="minorHAnsi"/>
                <w:bCs/>
                <w:szCs w:val="20"/>
              </w:rPr>
              <w:t xml:space="preserve">12 </w:t>
            </w:r>
          </w:p>
        </w:tc>
        <w:tc>
          <w:tcPr>
            <w:tcW w:w="1700" w:type="dxa"/>
            <w:noWrap/>
          </w:tcPr>
          <w:p w14:paraId="736A93F6" w14:textId="77777777" w:rsidR="00D23BA0" w:rsidRPr="00184F3E" w:rsidRDefault="00D23BA0" w:rsidP="0006250C">
            <w:pPr>
              <w:keepNext/>
              <w:spacing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-4.7</w:t>
            </w:r>
          </w:p>
        </w:tc>
        <w:tc>
          <w:tcPr>
            <w:tcW w:w="1560" w:type="dxa"/>
          </w:tcPr>
          <w:p w14:paraId="5ABB3AD4" w14:textId="77777777" w:rsidR="00D23BA0" w:rsidRDefault="00D23BA0" w:rsidP="0006250C">
            <w:pPr>
              <w:keepNext/>
              <w:spacing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303494">
              <w:rPr>
                <w:rFonts w:cstheme="minorHAnsi"/>
                <w:szCs w:val="20"/>
              </w:rPr>
              <w:t>NS</w:t>
            </w:r>
          </w:p>
        </w:tc>
        <w:tc>
          <w:tcPr>
            <w:tcW w:w="1559" w:type="dxa"/>
          </w:tcPr>
          <w:p w14:paraId="5BCCB799" w14:textId="77777777" w:rsidR="00D23BA0" w:rsidRDefault="00D23BA0" w:rsidP="0006250C">
            <w:pPr>
              <w:keepNext/>
              <w:spacing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303494">
              <w:rPr>
                <w:rFonts w:cstheme="minorHAnsi"/>
                <w:szCs w:val="20"/>
              </w:rPr>
              <w:t>NS</w:t>
            </w:r>
          </w:p>
        </w:tc>
        <w:tc>
          <w:tcPr>
            <w:tcW w:w="1842" w:type="dxa"/>
          </w:tcPr>
          <w:p w14:paraId="57AC4797" w14:textId="77777777" w:rsidR="00D23BA0" w:rsidRDefault="00D23BA0" w:rsidP="0006250C">
            <w:pPr>
              <w:keepNext/>
              <w:spacing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303494">
              <w:rPr>
                <w:rFonts w:cstheme="minorHAnsi"/>
                <w:szCs w:val="20"/>
              </w:rPr>
              <w:t>NS</w:t>
            </w:r>
          </w:p>
        </w:tc>
      </w:tr>
      <w:tr w:rsidR="00D23BA0" w:rsidRPr="00121B06" w14:paraId="70CD6FD4" w14:textId="77777777" w:rsidTr="00D23B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14:paraId="3CACFA21" w14:textId="77777777" w:rsidR="00D23BA0" w:rsidRPr="00ED6857" w:rsidRDefault="00D23BA0" w:rsidP="0006250C">
            <w:pPr>
              <w:keepNext/>
              <w:spacing w:line="25" w:lineRule="atLeast"/>
              <w:jc w:val="center"/>
              <w:rPr>
                <w:rFonts w:cstheme="minorHAnsi"/>
                <w:b w:val="0"/>
                <w:bCs/>
                <w:szCs w:val="20"/>
              </w:rPr>
            </w:pPr>
            <w:r>
              <w:rPr>
                <w:rFonts w:cstheme="minorHAnsi"/>
                <w:bCs/>
                <w:szCs w:val="20"/>
              </w:rPr>
              <w:t>24</w:t>
            </w:r>
          </w:p>
        </w:tc>
        <w:tc>
          <w:tcPr>
            <w:tcW w:w="1700" w:type="dxa"/>
            <w:noWrap/>
          </w:tcPr>
          <w:p w14:paraId="530485B3" w14:textId="77777777" w:rsidR="00D23BA0" w:rsidRPr="00184F3E"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NS</w:t>
            </w:r>
          </w:p>
        </w:tc>
        <w:tc>
          <w:tcPr>
            <w:tcW w:w="1560" w:type="dxa"/>
          </w:tcPr>
          <w:p w14:paraId="6F8A0954"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303494">
              <w:rPr>
                <w:rFonts w:cstheme="minorHAnsi"/>
                <w:szCs w:val="20"/>
              </w:rPr>
              <w:t>NS</w:t>
            </w:r>
          </w:p>
        </w:tc>
        <w:tc>
          <w:tcPr>
            <w:tcW w:w="1559" w:type="dxa"/>
          </w:tcPr>
          <w:p w14:paraId="1D94CB89"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303494">
              <w:rPr>
                <w:rFonts w:cstheme="minorHAnsi"/>
                <w:szCs w:val="20"/>
              </w:rPr>
              <w:t>NS</w:t>
            </w:r>
          </w:p>
        </w:tc>
        <w:tc>
          <w:tcPr>
            <w:tcW w:w="1842" w:type="dxa"/>
          </w:tcPr>
          <w:p w14:paraId="70510F86"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303494">
              <w:rPr>
                <w:rFonts w:cstheme="minorHAnsi"/>
                <w:szCs w:val="20"/>
              </w:rPr>
              <w:t>NS</w:t>
            </w:r>
          </w:p>
        </w:tc>
      </w:tr>
      <w:tr w:rsidR="00D23BA0" w:rsidRPr="00121B06" w14:paraId="212238CA" w14:textId="77777777" w:rsidTr="00D23BA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tcPr>
          <w:p w14:paraId="14480471" w14:textId="77777777" w:rsidR="00D23BA0" w:rsidRDefault="00D23BA0" w:rsidP="0006250C">
            <w:pPr>
              <w:keepNext/>
              <w:spacing w:line="25" w:lineRule="atLeast"/>
              <w:jc w:val="center"/>
              <w:rPr>
                <w:rFonts w:cstheme="minorHAnsi"/>
                <w:bCs/>
                <w:szCs w:val="20"/>
              </w:rPr>
            </w:pPr>
            <w:r>
              <w:rPr>
                <w:rFonts w:cstheme="minorHAnsi"/>
                <w:bCs/>
                <w:szCs w:val="20"/>
              </w:rPr>
              <w:t>36</w:t>
            </w:r>
          </w:p>
        </w:tc>
        <w:tc>
          <w:tcPr>
            <w:tcW w:w="1700" w:type="dxa"/>
            <w:noWrap/>
          </w:tcPr>
          <w:p w14:paraId="29DF103C" w14:textId="77777777" w:rsidR="00D23BA0" w:rsidRDefault="00D23BA0" w:rsidP="0006250C">
            <w:pPr>
              <w:keepNext/>
              <w:spacing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DE5A56">
              <w:rPr>
                <w:rFonts w:cstheme="minorHAnsi"/>
                <w:szCs w:val="20"/>
              </w:rPr>
              <w:t>NS</w:t>
            </w:r>
          </w:p>
        </w:tc>
        <w:tc>
          <w:tcPr>
            <w:tcW w:w="1560" w:type="dxa"/>
          </w:tcPr>
          <w:p w14:paraId="6D7E9593" w14:textId="77777777" w:rsidR="00D23BA0" w:rsidRDefault="00D23BA0" w:rsidP="0006250C">
            <w:pPr>
              <w:keepNext/>
              <w:spacing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DE5A56">
              <w:rPr>
                <w:rFonts w:cstheme="minorHAnsi"/>
                <w:szCs w:val="20"/>
              </w:rPr>
              <w:t>NS</w:t>
            </w:r>
          </w:p>
        </w:tc>
        <w:tc>
          <w:tcPr>
            <w:tcW w:w="1559" w:type="dxa"/>
          </w:tcPr>
          <w:p w14:paraId="2C3D290E" w14:textId="77777777" w:rsidR="00D23BA0" w:rsidRDefault="00D23BA0" w:rsidP="0006250C">
            <w:pPr>
              <w:keepNext/>
              <w:spacing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DE5A56">
              <w:rPr>
                <w:rFonts w:cstheme="minorHAnsi"/>
                <w:szCs w:val="20"/>
              </w:rPr>
              <w:t>NS</w:t>
            </w:r>
          </w:p>
        </w:tc>
        <w:tc>
          <w:tcPr>
            <w:tcW w:w="1842" w:type="dxa"/>
          </w:tcPr>
          <w:p w14:paraId="415CD348" w14:textId="77777777" w:rsidR="00D23BA0" w:rsidRDefault="00D23BA0" w:rsidP="0006250C">
            <w:pPr>
              <w:keepNext/>
              <w:spacing w:line="25" w:lineRule="atLeast"/>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DE5A56">
              <w:rPr>
                <w:rFonts w:cstheme="minorHAnsi"/>
                <w:szCs w:val="20"/>
              </w:rPr>
              <w:t>NS</w:t>
            </w:r>
          </w:p>
        </w:tc>
      </w:tr>
      <w:tr w:rsidR="00D23BA0" w:rsidRPr="00121B06" w14:paraId="092A8F82" w14:textId="77777777" w:rsidTr="00D23B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tcPr>
          <w:p w14:paraId="38E969BC" w14:textId="77777777" w:rsidR="00D23BA0" w:rsidRDefault="00D23BA0" w:rsidP="0006250C">
            <w:pPr>
              <w:keepNext/>
              <w:spacing w:line="25" w:lineRule="atLeast"/>
              <w:jc w:val="center"/>
              <w:rPr>
                <w:rFonts w:cstheme="minorHAnsi"/>
                <w:bCs/>
                <w:szCs w:val="20"/>
              </w:rPr>
            </w:pPr>
            <w:r>
              <w:rPr>
                <w:rFonts w:cstheme="minorHAnsi"/>
                <w:bCs/>
                <w:szCs w:val="20"/>
              </w:rPr>
              <w:t>48</w:t>
            </w:r>
          </w:p>
        </w:tc>
        <w:tc>
          <w:tcPr>
            <w:tcW w:w="1700" w:type="dxa"/>
            <w:noWrap/>
          </w:tcPr>
          <w:p w14:paraId="6D8A2EA8"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DE5A56">
              <w:rPr>
                <w:rFonts w:cstheme="minorHAnsi"/>
                <w:szCs w:val="20"/>
              </w:rPr>
              <w:t>NS</w:t>
            </w:r>
          </w:p>
        </w:tc>
        <w:tc>
          <w:tcPr>
            <w:tcW w:w="1560" w:type="dxa"/>
          </w:tcPr>
          <w:p w14:paraId="692CC94E"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DE5A56">
              <w:rPr>
                <w:rFonts w:cstheme="minorHAnsi"/>
                <w:szCs w:val="20"/>
              </w:rPr>
              <w:t>NS</w:t>
            </w:r>
          </w:p>
        </w:tc>
        <w:tc>
          <w:tcPr>
            <w:tcW w:w="1559" w:type="dxa"/>
          </w:tcPr>
          <w:p w14:paraId="7633B34A"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DE5A56">
              <w:rPr>
                <w:rFonts w:cstheme="minorHAnsi"/>
                <w:szCs w:val="20"/>
              </w:rPr>
              <w:t>NS</w:t>
            </w:r>
          </w:p>
        </w:tc>
        <w:tc>
          <w:tcPr>
            <w:tcW w:w="1842" w:type="dxa"/>
          </w:tcPr>
          <w:p w14:paraId="387204AF" w14:textId="77777777" w:rsidR="00D23BA0" w:rsidRDefault="00D23BA0" w:rsidP="0006250C">
            <w:pPr>
              <w:keepNext/>
              <w:spacing w:line="25" w:lineRule="atLeast"/>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DE5A56">
              <w:rPr>
                <w:rFonts w:cstheme="minorHAnsi"/>
                <w:szCs w:val="20"/>
              </w:rPr>
              <w:t>NS</w:t>
            </w:r>
          </w:p>
        </w:tc>
      </w:tr>
    </w:tbl>
    <w:p w14:paraId="73C4E887" w14:textId="4F11A182" w:rsidR="00A806BC" w:rsidRDefault="00A806BC" w:rsidP="00A806BC">
      <w:pPr>
        <w:pStyle w:val="SourceandNotes"/>
      </w:pPr>
      <w:r w:rsidRPr="008E79BF">
        <w:t xml:space="preserve">Base: </w:t>
      </w:r>
      <w:r w:rsidRPr="00CD7319">
        <w:t xml:space="preserve">Matched samples, excluding those with one or more regression model variable with a value of </w:t>
      </w:r>
      <w:r w:rsidR="00F8391B">
        <w:t>‘</w:t>
      </w:r>
      <w:r w:rsidRPr="00CD7319">
        <w:t>Unknown</w:t>
      </w:r>
      <w:r w:rsidR="00F8391B">
        <w:t>’</w:t>
      </w:r>
      <w:r w:rsidRPr="00CD7319">
        <w:t xml:space="preserve"> (TtW: n=1</w:t>
      </w:r>
      <w:r w:rsidR="00D72C75">
        <w:t>,</w:t>
      </w:r>
      <w:r w:rsidRPr="00CD7319">
        <w:t>864</w:t>
      </w:r>
      <w:r w:rsidR="00326E74">
        <w:t>;</w:t>
      </w:r>
      <w:r w:rsidRPr="00CD7319">
        <w:t xml:space="preserve"> jobactive: n=1</w:t>
      </w:r>
      <w:r w:rsidR="00D72C75">
        <w:t>,</w:t>
      </w:r>
      <w:r w:rsidRPr="00CD7319">
        <w:t>856)</w:t>
      </w:r>
    </w:p>
    <w:p w14:paraId="0776E6D8" w14:textId="15F6FE9D" w:rsidR="005A604E" w:rsidRPr="008E79BF" w:rsidRDefault="005A604E" w:rsidP="00A806BC">
      <w:pPr>
        <w:pStyle w:val="SourceandNotes"/>
      </w:pPr>
      <w:r>
        <w:t>NS = no significant difference</w:t>
      </w:r>
    </w:p>
    <w:p w14:paraId="41DFBE0B" w14:textId="3E68B6BA" w:rsidR="00F8391B" w:rsidRPr="005D7F95" w:rsidRDefault="00A806BC" w:rsidP="005D7F95">
      <w:pPr>
        <w:pStyle w:val="SourceandNotes"/>
      </w:pPr>
      <w:r w:rsidRPr="00C239FD">
        <w:t>1</w:t>
      </w:r>
      <w:r w:rsidR="00D72C75" w:rsidRPr="00C239FD">
        <w:t>.</w:t>
      </w:r>
      <w:r w:rsidRPr="00C239FD">
        <w:t xml:space="preserve"> </w:t>
      </w:r>
      <w:r w:rsidRPr="005D7F95">
        <w:t xml:space="preserve">The </w:t>
      </w:r>
      <w:r w:rsidR="00F8391B" w:rsidRPr="005D7F95">
        <w:t>‘</w:t>
      </w:r>
      <w:r w:rsidRPr="005D7F95">
        <w:t>average change</w:t>
      </w:r>
      <w:r w:rsidR="00F8391B" w:rsidRPr="005D7F95">
        <w:t>’</w:t>
      </w:r>
      <w:r w:rsidRPr="005D7F95">
        <w:t xml:space="preserve"> is the difference in probability of the average participant exiting income support in TtW compared to jobactive, adjusted for participant characteristics – that is, the </w:t>
      </w:r>
      <w:r w:rsidR="00F8391B" w:rsidRPr="005D7F95">
        <w:t>‘</w:t>
      </w:r>
      <w:r w:rsidRPr="005D7F95">
        <w:t>average marginal effect</w:t>
      </w:r>
      <w:r w:rsidR="00F8391B" w:rsidRPr="005D7F95">
        <w:t>’</w:t>
      </w:r>
      <w:r w:rsidRPr="005D7F95">
        <w:t xml:space="preserve"> of TtW compared to jobactive.</w:t>
      </w:r>
    </w:p>
    <w:p w14:paraId="6419692B" w14:textId="09314D85" w:rsidR="00A806BC" w:rsidRPr="005D7F95" w:rsidRDefault="00A806BC" w:rsidP="005D7F95">
      <w:pPr>
        <w:pStyle w:val="SourceandNotes"/>
      </w:pPr>
      <w:r w:rsidRPr="00C239FD">
        <w:t>2</w:t>
      </w:r>
      <w:r w:rsidR="00D72C75" w:rsidRPr="00C239FD">
        <w:t>.</w:t>
      </w:r>
      <w:r w:rsidRPr="00C239FD">
        <w:t xml:space="preserve"> </w:t>
      </w:r>
      <w:r w:rsidRPr="005D7F95">
        <w:t xml:space="preserve">Exits from income support only included those which were for </w:t>
      </w:r>
      <w:r w:rsidR="00F8391B" w:rsidRPr="005D7F95">
        <w:t>‘</w:t>
      </w:r>
      <w:r w:rsidRPr="005D7F95">
        <w:t>employment</w:t>
      </w:r>
      <w:r w:rsidR="00907E94" w:rsidRPr="005D7F95">
        <w:t>-</w:t>
      </w:r>
      <w:r w:rsidRPr="005D7F95">
        <w:t>related</w:t>
      </w:r>
      <w:r w:rsidR="00F8391B" w:rsidRPr="005D7F95">
        <w:t>’</w:t>
      </w:r>
      <w:r w:rsidRPr="005D7F95">
        <w:t xml:space="preserve"> reasons. </w:t>
      </w:r>
    </w:p>
    <w:p w14:paraId="3DE486A4" w14:textId="1AE3328F" w:rsidR="00A806BC" w:rsidRPr="005D7F95" w:rsidRDefault="00A806BC" w:rsidP="005D7F95">
      <w:pPr>
        <w:pStyle w:val="SourceandNotes"/>
      </w:pPr>
      <w:r w:rsidRPr="00C239FD">
        <w:t>3</w:t>
      </w:r>
      <w:r w:rsidR="00D72C75" w:rsidRPr="005D7F95">
        <w:t>.</w:t>
      </w:r>
      <w:r w:rsidRPr="00C239FD">
        <w:t xml:space="preserve"> </w:t>
      </w:r>
      <w:r w:rsidRPr="005D7F95">
        <w:t xml:space="preserve">Identifying participants who have a disability is challenging, not least because the Job Seeker Classification Instrument (JSCI) which is used to identify </w:t>
      </w:r>
      <w:r w:rsidR="00F8391B" w:rsidRPr="005D7F95">
        <w:t>‘</w:t>
      </w:r>
      <w:r w:rsidRPr="005D7F95">
        <w:t>disability</w:t>
      </w:r>
      <w:r w:rsidR="00F8391B" w:rsidRPr="005D7F95">
        <w:t>’</w:t>
      </w:r>
      <w:r w:rsidRPr="005D7F95">
        <w:t xml:space="preserve"> relies on voluntary disclosure. The question asked in the JSCI relates to a participant having a disability and/or medical condition at that time which affects their work capacity. That is, the data does not indicate if they do have a disability, but rather, if they believe that their ability to work is affected due to a disability and/or current medical condition.</w:t>
      </w:r>
    </w:p>
    <w:p w14:paraId="030E0A43" w14:textId="726DE28C" w:rsidR="00A806BC" w:rsidRPr="00D72C75" w:rsidRDefault="00A806BC" w:rsidP="005D7F95">
      <w:pPr>
        <w:pStyle w:val="SourceandNotes"/>
      </w:pPr>
      <w:r w:rsidRPr="00C239FD">
        <w:t>4</w:t>
      </w:r>
      <w:r w:rsidR="00D72C75" w:rsidRPr="005D7F95">
        <w:t>.</w:t>
      </w:r>
      <w:r w:rsidRPr="005D7F95">
        <w:t xml:space="preserve"> </w:t>
      </w:r>
      <w:r w:rsidR="00FF42A1" w:rsidRPr="005D7F95">
        <w:t>P</w:t>
      </w:r>
      <w:r w:rsidRPr="005D7F95">
        <w:t>articipants</w:t>
      </w:r>
      <w:r w:rsidRPr="00D72C75">
        <w:t xml:space="preserve"> who had not completed </w:t>
      </w:r>
      <w:r w:rsidR="00D72C75" w:rsidRPr="00D72C75">
        <w:t>Y</w:t>
      </w:r>
      <w:r w:rsidRPr="00D72C75">
        <w:t>ear 12 at commencement.</w:t>
      </w:r>
    </w:p>
    <w:p w14:paraId="74150481" w14:textId="0C8AC25C" w:rsidR="008346F6" w:rsidRDefault="002158AB" w:rsidP="002158AB">
      <w:bookmarkStart w:id="2719" w:name="_Toc109822484"/>
      <w:bookmarkStart w:id="2720" w:name="_Toc109918966"/>
      <w:bookmarkStart w:id="2721" w:name="_Toc110249777"/>
      <w:bookmarkStart w:id="2722" w:name="_Toc110251818"/>
      <w:bookmarkStart w:id="2723" w:name="_Toc110265215"/>
      <w:bookmarkStart w:id="2724" w:name="_Toc110411393"/>
      <w:bookmarkStart w:id="2725" w:name="_Toc109822485"/>
      <w:bookmarkStart w:id="2726" w:name="_Toc109918967"/>
      <w:bookmarkStart w:id="2727" w:name="_Toc110249778"/>
      <w:bookmarkStart w:id="2728" w:name="_Toc110251819"/>
      <w:bookmarkStart w:id="2729" w:name="_Toc110265216"/>
      <w:bookmarkStart w:id="2730" w:name="_Toc110411394"/>
      <w:bookmarkStart w:id="2731" w:name="_Toc109822486"/>
      <w:bookmarkStart w:id="2732" w:name="_Toc109918968"/>
      <w:bookmarkStart w:id="2733" w:name="_Toc110249779"/>
      <w:bookmarkStart w:id="2734" w:name="_Toc110251820"/>
      <w:bookmarkStart w:id="2735" w:name="_Toc110265217"/>
      <w:bookmarkStart w:id="2736" w:name="_Toc110411395"/>
      <w:bookmarkStart w:id="2737" w:name="_Toc109822487"/>
      <w:bookmarkStart w:id="2738" w:name="_Toc109918969"/>
      <w:bookmarkStart w:id="2739" w:name="_Toc110249780"/>
      <w:bookmarkStart w:id="2740" w:name="_Toc110251821"/>
      <w:bookmarkStart w:id="2741" w:name="_Toc110265218"/>
      <w:bookmarkStart w:id="2742" w:name="_Toc110411396"/>
      <w:bookmarkStart w:id="2743" w:name="_Toc109822489"/>
      <w:bookmarkStart w:id="2744" w:name="_Toc109918971"/>
      <w:bookmarkStart w:id="2745" w:name="_Toc110249782"/>
      <w:bookmarkStart w:id="2746" w:name="_Toc110251823"/>
      <w:bookmarkStart w:id="2747" w:name="_Toc110265220"/>
      <w:bookmarkStart w:id="2748" w:name="_Toc110411398"/>
      <w:bookmarkStart w:id="2749" w:name="_Toc109822541"/>
      <w:bookmarkStart w:id="2750" w:name="_Toc109919023"/>
      <w:bookmarkStart w:id="2751" w:name="_Toc110249834"/>
      <w:bookmarkStart w:id="2752" w:name="_Toc110251875"/>
      <w:bookmarkStart w:id="2753" w:name="_Toc110265272"/>
      <w:bookmarkStart w:id="2754" w:name="_Toc110411450"/>
      <w:bookmarkStart w:id="2755" w:name="_Toc109822542"/>
      <w:bookmarkStart w:id="2756" w:name="_Toc109919024"/>
      <w:bookmarkStart w:id="2757" w:name="_Toc110249835"/>
      <w:bookmarkStart w:id="2758" w:name="_Toc110251876"/>
      <w:bookmarkStart w:id="2759" w:name="_Toc110265273"/>
      <w:bookmarkStart w:id="2760" w:name="_Toc110411451"/>
      <w:bookmarkStart w:id="2761" w:name="_Toc109822543"/>
      <w:bookmarkStart w:id="2762" w:name="_Toc109919025"/>
      <w:bookmarkStart w:id="2763" w:name="_Toc110249836"/>
      <w:bookmarkStart w:id="2764" w:name="_Toc110251877"/>
      <w:bookmarkStart w:id="2765" w:name="_Toc110265274"/>
      <w:bookmarkStart w:id="2766" w:name="_Toc110411452"/>
      <w:bookmarkStart w:id="2767" w:name="_Toc109822544"/>
      <w:bookmarkStart w:id="2768" w:name="_Toc109919026"/>
      <w:bookmarkStart w:id="2769" w:name="_Toc110249837"/>
      <w:bookmarkStart w:id="2770" w:name="_Toc110251878"/>
      <w:bookmarkStart w:id="2771" w:name="_Toc110265275"/>
      <w:bookmarkStart w:id="2772" w:name="_Toc110411453"/>
      <w:bookmarkStart w:id="2773" w:name="_Toc109822546"/>
      <w:bookmarkStart w:id="2774" w:name="_Toc109919028"/>
      <w:bookmarkStart w:id="2775" w:name="_Toc110249839"/>
      <w:bookmarkStart w:id="2776" w:name="_Toc110251880"/>
      <w:bookmarkStart w:id="2777" w:name="_Toc110265277"/>
      <w:bookmarkStart w:id="2778" w:name="_Toc110411455"/>
      <w:bookmarkStart w:id="2779" w:name="_Toc109822548"/>
      <w:bookmarkStart w:id="2780" w:name="_Toc109919030"/>
      <w:bookmarkStart w:id="2781" w:name="_Toc110249841"/>
      <w:bookmarkStart w:id="2782" w:name="_Toc110251882"/>
      <w:bookmarkStart w:id="2783" w:name="_Toc110265279"/>
      <w:bookmarkStart w:id="2784" w:name="_Toc110411457"/>
      <w:bookmarkStart w:id="2785" w:name="_Toc109822549"/>
      <w:bookmarkStart w:id="2786" w:name="_Toc109919031"/>
      <w:bookmarkStart w:id="2787" w:name="_Toc110249842"/>
      <w:bookmarkStart w:id="2788" w:name="_Toc110251883"/>
      <w:bookmarkStart w:id="2789" w:name="_Toc110265280"/>
      <w:bookmarkStart w:id="2790" w:name="_Toc110411458"/>
      <w:bookmarkStart w:id="2791" w:name="_Toc109822550"/>
      <w:bookmarkStart w:id="2792" w:name="_Toc109919032"/>
      <w:bookmarkStart w:id="2793" w:name="_Toc110249843"/>
      <w:bookmarkStart w:id="2794" w:name="_Toc110251884"/>
      <w:bookmarkStart w:id="2795" w:name="_Toc110265281"/>
      <w:bookmarkStart w:id="2796" w:name="_Toc110411459"/>
      <w:bookmarkStart w:id="2797" w:name="_Toc109822602"/>
      <w:bookmarkStart w:id="2798" w:name="_Toc109919084"/>
      <w:bookmarkStart w:id="2799" w:name="_Toc110249895"/>
      <w:bookmarkStart w:id="2800" w:name="_Toc110251936"/>
      <w:bookmarkStart w:id="2801" w:name="_Toc110265333"/>
      <w:bookmarkStart w:id="2802" w:name="_Toc110411511"/>
      <w:bookmarkStart w:id="2803" w:name="_Hlk121150538"/>
      <w:bookmarkStart w:id="2804" w:name="_Hlk119072157"/>
      <w:bookmarkEnd w:id="2713"/>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r>
        <w:rPr>
          <w:rFonts w:eastAsia="Calibri"/>
        </w:rPr>
        <w:t xml:space="preserve">While not surprising, it should be noted that for all of these characteristics, in both the TtW cohort and the comparison group, the </w:t>
      </w:r>
      <w:r w:rsidR="00F4384C">
        <w:rPr>
          <w:rFonts w:eastAsia="Calibri"/>
        </w:rPr>
        <w:t xml:space="preserve">respective </w:t>
      </w:r>
      <w:r>
        <w:rPr>
          <w:rFonts w:eastAsia="Calibri"/>
        </w:rPr>
        <w:t>less</w:t>
      </w:r>
      <w:r w:rsidR="00D72C75">
        <w:rPr>
          <w:rFonts w:eastAsia="Calibri"/>
        </w:rPr>
        <w:t xml:space="preserve"> </w:t>
      </w:r>
      <w:r>
        <w:rPr>
          <w:rFonts w:eastAsia="Calibri"/>
        </w:rPr>
        <w:t xml:space="preserve">disadvantaged </w:t>
      </w:r>
      <w:r w:rsidR="00F4384C">
        <w:rPr>
          <w:rFonts w:eastAsia="Calibri"/>
        </w:rPr>
        <w:t>cohort</w:t>
      </w:r>
      <w:r w:rsidR="00AC4EBC">
        <w:rPr>
          <w:rFonts w:eastAsia="Calibri"/>
        </w:rPr>
        <w:t>s</w:t>
      </w:r>
      <w:r w:rsidR="00F4384C">
        <w:rPr>
          <w:rFonts w:eastAsia="Calibri"/>
        </w:rPr>
        <w:t xml:space="preserve"> </w:t>
      </w:r>
      <w:r>
        <w:rPr>
          <w:rFonts w:eastAsia="Calibri"/>
        </w:rPr>
        <w:t>(</w:t>
      </w:r>
      <w:r>
        <w:t xml:space="preserve">non-Indigenous, male, good English, no disability, </w:t>
      </w:r>
      <w:r w:rsidR="00F90B16">
        <w:t>Y</w:t>
      </w:r>
      <w:r>
        <w:t xml:space="preserve">ear 12 or more) had higher exits from income support than the more disadvantaged (Indigenous, female, poor English, disability, less than </w:t>
      </w:r>
      <w:r w:rsidR="00D72C75">
        <w:t>Y</w:t>
      </w:r>
      <w:r>
        <w:t>ear 12)</w:t>
      </w:r>
      <w:r w:rsidR="00E55FA7">
        <w:t xml:space="preserve"> from 1 </w:t>
      </w:r>
      <w:r w:rsidR="00D72C75">
        <w:t xml:space="preserve">to </w:t>
      </w:r>
      <w:r w:rsidR="00E55FA7">
        <w:t xml:space="preserve">48 months. </w:t>
      </w:r>
      <w:bookmarkEnd w:id="2803"/>
      <w:r w:rsidR="00E55FA7">
        <w:t xml:space="preserve">As an example, the proportion of participants off income support at 36 months, just </w:t>
      </w:r>
      <w:r w:rsidR="003B705A">
        <w:t>before</w:t>
      </w:r>
      <w:r w:rsidR="00E55FA7">
        <w:t xml:space="preserve"> </w:t>
      </w:r>
      <w:r w:rsidR="00D0329C">
        <w:t xml:space="preserve">COVID-19 </w:t>
      </w:r>
      <w:r w:rsidR="00E55FA7">
        <w:t xml:space="preserve">and at the point of highest participant </w:t>
      </w:r>
      <w:r w:rsidR="00F4384C">
        <w:t>off</w:t>
      </w:r>
      <w:r w:rsidR="00D0329C">
        <w:t xml:space="preserve"> income support</w:t>
      </w:r>
      <w:r w:rsidR="00F4384C">
        <w:t xml:space="preserve"> </w:t>
      </w:r>
      <w:r w:rsidR="00E55FA7">
        <w:t xml:space="preserve">rates, is presented in </w:t>
      </w:r>
      <w:r w:rsidR="00E55FA7" w:rsidRPr="001F41A7">
        <w:rPr>
          <w:b/>
          <w:bCs/>
        </w:rPr>
        <w:fldChar w:fldCharType="begin"/>
      </w:r>
      <w:r w:rsidR="00E55FA7" w:rsidRPr="001F41A7">
        <w:rPr>
          <w:b/>
          <w:bCs/>
        </w:rPr>
        <w:instrText xml:space="preserve"> REF _Ref119076032 \h </w:instrText>
      </w:r>
      <w:r w:rsidR="00E55FA7">
        <w:rPr>
          <w:b/>
          <w:bCs/>
        </w:rPr>
        <w:instrText xml:space="preserve"> \* MERGEFORMAT </w:instrText>
      </w:r>
      <w:r w:rsidR="00E55FA7" w:rsidRPr="001F41A7">
        <w:rPr>
          <w:b/>
          <w:bCs/>
        </w:rPr>
      </w:r>
      <w:r w:rsidR="00E55FA7" w:rsidRPr="001F41A7">
        <w:rPr>
          <w:b/>
          <w:bCs/>
        </w:rPr>
        <w:fldChar w:fldCharType="separate"/>
      </w:r>
      <w:r w:rsidR="00180E14" w:rsidRPr="00180E14">
        <w:rPr>
          <w:b/>
          <w:bCs/>
        </w:rPr>
        <w:t>Table 14</w:t>
      </w:r>
      <w:r w:rsidR="00E55FA7" w:rsidRPr="001F41A7">
        <w:rPr>
          <w:b/>
          <w:bCs/>
        </w:rPr>
        <w:fldChar w:fldCharType="end"/>
      </w:r>
      <w:r w:rsidR="00E55FA7" w:rsidRPr="00C239FD">
        <w:t>.</w:t>
      </w:r>
    </w:p>
    <w:p w14:paraId="70C93864" w14:textId="32D3FFBE" w:rsidR="00E55FA7" w:rsidRDefault="00E55FA7" w:rsidP="001F41A7">
      <w:pPr>
        <w:pStyle w:val="Caption"/>
        <w:keepNext/>
      </w:pPr>
      <w:bookmarkStart w:id="2805" w:name="_Ref119076032"/>
      <w:bookmarkStart w:id="2806" w:name="_Toc132647790"/>
      <w:bookmarkStart w:id="2807" w:name="_Toc145877303"/>
      <w:bookmarkStart w:id="2808" w:name="_Hlk124850124"/>
      <w:r w:rsidRPr="00D23BA0">
        <w:t xml:space="preserve">Table </w:t>
      </w:r>
      <w:r w:rsidR="00BE71D4">
        <w:fldChar w:fldCharType="begin"/>
      </w:r>
      <w:r w:rsidR="00BE71D4">
        <w:instrText xml:space="preserve"> SEQ Table \* ARABIC </w:instrText>
      </w:r>
      <w:r w:rsidR="00BE71D4">
        <w:fldChar w:fldCharType="separate"/>
      </w:r>
      <w:r w:rsidR="00180E14">
        <w:rPr>
          <w:noProof/>
        </w:rPr>
        <w:t>14</w:t>
      </w:r>
      <w:r w:rsidR="00BE71D4">
        <w:rPr>
          <w:noProof/>
        </w:rPr>
        <w:fldChar w:fldCharType="end"/>
      </w:r>
      <w:bookmarkEnd w:id="2805"/>
      <w:r w:rsidRPr="00D23BA0">
        <w:t xml:space="preserve">: Proportion of participants off income support at 36 </w:t>
      </w:r>
      <w:r w:rsidR="00D608C8" w:rsidRPr="00D23BA0">
        <w:t>months</w:t>
      </w:r>
      <w:r w:rsidRPr="00D23BA0">
        <w:t>, by participant characteristic and program</w:t>
      </w:r>
      <w:r w:rsidR="00A0020D" w:rsidRPr="00D23BA0">
        <w:t xml:space="preserve"> (%)</w:t>
      </w:r>
      <w:bookmarkEnd w:id="2806"/>
      <w:bookmarkEnd w:id="2807"/>
    </w:p>
    <w:tbl>
      <w:tblPr>
        <w:tblW w:w="7418" w:type="dxa"/>
        <w:tblLook w:val="04A0" w:firstRow="1" w:lastRow="0" w:firstColumn="1" w:lastColumn="0" w:noHBand="0" w:noVBand="1"/>
      </w:tblPr>
      <w:tblGrid>
        <w:gridCol w:w="4820"/>
        <w:gridCol w:w="1307"/>
        <w:gridCol w:w="1291"/>
      </w:tblGrid>
      <w:tr w:rsidR="00D23BA0" w:rsidRPr="0096560E" w14:paraId="38E111BC" w14:textId="77777777" w:rsidTr="00046630">
        <w:trPr>
          <w:trHeight w:val="300"/>
          <w:tblHeader/>
        </w:trPr>
        <w:tc>
          <w:tcPr>
            <w:tcW w:w="4820" w:type="dxa"/>
            <w:tcBorders>
              <w:bottom w:val="nil"/>
              <w:right w:val="single" w:sz="4" w:space="0" w:color="auto"/>
            </w:tcBorders>
            <w:shd w:val="clear" w:color="auto" w:fill="5D7A38"/>
            <w:noWrap/>
            <w:hideMark/>
          </w:tcPr>
          <w:p w14:paraId="779BE748" w14:textId="77777777" w:rsidR="00D23BA0" w:rsidRPr="00C239FD" w:rsidRDefault="00D23BA0" w:rsidP="00D23BA0">
            <w:pPr>
              <w:spacing w:before="120" w:after="120"/>
              <w:rPr>
                <w:b/>
                <w:color w:val="FFFFFF" w:themeColor="background1"/>
                <w:sz w:val="20"/>
                <w:szCs w:val="20"/>
              </w:rPr>
            </w:pPr>
            <w:bookmarkStart w:id="2809" w:name="_Hlk136011962"/>
            <w:r w:rsidRPr="00C239FD">
              <w:rPr>
                <w:b/>
                <w:color w:val="FFFFFF" w:themeColor="background1"/>
                <w:sz w:val="20"/>
                <w:szCs w:val="20"/>
              </w:rPr>
              <w:t>Characteristic</w:t>
            </w:r>
          </w:p>
        </w:tc>
        <w:tc>
          <w:tcPr>
            <w:tcW w:w="1307" w:type="dxa"/>
            <w:tcBorders>
              <w:left w:val="single" w:sz="4" w:space="0" w:color="auto"/>
            </w:tcBorders>
            <w:shd w:val="clear" w:color="auto" w:fill="5D7A38"/>
            <w:noWrap/>
            <w:hideMark/>
          </w:tcPr>
          <w:p w14:paraId="3304BDC0" w14:textId="77777777" w:rsidR="00D23BA0" w:rsidRPr="00C239FD" w:rsidRDefault="00D23BA0" w:rsidP="00D23BA0">
            <w:pPr>
              <w:spacing w:before="120" w:after="120"/>
              <w:rPr>
                <w:color w:val="FFFFFF" w:themeColor="background1"/>
                <w:sz w:val="20"/>
                <w:szCs w:val="20"/>
              </w:rPr>
            </w:pPr>
            <w:r w:rsidRPr="00C239FD">
              <w:rPr>
                <w:b/>
                <w:color w:val="FFFFFF" w:themeColor="background1"/>
                <w:sz w:val="20"/>
                <w:szCs w:val="20"/>
              </w:rPr>
              <w:t>TtW</w:t>
            </w:r>
          </w:p>
        </w:tc>
        <w:tc>
          <w:tcPr>
            <w:tcW w:w="1291" w:type="dxa"/>
            <w:shd w:val="clear" w:color="auto" w:fill="5D7A38"/>
            <w:noWrap/>
            <w:hideMark/>
          </w:tcPr>
          <w:p w14:paraId="57F04DAF" w14:textId="77777777" w:rsidR="00D23BA0" w:rsidRPr="00C239FD" w:rsidRDefault="00D23BA0" w:rsidP="00D23BA0">
            <w:pPr>
              <w:spacing w:before="120" w:after="120"/>
              <w:rPr>
                <w:color w:val="FFFFFF" w:themeColor="background1"/>
                <w:sz w:val="20"/>
                <w:szCs w:val="20"/>
              </w:rPr>
            </w:pPr>
            <w:r w:rsidRPr="00C239FD">
              <w:rPr>
                <w:b/>
                <w:color w:val="FFFFFF" w:themeColor="background1"/>
                <w:sz w:val="20"/>
                <w:szCs w:val="20"/>
              </w:rPr>
              <w:t>Comparison</w:t>
            </w:r>
          </w:p>
        </w:tc>
      </w:tr>
      <w:tr w:rsidR="00D23BA0" w:rsidRPr="0096560E" w14:paraId="24E9D270" w14:textId="77777777" w:rsidTr="00D23BA0">
        <w:trPr>
          <w:trHeight w:val="300"/>
        </w:trPr>
        <w:tc>
          <w:tcPr>
            <w:tcW w:w="4820" w:type="dxa"/>
            <w:tcBorders>
              <w:bottom w:val="nil"/>
              <w:right w:val="single" w:sz="4" w:space="0" w:color="auto"/>
            </w:tcBorders>
            <w:shd w:val="clear" w:color="auto" w:fill="D9D9D9"/>
            <w:noWrap/>
          </w:tcPr>
          <w:p w14:paraId="2D722700" w14:textId="77777777" w:rsidR="00D23BA0" w:rsidRPr="0096560E" w:rsidRDefault="00D23BA0" w:rsidP="00D23BA0">
            <w:pPr>
              <w:spacing w:after="0"/>
              <w:rPr>
                <w:b/>
                <w:sz w:val="20"/>
                <w:szCs w:val="20"/>
              </w:rPr>
            </w:pPr>
          </w:p>
        </w:tc>
        <w:tc>
          <w:tcPr>
            <w:tcW w:w="1307" w:type="dxa"/>
            <w:tcBorders>
              <w:left w:val="single" w:sz="4" w:space="0" w:color="auto"/>
            </w:tcBorders>
            <w:shd w:val="clear" w:color="auto" w:fill="D9D9D9"/>
            <w:noWrap/>
          </w:tcPr>
          <w:p w14:paraId="0F4EEC57" w14:textId="77777777" w:rsidR="00D23BA0" w:rsidRPr="0096560E" w:rsidRDefault="00D23BA0" w:rsidP="00D23BA0">
            <w:pPr>
              <w:spacing w:after="0"/>
              <w:rPr>
                <w:sz w:val="20"/>
                <w:szCs w:val="20"/>
              </w:rPr>
            </w:pPr>
            <w:r w:rsidRPr="0096560E">
              <w:rPr>
                <w:sz w:val="20"/>
                <w:szCs w:val="20"/>
              </w:rPr>
              <w:t>%</w:t>
            </w:r>
          </w:p>
        </w:tc>
        <w:tc>
          <w:tcPr>
            <w:tcW w:w="1291" w:type="dxa"/>
            <w:shd w:val="clear" w:color="auto" w:fill="D9D9D9"/>
            <w:noWrap/>
          </w:tcPr>
          <w:p w14:paraId="61CD8811" w14:textId="77777777" w:rsidR="00D23BA0" w:rsidRPr="0096560E" w:rsidRDefault="00D23BA0" w:rsidP="00D23BA0">
            <w:pPr>
              <w:spacing w:after="0"/>
              <w:rPr>
                <w:sz w:val="20"/>
                <w:szCs w:val="20"/>
              </w:rPr>
            </w:pPr>
            <w:r w:rsidRPr="0096560E">
              <w:rPr>
                <w:sz w:val="20"/>
                <w:szCs w:val="20"/>
              </w:rPr>
              <w:t>%</w:t>
            </w:r>
          </w:p>
        </w:tc>
      </w:tr>
      <w:tr w:rsidR="00D23BA0" w:rsidRPr="0096560E" w14:paraId="7EAABEBB" w14:textId="77777777" w:rsidTr="0006250C">
        <w:trPr>
          <w:trHeight w:val="300"/>
        </w:trPr>
        <w:tc>
          <w:tcPr>
            <w:tcW w:w="4820" w:type="dxa"/>
            <w:tcBorders>
              <w:bottom w:val="nil"/>
              <w:right w:val="single" w:sz="4" w:space="0" w:color="auto"/>
            </w:tcBorders>
            <w:noWrap/>
            <w:hideMark/>
          </w:tcPr>
          <w:p w14:paraId="393AD97F" w14:textId="77777777" w:rsidR="00D23BA0" w:rsidRPr="0096560E" w:rsidRDefault="00D23BA0" w:rsidP="00D23BA0">
            <w:pPr>
              <w:spacing w:after="0"/>
              <w:rPr>
                <w:bCs/>
                <w:sz w:val="20"/>
                <w:szCs w:val="20"/>
              </w:rPr>
            </w:pPr>
            <w:r w:rsidRPr="0096560E">
              <w:rPr>
                <w:bCs/>
                <w:sz w:val="20"/>
                <w:szCs w:val="20"/>
              </w:rPr>
              <w:t>Female</w:t>
            </w:r>
          </w:p>
        </w:tc>
        <w:tc>
          <w:tcPr>
            <w:tcW w:w="1307" w:type="dxa"/>
            <w:tcBorders>
              <w:left w:val="single" w:sz="4" w:space="0" w:color="auto"/>
            </w:tcBorders>
            <w:noWrap/>
            <w:hideMark/>
          </w:tcPr>
          <w:p w14:paraId="21B6A991" w14:textId="77777777" w:rsidR="00D23BA0" w:rsidRPr="0096560E" w:rsidRDefault="00D23BA0" w:rsidP="00D23BA0">
            <w:pPr>
              <w:spacing w:after="0"/>
              <w:rPr>
                <w:sz w:val="20"/>
                <w:szCs w:val="20"/>
              </w:rPr>
            </w:pPr>
            <w:r w:rsidRPr="0096560E">
              <w:rPr>
                <w:sz w:val="20"/>
                <w:szCs w:val="20"/>
              </w:rPr>
              <w:t>31.4</w:t>
            </w:r>
          </w:p>
        </w:tc>
        <w:tc>
          <w:tcPr>
            <w:tcW w:w="1291" w:type="dxa"/>
            <w:noWrap/>
            <w:hideMark/>
          </w:tcPr>
          <w:p w14:paraId="7793DDA3" w14:textId="77777777" w:rsidR="00D23BA0" w:rsidRPr="0096560E" w:rsidRDefault="00D23BA0" w:rsidP="00D23BA0">
            <w:pPr>
              <w:spacing w:after="0"/>
              <w:rPr>
                <w:sz w:val="20"/>
                <w:szCs w:val="20"/>
              </w:rPr>
            </w:pPr>
            <w:r w:rsidRPr="0096560E">
              <w:rPr>
                <w:sz w:val="20"/>
                <w:szCs w:val="20"/>
              </w:rPr>
              <w:t>33.3</w:t>
            </w:r>
          </w:p>
        </w:tc>
      </w:tr>
      <w:tr w:rsidR="00D23BA0" w:rsidRPr="0096560E" w14:paraId="1897952E" w14:textId="77777777" w:rsidTr="00D23BA0">
        <w:trPr>
          <w:trHeight w:val="300"/>
        </w:trPr>
        <w:tc>
          <w:tcPr>
            <w:tcW w:w="4820" w:type="dxa"/>
            <w:tcBorders>
              <w:bottom w:val="nil"/>
              <w:right w:val="single" w:sz="4" w:space="0" w:color="auto"/>
            </w:tcBorders>
            <w:shd w:val="clear" w:color="auto" w:fill="FFFFFF" w:themeFill="background1"/>
            <w:noWrap/>
            <w:hideMark/>
          </w:tcPr>
          <w:p w14:paraId="77640A56" w14:textId="77777777" w:rsidR="00D23BA0" w:rsidRPr="0096560E" w:rsidRDefault="00D23BA0" w:rsidP="00D23BA0">
            <w:pPr>
              <w:spacing w:after="0"/>
              <w:rPr>
                <w:bCs/>
                <w:sz w:val="20"/>
                <w:szCs w:val="20"/>
              </w:rPr>
            </w:pPr>
            <w:r w:rsidRPr="0096560E">
              <w:rPr>
                <w:bCs/>
                <w:sz w:val="20"/>
                <w:szCs w:val="20"/>
              </w:rPr>
              <w:t>Male</w:t>
            </w:r>
          </w:p>
        </w:tc>
        <w:tc>
          <w:tcPr>
            <w:tcW w:w="1307" w:type="dxa"/>
            <w:tcBorders>
              <w:left w:val="single" w:sz="4" w:space="0" w:color="auto"/>
            </w:tcBorders>
            <w:shd w:val="clear" w:color="auto" w:fill="FFFFFF" w:themeFill="background1"/>
            <w:noWrap/>
            <w:hideMark/>
          </w:tcPr>
          <w:p w14:paraId="53ED6F91" w14:textId="77777777" w:rsidR="00D23BA0" w:rsidRPr="0096560E" w:rsidRDefault="00D23BA0" w:rsidP="00D23BA0">
            <w:pPr>
              <w:spacing w:after="0"/>
              <w:rPr>
                <w:sz w:val="20"/>
                <w:szCs w:val="20"/>
              </w:rPr>
            </w:pPr>
            <w:r w:rsidRPr="0096560E">
              <w:rPr>
                <w:sz w:val="20"/>
                <w:szCs w:val="20"/>
              </w:rPr>
              <w:t>45.5</w:t>
            </w:r>
          </w:p>
        </w:tc>
        <w:tc>
          <w:tcPr>
            <w:tcW w:w="1291" w:type="dxa"/>
            <w:shd w:val="clear" w:color="auto" w:fill="FFFFFF" w:themeFill="background1"/>
            <w:noWrap/>
            <w:hideMark/>
          </w:tcPr>
          <w:p w14:paraId="56DDDDEC" w14:textId="77777777" w:rsidR="00D23BA0" w:rsidRPr="0096560E" w:rsidRDefault="00D23BA0" w:rsidP="00D23BA0">
            <w:pPr>
              <w:spacing w:after="0"/>
              <w:rPr>
                <w:sz w:val="20"/>
                <w:szCs w:val="20"/>
              </w:rPr>
            </w:pPr>
            <w:r w:rsidRPr="0096560E">
              <w:rPr>
                <w:sz w:val="20"/>
                <w:szCs w:val="20"/>
              </w:rPr>
              <w:t>44.9</w:t>
            </w:r>
          </w:p>
        </w:tc>
      </w:tr>
      <w:tr w:rsidR="00D23BA0" w:rsidRPr="0096560E" w14:paraId="6B66C62E" w14:textId="77777777" w:rsidTr="0006250C">
        <w:trPr>
          <w:trHeight w:val="300"/>
        </w:trPr>
        <w:tc>
          <w:tcPr>
            <w:tcW w:w="4820" w:type="dxa"/>
            <w:tcBorders>
              <w:bottom w:val="nil"/>
              <w:right w:val="single" w:sz="4" w:space="0" w:color="auto"/>
            </w:tcBorders>
            <w:shd w:val="clear" w:color="auto" w:fill="D9D9D9"/>
            <w:noWrap/>
            <w:hideMark/>
          </w:tcPr>
          <w:p w14:paraId="0A42D583" w14:textId="77777777" w:rsidR="00D23BA0" w:rsidRPr="0096560E" w:rsidRDefault="00D23BA0" w:rsidP="00D23BA0">
            <w:pPr>
              <w:spacing w:after="0"/>
              <w:rPr>
                <w:bCs/>
                <w:sz w:val="20"/>
                <w:szCs w:val="20"/>
              </w:rPr>
            </w:pPr>
            <w:r w:rsidRPr="0096560E">
              <w:rPr>
                <w:bCs/>
                <w:sz w:val="20"/>
                <w:szCs w:val="20"/>
              </w:rPr>
              <w:t>Aboriginal and/or Torres Strait Islander</w:t>
            </w:r>
          </w:p>
        </w:tc>
        <w:tc>
          <w:tcPr>
            <w:tcW w:w="1307" w:type="dxa"/>
            <w:tcBorders>
              <w:left w:val="single" w:sz="4" w:space="0" w:color="auto"/>
            </w:tcBorders>
            <w:shd w:val="clear" w:color="auto" w:fill="D9D9D9"/>
            <w:noWrap/>
            <w:hideMark/>
          </w:tcPr>
          <w:p w14:paraId="4105C739" w14:textId="77777777" w:rsidR="00D23BA0" w:rsidRPr="0096560E" w:rsidRDefault="00D23BA0" w:rsidP="00D23BA0">
            <w:pPr>
              <w:spacing w:after="0"/>
              <w:rPr>
                <w:sz w:val="20"/>
                <w:szCs w:val="20"/>
              </w:rPr>
            </w:pPr>
            <w:r w:rsidRPr="0096560E">
              <w:rPr>
                <w:sz w:val="20"/>
                <w:szCs w:val="20"/>
              </w:rPr>
              <w:t>28.7</w:t>
            </w:r>
          </w:p>
        </w:tc>
        <w:tc>
          <w:tcPr>
            <w:tcW w:w="1291" w:type="dxa"/>
            <w:shd w:val="clear" w:color="auto" w:fill="D9D9D9"/>
            <w:noWrap/>
            <w:hideMark/>
          </w:tcPr>
          <w:p w14:paraId="15B8BE3C" w14:textId="77777777" w:rsidR="00D23BA0" w:rsidRPr="0096560E" w:rsidRDefault="00D23BA0" w:rsidP="00D23BA0">
            <w:pPr>
              <w:spacing w:after="0"/>
              <w:rPr>
                <w:sz w:val="20"/>
                <w:szCs w:val="20"/>
              </w:rPr>
            </w:pPr>
            <w:r w:rsidRPr="0096560E">
              <w:rPr>
                <w:sz w:val="20"/>
                <w:szCs w:val="20"/>
              </w:rPr>
              <w:t>27.2</w:t>
            </w:r>
          </w:p>
        </w:tc>
      </w:tr>
      <w:tr w:rsidR="00D23BA0" w:rsidRPr="0096560E" w14:paraId="53FAED2B" w14:textId="77777777" w:rsidTr="0006250C">
        <w:trPr>
          <w:trHeight w:val="300"/>
        </w:trPr>
        <w:tc>
          <w:tcPr>
            <w:tcW w:w="4820" w:type="dxa"/>
            <w:tcBorders>
              <w:bottom w:val="nil"/>
              <w:right w:val="single" w:sz="4" w:space="0" w:color="auto"/>
            </w:tcBorders>
            <w:shd w:val="clear" w:color="auto" w:fill="D9D9D9"/>
            <w:noWrap/>
            <w:hideMark/>
          </w:tcPr>
          <w:p w14:paraId="60CDD05D" w14:textId="77777777" w:rsidR="00D23BA0" w:rsidRPr="0096560E" w:rsidRDefault="00D23BA0" w:rsidP="00D23BA0">
            <w:pPr>
              <w:spacing w:after="0"/>
              <w:rPr>
                <w:bCs/>
                <w:sz w:val="20"/>
                <w:szCs w:val="20"/>
              </w:rPr>
            </w:pPr>
            <w:r w:rsidRPr="0096560E">
              <w:rPr>
                <w:bCs/>
                <w:sz w:val="20"/>
                <w:szCs w:val="20"/>
              </w:rPr>
              <w:t>Non-Aboriginal and/or Torres Strait Islander</w:t>
            </w:r>
          </w:p>
        </w:tc>
        <w:tc>
          <w:tcPr>
            <w:tcW w:w="1307" w:type="dxa"/>
            <w:tcBorders>
              <w:left w:val="single" w:sz="4" w:space="0" w:color="auto"/>
            </w:tcBorders>
            <w:shd w:val="clear" w:color="auto" w:fill="D9D9D9"/>
            <w:noWrap/>
            <w:hideMark/>
          </w:tcPr>
          <w:p w14:paraId="52BF7127" w14:textId="77777777" w:rsidR="00D23BA0" w:rsidRPr="0096560E" w:rsidRDefault="00D23BA0" w:rsidP="00D23BA0">
            <w:pPr>
              <w:spacing w:after="0"/>
              <w:rPr>
                <w:sz w:val="20"/>
                <w:szCs w:val="20"/>
              </w:rPr>
            </w:pPr>
            <w:r w:rsidRPr="0096560E">
              <w:rPr>
                <w:sz w:val="20"/>
                <w:szCs w:val="20"/>
              </w:rPr>
              <w:t>42.4</w:t>
            </w:r>
          </w:p>
        </w:tc>
        <w:tc>
          <w:tcPr>
            <w:tcW w:w="1291" w:type="dxa"/>
            <w:shd w:val="clear" w:color="auto" w:fill="D9D9D9"/>
            <w:noWrap/>
            <w:hideMark/>
          </w:tcPr>
          <w:p w14:paraId="1564B831" w14:textId="77777777" w:rsidR="00D23BA0" w:rsidRPr="0096560E" w:rsidRDefault="00D23BA0" w:rsidP="00D23BA0">
            <w:pPr>
              <w:spacing w:after="0"/>
              <w:rPr>
                <w:sz w:val="20"/>
                <w:szCs w:val="20"/>
              </w:rPr>
            </w:pPr>
            <w:r w:rsidRPr="0096560E">
              <w:rPr>
                <w:sz w:val="20"/>
                <w:szCs w:val="20"/>
              </w:rPr>
              <w:t>42.9</w:t>
            </w:r>
          </w:p>
        </w:tc>
      </w:tr>
      <w:tr w:rsidR="00D23BA0" w:rsidRPr="0096560E" w14:paraId="40E8795F" w14:textId="77777777" w:rsidTr="0006250C">
        <w:trPr>
          <w:trHeight w:val="300"/>
        </w:trPr>
        <w:tc>
          <w:tcPr>
            <w:tcW w:w="4820" w:type="dxa"/>
            <w:tcBorders>
              <w:bottom w:val="nil"/>
              <w:right w:val="single" w:sz="4" w:space="0" w:color="auto"/>
            </w:tcBorders>
            <w:shd w:val="clear" w:color="auto" w:fill="auto"/>
            <w:noWrap/>
            <w:hideMark/>
          </w:tcPr>
          <w:p w14:paraId="5C695B64" w14:textId="77777777" w:rsidR="00D23BA0" w:rsidRPr="0096560E" w:rsidRDefault="00D23BA0" w:rsidP="00D23BA0">
            <w:pPr>
              <w:spacing w:after="0"/>
              <w:rPr>
                <w:bCs/>
                <w:sz w:val="20"/>
                <w:szCs w:val="20"/>
              </w:rPr>
            </w:pPr>
            <w:r w:rsidRPr="0096560E">
              <w:rPr>
                <w:bCs/>
                <w:sz w:val="20"/>
                <w:szCs w:val="20"/>
              </w:rPr>
              <w:t>Poor/mixed English</w:t>
            </w:r>
          </w:p>
        </w:tc>
        <w:tc>
          <w:tcPr>
            <w:tcW w:w="1307" w:type="dxa"/>
            <w:tcBorders>
              <w:left w:val="single" w:sz="4" w:space="0" w:color="auto"/>
            </w:tcBorders>
            <w:shd w:val="clear" w:color="auto" w:fill="auto"/>
            <w:noWrap/>
            <w:hideMark/>
          </w:tcPr>
          <w:p w14:paraId="50E40430" w14:textId="77777777" w:rsidR="00D23BA0" w:rsidRPr="0096560E" w:rsidRDefault="00D23BA0" w:rsidP="00D23BA0">
            <w:pPr>
              <w:spacing w:after="0"/>
              <w:rPr>
                <w:sz w:val="20"/>
                <w:szCs w:val="20"/>
              </w:rPr>
            </w:pPr>
            <w:r w:rsidRPr="0096560E">
              <w:rPr>
                <w:sz w:val="20"/>
                <w:szCs w:val="20"/>
              </w:rPr>
              <w:t>23.3</w:t>
            </w:r>
          </w:p>
        </w:tc>
        <w:tc>
          <w:tcPr>
            <w:tcW w:w="1291" w:type="dxa"/>
            <w:shd w:val="clear" w:color="auto" w:fill="auto"/>
            <w:noWrap/>
            <w:hideMark/>
          </w:tcPr>
          <w:p w14:paraId="56817EC0" w14:textId="77777777" w:rsidR="00D23BA0" w:rsidRPr="0096560E" w:rsidRDefault="00D23BA0" w:rsidP="00D23BA0">
            <w:pPr>
              <w:spacing w:after="0"/>
              <w:rPr>
                <w:sz w:val="20"/>
                <w:szCs w:val="20"/>
              </w:rPr>
            </w:pPr>
            <w:r w:rsidRPr="0096560E">
              <w:rPr>
                <w:sz w:val="20"/>
                <w:szCs w:val="20"/>
              </w:rPr>
              <w:t>30.1</w:t>
            </w:r>
          </w:p>
        </w:tc>
      </w:tr>
      <w:tr w:rsidR="00D23BA0" w:rsidRPr="0096560E" w14:paraId="1B2D1965" w14:textId="77777777" w:rsidTr="0006250C">
        <w:trPr>
          <w:trHeight w:val="300"/>
        </w:trPr>
        <w:tc>
          <w:tcPr>
            <w:tcW w:w="4820" w:type="dxa"/>
            <w:tcBorders>
              <w:bottom w:val="nil"/>
              <w:right w:val="single" w:sz="4" w:space="0" w:color="auto"/>
            </w:tcBorders>
            <w:shd w:val="clear" w:color="auto" w:fill="auto"/>
            <w:noWrap/>
            <w:hideMark/>
          </w:tcPr>
          <w:p w14:paraId="31850163" w14:textId="77777777" w:rsidR="00D23BA0" w:rsidRPr="0096560E" w:rsidRDefault="00D23BA0" w:rsidP="00D23BA0">
            <w:pPr>
              <w:spacing w:after="0"/>
              <w:rPr>
                <w:bCs/>
                <w:sz w:val="20"/>
                <w:szCs w:val="20"/>
              </w:rPr>
            </w:pPr>
            <w:r w:rsidRPr="0096560E">
              <w:rPr>
                <w:bCs/>
                <w:sz w:val="20"/>
                <w:szCs w:val="20"/>
              </w:rPr>
              <w:t>Good English</w:t>
            </w:r>
          </w:p>
        </w:tc>
        <w:tc>
          <w:tcPr>
            <w:tcW w:w="1307" w:type="dxa"/>
            <w:tcBorders>
              <w:left w:val="single" w:sz="4" w:space="0" w:color="auto"/>
            </w:tcBorders>
            <w:shd w:val="clear" w:color="auto" w:fill="auto"/>
            <w:noWrap/>
            <w:hideMark/>
          </w:tcPr>
          <w:p w14:paraId="5692FE91" w14:textId="77777777" w:rsidR="00D23BA0" w:rsidRPr="0096560E" w:rsidRDefault="00D23BA0" w:rsidP="00D23BA0">
            <w:pPr>
              <w:spacing w:after="0"/>
              <w:rPr>
                <w:sz w:val="20"/>
                <w:szCs w:val="20"/>
              </w:rPr>
            </w:pPr>
            <w:r w:rsidRPr="0096560E">
              <w:rPr>
                <w:sz w:val="20"/>
                <w:szCs w:val="20"/>
              </w:rPr>
              <w:t>40.5</w:t>
            </w:r>
          </w:p>
        </w:tc>
        <w:tc>
          <w:tcPr>
            <w:tcW w:w="1291" w:type="dxa"/>
            <w:shd w:val="clear" w:color="auto" w:fill="auto"/>
            <w:noWrap/>
            <w:hideMark/>
          </w:tcPr>
          <w:p w14:paraId="603CE514" w14:textId="77777777" w:rsidR="00D23BA0" w:rsidRPr="0096560E" w:rsidRDefault="00D23BA0" w:rsidP="00D23BA0">
            <w:pPr>
              <w:spacing w:after="0"/>
              <w:rPr>
                <w:sz w:val="20"/>
                <w:szCs w:val="20"/>
              </w:rPr>
            </w:pPr>
            <w:r w:rsidRPr="0096560E">
              <w:rPr>
                <w:sz w:val="20"/>
                <w:szCs w:val="20"/>
              </w:rPr>
              <w:t>40.5</w:t>
            </w:r>
          </w:p>
        </w:tc>
      </w:tr>
      <w:tr w:rsidR="00D23BA0" w:rsidRPr="0096560E" w14:paraId="10360B05" w14:textId="77777777" w:rsidTr="0006250C">
        <w:trPr>
          <w:trHeight w:val="300"/>
        </w:trPr>
        <w:tc>
          <w:tcPr>
            <w:tcW w:w="4820" w:type="dxa"/>
            <w:tcBorders>
              <w:bottom w:val="nil"/>
              <w:right w:val="single" w:sz="4" w:space="0" w:color="auto"/>
            </w:tcBorders>
            <w:shd w:val="clear" w:color="auto" w:fill="D9D9D9"/>
            <w:noWrap/>
            <w:hideMark/>
          </w:tcPr>
          <w:p w14:paraId="2C33E519" w14:textId="77777777" w:rsidR="00D23BA0" w:rsidRPr="0096560E" w:rsidRDefault="00D23BA0" w:rsidP="00D23BA0">
            <w:pPr>
              <w:spacing w:after="0"/>
              <w:rPr>
                <w:bCs/>
                <w:sz w:val="20"/>
                <w:szCs w:val="20"/>
              </w:rPr>
            </w:pPr>
            <w:r w:rsidRPr="0096560E">
              <w:rPr>
                <w:bCs/>
                <w:sz w:val="20"/>
                <w:szCs w:val="20"/>
              </w:rPr>
              <w:t>Disability</w:t>
            </w:r>
          </w:p>
        </w:tc>
        <w:tc>
          <w:tcPr>
            <w:tcW w:w="1307" w:type="dxa"/>
            <w:tcBorders>
              <w:left w:val="single" w:sz="4" w:space="0" w:color="auto"/>
            </w:tcBorders>
            <w:shd w:val="clear" w:color="auto" w:fill="D9D9D9"/>
            <w:noWrap/>
            <w:hideMark/>
          </w:tcPr>
          <w:p w14:paraId="5DE8CCC4" w14:textId="77777777" w:rsidR="00D23BA0" w:rsidRPr="0096560E" w:rsidRDefault="00D23BA0" w:rsidP="00D23BA0">
            <w:pPr>
              <w:spacing w:after="0"/>
              <w:rPr>
                <w:sz w:val="20"/>
                <w:szCs w:val="20"/>
              </w:rPr>
            </w:pPr>
            <w:r w:rsidRPr="0096560E">
              <w:rPr>
                <w:sz w:val="20"/>
                <w:szCs w:val="20"/>
              </w:rPr>
              <w:t>27.6</w:t>
            </w:r>
          </w:p>
        </w:tc>
        <w:tc>
          <w:tcPr>
            <w:tcW w:w="1291" w:type="dxa"/>
            <w:shd w:val="clear" w:color="auto" w:fill="D9D9D9"/>
            <w:noWrap/>
            <w:hideMark/>
          </w:tcPr>
          <w:p w14:paraId="47046F7E" w14:textId="77777777" w:rsidR="00D23BA0" w:rsidRPr="0096560E" w:rsidRDefault="00D23BA0" w:rsidP="00D23BA0">
            <w:pPr>
              <w:spacing w:after="0"/>
              <w:rPr>
                <w:sz w:val="20"/>
                <w:szCs w:val="20"/>
              </w:rPr>
            </w:pPr>
            <w:r w:rsidRPr="0096560E">
              <w:rPr>
                <w:sz w:val="20"/>
                <w:szCs w:val="20"/>
              </w:rPr>
              <w:t>30.3</w:t>
            </w:r>
          </w:p>
        </w:tc>
      </w:tr>
      <w:tr w:rsidR="00D23BA0" w:rsidRPr="0096560E" w14:paraId="384F062A" w14:textId="77777777" w:rsidTr="00D23BA0">
        <w:trPr>
          <w:trHeight w:val="300"/>
        </w:trPr>
        <w:tc>
          <w:tcPr>
            <w:tcW w:w="4820" w:type="dxa"/>
            <w:tcBorders>
              <w:bottom w:val="nil"/>
              <w:right w:val="single" w:sz="4" w:space="0" w:color="auto"/>
            </w:tcBorders>
            <w:shd w:val="clear" w:color="auto" w:fill="D9D9D9"/>
            <w:noWrap/>
            <w:hideMark/>
          </w:tcPr>
          <w:p w14:paraId="045174EB" w14:textId="77777777" w:rsidR="00D23BA0" w:rsidRPr="0096560E" w:rsidRDefault="00D23BA0" w:rsidP="00D23BA0">
            <w:pPr>
              <w:spacing w:after="0"/>
              <w:rPr>
                <w:bCs/>
                <w:sz w:val="20"/>
                <w:szCs w:val="20"/>
              </w:rPr>
            </w:pPr>
            <w:r w:rsidRPr="0096560E">
              <w:rPr>
                <w:bCs/>
                <w:sz w:val="20"/>
                <w:szCs w:val="20"/>
              </w:rPr>
              <w:t>No disability</w:t>
            </w:r>
          </w:p>
        </w:tc>
        <w:tc>
          <w:tcPr>
            <w:tcW w:w="1307" w:type="dxa"/>
            <w:tcBorders>
              <w:left w:val="single" w:sz="4" w:space="0" w:color="auto"/>
            </w:tcBorders>
            <w:shd w:val="clear" w:color="auto" w:fill="D9D9D9"/>
            <w:noWrap/>
            <w:hideMark/>
          </w:tcPr>
          <w:p w14:paraId="43FF1464" w14:textId="77777777" w:rsidR="00D23BA0" w:rsidRPr="0096560E" w:rsidRDefault="00D23BA0" w:rsidP="00D23BA0">
            <w:pPr>
              <w:spacing w:after="0"/>
              <w:rPr>
                <w:sz w:val="20"/>
                <w:szCs w:val="20"/>
              </w:rPr>
            </w:pPr>
            <w:r w:rsidRPr="0096560E">
              <w:rPr>
                <w:sz w:val="20"/>
                <w:szCs w:val="20"/>
              </w:rPr>
              <w:t>40.3</w:t>
            </w:r>
          </w:p>
        </w:tc>
        <w:tc>
          <w:tcPr>
            <w:tcW w:w="1291" w:type="dxa"/>
            <w:shd w:val="clear" w:color="auto" w:fill="D9D9D9"/>
            <w:noWrap/>
            <w:hideMark/>
          </w:tcPr>
          <w:p w14:paraId="2BBE22EF" w14:textId="77777777" w:rsidR="00D23BA0" w:rsidRPr="0096560E" w:rsidRDefault="00D23BA0" w:rsidP="00D23BA0">
            <w:pPr>
              <w:spacing w:after="0"/>
              <w:rPr>
                <w:sz w:val="20"/>
                <w:szCs w:val="20"/>
              </w:rPr>
            </w:pPr>
            <w:r w:rsidRPr="0096560E">
              <w:rPr>
                <w:sz w:val="20"/>
                <w:szCs w:val="20"/>
              </w:rPr>
              <w:t>40.2</w:t>
            </w:r>
          </w:p>
        </w:tc>
      </w:tr>
      <w:tr w:rsidR="00D23BA0" w:rsidRPr="0096560E" w14:paraId="428856DE" w14:textId="77777777" w:rsidTr="00D23BA0">
        <w:trPr>
          <w:trHeight w:val="300"/>
        </w:trPr>
        <w:tc>
          <w:tcPr>
            <w:tcW w:w="4820" w:type="dxa"/>
            <w:tcBorders>
              <w:right w:val="single" w:sz="4" w:space="0" w:color="auto"/>
            </w:tcBorders>
            <w:shd w:val="clear" w:color="auto" w:fill="auto"/>
            <w:noWrap/>
            <w:hideMark/>
          </w:tcPr>
          <w:p w14:paraId="4AAC3CD8" w14:textId="18727CD4" w:rsidR="00D23BA0" w:rsidRPr="0096560E" w:rsidRDefault="00D23BA0" w:rsidP="00D23BA0">
            <w:pPr>
              <w:spacing w:after="0"/>
              <w:rPr>
                <w:bCs/>
                <w:sz w:val="20"/>
                <w:szCs w:val="20"/>
              </w:rPr>
            </w:pPr>
            <w:r w:rsidRPr="0096560E">
              <w:rPr>
                <w:bCs/>
                <w:sz w:val="20"/>
                <w:szCs w:val="20"/>
              </w:rPr>
              <w:t>Education level at commencement:</w:t>
            </w:r>
            <w:r w:rsidR="00F8391B" w:rsidRPr="0096560E">
              <w:rPr>
                <w:bCs/>
                <w:sz w:val="20"/>
                <w:szCs w:val="20"/>
              </w:rPr>
              <w:t xml:space="preserve"> </w:t>
            </w:r>
            <w:r w:rsidR="00D72C75" w:rsidRPr="0096560E">
              <w:rPr>
                <w:bCs/>
                <w:sz w:val="20"/>
                <w:szCs w:val="20"/>
              </w:rPr>
              <w:t>u</w:t>
            </w:r>
            <w:r w:rsidRPr="0096560E">
              <w:rPr>
                <w:bCs/>
                <w:sz w:val="20"/>
                <w:szCs w:val="20"/>
              </w:rPr>
              <w:t xml:space="preserve">nder </w:t>
            </w:r>
            <w:r w:rsidR="00D72C75" w:rsidRPr="0096560E">
              <w:rPr>
                <w:bCs/>
                <w:sz w:val="20"/>
                <w:szCs w:val="20"/>
              </w:rPr>
              <w:t>Year</w:t>
            </w:r>
            <w:r w:rsidRPr="0096560E">
              <w:rPr>
                <w:bCs/>
                <w:sz w:val="20"/>
                <w:szCs w:val="20"/>
              </w:rPr>
              <w:t xml:space="preserve"> 12</w:t>
            </w:r>
          </w:p>
        </w:tc>
        <w:tc>
          <w:tcPr>
            <w:tcW w:w="1307" w:type="dxa"/>
            <w:tcBorders>
              <w:left w:val="single" w:sz="4" w:space="0" w:color="auto"/>
            </w:tcBorders>
            <w:shd w:val="clear" w:color="auto" w:fill="auto"/>
            <w:noWrap/>
            <w:hideMark/>
          </w:tcPr>
          <w:p w14:paraId="4CA6FE2A" w14:textId="77777777" w:rsidR="00D23BA0" w:rsidRPr="0096560E" w:rsidRDefault="00D23BA0" w:rsidP="00D23BA0">
            <w:pPr>
              <w:spacing w:after="0"/>
              <w:rPr>
                <w:sz w:val="20"/>
                <w:szCs w:val="20"/>
              </w:rPr>
            </w:pPr>
            <w:r w:rsidRPr="0096560E">
              <w:rPr>
                <w:sz w:val="20"/>
                <w:szCs w:val="20"/>
              </w:rPr>
              <w:t>35.7</w:t>
            </w:r>
          </w:p>
        </w:tc>
        <w:tc>
          <w:tcPr>
            <w:tcW w:w="1291" w:type="dxa"/>
            <w:shd w:val="clear" w:color="auto" w:fill="auto"/>
            <w:noWrap/>
            <w:hideMark/>
          </w:tcPr>
          <w:p w14:paraId="3D7166FA" w14:textId="77777777" w:rsidR="00D23BA0" w:rsidRPr="0096560E" w:rsidRDefault="00D23BA0" w:rsidP="00D23BA0">
            <w:pPr>
              <w:spacing w:after="0"/>
              <w:rPr>
                <w:sz w:val="20"/>
                <w:szCs w:val="20"/>
              </w:rPr>
            </w:pPr>
            <w:r w:rsidRPr="0096560E">
              <w:rPr>
                <w:sz w:val="20"/>
                <w:szCs w:val="20"/>
              </w:rPr>
              <w:t>33.3</w:t>
            </w:r>
          </w:p>
        </w:tc>
      </w:tr>
      <w:tr w:rsidR="00D23BA0" w:rsidRPr="0096560E" w14:paraId="2008174C" w14:textId="77777777" w:rsidTr="00D23BA0">
        <w:trPr>
          <w:trHeight w:val="300"/>
        </w:trPr>
        <w:tc>
          <w:tcPr>
            <w:tcW w:w="4820" w:type="dxa"/>
            <w:tcBorders>
              <w:bottom w:val="single" w:sz="4" w:space="0" w:color="auto"/>
              <w:right w:val="single" w:sz="4" w:space="0" w:color="auto"/>
            </w:tcBorders>
            <w:shd w:val="clear" w:color="auto" w:fill="auto"/>
            <w:noWrap/>
            <w:hideMark/>
          </w:tcPr>
          <w:p w14:paraId="03795885" w14:textId="7B2BA010" w:rsidR="00D23BA0" w:rsidRPr="0096560E" w:rsidRDefault="00D23BA0" w:rsidP="00D23BA0">
            <w:pPr>
              <w:spacing w:after="0"/>
              <w:rPr>
                <w:bCs/>
                <w:sz w:val="20"/>
                <w:szCs w:val="20"/>
              </w:rPr>
            </w:pPr>
            <w:r w:rsidRPr="0096560E">
              <w:rPr>
                <w:bCs/>
                <w:sz w:val="20"/>
                <w:szCs w:val="20"/>
              </w:rPr>
              <w:t xml:space="preserve">Education level at commencement: </w:t>
            </w:r>
            <w:r w:rsidR="00D72C75" w:rsidRPr="0096560E">
              <w:rPr>
                <w:bCs/>
                <w:sz w:val="20"/>
                <w:szCs w:val="20"/>
              </w:rPr>
              <w:t>Year</w:t>
            </w:r>
            <w:r w:rsidRPr="0096560E">
              <w:rPr>
                <w:bCs/>
                <w:sz w:val="20"/>
                <w:szCs w:val="20"/>
              </w:rPr>
              <w:t xml:space="preserve"> 12 and above</w:t>
            </w:r>
          </w:p>
        </w:tc>
        <w:tc>
          <w:tcPr>
            <w:tcW w:w="1307" w:type="dxa"/>
            <w:tcBorders>
              <w:left w:val="single" w:sz="4" w:space="0" w:color="auto"/>
              <w:bottom w:val="single" w:sz="4" w:space="0" w:color="auto"/>
            </w:tcBorders>
            <w:shd w:val="clear" w:color="auto" w:fill="auto"/>
            <w:noWrap/>
            <w:hideMark/>
          </w:tcPr>
          <w:p w14:paraId="61459FEF" w14:textId="77777777" w:rsidR="00D23BA0" w:rsidRPr="0096560E" w:rsidRDefault="00D23BA0" w:rsidP="00D23BA0">
            <w:pPr>
              <w:spacing w:after="0"/>
              <w:rPr>
                <w:sz w:val="20"/>
                <w:szCs w:val="20"/>
              </w:rPr>
            </w:pPr>
            <w:r w:rsidRPr="0096560E">
              <w:rPr>
                <w:sz w:val="20"/>
                <w:szCs w:val="20"/>
              </w:rPr>
              <w:t>46.9</w:t>
            </w:r>
          </w:p>
        </w:tc>
        <w:tc>
          <w:tcPr>
            <w:tcW w:w="1291" w:type="dxa"/>
            <w:tcBorders>
              <w:bottom w:val="single" w:sz="4" w:space="0" w:color="auto"/>
            </w:tcBorders>
            <w:shd w:val="clear" w:color="auto" w:fill="auto"/>
            <w:noWrap/>
            <w:hideMark/>
          </w:tcPr>
          <w:p w14:paraId="471587D0" w14:textId="77777777" w:rsidR="00D23BA0" w:rsidRPr="0096560E" w:rsidRDefault="00D23BA0" w:rsidP="00D23BA0">
            <w:pPr>
              <w:spacing w:after="0"/>
              <w:rPr>
                <w:sz w:val="20"/>
                <w:szCs w:val="20"/>
              </w:rPr>
            </w:pPr>
            <w:r w:rsidRPr="0096560E">
              <w:rPr>
                <w:sz w:val="20"/>
                <w:szCs w:val="20"/>
              </w:rPr>
              <w:t>51.2</w:t>
            </w:r>
          </w:p>
        </w:tc>
      </w:tr>
    </w:tbl>
    <w:bookmarkEnd w:id="2809"/>
    <w:p w14:paraId="778728BE" w14:textId="53A877DA" w:rsidR="00BF2481" w:rsidRDefault="00BF2481" w:rsidP="00BF2481">
      <w:pPr>
        <w:pStyle w:val="SourceandNotes"/>
        <w:rPr>
          <w:rFonts w:eastAsia="Calibri"/>
        </w:rPr>
      </w:pPr>
      <w:r w:rsidRPr="003C6B9A">
        <w:rPr>
          <w:rFonts w:eastAsia="Calibri"/>
        </w:rPr>
        <w:t>Source: The department</w:t>
      </w:r>
      <w:r w:rsidR="00F8391B">
        <w:rPr>
          <w:rFonts w:eastAsia="Calibri"/>
        </w:rPr>
        <w:t>’</w:t>
      </w:r>
      <w:r w:rsidRPr="003C6B9A">
        <w:rPr>
          <w:rFonts w:eastAsia="Calibri"/>
        </w:rPr>
        <w:t>s administrative data</w:t>
      </w:r>
    </w:p>
    <w:p w14:paraId="731E9EC0" w14:textId="010AD1B9" w:rsidR="00BF2481" w:rsidRDefault="00BF2481" w:rsidP="00BF2481">
      <w:pPr>
        <w:pStyle w:val="SourceandNotes"/>
        <w:rPr>
          <w:rFonts w:eastAsia="Calibri"/>
        </w:rPr>
      </w:pPr>
      <w:r w:rsidRPr="003C6B9A">
        <w:rPr>
          <w:rFonts w:eastAsia="Calibri"/>
        </w:rPr>
        <w:t>Base</w:t>
      </w:r>
      <w:r>
        <w:rPr>
          <w:rFonts w:eastAsia="Calibri"/>
        </w:rPr>
        <w:t>: TtW n=8,361, jobactive n=8,361</w:t>
      </w:r>
    </w:p>
    <w:p w14:paraId="0982E523" w14:textId="171C4C6C" w:rsidR="00BF2481" w:rsidRDefault="00BF2481" w:rsidP="00BF2481">
      <w:pPr>
        <w:pStyle w:val="SourceandNotes"/>
        <w:rPr>
          <w:rFonts w:eastAsia="Calibri"/>
        </w:rPr>
      </w:pPr>
      <w:r>
        <w:rPr>
          <w:rFonts w:eastAsia="Calibri"/>
        </w:rPr>
        <w:t xml:space="preserve">Sample sizes for each characteristic </w:t>
      </w:r>
      <w:r w:rsidR="00326E74">
        <w:rPr>
          <w:rFonts w:eastAsia="Calibri"/>
        </w:rPr>
        <w:t>were</w:t>
      </w:r>
      <w:r>
        <w:rPr>
          <w:rFonts w:eastAsia="Calibri"/>
        </w:rPr>
        <w:t xml:space="preserve"> respectively:</w:t>
      </w:r>
    </w:p>
    <w:p w14:paraId="1732F610" w14:textId="40096C08" w:rsidR="00BF2481" w:rsidRDefault="00BF2481" w:rsidP="00BF2481">
      <w:pPr>
        <w:pStyle w:val="SourceandNotes"/>
        <w:rPr>
          <w:rFonts w:eastAsia="Calibri"/>
        </w:rPr>
      </w:pPr>
      <w:r w:rsidRPr="003C6B9A">
        <w:rPr>
          <w:rFonts w:eastAsia="Calibri"/>
        </w:rPr>
        <w:t xml:space="preserve">TtW Male </w:t>
      </w:r>
      <w:r w:rsidR="00326E74">
        <w:rPr>
          <w:rFonts w:eastAsia="Calibri"/>
        </w:rPr>
        <w:t>(n=</w:t>
      </w:r>
      <w:r w:rsidRPr="003C6B9A">
        <w:rPr>
          <w:rFonts w:eastAsia="Calibri"/>
        </w:rPr>
        <w:t>4</w:t>
      </w:r>
      <w:r w:rsidR="00326E74">
        <w:rPr>
          <w:rFonts w:eastAsia="Calibri"/>
        </w:rPr>
        <w:t>,</w:t>
      </w:r>
      <w:r w:rsidRPr="003C6B9A">
        <w:rPr>
          <w:rFonts w:eastAsia="Calibri"/>
        </w:rPr>
        <w:t xml:space="preserve">671) and jobactive Male </w:t>
      </w:r>
      <w:r w:rsidR="00326E74">
        <w:rPr>
          <w:rFonts w:eastAsia="Calibri"/>
        </w:rPr>
        <w:t>(n=</w:t>
      </w:r>
      <w:r w:rsidRPr="003C6B9A">
        <w:rPr>
          <w:rFonts w:eastAsia="Calibri"/>
        </w:rPr>
        <w:t>4</w:t>
      </w:r>
      <w:r w:rsidR="00326E74">
        <w:rPr>
          <w:rFonts w:eastAsia="Calibri"/>
        </w:rPr>
        <w:t>,</w:t>
      </w:r>
      <w:r w:rsidRPr="003C6B9A">
        <w:rPr>
          <w:rFonts w:eastAsia="Calibri"/>
        </w:rPr>
        <w:t xml:space="preserve">333), TtW Female </w:t>
      </w:r>
      <w:r w:rsidR="00326E74">
        <w:rPr>
          <w:rFonts w:eastAsia="Calibri"/>
        </w:rPr>
        <w:t>(n=</w:t>
      </w:r>
      <w:r w:rsidRPr="003C6B9A">
        <w:rPr>
          <w:rFonts w:eastAsia="Calibri"/>
        </w:rPr>
        <w:t>3</w:t>
      </w:r>
      <w:r w:rsidR="00326E74">
        <w:rPr>
          <w:rFonts w:eastAsia="Calibri"/>
        </w:rPr>
        <w:t>,</w:t>
      </w:r>
      <w:r w:rsidRPr="003C6B9A">
        <w:rPr>
          <w:rFonts w:eastAsia="Calibri"/>
        </w:rPr>
        <w:t xml:space="preserve">690) and jobactive Female </w:t>
      </w:r>
      <w:r w:rsidR="00326E74">
        <w:rPr>
          <w:rFonts w:eastAsia="Calibri"/>
        </w:rPr>
        <w:t>(n=</w:t>
      </w:r>
      <w:r w:rsidRPr="003C6B9A">
        <w:rPr>
          <w:rFonts w:eastAsia="Calibri"/>
        </w:rPr>
        <w:t>4</w:t>
      </w:r>
      <w:r w:rsidR="003D4772">
        <w:rPr>
          <w:rFonts w:eastAsia="Calibri"/>
        </w:rPr>
        <w:t>,</w:t>
      </w:r>
      <w:r w:rsidRPr="003C6B9A">
        <w:rPr>
          <w:rFonts w:eastAsia="Calibri"/>
        </w:rPr>
        <w:t xml:space="preserve">028) </w:t>
      </w:r>
    </w:p>
    <w:p w14:paraId="02D676F6" w14:textId="7EAAC958" w:rsidR="00BF2481" w:rsidRDefault="00BF2481" w:rsidP="00BF2481">
      <w:pPr>
        <w:pStyle w:val="SourceandNotes"/>
        <w:rPr>
          <w:rFonts w:eastAsia="Calibri"/>
        </w:rPr>
      </w:pPr>
      <w:r w:rsidRPr="00CC5DA7">
        <w:rPr>
          <w:rFonts w:eastAsia="Calibri"/>
        </w:rPr>
        <w:lastRenderedPageBreak/>
        <w:t xml:space="preserve">TtW Indigenous </w:t>
      </w:r>
      <w:r w:rsidR="00326E74">
        <w:rPr>
          <w:rFonts w:eastAsia="Calibri"/>
        </w:rPr>
        <w:t>(n=</w:t>
      </w:r>
      <w:r w:rsidRPr="00CC5DA7">
        <w:rPr>
          <w:rFonts w:eastAsia="Calibri"/>
        </w:rPr>
        <w:t>1</w:t>
      </w:r>
      <w:r w:rsidR="003D4772">
        <w:rPr>
          <w:rFonts w:eastAsia="Calibri"/>
        </w:rPr>
        <w:t>,</w:t>
      </w:r>
      <w:r w:rsidRPr="00CC5DA7">
        <w:rPr>
          <w:rFonts w:eastAsia="Calibri"/>
        </w:rPr>
        <w:t xml:space="preserve">922) and jobactive Indigenous </w:t>
      </w:r>
      <w:r w:rsidR="00326E74">
        <w:rPr>
          <w:rFonts w:eastAsia="Calibri"/>
        </w:rPr>
        <w:t>(n=</w:t>
      </w:r>
      <w:r w:rsidRPr="00CC5DA7">
        <w:rPr>
          <w:rFonts w:eastAsia="Calibri"/>
        </w:rPr>
        <w:t>1</w:t>
      </w:r>
      <w:r w:rsidR="003D4772">
        <w:rPr>
          <w:rFonts w:eastAsia="Calibri"/>
        </w:rPr>
        <w:t>,</w:t>
      </w:r>
      <w:r w:rsidRPr="00CC5DA7">
        <w:rPr>
          <w:rFonts w:eastAsia="Calibri"/>
        </w:rPr>
        <w:t xml:space="preserve">925), TtW Non-Indigenous </w:t>
      </w:r>
      <w:r w:rsidR="00326E74">
        <w:rPr>
          <w:rFonts w:eastAsia="Calibri"/>
        </w:rPr>
        <w:t>(n=</w:t>
      </w:r>
      <w:r w:rsidRPr="00CC5DA7">
        <w:rPr>
          <w:rFonts w:eastAsia="Calibri"/>
        </w:rPr>
        <w:t>6</w:t>
      </w:r>
      <w:r w:rsidR="003D4772">
        <w:rPr>
          <w:rFonts w:eastAsia="Calibri"/>
        </w:rPr>
        <w:t>,</w:t>
      </w:r>
      <w:r w:rsidRPr="00CC5DA7">
        <w:rPr>
          <w:rFonts w:eastAsia="Calibri"/>
        </w:rPr>
        <w:t xml:space="preserve">439) and jobactive Non-Indigenous </w:t>
      </w:r>
      <w:r w:rsidR="00326E74">
        <w:rPr>
          <w:rFonts w:eastAsia="Calibri"/>
        </w:rPr>
        <w:t>(n=</w:t>
      </w:r>
      <w:r w:rsidRPr="00CC5DA7">
        <w:rPr>
          <w:rFonts w:eastAsia="Calibri"/>
        </w:rPr>
        <w:t>6</w:t>
      </w:r>
      <w:r w:rsidR="003D4772">
        <w:rPr>
          <w:rFonts w:eastAsia="Calibri"/>
        </w:rPr>
        <w:t>,</w:t>
      </w:r>
      <w:r w:rsidRPr="00CC5DA7">
        <w:rPr>
          <w:rFonts w:eastAsia="Calibri"/>
        </w:rPr>
        <w:t>436)</w:t>
      </w:r>
    </w:p>
    <w:p w14:paraId="0F90DEDB" w14:textId="76BBA038" w:rsidR="00BF2481" w:rsidRDefault="00BF2481" w:rsidP="00BF2481">
      <w:pPr>
        <w:pStyle w:val="SourceandNotes"/>
        <w:rPr>
          <w:rFonts w:eastAsia="Calibri"/>
        </w:rPr>
      </w:pPr>
      <w:r w:rsidRPr="004A440A">
        <w:rPr>
          <w:rFonts w:eastAsia="Calibri"/>
        </w:rPr>
        <w:t xml:space="preserve">TtW Under </w:t>
      </w:r>
      <w:r w:rsidR="00D72C75">
        <w:rPr>
          <w:rFonts w:eastAsia="Calibri"/>
        </w:rPr>
        <w:t>Y</w:t>
      </w:r>
      <w:r w:rsidRPr="004A440A">
        <w:rPr>
          <w:rFonts w:eastAsia="Calibri"/>
        </w:rPr>
        <w:t>ear 12 (n=5</w:t>
      </w:r>
      <w:r w:rsidR="003D4772">
        <w:rPr>
          <w:rFonts w:eastAsia="Calibri"/>
        </w:rPr>
        <w:t>,</w:t>
      </w:r>
      <w:r w:rsidRPr="004A440A">
        <w:rPr>
          <w:rFonts w:eastAsia="Calibri"/>
        </w:rPr>
        <w:t xml:space="preserve">528) and jobactive under </w:t>
      </w:r>
      <w:r w:rsidR="00D72C75">
        <w:rPr>
          <w:rFonts w:eastAsia="Calibri"/>
        </w:rPr>
        <w:t>Y</w:t>
      </w:r>
      <w:r w:rsidRPr="004A440A">
        <w:rPr>
          <w:rFonts w:eastAsia="Calibri"/>
        </w:rPr>
        <w:t xml:space="preserve">ear 12 </w:t>
      </w:r>
      <w:r w:rsidR="00326E74">
        <w:rPr>
          <w:rFonts w:eastAsia="Calibri"/>
        </w:rPr>
        <w:t>(n=</w:t>
      </w:r>
      <w:r w:rsidRPr="004A440A">
        <w:rPr>
          <w:rFonts w:eastAsia="Calibri"/>
        </w:rPr>
        <w:t>5</w:t>
      </w:r>
      <w:r w:rsidR="003D4772">
        <w:rPr>
          <w:rFonts w:eastAsia="Calibri"/>
        </w:rPr>
        <w:t>,</w:t>
      </w:r>
      <w:r w:rsidRPr="004A440A">
        <w:rPr>
          <w:rFonts w:eastAsia="Calibri"/>
        </w:rPr>
        <w:t xml:space="preserve">528), TtW </w:t>
      </w:r>
      <w:r w:rsidR="00D72C75">
        <w:rPr>
          <w:rFonts w:eastAsia="Calibri"/>
        </w:rPr>
        <w:t>Y</w:t>
      </w:r>
      <w:r w:rsidRPr="004A440A">
        <w:rPr>
          <w:rFonts w:eastAsia="Calibri"/>
        </w:rPr>
        <w:t>ear 12 and over (n=2</w:t>
      </w:r>
      <w:r w:rsidR="003D4772">
        <w:rPr>
          <w:rFonts w:eastAsia="Calibri"/>
        </w:rPr>
        <w:t>,</w:t>
      </w:r>
      <w:r w:rsidRPr="004A440A">
        <w:rPr>
          <w:rFonts w:eastAsia="Calibri"/>
        </w:rPr>
        <w:t xml:space="preserve">764) and jobactive </w:t>
      </w:r>
      <w:r w:rsidR="00D72C75">
        <w:rPr>
          <w:rFonts w:eastAsia="Calibri"/>
        </w:rPr>
        <w:t>Y</w:t>
      </w:r>
      <w:r w:rsidRPr="004A440A">
        <w:rPr>
          <w:rFonts w:eastAsia="Calibri"/>
        </w:rPr>
        <w:t xml:space="preserve">ear 12 and over </w:t>
      </w:r>
      <w:r w:rsidR="00326E74">
        <w:rPr>
          <w:rFonts w:eastAsia="Calibri"/>
        </w:rPr>
        <w:t>(n=</w:t>
      </w:r>
      <w:r w:rsidRPr="004A440A">
        <w:rPr>
          <w:rFonts w:eastAsia="Calibri"/>
        </w:rPr>
        <w:t>2</w:t>
      </w:r>
      <w:r w:rsidR="003D4772">
        <w:rPr>
          <w:rFonts w:eastAsia="Calibri"/>
        </w:rPr>
        <w:t>,</w:t>
      </w:r>
      <w:r w:rsidRPr="004A440A">
        <w:rPr>
          <w:rFonts w:eastAsia="Calibri"/>
        </w:rPr>
        <w:t>764)</w:t>
      </w:r>
    </w:p>
    <w:p w14:paraId="4CBFD739" w14:textId="0ED01D19" w:rsidR="00BF2481" w:rsidRDefault="00BF2481" w:rsidP="00BF2481">
      <w:pPr>
        <w:pStyle w:val="SourceandNotes"/>
        <w:rPr>
          <w:rFonts w:eastAsia="Calibri"/>
        </w:rPr>
      </w:pPr>
      <w:r w:rsidRPr="00E138A6">
        <w:rPr>
          <w:rFonts w:eastAsia="Calibri"/>
        </w:rPr>
        <w:t xml:space="preserve">TtW </w:t>
      </w:r>
      <w:r>
        <w:rPr>
          <w:rFonts w:eastAsia="Calibri"/>
        </w:rPr>
        <w:t>disability</w:t>
      </w:r>
      <w:r w:rsidRPr="00E138A6">
        <w:rPr>
          <w:rFonts w:eastAsia="Calibri"/>
        </w:rPr>
        <w:t xml:space="preserve"> </w:t>
      </w:r>
      <w:r w:rsidR="00326E74">
        <w:rPr>
          <w:rFonts w:eastAsia="Calibri"/>
        </w:rPr>
        <w:t>(n=</w:t>
      </w:r>
      <w:r w:rsidRPr="00E138A6">
        <w:rPr>
          <w:rFonts w:eastAsia="Calibri"/>
        </w:rPr>
        <w:t xml:space="preserve">675) and jobactive </w:t>
      </w:r>
      <w:r>
        <w:rPr>
          <w:rFonts w:eastAsia="Calibri"/>
        </w:rPr>
        <w:t>disability</w:t>
      </w:r>
      <w:r w:rsidRPr="00E138A6">
        <w:rPr>
          <w:rFonts w:eastAsia="Calibri"/>
        </w:rPr>
        <w:t xml:space="preserve"> </w:t>
      </w:r>
      <w:r w:rsidR="00326E74">
        <w:rPr>
          <w:rFonts w:eastAsia="Calibri"/>
        </w:rPr>
        <w:t>(n=</w:t>
      </w:r>
      <w:r w:rsidRPr="00E138A6">
        <w:rPr>
          <w:rFonts w:eastAsia="Calibri"/>
        </w:rPr>
        <w:t xml:space="preserve">740), TtW </w:t>
      </w:r>
      <w:r>
        <w:rPr>
          <w:rFonts w:eastAsia="Calibri"/>
        </w:rPr>
        <w:t>no disability</w:t>
      </w:r>
      <w:r w:rsidRPr="00E138A6">
        <w:rPr>
          <w:rFonts w:eastAsia="Calibri"/>
        </w:rPr>
        <w:t xml:space="preserve"> </w:t>
      </w:r>
      <w:r w:rsidR="00326E74">
        <w:rPr>
          <w:rFonts w:eastAsia="Calibri"/>
        </w:rPr>
        <w:t>(n=</w:t>
      </w:r>
      <w:r w:rsidRPr="00E138A6">
        <w:rPr>
          <w:rFonts w:eastAsia="Calibri"/>
        </w:rPr>
        <w:t>7</w:t>
      </w:r>
      <w:r w:rsidR="003D4772">
        <w:rPr>
          <w:rFonts w:eastAsia="Calibri"/>
        </w:rPr>
        <w:t>,</w:t>
      </w:r>
      <w:r w:rsidRPr="00E138A6">
        <w:rPr>
          <w:rFonts w:eastAsia="Calibri"/>
        </w:rPr>
        <w:t xml:space="preserve">686) and jobactive </w:t>
      </w:r>
      <w:r>
        <w:rPr>
          <w:rFonts w:eastAsia="Calibri"/>
        </w:rPr>
        <w:t>no disability</w:t>
      </w:r>
      <w:r w:rsidRPr="00E138A6">
        <w:rPr>
          <w:rFonts w:eastAsia="Calibri"/>
        </w:rPr>
        <w:t xml:space="preserve"> </w:t>
      </w:r>
      <w:r w:rsidR="00326E74">
        <w:rPr>
          <w:rFonts w:eastAsia="Calibri"/>
        </w:rPr>
        <w:t>(n=</w:t>
      </w:r>
      <w:r w:rsidRPr="00E138A6">
        <w:rPr>
          <w:rFonts w:eastAsia="Calibri"/>
        </w:rPr>
        <w:t>7</w:t>
      </w:r>
      <w:r w:rsidR="003D4772">
        <w:rPr>
          <w:rFonts w:eastAsia="Calibri"/>
        </w:rPr>
        <w:t>,</w:t>
      </w:r>
      <w:r w:rsidRPr="00E138A6">
        <w:rPr>
          <w:rFonts w:eastAsia="Calibri"/>
        </w:rPr>
        <w:t>621)</w:t>
      </w:r>
    </w:p>
    <w:p w14:paraId="59D49E0A" w14:textId="778EF399" w:rsidR="00BF2481" w:rsidRPr="003C6B9A" w:rsidRDefault="00BF2481" w:rsidP="00BF2481">
      <w:pPr>
        <w:pStyle w:val="SourceandNotes"/>
        <w:rPr>
          <w:rFonts w:eastAsia="Calibri"/>
        </w:rPr>
      </w:pPr>
      <w:r w:rsidRPr="00E46A2C">
        <w:rPr>
          <w:rFonts w:eastAsia="Calibri"/>
        </w:rPr>
        <w:t>TtW</w:t>
      </w:r>
      <w:r>
        <w:rPr>
          <w:rFonts w:eastAsia="Calibri"/>
        </w:rPr>
        <w:t xml:space="preserve"> poor/mixed English</w:t>
      </w:r>
      <w:r w:rsidRPr="00E46A2C">
        <w:rPr>
          <w:rFonts w:eastAsia="Calibri"/>
        </w:rPr>
        <w:t xml:space="preserve"> </w:t>
      </w:r>
      <w:r w:rsidR="00326E74">
        <w:rPr>
          <w:rFonts w:eastAsia="Calibri"/>
        </w:rPr>
        <w:t>(n=</w:t>
      </w:r>
      <w:r>
        <w:rPr>
          <w:rFonts w:eastAsia="Calibri"/>
        </w:rPr>
        <w:t>576</w:t>
      </w:r>
      <w:r w:rsidRPr="00E46A2C">
        <w:rPr>
          <w:rFonts w:eastAsia="Calibri"/>
        </w:rPr>
        <w:t>) and jobactive</w:t>
      </w:r>
      <w:r>
        <w:rPr>
          <w:rFonts w:eastAsia="Calibri"/>
        </w:rPr>
        <w:t xml:space="preserve"> poor/mixed English</w:t>
      </w:r>
      <w:r w:rsidRPr="00E46A2C">
        <w:rPr>
          <w:rFonts w:eastAsia="Calibri"/>
        </w:rPr>
        <w:t xml:space="preserve"> </w:t>
      </w:r>
      <w:r w:rsidR="00326E74">
        <w:rPr>
          <w:rFonts w:eastAsia="Calibri"/>
        </w:rPr>
        <w:t>(n=</w:t>
      </w:r>
      <w:r>
        <w:rPr>
          <w:rFonts w:eastAsia="Calibri"/>
        </w:rPr>
        <w:t>979</w:t>
      </w:r>
      <w:r w:rsidRPr="00E46A2C">
        <w:rPr>
          <w:rFonts w:eastAsia="Calibri"/>
        </w:rPr>
        <w:t>)</w:t>
      </w:r>
      <w:r>
        <w:rPr>
          <w:rFonts w:eastAsia="Calibri"/>
        </w:rPr>
        <w:t xml:space="preserve">, </w:t>
      </w:r>
      <w:r w:rsidRPr="00E46A2C">
        <w:rPr>
          <w:rFonts w:eastAsia="Calibri"/>
        </w:rPr>
        <w:t>TtW</w:t>
      </w:r>
      <w:r>
        <w:rPr>
          <w:rFonts w:eastAsia="Calibri"/>
        </w:rPr>
        <w:t xml:space="preserve"> good English</w:t>
      </w:r>
      <w:r w:rsidRPr="00E46A2C">
        <w:rPr>
          <w:rFonts w:eastAsia="Calibri"/>
        </w:rPr>
        <w:t xml:space="preserve"> </w:t>
      </w:r>
      <w:r w:rsidR="00326E74">
        <w:rPr>
          <w:rFonts w:eastAsia="Calibri"/>
        </w:rPr>
        <w:t>(n=</w:t>
      </w:r>
      <w:r>
        <w:rPr>
          <w:rFonts w:eastAsia="Calibri"/>
        </w:rPr>
        <w:t>7</w:t>
      </w:r>
      <w:r w:rsidR="003D4772">
        <w:rPr>
          <w:rFonts w:eastAsia="Calibri"/>
        </w:rPr>
        <w:t>,</w:t>
      </w:r>
      <w:r>
        <w:rPr>
          <w:rFonts w:eastAsia="Calibri"/>
        </w:rPr>
        <w:t>785</w:t>
      </w:r>
      <w:r w:rsidRPr="00E46A2C">
        <w:rPr>
          <w:rFonts w:eastAsia="Calibri"/>
        </w:rPr>
        <w:t>) and jobactive</w:t>
      </w:r>
      <w:r>
        <w:rPr>
          <w:rFonts w:eastAsia="Calibri"/>
        </w:rPr>
        <w:t xml:space="preserve"> good English</w:t>
      </w:r>
      <w:r w:rsidRPr="00E46A2C">
        <w:rPr>
          <w:rFonts w:eastAsia="Calibri"/>
        </w:rPr>
        <w:t xml:space="preserve"> </w:t>
      </w:r>
      <w:r w:rsidR="00326E74">
        <w:rPr>
          <w:rFonts w:eastAsia="Calibri"/>
        </w:rPr>
        <w:t>(n=</w:t>
      </w:r>
      <w:r>
        <w:rPr>
          <w:rFonts w:eastAsia="Calibri"/>
        </w:rPr>
        <w:t>7</w:t>
      </w:r>
      <w:r w:rsidR="003D4772">
        <w:rPr>
          <w:rFonts w:eastAsia="Calibri"/>
        </w:rPr>
        <w:t>,</w:t>
      </w:r>
      <w:r>
        <w:rPr>
          <w:rFonts w:eastAsia="Calibri"/>
        </w:rPr>
        <w:t>382</w:t>
      </w:r>
      <w:r w:rsidRPr="00E46A2C">
        <w:rPr>
          <w:rFonts w:eastAsia="Calibri"/>
        </w:rPr>
        <w:t>)</w:t>
      </w:r>
    </w:p>
    <w:p w14:paraId="1916932A" w14:textId="422423DA" w:rsidR="00BF2481" w:rsidRPr="003C6B9A" w:rsidRDefault="00BF2481" w:rsidP="00BF2481">
      <w:pPr>
        <w:pStyle w:val="SourceandNotes"/>
        <w:rPr>
          <w:rFonts w:eastAsia="Calibri"/>
        </w:rPr>
      </w:pPr>
      <w:r w:rsidRPr="003C6B9A">
        <w:rPr>
          <w:rFonts w:eastAsia="Calibri"/>
        </w:rPr>
        <w:t xml:space="preserve">Note: </w:t>
      </w:r>
      <w:r>
        <w:rPr>
          <w:rFonts w:eastAsia="Calibri"/>
        </w:rPr>
        <w:t>Employment</w:t>
      </w:r>
      <w:r w:rsidRPr="003C6B9A">
        <w:rPr>
          <w:rFonts w:eastAsia="Calibri"/>
        </w:rPr>
        <w:t xml:space="preserve"> status was based on exits from income support for </w:t>
      </w:r>
      <w:r w:rsidR="00F8391B">
        <w:rPr>
          <w:rFonts w:eastAsia="Calibri"/>
        </w:rPr>
        <w:t>‘</w:t>
      </w:r>
      <w:r>
        <w:rPr>
          <w:rFonts w:eastAsia="Calibri"/>
        </w:rPr>
        <w:t>employment</w:t>
      </w:r>
      <w:r w:rsidR="00907E94">
        <w:rPr>
          <w:rFonts w:eastAsia="Calibri"/>
        </w:rPr>
        <w:t>-</w:t>
      </w:r>
      <w:r>
        <w:rPr>
          <w:rFonts w:eastAsia="Calibri"/>
        </w:rPr>
        <w:t>related</w:t>
      </w:r>
      <w:r w:rsidR="00F8391B">
        <w:rPr>
          <w:rFonts w:eastAsia="Calibri"/>
        </w:rPr>
        <w:t>’</w:t>
      </w:r>
      <w:r w:rsidRPr="003C6B9A">
        <w:rPr>
          <w:rFonts w:eastAsia="Calibri"/>
        </w:rPr>
        <w:t xml:space="preserve"> reasons</w:t>
      </w:r>
    </w:p>
    <w:bookmarkEnd w:id="2709"/>
    <w:bookmarkEnd w:id="2808"/>
    <w:p w14:paraId="42FF880C" w14:textId="65C4F707" w:rsidR="00275ADE" w:rsidRDefault="002158AB" w:rsidP="006E41FD">
      <w:pPr>
        <w:pStyle w:val="Heading2"/>
      </w:pPr>
      <w:r>
        <w:t xml:space="preserve"> </w:t>
      </w:r>
      <w:bookmarkStart w:id="2810" w:name="_Toc120273718"/>
      <w:bookmarkStart w:id="2811" w:name="_Toc120273719"/>
      <w:bookmarkStart w:id="2812" w:name="_Toc120273720"/>
      <w:bookmarkStart w:id="2813" w:name="_Toc110411564"/>
      <w:bookmarkStart w:id="2814" w:name="_Toc110411565"/>
      <w:bookmarkStart w:id="2815" w:name="_Toc110411566"/>
      <w:bookmarkStart w:id="2816" w:name="_Toc110411567"/>
      <w:bookmarkStart w:id="2817" w:name="_Toc110411568"/>
      <w:bookmarkStart w:id="2818" w:name="_Toc110411569"/>
      <w:bookmarkStart w:id="2819" w:name="_Toc110411571"/>
      <w:bookmarkStart w:id="2820" w:name="_Toc110265335"/>
      <w:bookmarkStart w:id="2821" w:name="_Toc110411572"/>
      <w:bookmarkStart w:id="2822" w:name="_Toc132650494"/>
      <w:bookmarkStart w:id="2823" w:name="_Toc146033525"/>
      <w:bookmarkStart w:id="2824" w:name="_Toc106711845"/>
      <w:bookmarkEnd w:id="2710"/>
      <w:bookmarkEnd w:id="2804"/>
      <w:bookmarkEnd w:id="2810"/>
      <w:bookmarkEnd w:id="2811"/>
      <w:bookmarkEnd w:id="2812"/>
      <w:bookmarkEnd w:id="2813"/>
      <w:bookmarkEnd w:id="2814"/>
      <w:bookmarkEnd w:id="2815"/>
      <w:bookmarkEnd w:id="2816"/>
      <w:bookmarkEnd w:id="2817"/>
      <w:bookmarkEnd w:id="2818"/>
      <w:bookmarkEnd w:id="2819"/>
      <w:bookmarkEnd w:id="2820"/>
      <w:bookmarkEnd w:id="2821"/>
      <w:r w:rsidR="67734B34">
        <w:t>Other longer-term trends</w:t>
      </w:r>
      <w:bookmarkEnd w:id="2822"/>
      <w:bookmarkEnd w:id="2823"/>
    </w:p>
    <w:p w14:paraId="679A283D" w14:textId="4E1DF400" w:rsidR="00FE5DCB" w:rsidRDefault="0559DABF" w:rsidP="002F3296">
      <w:pPr>
        <w:pStyle w:val="Heading3"/>
        <w:ind w:left="0"/>
      </w:pPr>
      <w:bookmarkStart w:id="2825" w:name="_Toc132650495"/>
      <w:bookmarkStart w:id="2826" w:name="_Toc146033526"/>
      <w:r>
        <w:t>Movement between income support payment types</w:t>
      </w:r>
      <w:bookmarkEnd w:id="2824"/>
      <w:bookmarkEnd w:id="2825"/>
      <w:bookmarkEnd w:id="2826"/>
    </w:p>
    <w:p w14:paraId="2006A9F8" w14:textId="157302D9" w:rsidR="00FE5DCB" w:rsidRDefault="0559DABF" w:rsidP="00FE5DCB">
      <w:r>
        <w:t xml:space="preserve">Participants in TtW could be receiving </w:t>
      </w:r>
      <w:r w:rsidR="66EDC468">
        <w:t>one of several different</w:t>
      </w:r>
      <w:r>
        <w:t xml:space="preserve"> income support payment types. As shown </w:t>
      </w:r>
      <w:r w:rsidRPr="00CD6FB8">
        <w:t xml:space="preserve">in </w:t>
      </w:r>
      <w:r w:rsidR="009A495B" w:rsidRPr="00403636">
        <w:rPr>
          <w:b/>
          <w:bCs/>
        </w:rPr>
        <w:fldChar w:fldCharType="begin"/>
      </w:r>
      <w:r w:rsidR="009A495B" w:rsidRPr="00403636">
        <w:rPr>
          <w:b/>
          <w:bCs/>
        </w:rPr>
        <w:instrText xml:space="preserve"> REF _Ref110962103 \h </w:instrText>
      </w:r>
      <w:r w:rsidR="00403636" w:rsidRPr="00403636">
        <w:rPr>
          <w:b/>
          <w:bCs/>
        </w:rPr>
        <w:instrText xml:space="preserve"> \* MERGEFORMAT </w:instrText>
      </w:r>
      <w:r w:rsidR="009A495B" w:rsidRPr="00403636">
        <w:rPr>
          <w:b/>
          <w:bCs/>
        </w:rPr>
      </w:r>
      <w:r w:rsidR="009A495B" w:rsidRPr="00403636">
        <w:rPr>
          <w:b/>
          <w:bCs/>
        </w:rPr>
        <w:fldChar w:fldCharType="separate"/>
      </w:r>
      <w:r w:rsidR="00180E14" w:rsidRPr="00180E14">
        <w:rPr>
          <w:b/>
          <w:bCs/>
        </w:rPr>
        <w:t xml:space="preserve">Figure </w:t>
      </w:r>
      <w:r w:rsidR="00180E14" w:rsidRPr="00180E14">
        <w:rPr>
          <w:b/>
          <w:bCs/>
          <w:noProof/>
        </w:rPr>
        <w:t>31</w:t>
      </w:r>
      <w:r w:rsidR="009A495B" w:rsidRPr="00403636">
        <w:rPr>
          <w:b/>
          <w:bCs/>
        </w:rPr>
        <w:fldChar w:fldCharType="end"/>
      </w:r>
      <w:r w:rsidRPr="00CD6FB8">
        <w:t>,</w:t>
      </w:r>
      <w:r>
        <w:t xml:space="preserve"> </w:t>
      </w:r>
      <w:r w:rsidR="009F1529">
        <w:t>one</w:t>
      </w:r>
      <w:r w:rsidRPr="009F1529">
        <w:t xml:space="preserve"> month</w:t>
      </w:r>
      <w:r>
        <w:t xml:space="preserve"> after commencement, 96% of the TtW </w:t>
      </w:r>
      <w:r w:rsidR="6D6EA80A">
        <w:t xml:space="preserve">participants </w:t>
      </w:r>
      <w:r>
        <w:t xml:space="preserve">were receiving Youth Allowance (Other), 2% were on a student payment, 1% were receiving JobSeeker Payment, and a very small proportion were receiving Parenting Payment or other payments such as </w:t>
      </w:r>
      <w:r w:rsidR="40CB79A6">
        <w:t>the Disability Support Pension</w:t>
      </w:r>
      <w:r>
        <w:t>. Over the study period there was a steady movement of participants off Youth Allowance (Other)</w:t>
      </w:r>
      <w:r w:rsidR="40CB79A6">
        <w:t xml:space="preserve"> (YA(O))</w:t>
      </w:r>
      <w:r>
        <w:t>, with only one</w:t>
      </w:r>
      <w:r w:rsidR="00F8391B">
        <w:t>-</w:t>
      </w:r>
      <w:r>
        <w:t xml:space="preserve">quarter (24%) of TtW </w:t>
      </w:r>
      <w:r w:rsidR="6D6EA80A">
        <w:t xml:space="preserve">participants </w:t>
      </w:r>
      <w:r>
        <w:t>on YA(O) at 36</w:t>
      </w:r>
      <w:r w:rsidR="00D72C75">
        <w:t> </w:t>
      </w:r>
      <w:r>
        <w:t xml:space="preserve">months. Almost half (46%) of the TtW </w:t>
      </w:r>
      <w:r w:rsidR="6D6EA80A">
        <w:t xml:space="preserve">participants were </w:t>
      </w:r>
      <w:r>
        <w:t xml:space="preserve">off income support by month 36. There was also a steady increase in the number of TtW </w:t>
      </w:r>
      <w:r w:rsidR="6D6EA80A">
        <w:t xml:space="preserve">participants </w:t>
      </w:r>
      <w:r>
        <w:t xml:space="preserve">who </w:t>
      </w:r>
      <w:r w:rsidR="5BF86BA1">
        <w:t>become</w:t>
      </w:r>
      <w:r w:rsidR="009251AF">
        <w:t xml:space="preserve"> </w:t>
      </w:r>
      <w:r>
        <w:t>parents, with almost 1 in 10 (9%) on Parenting Payment by month 36.</w:t>
      </w:r>
    </w:p>
    <w:p w14:paraId="3AB34199" w14:textId="3F886920" w:rsidR="00FE5DCB" w:rsidRDefault="0559DABF" w:rsidP="00FE5DCB">
      <w:bookmarkStart w:id="2827" w:name="_Hlk104378361"/>
      <w:r w:rsidRPr="002A4286">
        <w:t xml:space="preserve">Interestingly, </w:t>
      </w:r>
      <w:r w:rsidR="00622029" w:rsidRPr="002A4286">
        <w:t>further analysis of the data demonstrated</w:t>
      </w:r>
      <w:r w:rsidR="6BC756A2" w:rsidRPr="002A4286">
        <w:t xml:space="preserve"> that</w:t>
      </w:r>
      <w:r>
        <w:t xml:space="preserve"> about one</w:t>
      </w:r>
      <w:r w:rsidR="00D02704">
        <w:t>-</w:t>
      </w:r>
      <w:r>
        <w:t>fifth of participants left income support within the first 12 months and had not re-entered income support by month 36. Another 15% did not exit income support at all between commencement and 36 months. The remainder move</w:t>
      </w:r>
      <w:r w:rsidR="00D72C75">
        <w:t>d</w:t>
      </w:r>
      <w:r>
        <w:t xml:space="preserve"> between different payment types or </w:t>
      </w:r>
      <w:r w:rsidR="00772F4E">
        <w:t xml:space="preserve">on </w:t>
      </w:r>
      <w:r>
        <w:t>and of</w:t>
      </w:r>
      <w:r w:rsidR="00772F4E">
        <w:t>f</w:t>
      </w:r>
      <w:r>
        <w:t xml:space="preserve"> income support.</w:t>
      </w:r>
    </w:p>
    <w:p w14:paraId="09E84E65" w14:textId="24696B2C" w:rsidR="00FE5DCB" w:rsidRDefault="00FE5DCB" w:rsidP="00FE5DCB">
      <w:pPr>
        <w:pStyle w:val="Caption"/>
        <w:keepNext/>
      </w:pPr>
      <w:bookmarkStart w:id="2828" w:name="_Ref110962103"/>
      <w:bookmarkStart w:id="2829" w:name="_Toc132647872"/>
      <w:bookmarkStart w:id="2830" w:name="_Toc145883341"/>
      <w:bookmarkStart w:id="2831" w:name="_Hlk124850139"/>
      <w:bookmarkEnd w:id="2827"/>
      <w:r>
        <w:t xml:space="preserve">Figure </w:t>
      </w:r>
      <w:r w:rsidR="00BE71D4">
        <w:fldChar w:fldCharType="begin"/>
      </w:r>
      <w:r w:rsidR="00BE71D4">
        <w:instrText xml:space="preserve"> SEQ Figure \* ARABIC </w:instrText>
      </w:r>
      <w:r w:rsidR="00BE71D4">
        <w:fldChar w:fldCharType="separate"/>
      </w:r>
      <w:r w:rsidR="00180E14">
        <w:rPr>
          <w:noProof/>
        </w:rPr>
        <w:t>31</w:t>
      </w:r>
      <w:r w:rsidR="00BE71D4">
        <w:rPr>
          <w:noProof/>
        </w:rPr>
        <w:fldChar w:fldCharType="end"/>
      </w:r>
      <w:bookmarkEnd w:id="2828"/>
      <w:r>
        <w:t xml:space="preserve">: Proportion of TtW </w:t>
      </w:r>
      <w:r w:rsidR="00344D0E">
        <w:t xml:space="preserve">participants </w:t>
      </w:r>
      <w:r>
        <w:t>on each i</w:t>
      </w:r>
      <w:r w:rsidRPr="008B105E">
        <w:t>ncome support payment type</w:t>
      </w:r>
      <w:r w:rsidR="00AE3C17">
        <w:t xml:space="preserve"> (</w:t>
      </w:r>
      <w:r w:rsidR="00FC4C8A">
        <w:t>months from</w:t>
      </w:r>
      <w:r w:rsidRPr="008B105E">
        <w:t xml:space="preserve"> commencement</w:t>
      </w:r>
      <w:r w:rsidR="00AE3C17">
        <w:t>)</w:t>
      </w:r>
      <w:bookmarkEnd w:id="2829"/>
      <w:bookmarkEnd w:id="2830"/>
    </w:p>
    <w:p w14:paraId="4019AC92" w14:textId="4454C2B9" w:rsidR="00525B6D" w:rsidRDefault="00D23BA0" w:rsidP="00525B6D">
      <w:pPr>
        <w:pStyle w:val="SourceandNotes"/>
      </w:pPr>
      <w:r>
        <w:rPr>
          <w:noProof/>
        </w:rPr>
        <w:drawing>
          <wp:inline distT="0" distB="0" distL="0" distR="0" wp14:anchorId="00F6597E" wp14:editId="2AB3C602">
            <wp:extent cx="5761355" cy="3481070"/>
            <wp:effectExtent l="0" t="0" r="0" b="0"/>
            <wp:docPr id="91" name="Picture 91" descr="Graph showing the trends discuss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Graph showing the trends discussed in the preceding paragraph."/>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1355" cy="3481070"/>
                    </a:xfrm>
                    <a:prstGeom prst="rect">
                      <a:avLst/>
                    </a:prstGeom>
                    <a:noFill/>
                  </pic:spPr>
                </pic:pic>
              </a:graphicData>
            </a:graphic>
          </wp:inline>
        </w:drawing>
      </w:r>
      <w:r w:rsidR="00525B6D" w:rsidRPr="002F1F24">
        <w:t>Source: The department</w:t>
      </w:r>
      <w:r w:rsidR="00F8391B">
        <w:t>’</w:t>
      </w:r>
      <w:r w:rsidR="00525B6D" w:rsidRPr="002F1F24">
        <w:t xml:space="preserve">s </w:t>
      </w:r>
      <w:r w:rsidR="00525B6D">
        <w:t>administrative data</w:t>
      </w:r>
    </w:p>
    <w:p w14:paraId="132585D2" w14:textId="02BF1CB6" w:rsidR="00FE5DCB" w:rsidRDefault="00FE5DCB" w:rsidP="00FE5DCB">
      <w:pPr>
        <w:pStyle w:val="SourceandNotes"/>
      </w:pPr>
      <w:r>
        <w:t>Base: TtW (n=</w:t>
      </w:r>
      <w:r w:rsidR="0054194B">
        <w:t>8,361</w:t>
      </w:r>
      <w:r>
        <w:t>)</w:t>
      </w:r>
    </w:p>
    <w:p w14:paraId="218B7619" w14:textId="284B6E4B" w:rsidR="00FE5DCB" w:rsidRDefault="00FE5DCB" w:rsidP="00FE5DCB">
      <w:pPr>
        <w:pStyle w:val="SourceandNotes"/>
      </w:pPr>
      <w:r>
        <w:lastRenderedPageBreak/>
        <w:t xml:space="preserve">Note: Student payment includes </w:t>
      </w:r>
      <w:r w:rsidRPr="00C941C3">
        <w:t xml:space="preserve">Youth Allowance (Student), Youth </w:t>
      </w:r>
      <w:r w:rsidR="003D4772">
        <w:t>A</w:t>
      </w:r>
      <w:r w:rsidRPr="00C941C3">
        <w:t>llowance (Apprenticeship), ABSTUDY, Austudy</w:t>
      </w:r>
      <w:bookmarkEnd w:id="2831"/>
    </w:p>
    <w:p w14:paraId="3B37667F" w14:textId="17F45291" w:rsidR="00FE5DCB" w:rsidRDefault="00FE5DCB">
      <w:r>
        <w:t xml:space="preserve">These patterns are very similar </w:t>
      </w:r>
      <w:r w:rsidR="00344D0E">
        <w:t>for</w:t>
      </w:r>
      <w:r>
        <w:t xml:space="preserve"> jobactive </w:t>
      </w:r>
      <w:r w:rsidR="00344D0E">
        <w:t>participants</w:t>
      </w:r>
      <w:r>
        <w:t xml:space="preserve">, while there are slight differences in the size of movements. </w:t>
      </w:r>
      <w:r w:rsidR="00F47820">
        <w:t>B</w:t>
      </w:r>
      <w:r w:rsidRPr="0002344F">
        <w:t>y</w:t>
      </w:r>
      <w:r>
        <w:t xml:space="preserve"> month 36</w:t>
      </w:r>
      <w:r w:rsidR="00344D0E">
        <w:t>:</w:t>
      </w:r>
    </w:p>
    <w:p w14:paraId="5763E962" w14:textId="194C1EB3" w:rsidR="00FE5DCB" w:rsidRDefault="00FE5DCB" w:rsidP="007F37E0">
      <w:pPr>
        <w:pStyle w:val="ListBullet"/>
      </w:pPr>
      <w:r>
        <w:t xml:space="preserve">42% of the TtW </w:t>
      </w:r>
      <w:r w:rsidR="00344D0E">
        <w:t xml:space="preserve">participants </w:t>
      </w:r>
      <w:r>
        <w:t xml:space="preserve">are on </w:t>
      </w:r>
      <w:r w:rsidR="00D127AF">
        <w:t>Youth Allowance (</w:t>
      </w:r>
      <w:r w:rsidR="00D72C75">
        <w:t>O</w:t>
      </w:r>
      <w:r w:rsidR="00D127AF">
        <w:t>ther</w:t>
      </w:r>
      <w:r>
        <w:t xml:space="preserve">), JobSeeker or </w:t>
      </w:r>
      <w:r w:rsidR="00F8391B">
        <w:t>‘</w:t>
      </w:r>
      <w:r>
        <w:t>Other</w:t>
      </w:r>
      <w:r w:rsidR="00F8391B">
        <w:t>’</w:t>
      </w:r>
      <w:r>
        <w:t xml:space="preserve"> income support payments, compared to 38.2% of the jobactive </w:t>
      </w:r>
      <w:r w:rsidR="00344D0E">
        <w:t>participants</w:t>
      </w:r>
    </w:p>
    <w:p w14:paraId="2EFD26E0" w14:textId="77777777" w:rsidR="00FE5DCB" w:rsidRDefault="00FE5DCB" w:rsidP="007F37E0">
      <w:pPr>
        <w:pStyle w:val="ListBullet"/>
      </w:pPr>
      <w:r>
        <w:t>a similar proportion are off income support (TtW 46.1%, jobactive 46.9%)</w:t>
      </w:r>
    </w:p>
    <w:p w14:paraId="2814E3A0" w14:textId="18427965" w:rsidR="002F51AF" w:rsidRDefault="00FE5DCB" w:rsidP="007F37E0">
      <w:pPr>
        <w:pStyle w:val="ListBullet"/>
      </w:pPr>
      <w:bookmarkStart w:id="2832" w:name="_Hlk104378576"/>
      <w:r>
        <w:t>a similar proportion are on Parenting Payment (TtW 9.0%, jobactive 9.4%)</w:t>
      </w:r>
    </w:p>
    <w:p w14:paraId="40C923C9" w14:textId="22AD3D06" w:rsidR="00FE5DCB" w:rsidRDefault="00737AD8" w:rsidP="007F37E0">
      <w:pPr>
        <w:pStyle w:val="ListBullet"/>
      </w:pPr>
      <w:r>
        <w:t>more jobactive participants are receiving a student payment (TtW 3.1%, jobactive 5.5%)</w:t>
      </w:r>
      <w:r w:rsidR="00FE5DCB">
        <w:t xml:space="preserve">. </w:t>
      </w:r>
    </w:p>
    <w:p w14:paraId="6E3D9624" w14:textId="22CD2CEF" w:rsidR="00FE5DCB" w:rsidRDefault="0559DABF" w:rsidP="00D23BA0">
      <w:pPr>
        <w:pStyle w:val="Heading3"/>
        <w:ind w:left="0"/>
      </w:pPr>
      <w:bookmarkStart w:id="2833" w:name="_Toc109822606"/>
      <w:bookmarkStart w:id="2834" w:name="_Toc109919088"/>
      <w:bookmarkStart w:id="2835" w:name="_Toc110249899"/>
      <w:bookmarkStart w:id="2836" w:name="_Toc110251940"/>
      <w:bookmarkStart w:id="2837" w:name="_Toc110265338"/>
      <w:bookmarkStart w:id="2838" w:name="_Toc110411575"/>
      <w:bookmarkStart w:id="2839" w:name="_Toc109822671"/>
      <w:bookmarkStart w:id="2840" w:name="_Toc109919153"/>
      <w:bookmarkStart w:id="2841" w:name="_Toc110249964"/>
      <w:bookmarkStart w:id="2842" w:name="_Toc110252005"/>
      <w:bookmarkStart w:id="2843" w:name="_Toc110265403"/>
      <w:bookmarkStart w:id="2844" w:name="_Toc110411640"/>
      <w:bookmarkStart w:id="2845" w:name="_Toc109822672"/>
      <w:bookmarkStart w:id="2846" w:name="_Toc109919154"/>
      <w:bookmarkStart w:id="2847" w:name="_Toc110249965"/>
      <w:bookmarkStart w:id="2848" w:name="_Toc110252006"/>
      <w:bookmarkStart w:id="2849" w:name="_Toc110265404"/>
      <w:bookmarkStart w:id="2850" w:name="_Toc110411641"/>
      <w:bookmarkStart w:id="2851" w:name="_Toc109822673"/>
      <w:bookmarkStart w:id="2852" w:name="_Toc109919155"/>
      <w:bookmarkStart w:id="2853" w:name="_Toc110249966"/>
      <w:bookmarkStart w:id="2854" w:name="_Toc110252007"/>
      <w:bookmarkStart w:id="2855" w:name="_Toc110265405"/>
      <w:bookmarkStart w:id="2856" w:name="_Toc110411642"/>
      <w:bookmarkStart w:id="2857" w:name="_Toc109822738"/>
      <w:bookmarkStart w:id="2858" w:name="_Toc109919220"/>
      <w:bookmarkStart w:id="2859" w:name="_Toc110250031"/>
      <w:bookmarkStart w:id="2860" w:name="_Toc110252072"/>
      <w:bookmarkStart w:id="2861" w:name="_Toc110265470"/>
      <w:bookmarkStart w:id="2862" w:name="_Toc110411707"/>
      <w:bookmarkStart w:id="2863" w:name="_Toc109822739"/>
      <w:bookmarkStart w:id="2864" w:name="_Toc109919221"/>
      <w:bookmarkStart w:id="2865" w:name="_Toc110250032"/>
      <w:bookmarkStart w:id="2866" w:name="_Toc110252073"/>
      <w:bookmarkStart w:id="2867" w:name="_Toc110265471"/>
      <w:bookmarkStart w:id="2868" w:name="_Toc110411708"/>
      <w:bookmarkStart w:id="2869" w:name="_Toc108539511"/>
      <w:bookmarkStart w:id="2870" w:name="_Toc109822740"/>
      <w:bookmarkStart w:id="2871" w:name="_Toc109919222"/>
      <w:bookmarkStart w:id="2872" w:name="_Toc110250033"/>
      <w:bookmarkStart w:id="2873" w:name="_Toc110252074"/>
      <w:bookmarkStart w:id="2874" w:name="_Toc110265472"/>
      <w:bookmarkStart w:id="2875" w:name="_Toc110411709"/>
      <w:bookmarkStart w:id="2876" w:name="_Toc109822741"/>
      <w:bookmarkStart w:id="2877" w:name="_Toc109919223"/>
      <w:bookmarkStart w:id="2878" w:name="_Toc110250034"/>
      <w:bookmarkStart w:id="2879" w:name="_Toc110252075"/>
      <w:bookmarkStart w:id="2880" w:name="_Toc110265473"/>
      <w:bookmarkStart w:id="2881" w:name="_Toc110411710"/>
      <w:bookmarkStart w:id="2882" w:name="_Toc109822742"/>
      <w:bookmarkStart w:id="2883" w:name="_Toc109919224"/>
      <w:bookmarkStart w:id="2884" w:name="_Toc110250035"/>
      <w:bookmarkStart w:id="2885" w:name="_Toc110252076"/>
      <w:bookmarkStart w:id="2886" w:name="_Toc110265474"/>
      <w:bookmarkStart w:id="2887" w:name="_Toc110411711"/>
      <w:bookmarkStart w:id="2888" w:name="_Toc109822743"/>
      <w:bookmarkStart w:id="2889" w:name="_Toc109919225"/>
      <w:bookmarkStart w:id="2890" w:name="_Toc110250036"/>
      <w:bookmarkStart w:id="2891" w:name="_Toc110252077"/>
      <w:bookmarkStart w:id="2892" w:name="_Toc110265475"/>
      <w:bookmarkStart w:id="2893" w:name="_Toc110411712"/>
      <w:bookmarkStart w:id="2894" w:name="_Toc109822744"/>
      <w:bookmarkStart w:id="2895" w:name="_Toc109919226"/>
      <w:bookmarkStart w:id="2896" w:name="_Toc110250037"/>
      <w:bookmarkStart w:id="2897" w:name="_Toc110252078"/>
      <w:bookmarkStart w:id="2898" w:name="_Toc110265476"/>
      <w:bookmarkStart w:id="2899" w:name="_Toc110411713"/>
      <w:bookmarkStart w:id="2900" w:name="_Toc109822745"/>
      <w:bookmarkStart w:id="2901" w:name="_Toc109919227"/>
      <w:bookmarkStart w:id="2902" w:name="_Toc110250038"/>
      <w:bookmarkStart w:id="2903" w:name="_Toc110252079"/>
      <w:bookmarkStart w:id="2904" w:name="_Toc110265477"/>
      <w:bookmarkStart w:id="2905" w:name="_Toc110411714"/>
      <w:bookmarkStart w:id="2906" w:name="_Toc109822746"/>
      <w:bookmarkStart w:id="2907" w:name="_Toc109919228"/>
      <w:bookmarkStart w:id="2908" w:name="_Toc110250039"/>
      <w:bookmarkStart w:id="2909" w:name="_Toc110252080"/>
      <w:bookmarkStart w:id="2910" w:name="_Toc110265478"/>
      <w:bookmarkStart w:id="2911" w:name="_Toc110411715"/>
      <w:bookmarkStart w:id="2912" w:name="_Toc109822747"/>
      <w:bookmarkStart w:id="2913" w:name="_Toc109919229"/>
      <w:bookmarkStart w:id="2914" w:name="_Toc110250040"/>
      <w:bookmarkStart w:id="2915" w:name="_Toc110252081"/>
      <w:bookmarkStart w:id="2916" w:name="_Toc110265479"/>
      <w:bookmarkStart w:id="2917" w:name="_Toc110411716"/>
      <w:bookmarkStart w:id="2918" w:name="_Toc109822749"/>
      <w:bookmarkStart w:id="2919" w:name="_Toc109919231"/>
      <w:bookmarkStart w:id="2920" w:name="_Toc110250042"/>
      <w:bookmarkStart w:id="2921" w:name="_Toc110252083"/>
      <w:bookmarkStart w:id="2922" w:name="_Toc110265481"/>
      <w:bookmarkStart w:id="2923" w:name="_Toc110411718"/>
      <w:bookmarkStart w:id="2924" w:name="_Toc132650496"/>
      <w:bookmarkStart w:id="2925" w:name="_Toc106711847"/>
      <w:bookmarkStart w:id="2926" w:name="_Toc146033527"/>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r>
        <w:t xml:space="preserve">Relationship between </w:t>
      </w:r>
      <w:r w:rsidR="00F77FA5">
        <w:t>i</w:t>
      </w:r>
      <w:r>
        <w:t xml:space="preserve">ncome </w:t>
      </w:r>
      <w:r w:rsidR="00F77FA5">
        <w:t>s</w:t>
      </w:r>
      <w:r>
        <w:t xml:space="preserve">upport and </w:t>
      </w:r>
      <w:bookmarkEnd w:id="2924"/>
      <w:r w:rsidR="00F77FA5">
        <w:t>e</w:t>
      </w:r>
      <w:r>
        <w:t xml:space="preserve">mployment </w:t>
      </w:r>
      <w:r w:rsidR="00F77FA5">
        <w:t>s</w:t>
      </w:r>
      <w:r>
        <w:t>ervices</w:t>
      </w:r>
      <w:bookmarkEnd w:id="2925"/>
      <w:bookmarkEnd w:id="2926"/>
    </w:p>
    <w:p w14:paraId="4BB5CBAD" w14:textId="04270B39" w:rsidR="00FE5DCB" w:rsidRDefault="00FE5DCB" w:rsidP="001D461A">
      <w:r>
        <w:t xml:space="preserve">It is interesting to examine the relationship between participants receiving income support and participating in employment </w:t>
      </w:r>
      <w:r w:rsidRPr="00CD6FB8">
        <w:t>services</w:t>
      </w:r>
      <w:r w:rsidR="004738F2" w:rsidRPr="00CD6FB8">
        <w:t xml:space="preserve"> (</w:t>
      </w:r>
      <w:r w:rsidR="009A495B" w:rsidRPr="00403636">
        <w:rPr>
          <w:b/>
          <w:bCs/>
        </w:rPr>
        <w:fldChar w:fldCharType="begin"/>
      </w:r>
      <w:r w:rsidR="009A495B" w:rsidRPr="00403636">
        <w:rPr>
          <w:b/>
          <w:bCs/>
        </w:rPr>
        <w:instrText xml:space="preserve"> REF _Ref110962113 \h </w:instrText>
      </w:r>
      <w:r w:rsidR="00403636" w:rsidRPr="00403636">
        <w:rPr>
          <w:b/>
          <w:bCs/>
        </w:rPr>
        <w:instrText xml:space="preserve"> \* MERGEFORMAT </w:instrText>
      </w:r>
      <w:r w:rsidR="009A495B" w:rsidRPr="00403636">
        <w:rPr>
          <w:b/>
          <w:bCs/>
        </w:rPr>
      </w:r>
      <w:r w:rsidR="009A495B" w:rsidRPr="00403636">
        <w:rPr>
          <w:b/>
          <w:bCs/>
        </w:rPr>
        <w:fldChar w:fldCharType="separate"/>
      </w:r>
      <w:r w:rsidR="00180E14" w:rsidRPr="00180E14">
        <w:rPr>
          <w:b/>
          <w:bCs/>
        </w:rPr>
        <w:t xml:space="preserve">Figure </w:t>
      </w:r>
      <w:r w:rsidR="00180E14" w:rsidRPr="00180E14">
        <w:rPr>
          <w:b/>
          <w:bCs/>
          <w:noProof/>
        </w:rPr>
        <w:t>32</w:t>
      </w:r>
      <w:r w:rsidR="009A495B" w:rsidRPr="00403636">
        <w:rPr>
          <w:b/>
          <w:bCs/>
        </w:rPr>
        <w:fldChar w:fldCharType="end"/>
      </w:r>
      <w:r w:rsidR="004738F2" w:rsidRPr="00CD6FB8">
        <w:t>)</w:t>
      </w:r>
      <w:r w:rsidRPr="00CD6FB8">
        <w:t>.</w:t>
      </w:r>
      <w:r>
        <w:t xml:space="preserve"> At month 0, all participants in both program</w:t>
      </w:r>
      <w:r w:rsidR="00344D0E">
        <w:t xml:space="preserve">s </w:t>
      </w:r>
      <w:r>
        <w:t xml:space="preserve">are on income support and in employment services. Within the first 12 months there is a solid decrease in the number of people from both </w:t>
      </w:r>
      <w:r w:rsidR="00344D0E">
        <w:t xml:space="preserve">programs </w:t>
      </w:r>
      <w:r>
        <w:t>on income support and in employment services, but approximately 10</w:t>
      </w:r>
      <w:r w:rsidR="00075347">
        <w:t>%</w:t>
      </w:r>
      <w:r>
        <w:t xml:space="preserve"> of participants leave employment services but remain on income support</w:t>
      </w:r>
      <w:r w:rsidR="00F25FEF">
        <w:t xml:space="preserve"> (moving to a</w:t>
      </w:r>
      <w:r w:rsidR="00810C92">
        <w:t>n income support payment that does not require th</w:t>
      </w:r>
      <w:r w:rsidR="004A63D0">
        <w:t>e</w:t>
      </w:r>
      <w:r w:rsidR="00810C92">
        <w:t xml:space="preserve">m to participate in employment </w:t>
      </w:r>
      <w:r w:rsidR="0A85A9B2">
        <w:t>service</w:t>
      </w:r>
      <w:r w:rsidR="00810C92">
        <w:t>s</w:t>
      </w:r>
      <w:r w:rsidR="00075347">
        <w:t>,</w:t>
      </w:r>
      <w:r w:rsidR="00810C92">
        <w:t xml:space="preserve"> </w:t>
      </w:r>
      <w:r w:rsidR="004A63D0">
        <w:t xml:space="preserve">including </w:t>
      </w:r>
      <w:r w:rsidR="00910208">
        <w:t xml:space="preserve">student payments, </w:t>
      </w:r>
      <w:r w:rsidR="00D72C75">
        <w:t>P</w:t>
      </w:r>
      <w:r w:rsidR="00910208">
        <w:t xml:space="preserve">arenting </w:t>
      </w:r>
      <w:r w:rsidR="00D72C75">
        <w:t>P</w:t>
      </w:r>
      <w:r w:rsidR="00910208">
        <w:t>aym</w:t>
      </w:r>
      <w:r w:rsidR="00864A71">
        <w:t>ent</w:t>
      </w:r>
      <w:r w:rsidR="000C3990">
        <w:t xml:space="preserve"> (excluding those eligible for ParentsNext</w:t>
      </w:r>
      <w:r w:rsidR="0085528F">
        <w:t>)</w:t>
      </w:r>
      <w:r w:rsidR="00D60EFE">
        <w:t xml:space="preserve">, or </w:t>
      </w:r>
      <w:r w:rsidR="00D72C75">
        <w:t>D</w:t>
      </w:r>
      <w:r w:rsidR="00D60EFE">
        <w:t xml:space="preserve">isability </w:t>
      </w:r>
      <w:r w:rsidR="00D72C75">
        <w:t>S</w:t>
      </w:r>
      <w:r w:rsidR="00C45AB6">
        <w:t xml:space="preserve">upport </w:t>
      </w:r>
      <w:r w:rsidR="00D72C75">
        <w:t>P</w:t>
      </w:r>
      <w:r w:rsidR="00D60EFE">
        <w:t>ension</w:t>
      </w:r>
      <w:r w:rsidR="000C3990">
        <w:t>)</w:t>
      </w:r>
      <w:r>
        <w:t xml:space="preserve">. By 36 months this gap has widened slightly to </w:t>
      </w:r>
      <w:r w:rsidR="00F61B8C">
        <w:t>15.6 percentage points</w:t>
      </w:r>
      <w:r>
        <w:t xml:space="preserve"> for TtW and </w:t>
      </w:r>
      <w:r w:rsidR="00F61B8C">
        <w:t>12.7 percentage points</w:t>
      </w:r>
      <w:r>
        <w:t xml:space="preserve"> for jobactive.</w:t>
      </w:r>
      <w:r w:rsidR="00F8391B">
        <w:t xml:space="preserve"> </w:t>
      </w:r>
    </w:p>
    <w:p w14:paraId="0FBC3C23" w14:textId="3973E12E" w:rsidR="00FE5DCB" w:rsidRDefault="00FE5DCB" w:rsidP="00FE5DCB">
      <w:pPr>
        <w:pStyle w:val="Caption"/>
        <w:keepNext/>
      </w:pPr>
      <w:bookmarkStart w:id="2927" w:name="_Ref110962113"/>
      <w:bookmarkStart w:id="2928" w:name="_Toc132647873"/>
      <w:bookmarkStart w:id="2929" w:name="_Toc145883342"/>
      <w:bookmarkStart w:id="2930" w:name="_Hlk124850152"/>
      <w:r>
        <w:t xml:space="preserve">Figure </w:t>
      </w:r>
      <w:r w:rsidR="00BE71D4">
        <w:fldChar w:fldCharType="begin"/>
      </w:r>
      <w:r w:rsidR="00BE71D4">
        <w:instrText xml:space="preserve"> SEQ Figure \* ARABIC </w:instrText>
      </w:r>
      <w:r w:rsidR="00BE71D4">
        <w:fldChar w:fldCharType="separate"/>
      </w:r>
      <w:r w:rsidR="00180E14">
        <w:rPr>
          <w:noProof/>
        </w:rPr>
        <w:t>32</w:t>
      </w:r>
      <w:r w:rsidR="00BE71D4">
        <w:rPr>
          <w:noProof/>
        </w:rPr>
        <w:fldChar w:fldCharType="end"/>
      </w:r>
      <w:bookmarkEnd w:id="2927"/>
      <w:r>
        <w:t xml:space="preserve">: Proportion of participants on </w:t>
      </w:r>
      <w:r w:rsidR="00AB0766">
        <w:t>income support</w:t>
      </w:r>
      <w:r>
        <w:t xml:space="preserve"> and in </w:t>
      </w:r>
      <w:r w:rsidR="00D72C75">
        <w:t>e</w:t>
      </w:r>
      <w:r>
        <w:t xml:space="preserve">mployment </w:t>
      </w:r>
      <w:r w:rsidR="00D72C75">
        <w:t>s</w:t>
      </w:r>
      <w:r>
        <w:t xml:space="preserve">ervices </w:t>
      </w:r>
      <w:r w:rsidR="00AE3C17">
        <w:t>(</w:t>
      </w:r>
      <w:r>
        <w:t>months from commencement</w:t>
      </w:r>
      <w:r w:rsidR="00AE3C17">
        <w:t>)</w:t>
      </w:r>
      <w:bookmarkEnd w:id="2928"/>
      <w:bookmarkEnd w:id="2929"/>
    </w:p>
    <w:p w14:paraId="6BE721B0" w14:textId="438EFE95" w:rsidR="00D51BB2" w:rsidRDefault="00D23BA0" w:rsidP="00D51BB2">
      <w:pPr>
        <w:pStyle w:val="SourceandNotes"/>
      </w:pPr>
      <w:r>
        <w:rPr>
          <w:noProof/>
        </w:rPr>
        <w:drawing>
          <wp:inline distT="0" distB="0" distL="0" distR="0" wp14:anchorId="7927E651" wp14:editId="5A32CF41">
            <wp:extent cx="5401310" cy="3914140"/>
            <wp:effectExtent l="0" t="0" r="0" b="0"/>
            <wp:docPr id="92" name="Picture 92" descr="Graph showing the trends discuss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 showing the trends discussed in the preceding paragrap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1310" cy="3914140"/>
                    </a:xfrm>
                    <a:prstGeom prst="rect">
                      <a:avLst/>
                    </a:prstGeom>
                    <a:noFill/>
                  </pic:spPr>
                </pic:pic>
              </a:graphicData>
            </a:graphic>
          </wp:inline>
        </w:drawing>
      </w:r>
      <w:r w:rsidR="00D51BB2" w:rsidRPr="002F1F24">
        <w:t>Source: The department</w:t>
      </w:r>
      <w:r w:rsidR="00F8391B">
        <w:t>’</w:t>
      </w:r>
      <w:r w:rsidR="00D51BB2" w:rsidRPr="002F1F24">
        <w:t xml:space="preserve">s </w:t>
      </w:r>
      <w:r w:rsidR="00D51BB2">
        <w:t>administrative data</w:t>
      </w:r>
    </w:p>
    <w:p w14:paraId="34C3EB22" w14:textId="5FC9656E" w:rsidR="00FE5DCB" w:rsidRDefault="00FE5DCB" w:rsidP="00FE5DCB">
      <w:pPr>
        <w:pStyle w:val="SourceandNotes"/>
      </w:pPr>
      <w:r>
        <w:t>Base: Matched TtW (n=8</w:t>
      </w:r>
      <w:r w:rsidR="00D72C75">
        <w:t>,</w:t>
      </w:r>
      <w:r>
        <w:t>361) and jobactive (n=8</w:t>
      </w:r>
      <w:r w:rsidR="00D72C75">
        <w:t>,</w:t>
      </w:r>
      <w:r>
        <w:t xml:space="preserve">361) </w:t>
      </w:r>
      <w:r w:rsidR="00344D0E">
        <w:t>sample</w:t>
      </w:r>
      <w:r>
        <w:t>s</w:t>
      </w:r>
    </w:p>
    <w:p w14:paraId="00B5438A" w14:textId="124A73CF" w:rsidR="00FE5DCB" w:rsidRDefault="00FE5DCB" w:rsidP="00FE5DCB">
      <w:pPr>
        <w:pStyle w:val="SourceandNotes"/>
      </w:pPr>
      <w:r>
        <w:lastRenderedPageBreak/>
        <w:t xml:space="preserve">Note: Employment </w:t>
      </w:r>
      <w:r w:rsidR="00D72C75">
        <w:t>s</w:t>
      </w:r>
      <w:r>
        <w:t>ervices include jobactive, TtW, ParentsNext, DESA and DESB. There may be other smaller employment services not captured in this analysis.</w:t>
      </w:r>
    </w:p>
    <w:p w14:paraId="2E665302" w14:textId="3B6E5C06" w:rsidR="0013273C" w:rsidRDefault="1915947C" w:rsidP="006E41FD">
      <w:pPr>
        <w:pStyle w:val="Heading2"/>
      </w:pPr>
      <w:bookmarkStart w:id="2931" w:name="_Toc106711848"/>
      <w:bookmarkStart w:id="2932" w:name="_Toc132650497"/>
      <w:bookmarkStart w:id="2933" w:name="_Toc146033528"/>
      <w:bookmarkEnd w:id="2930"/>
      <w:r>
        <w:t>Conclusion</w:t>
      </w:r>
      <w:bookmarkEnd w:id="2931"/>
      <w:bookmarkEnd w:id="2932"/>
      <w:bookmarkEnd w:id="2933"/>
    </w:p>
    <w:p w14:paraId="51D593F1" w14:textId="7E9BEA0C" w:rsidR="00065ABF" w:rsidRPr="00065ABF" w:rsidRDefault="3330C9A1" w:rsidP="001431BC">
      <w:bookmarkStart w:id="2934" w:name="_Hlk124865579"/>
      <w:bookmarkStart w:id="2935" w:name="_Hlk106286587"/>
      <w:r>
        <w:t xml:space="preserve">Participation in TtW resulted in </w:t>
      </w:r>
      <w:r w:rsidR="00191978">
        <w:t xml:space="preserve">TtW participants achieving the </w:t>
      </w:r>
      <w:r>
        <w:t xml:space="preserve">same </w:t>
      </w:r>
      <w:r w:rsidR="00191978">
        <w:t xml:space="preserve">degree of employment, labour market attachment and reduced income support reliance over </w:t>
      </w:r>
      <w:r w:rsidR="009E4B68">
        <w:t>the longer term</w:t>
      </w:r>
      <w:r>
        <w:t xml:space="preserve"> (</w:t>
      </w:r>
      <w:r w:rsidR="0DA0DE00">
        <w:t>3</w:t>
      </w:r>
      <w:r w:rsidR="00D72C75">
        <w:t xml:space="preserve"> to </w:t>
      </w:r>
      <w:r>
        <w:t>4 year</w:t>
      </w:r>
      <w:r w:rsidR="00D72C75">
        <w:t>s</w:t>
      </w:r>
      <w:r>
        <w:t xml:space="preserve">) </w:t>
      </w:r>
      <w:r w:rsidR="00071ABC">
        <w:t xml:space="preserve">as </w:t>
      </w:r>
      <w:r w:rsidR="00191978">
        <w:t>was</w:t>
      </w:r>
      <w:r w:rsidR="00071ABC">
        <w:t xml:space="preserve"> achieved by </w:t>
      </w:r>
      <w:r>
        <w:t>the matched comparison group.</w:t>
      </w:r>
      <w:r w:rsidR="0DA0DE00">
        <w:t xml:space="preserve"> </w:t>
      </w:r>
      <w:r>
        <w:t xml:space="preserve">Thirty-six months after commencement, approximately 2 in 5 (39%) of the participants from both TtW and the comparison group were in employment and just over half (56%) </w:t>
      </w:r>
      <w:r w:rsidR="7BE16E7A">
        <w:t xml:space="preserve">had </w:t>
      </w:r>
      <w:r w:rsidR="00D127AF">
        <w:t xml:space="preserve">increased </w:t>
      </w:r>
      <w:r>
        <w:t>LMA. The COVID-19 pandemic (which began to affect</w:t>
      </w:r>
      <w:r w:rsidR="00D127AF">
        <w:t xml:space="preserve"> some</w:t>
      </w:r>
      <w:r>
        <w:t xml:space="preserve"> participants 36 </w:t>
      </w:r>
      <w:r w:rsidR="00D127AF">
        <w:t xml:space="preserve">months </w:t>
      </w:r>
      <w:r>
        <w:t xml:space="preserve">from commencement) pushed participants from both TtW and </w:t>
      </w:r>
      <w:r w:rsidR="00006C6A">
        <w:t>the comparison group</w:t>
      </w:r>
      <w:r>
        <w:t xml:space="preserve"> out of the labour market and back on to income support.</w:t>
      </w:r>
    </w:p>
    <w:p w14:paraId="2B4883A3" w14:textId="4955DEF0" w:rsidR="004C5FF8" w:rsidRDefault="004C5FF8">
      <w:r w:rsidRPr="004C5FF8">
        <w:t xml:space="preserve">Similarly, TtW </w:t>
      </w:r>
      <w:r w:rsidR="00332E38">
        <w:t xml:space="preserve">participants </w:t>
      </w:r>
      <w:r w:rsidR="00332E38" w:rsidRPr="004C5FF8">
        <w:t>from different equity groups</w:t>
      </w:r>
      <w:r w:rsidR="00332E38" w:rsidRPr="004C5FF8">
        <w:rPr>
          <w:rStyle w:val="FootnoteReference"/>
        </w:rPr>
        <w:footnoteReference w:id="94"/>
      </w:r>
      <w:r w:rsidR="00332E38" w:rsidRPr="004C5FF8">
        <w:t xml:space="preserve"> </w:t>
      </w:r>
      <w:r w:rsidR="00332E38">
        <w:t>were</w:t>
      </w:r>
      <w:r w:rsidRPr="004C5FF8">
        <w:t xml:space="preserve"> no more, or less, </w:t>
      </w:r>
      <w:r w:rsidR="00332E38">
        <w:t xml:space="preserve">likely than similar participants from the comparison group to be employed </w:t>
      </w:r>
      <w:r w:rsidRPr="004C5FF8">
        <w:t xml:space="preserve">over </w:t>
      </w:r>
      <w:r w:rsidR="009E4B68">
        <w:t>the longer term</w:t>
      </w:r>
      <w:r>
        <w:t xml:space="preserve"> (24, 36 and 48</w:t>
      </w:r>
      <w:r w:rsidR="00D72C75">
        <w:t> </w:t>
      </w:r>
      <w:r>
        <w:t>months)</w:t>
      </w:r>
      <w:r w:rsidR="00D127AF">
        <w:t>. I</w:t>
      </w:r>
      <w:r>
        <w:t xml:space="preserve">n line with results for the population as a whole, </w:t>
      </w:r>
      <w:r w:rsidR="00006C6A">
        <w:t xml:space="preserve">young people with any of these specific characteristics from the comparison sample </w:t>
      </w:r>
      <w:r w:rsidR="00332E38">
        <w:t xml:space="preserve">were more likely </w:t>
      </w:r>
      <w:r w:rsidR="00006C6A">
        <w:t xml:space="preserve">to </w:t>
      </w:r>
      <w:r w:rsidR="00332E38">
        <w:t xml:space="preserve">be employed </w:t>
      </w:r>
      <w:r>
        <w:t xml:space="preserve">6 months </w:t>
      </w:r>
      <w:r w:rsidR="00332E38">
        <w:t xml:space="preserve">from commencement </w:t>
      </w:r>
      <w:r>
        <w:t xml:space="preserve">(and </w:t>
      </w:r>
      <w:r w:rsidR="003A0923">
        <w:t>women</w:t>
      </w:r>
      <w:r w:rsidR="00332E38">
        <w:t xml:space="preserve"> from the comparison group were more likely to be employed at </w:t>
      </w:r>
      <w:r>
        <w:t>12</w:t>
      </w:r>
      <w:r w:rsidR="00D72C75">
        <w:t> </w:t>
      </w:r>
      <w:r>
        <w:t>months).</w:t>
      </w:r>
    </w:p>
    <w:p w14:paraId="7660EDEA" w14:textId="7D264219" w:rsidR="000204AB" w:rsidRDefault="3330C9A1" w:rsidP="00F975E8">
      <w:r>
        <w:t xml:space="preserve">It appears that while only a small proportion of participants from TtW or the comparison group entered full-time study or a full-time apprenticeship within 4 years from commencement, slightly </w:t>
      </w:r>
      <w:r w:rsidR="00B31D68">
        <w:t xml:space="preserve">fewer </w:t>
      </w:r>
      <w:r>
        <w:t>TtW participants took this pathway (at 36 mo</w:t>
      </w:r>
      <w:r w:rsidR="00A5211D">
        <w:t>n</w:t>
      </w:r>
      <w:r>
        <w:t>ths, 3.1% of TtW participants and 5.5% of the comparison group were receiving a study</w:t>
      </w:r>
      <w:r w:rsidR="00D72C75">
        <w:t>-</w:t>
      </w:r>
      <w:r>
        <w:t>related income support payment.) However, TtW participants who d</w:t>
      </w:r>
      <w:r w:rsidR="00D127AF">
        <w:t>id</w:t>
      </w:r>
      <w:r>
        <w:t xml:space="preserve"> take up full</w:t>
      </w:r>
      <w:r w:rsidR="00FC294E">
        <w:t>-</w:t>
      </w:r>
      <w:r>
        <w:t xml:space="preserve">time study or an apprenticeship appear to </w:t>
      </w:r>
      <w:r w:rsidR="00D127AF">
        <w:t xml:space="preserve">have </w:t>
      </w:r>
      <w:r>
        <w:t>remain</w:t>
      </w:r>
      <w:r w:rsidR="00D127AF">
        <w:t>ed</w:t>
      </w:r>
      <w:r>
        <w:t xml:space="preserve"> in </w:t>
      </w:r>
      <w:r w:rsidR="004F7225">
        <w:t>study</w:t>
      </w:r>
      <w:r w:rsidR="56D26E96">
        <w:t xml:space="preserve"> </w:t>
      </w:r>
      <w:r>
        <w:t xml:space="preserve">for a longer </w:t>
      </w:r>
      <w:r w:rsidR="004F7225">
        <w:t>period</w:t>
      </w:r>
      <w:r>
        <w:t>.</w:t>
      </w:r>
      <w:r w:rsidR="00D00DDC">
        <w:br w:type="page"/>
      </w:r>
      <w:bookmarkEnd w:id="2934"/>
    </w:p>
    <w:p w14:paraId="0493B1AF" w14:textId="072D0F55" w:rsidR="0073298F" w:rsidRPr="004261DD" w:rsidRDefault="00477DF1" w:rsidP="0073298F">
      <w:pPr>
        <w:pStyle w:val="Heading1"/>
      </w:pPr>
      <w:bookmarkStart w:id="2936" w:name="_Toc132194170"/>
      <w:bookmarkStart w:id="2937" w:name="_Toc132194326"/>
      <w:bookmarkStart w:id="2938" w:name="_Toc132209607"/>
      <w:bookmarkStart w:id="2939" w:name="_Toc132209772"/>
      <w:bookmarkStart w:id="2940" w:name="_Toc132209937"/>
      <w:bookmarkStart w:id="2941" w:name="_Toc132647696"/>
      <w:bookmarkStart w:id="2942" w:name="_Toc132649076"/>
      <w:bookmarkStart w:id="2943" w:name="_Toc132650498"/>
      <w:bookmarkStart w:id="2944" w:name="_Toc132650499"/>
      <w:bookmarkStart w:id="2945" w:name="_Toc146033529"/>
      <w:bookmarkEnd w:id="2936"/>
      <w:bookmarkEnd w:id="2937"/>
      <w:bookmarkEnd w:id="2938"/>
      <w:bookmarkEnd w:id="2939"/>
      <w:bookmarkEnd w:id="2940"/>
      <w:bookmarkEnd w:id="2941"/>
      <w:bookmarkEnd w:id="2942"/>
      <w:bookmarkEnd w:id="2943"/>
      <w:r w:rsidRPr="00B4047A">
        <w:lastRenderedPageBreak/>
        <w:t>–</w:t>
      </w:r>
      <w:bookmarkStart w:id="2946" w:name="_Toc108539515"/>
      <w:bookmarkStart w:id="2947" w:name="_Toc109822752"/>
      <w:bookmarkStart w:id="2948" w:name="_Toc109919234"/>
      <w:bookmarkStart w:id="2949" w:name="_Toc110250045"/>
      <w:bookmarkStart w:id="2950" w:name="_Toc110252086"/>
      <w:bookmarkStart w:id="2951" w:name="_Toc110265484"/>
      <w:bookmarkStart w:id="2952" w:name="_Toc110411721"/>
      <w:bookmarkStart w:id="2953" w:name="_Toc108539516"/>
      <w:bookmarkStart w:id="2954" w:name="_Toc109822753"/>
      <w:bookmarkStart w:id="2955" w:name="_Toc109919235"/>
      <w:bookmarkStart w:id="2956" w:name="_Toc110250046"/>
      <w:bookmarkStart w:id="2957" w:name="_Toc110252087"/>
      <w:bookmarkStart w:id="2958" w:name="_Toc110265485"/>
      <w:bookmarkStart w:id="2959" w:name="_Toc110411722"/>
      <w:bookmarkStart w:id="2960" w:name="_Toc108539517"/>
      <w:bookmarkStart w:id="2961" w:name="_Toc109822754"/>
      <w:bookmarkStart w:id="2962" w:name="_Toc109919236"/>
      <w:bookmarkStart w:id="2963" w:name="_Toc110250047"/>
      <w:bookmarkStart w:id="2964" w:name="_Toc110252088"/>
      <w:bookmarkStart w:id="2965" w:name="_Toc110265486"/>
      <w:bookmarkStart w:id="2966" w:name="_Toc110411723"/>
      <w:bookmarkStart w:id="2967" w:name="_Toc108539518"/>
      <w:bookmarkStart w:id="2968" w:name="_Toc109822755"/>
      <w:bookmarkStart w:id="2969" w:name="_Toc109919237"/>
      <w:bookmarkStart w:id="2970" w:name="_Toc110250048"/>
      <w:bookmarkStart w:id="2971" w:name="_Toc110252089"/>
      <w:bookmarkStart w:id="2972" w:name="_Toc110265487"/>
      <w:bookmarkStart w:id="2973" w:name="_Toc110411724"/>
      <w:bookmarkStart w:id="2974" w:name="_Toc108539519"/>
      <w:bookmarkStart w:id="2975" w:name="_Toc109822756"/>
      <w:bookmarkStart w:id="2976" w:name="_Toc109919238"/>
      <w:bookmarkStart w:id="2977" w:name="_Toc110250049"/>
      <w:bookmarkStart w:id="2978" w:name="_Toc110252090"/>
      <w:bookmarkStart w:id="2979" w:name="_Toc110265488"/>
      <w:bookmarkStart w:id="2980" w:name="_Toc110411725"/>
      <w:bookmarkStart w:id="2981" w:name="_Toc108539520"/>
      <w:bookmarkStart w:id="2982" w:name="_Toc109822757"/>
      <w:bookmarkStart w:id="2983" w:name="_Toc109919239"/>
      <w:bookmarkStart w:id="2984" w:name="_Toc110250050"/>
      <w:bookmarkStart w:id="2985" w:name="_Toc110252091"/>
      <w:bookmarkStart w:id="2986" w:name="_Toc110265489"/>
      <w:bookmarkStart w:id="2987" w:name="_Toc110411726"/>
      <w:bookmarkStart w:id="2988" w:name="_Toc108539521"/>
      <w:bookmarkStart w:id="2989" w:name="_Toc109822758"/>
      <w:bookmarkStart w:id="2990" w:name="_Toc109919240"/>
      <w:bookmarkStart w:id="2991" w:name="_Toc110250051"/>
      <w:bookmarkStart w:id="2992" w:name="_Toc110252092"/>
      <w:bookmarkStart w:id="2993" w:name="_Toc110265490"/>
      <w:bookmarkStart w:id="2994" w:name="_Toc110411727"/>
      <w:bookmarkStart w:id="2995" w:name="_Toc108539532"/>
      <w:bookmarkStart w:id="2996" w:name="_Toc109822769"/>
      <w:bookmarkStart w:id="2997" w:name="_Toc109919251"/>
      <w:bookmarkStart w:id="2998" w:name="_Toc110250062"/>
      <w:bookmarkStart w:id="2999" w:name="_Toc110252103"/>
      <w:bookmarkStart w:id="3000" w:name="_Toc110265501"/>
      <w:bookmarkStart w:id="3001" w:name="_Toc110411738"/>
      <w:bookmarkStart w:id="3002" w:name="_Toc108539533"/>
      <w:bookmarkStart w:id="3003" w:name="_Toc109822770"/>
      <w:bookmarkStart w:id="3004" w:name="_Toc109919252"/>
      <w:bookmarkStart w:id="3005" w:name="_Toc110250063"/>
      <w:bookmarkStart w:id="3006" w:name="_Toc110252104"/>
      <w:bookmarkStart w:id="3007" w:name="_Toc110265502"/>
      <w:bookmarkStart w:id="3008" w:name="_Toc110411739"/>
      <w:bookmarkStart w:id="3009" w:name="_Toc108539534"/>
      <w:bookmarkStart w:id="3010" w:name="_Toc109822771"/>
      <w:bookmarkStart w:id="3011" w:name="_Toc109919253"/>
      <w:bookmarkStart w:id="3012" w:name="_Toc110250064"/>
      <w:bookmarkStart w:id="3013" w:name="_Toc110252105"/>
      <w:bookmarkStart w:id="3014" w:name="_Toc110265503"/>
      <w:bookmarkStart w:id="3015" w:name="_Toc110411740"/>
      <w:bookmarkStart w:id="3016" w:name="_Toc108539535"/>
      <w:bookmarkStart w:id="3017" w:name="_Toc109822772"/>
      <w:bookmarkStart w:id="3018" w:name="_Toc109919254"/>
      <w:bookmarkStart w:id="3019" w:name="_Toc110250065"/>
      <w:bookmarkStart w:id="3020" w:name="_Toc110252106"/>
      <w:bookmarkStart w:id="3021" w:name="_Toc110265504"/>
      <w:bookmarkStart w:id="3022" w:name="_Toc110411741"/>
      <w:bookmarkStart w:id="3023" w:name="_Toc108539536"/>
      <w:bookmarkStart w:id="3024" w:name="_Toc109822773"/>
      <w:bookmarkStart w:id="3025" w:name="_Toc109919255"/>
      <w:bookmarkStart w:id="3026" w:name="_Toc110250066"/>
      <w:bookmarkStart w:id="3027" w:name="_Toc110252107"/>
      <w:bookmarkStart w:id="3028" w:name="_Toc110265505"/>
      <w:bookmarkStart w:id="3029" w:name="_Toc110411742"/>
      <w:bookmarkStart w:id="3030" w:name="_Toc108539537"/>
      <w:bookmarkStart w:id="3031" w:name="_Toc109822774"/>
      <w:bookmarkStart w:id="3032" w:name="_Toc109919256"/>
      <w:bookmarkStart w:id="3033" w:name="_Toc110250067"/>
      <w:bookmarkStart w:id="3034" w:name="_Toc110252108"/>
      <w:bookmarkStart w:id="3035" w:name="_Toc110265506"/>
      <w:bookmarkStart w:id="3036" w:name="_Toc110411743"/>
      <w:bookmarkStart w:id="3037" w:name="_Toc108539538"/>
      <w:bookmarkStart w:id="3038" w:name="_Toc109822775"/>
      <w:bookmarkStart w:id="3039" w:name="_Toc109919257"/>
      <w:bookmarkStart w:id="3040" w:name="_Toc110250068"/>
      <w:bookmarkStart w:id="3041" w:name="_Toc110252109"/>
      <w:bookmarkStart w:id="3042" w:name="_Toc110265507"/>
      <w:bookmarkStart w:id="3043" w:name="_Toc110411744"/>
      <w:bookmarkStart w:id="3044" w:name="_Toc108539539"/>
      <w:bookmarkStart w:id="3045" w:name="_Toc109822776"/>
      <w:bookmarkStart w:id="3046" w:name="_Toc109919258"/>
      <w:bookmarkStart w:id="3047" w:name="_Toc110250069"/>
      <w:bookmarkStart w:id="3048" w:name="_Toc110252110"/>
      <w:bookmarkStart w:id="3049" w:name="_Toc110265508"/>
      <w:bookmarkStart w:id="3050" w:name="_Toc110411745"/>
      <w:bookmarkStart w:id="3051" w:name="_Toc108539540"/>
      <w:bookmarkStart w:id="3052" w:name="_Toc109822777"/>
      <w:bookmarkStart w:id="3053" w:name="_Toc109919259"/>
      <w:bookmarkStart w:id="3054" w:name="_Toc110250070"/>
      <w:bookmarkStart w:id="3055" w:name="_Toc110252111"/>
      <w:bookmarkStart w:id="3056" w:name="_Toc110265509"/>
      <w:bookmarkStart w:id="3057" w:name="_Toc110411746"/>
      <w:bookmarkStart w:id="3058" w:name="_Toc108539541"/>
      <w:bookmarkStart w:id="3059" w:name="_Toc109822778"/>
      <w:bookmarkStart w:id="3060" w:name="_Toc109919260"/>
      <w:bookmarkStart w:id="3061" w:name="_Toc110250071"/>
      <w:bookmarkStart w:id="3062" w:name="_Toc110252112"/>
      <w:bookmarkStart w:id="3063" w:name="_Toc110265510"/>
      <w:bookmarkStart w:id="3064" w:name="_Toc110411747"/>
      <w:bookmarkStart w:id="3065" w:name="_Toc108539542"/>
      <w:bookmarkStart w:id="3066" w:name="_Toc109822779"/>
      <w:bookmarkStart w:id="3067" w:name="_Toc109919261"/>
      <w:bookmarkStart w:id="3068" w:name="_Toc110250072"/>
      <w:bookmarkStart w:id="3069" w:name="_Toc110252113"/>
      <w:bookmarkStart w:id="3070" w:name="_Toc110265511"/>
      <w:bookmarkStart w:id="3071" w:name="_Toc110411748"/>
      <w:bookmarkStart w:id="3072" w:name="_Toc108539543"/>
      <w:bookmarkStart w:id="3073" w:name="_Toc109822780"/>
      <w:bookmarkStart w:id="3074" w:name="_Toc109919262"/>
      <w:bookmarkStart w:id="3075" w:name="_Toc110250073"/>
      <w:bookmarkStart w:id="3076" w:name="_Toc110252114"/>
      <w:bookmarkStart w:id="3077" w:name="_Toc110265512"/>
      <w:bookmarkStart w:id="3078" w:name="_Toc110411749"/>
      <w:bookmarkStart w:id="3079" w:name="_Toc108539544"/>
      <w:bookmarkStart w:id="3080" w:name="_Toc109822781"/>
      <w:bookmarkStart w:id="3081" w:name="_Toc109919263"/>
      <w:bookmarkStart w:id="3082" w:name="_Toc110250074"/>
      <w:bookmarkStart w:id="3083" w:name="_Toc110252115"/>
      <w:bookmarkStart w:id="3084" w:name="_Toc110265513"/>
      <w:bookmarkStart w:id="3085" w:name="_Toc110411750"/>
      <w:bookmarkStart w:id="3086" w:name="_Toc108539545"/>
      <w:bookmarkStart w:id="3087" w:name="_Toc109822782"/>
      <w:bookmarkStart w:id="3088" w:name="_Toc109919264"/>
      <w:bookmarkStart w:id="3089" w:name="_Toc110250075"/>
      <w:bookmarkStart w:id="3090" w:name="_Toc110252116"/>
      <w:bookmarkStart w:id="3091" w:name="_Toc110265514"/>
      <w:bookmarkStart w:id="3092" w:name="_Toc110411751"/>
      <w:bookmarkStart w:id="3093" w:name="_Toc108539546"/>
      <w:bookmarkStart w:id="3094" w:name="_Toc109822783"/>
      <w:bookmarkStart w:id="3095" w:name="_Toc109919265"/>
      <w:bookmarkStart w:id="3096" w:name="_Toc110250076"/>
      <w:bookmarkStart w:id="3097" w:name="_Toc110252117"/>
      <w:bookmarkStart w:id="3098" w:name="_Toc110265515"/>
      <w:bookmarkStart w:id="3099" w:name="_Toc110411752"/>
      <w:bookmarkStart w:id="3100" w:name="_Toc108539547"/>
      <w:bookmarkStart w:id="3101" w:name="_Toc109822784"/>
      <w:bookmarkStart w:id="3102" w:name="_Toc109919266"/>
      <w:bookmarkStart w:id="3103" w:name="_Toc110250077"/>
      <w:bookmarkStart w:id="3104" w:name="_Toc110252118"/>
      <w:bookmarkStart w:id="3105" w:name="_Toc110265516"/>
      <w:bookmarkStart w:id="3106" w:name="_Toc110411753"/>
      <w:bookmarkStart w:id="3107" w:name="_Toc108539548"/>
      <w:bookmarkStart w:id="3108" w:name="_Toc109822785"/>
      <w:bookmarkStart w:id="3109" w:name="_Toc109919267"/>
      <w:bookmarkStart w:id="3110" w:name="_Toc110250078"/>
      <w:bookmarkStart w:id="3111" w:name="_Toc110252119"/>
      <w:bookmarkStart w:id="3112" w:name="_Toc110265517"/>
      <w:bookmarkStart w:id="3113" w:name="_Toc110411754"/>
      <w:bookmarkStart w:id="3114" w:name="_Toc108539549"/>
      <w:bookmarkStart w:id="3115" w:name="_Toc109822786"/>
      <w:bookmarkStart w:id="3116" w:name="_Toc109919268"/>
      <w:bookmarkStart w:id="3117" w:name="_Toc110250079"/>
      <w:bookmarkStart w:id="3118" w:name="_Toc110252120"/>
      <w:bookmarkStart w:id="3119" w:name="_Toc110265518"/>
      <w:bookmarkStart w:id="3120" w:name="_Toc110411755"/>
      <w:bookmarkStart w:id="3121" w:name="_Toc108539550"/>
      <w:bookmarkStart w:id="3122" w:name="_Toc109822787"/>
      <w:bookmarkStart w:id="3123" w:name="_Toc109919269"/>
      <w:bookmarkStart w:id="3124" w:name="_Toc110250080"/>
      <w:bookmarkStart w:id="3125" w:name="_Toc110252121"/>
      <w:bookmarkStart w:id="3126" w:name="_Toc110265519"/>
      <w:bookmarkStart w:id="3127" w:name="_Toc110411756"/>
      <w:bookmarkStart w:id="3128" w:name="_Toc108539551"/>
      <w:bookmarkStart w:id="3129" w:name="_Toc109822788"/>
      <w:bookmarkStart w:id="3130" w:name="_Toc109919270"/>
      <w:bookmarkStart w:id="3131" w:name="_Toc110250081"/>
      <w:bookmarkStart w:id="3132" w:name="_Toc110252122"/>
      <w:bookmarkStart w:id="3133" w:name="_Toc110265520"/>
      <w:bookmarkStart w:id="3134" w:name="_Toc110411757"/>
      <w:bookmarkStart w:id="3135" w:name="_Toc108539552"/>
      <w:bookmarkStart w:id="3136" w:name="_Toc109822789"/>
      <w:bookmarkStart w:id="3137" w:name="_Toc109919271"/>
      <w:bookmarkStart w:id="3138" w:name="_Toc110250082"/>
      <w:bookmarkStart w:id="3139" w:name="_Toc110252123"/>
      <w:bookmarkStart w:id="3140" w:name="_Toc110265521"/>
      <w:bookmarkStart w:id="3141" w:name="_Toc110411758"/>
      <w:bookmarkStart w:id="3142" w:name="_Toc108539553"/>
      <w:bookmarkStart w:id="3143" w:name="_Toc109822790"/>
      <w:bookmarkStart w:id="3144" w:name="_Toc109919272"/>
      <w:bookmarkStart w:id="3145" w:name="_Toc110250083"/>
      <w:bookmarkStart w:id="3146" w:name="_Toc110252124"/>
      <w:bookmarkStart w:id="3147" w:name="_Toc110265522"/>
      <w:bookmarkStart w:id="3148" w:name="_Toc110411759"/>
      <w:bookmarkStart w:id="3149" w:name="_Toc108539554"/>
      <w:bookmarkStart w:id="3150" w:name="_Toc109822791"/>
      <w:bookmarkStart w:id="3151" w:name="_Toc109919273"/>
      <w:bookmarkStart w:id="3152" w:name="_Toc110250084"/>
      <w:bookmarkStart w:id="3153" w:name="_Toc110252125"/>
      <w:bookmarkStart w:id="3154" w:name="_Toc110265523"/>
      <w:bookmarkStart w:id="3155" w:name="_Toc110411760"/>
      <w:bookmarkStart w:id="3156" w:name="_Toc108539555"/>
      <w:bookmarkStart w:id="3157" w:name="_Toc109822792"/>
      <w:bookmarkStart w:id="3158" w:name="_Toc109919274"/>
      <w:bookmarkStart w:id="3159" w:name="_Toc110250085"/>
      <w:bookmarkStart w:id="3160" w:name="_Toc110252126"/>
      <w:bookmarkStart w:id="3161" w:name="_Toc110265524"/>
      <w:bookmarkStart w:id="3162" w:name="_Toc110411761"/>
      <w:bookmarkStart w:id="3163" w:name="_Toc108539556"/>
      <w:bookmarkStart w:id="3164" w:name="_Toc109822793"/>
      <w:bookmarkStart w:id="3165" w:name="_Toc109919275"/>
      <w:bookmarkStart w:id="3166" w:name="_Toc110250086"/>
      <w:bookmarkStart w:id="3167" w:name="_Toc110252127"/>
      <w:bookmarkStart w:id="3168" w:name="_Toc110265525"/>
      <w:bookmarkStart w:id="3169" w:name="_Toc110411762"/>
      <w:bookmarkStart w:id="3170" w:name="_Toc108539557"/>
      <w:bookmarkStart w:id="3171" w:name="_Toc109822794"/>
      <w:bookmarkStart w:id="3172" w:name="_Toc109919276"/>
      <w:bookmarkStart w:id="3173" w:name="_Toc110250087"/>
      <w:bookmarkStart w:id="3174" w:name="_Toc110252128"/>
      <w:bookmarkStart w:id="3175" w:name="_Toc110265526"/>
      <w:bookmarkStart w:id="3176" w:name="_Toc110411763"/>
      <w:bookmarkStart w:id="3177" w:name="_Toc108539558"/>
      <w:bookmarkStart w:id="3178" w:name="_Toc109822795"/>
      <w:bookmarkStart w:id="3179" w:name="_Toc109919277"/>
      <w:bookmarkStart w:id="3180" w:name="_Toc110250088"/>
      <w:bookmarkStart w:id="3181" w:name="_Toc110252129"/>
      <w:bookmarkStart w:id="3182" w:name="_Toc110265527"/>
      <w:bookmarkStart w:id="3183" w:name="_Toc110411764"/>
      <w:bookmarkStart w:id="3184" w:name="_Toc108539559"/>
      <w:bookmarkStart w:id="3185" w:name="_Toc109822796"/>
      <w:bookmarkStart w:id="3186" w:name="_Toc109919278"/>
      <w:bookmarkStart w:id="3187" w:name="_Toc110250089"/>
      <w:bookmarkStart w:id="3188" w:name="_Toc110252130"/>
      <w:bookmarkStart w:id="3189" w:name="_Toc110265528"/>
      <w:bookmarkStart w:id="3190" w:name="_Toc110411765"/>
      <w:bookmarkStart w:id="3191" w:name="_Toc108539560"/>
      <w:bookmarkStart w:id="3192" w:name="_Toc109822797"/>
      <w:bookmarkStart w:id="3193" w:name="_Toc109919279"/>
      <w:bookmarkStart w:id="3194" w:name="_Toc110250090"/>
      <w:bookmarkStart w:id="3195" w:name="_Toc110252131"/>
      <w:bookmarkStart w:id="3196" w:name="_Toc110265529"/>
      <w:bookmarkStart w:id="3197" w:name="_Toc110411766"/>
      <w:bookmarkStart w:id="3198" w:name="_Toc108539561"/>
      <w:bookmarkStart w:id="3199" w:name="_Toc109822798"/>
      <w:bookmarkStart w:id="3200" w:name="_Toc109919280"/>
      <w:bookmarkStart w:id="3201" w:name="_Toc110250091"/>
      <w:bookmarkStart w:id="3202" w:name="_Toc110252132"/>
      <w:bookmarkStart w:id="3203" w:name="_Toc110265530"/>
      <w:bookmarkStart w:id="3204" w:name="_Toc110411767"/>
      <w:bookmarkStart w:id="3205" w:name="_Toc108539562"/>
      <w:bookmarkStart w:id="3206" w:name="_Toc109822799"/>
      <w:bookmarkStart w:id="3207" w:name="_Toc109919281"/>
      <w:bookmarkStart w:id="3208" w:name="_Toc110250092"/>
      <w:bookmarkStart w:id="3209" w:name="_Toc110252133"/>
      <w:bookmarkStart w:id="3210" w:name="_Toc110265531"/>
      <w:bookmarkStart w:id="3211" w:name="_Toc110411768"/>
      <w:bookmarkStart w:id="3212" w:name="_Toc108539563"/>
      <w:bookmarkStart w:id="3213" w:name="_Toc109822800"/>
      <w:bookmarkStart w:id="3214" w:name="_Toc109919282"/>
      <w:bookmarkStart w:id="3215" w:name="_Toc110250093"/>
      <w:bookmarkStart w:id="3216" w:name="_Toc110252134"/>
      <w:bookmarkStart w:id="3217" w:name="_Toc110265532"/>
      <w:bookmarkStart w:id="3218" w:name="_Toc110411769"/>
      <w:bookmarkStart w:id="3219" w:name="_Toc108539564"/>
      <w:bookmarkStart w:id="3220" w:name="_Toc109822801"/>
      <w:bookmarkStart w:id="3221" w:name="_Toc109919283"/>
      <w:bookmarkStart w:id="3222" w:name="_Toc110250094"/>
      <w:bookmarkStart w:id="3223" w:name="_Toc110252135"/>
      <w:bookmarkStart w:id="3224" w:name="_Toc110265533"/>
      <w:bookmarkStart w:id="3225" w:name="_Toc110411770"/>
      <w:bookmarkStart w:id="3226" w:name="_Toc108539565"/>
      <w:bookmarkStart w:id="3227" w:name="_Toc109822802"/>
      <w:bookmarkStart w:id="3228" w:name="_Toc109919284"/>
      <w:bookmarkStart w:id="3229" w:name="_Toc110250095"/>
      <w:bookmarkStart w:id="3230" w:name="_Toc110252136"/>
      <w:bookmarkStart w:id="3231" w:name="_Toc110265534"/>
      <w:bookmarkStart w:id="3232" w:name="_Toc110411771"/>
      <w:bookmarkStart w:id="3233" w:name="_Toc108539566"/>
      <w:bookmarkStart w:id="3234" w:name="_Toc109822803"/>
      <w:bookmarkStart w:id="3235" w:name="_Toc109919285"/>
      <w:bookmarkStart w:id="3236" w:name="_Toc110250096"/>
      <w:bookmarkStart w:id="3237" w:name="_Toc110252137"/>
      <w:bookmarkStart w:id="3238" w:name="_Toc110265535"/>
      <w:bookmarkStart w:id="3239" w:name="_Toc110411772"/>
      <w:bookmarkStart w:id="3240" w:name="_Toc108539567"/>
      <w:bookmarkStart w:id="3241" w:name="_Toc109822804"/>
      <w:bookmarkStart w:id="3242" w:name="_Toc109919286"/>
      <w:bookmarkStart w:id="3243" w:name="_Toc110250097"/>
      <w:bookmarkStart w:id="3244" w:name="_Toc110252138"/>
      <w:bookmarkStart w:id="3245" w:name="_Toc110265536"/>
      <w:bookmarkStart w:id="3246" w:name="_Toc110411773"/>
      <w:bookmarkStart w:id="3247" w:name="_Toc108539568"/>
      <w:bookmarkStart w:id="3248" w:name="_Toc109822805"/>
      <w:bookmarkStart w:id="3249" w:name="_Toc109919287"/>
      <w:bookmarkStart w:id="3250" w:name="_Toc110250098"/>
      <w:bookmarkStart w:id="3251" w:name="_Toc110252139"/>
      <w:bookmarkStart w:id="3252" w:name="_Toc110265537"/>
      <w:bookmarkStart w:id="3253" w:name="_Toc110411774"/>
      <w:bookmarkStart w:id="3254" w:name="_Toc108539569"/>
      <w:bookmarkStart w:id="3255" w:name="_Toc109822806"/>
      <w:bookmarkStart w:id="3256" w:name="_Toc109919288"/>
      <w:bookmarkStart w:id="3257" w:name="_Toc110250099"/>
      <w:bookmarkStart w:id="3258" w:name="_Toc110252140"/>
      <w:bookmarkStart w:id="3259" w:name="_Toc110265538"/>
      <w:bookmarkStart w:id="3260" w:name="_Toc110411775"/>
      <w:bookmarkStart w:id="3261" w:name="_Toc108539570"/>
      <w:bookmarkStart w:id="3262" w:name="_Toc109822807"/>
      <w:bookmarkStart w:id="3263" w:name="_Toc109919289"/>
      <w:bookmarkStart w:id="3264" w:name="_Toc110250100"/>
      <w:bookmarkStart w:id="3265" w:name="_Toc110252141"/>
      <w:bookmarkStart w:id="3266" w:name="_Toc110265539"/>
      <w:bookmarkStart w:id="3267" w:name="_Toc110411776"/>
      <w:bookmarkStart w:id="3268" w:name="_Toc108539571"/>
      <w:bookmarkStart w:id="3269" w:name="_Toc109822808"/>
      <w:bookmarkStart w:id="3270" w:name="_Toc109919290"/>
      <w:bookmarkStart w:id="3271" w:name="_Toc110250101"/>
      <w:bookmarkStart w:id="3272" w:name="_Toc110252142"/>
      <w:bookmarkStart w:id="3273" w:name="_Toc110265540"/>
      <w:bookmarkStart w:id="3274" w:name="_Toc110411777"/>
      <w:bookmarkStart w:id="3275" w:name="_Toc108539572"/>
      <w:bookmarkStart w:id="3276" w:name="_Toc109822809"/>
      <w:bookmarkStart w:id="3277" w:name="_Toc109919291"/>
      <w:bookmarkStart w:id="3278" w:name="_Toc110250102"/>
      <w:bookmarkStart w:id="3279" w:name="_Toc110252143"/>
      <w:bookmarkStart w:id="3280" w:name="_Toc110265541"/>
      <w:bookmarkStart w:id="3281" w:name="_Toc110411778"/>
      <w:bookmarkStart w:id="3282" w:name="_Toc108539573"/>
      <w:bookmarkStart w:id="3283" w:name="_Toc109822810"/>
      <w:bookmarkStart w:id="3284" w:name="_Toc109919292"/>
      <w:bookmarkStart w:id="3285" w:name="_Toc110250103"/>
      <w:bookmarkStart w:id="3286" w:name="_Toc110252144"/>
      <w:bookmarkStart w:id="3287" w:name="_Toc110265542"/>
      <w:bookmarkStart w:id="3288" w:name="_Toc110411779"/>
      <w:bookmarkStart w:id="3289" w:name="_Toc108539574"/>
      <w:bookmarkStart w:id="3290" w:name="_Toc109822811"/>
      <w:bookmarkStart w:id="3291" w:name="_Toc109919293"/>
      <w:bookmarkStart w:id="3292" w:name="_Toc110250104"/>
      <w:bookmarkStart w:id="3293" w:name="_Toc110252145"/>
      <w:bookmarkStart w:id="3294" w:name="_Toc110265543"/>
      <w:bookmarkStart w:id="3295" w:name="_Toc110411780"/>
      <w:bookmarkStart w:id="3296" w:name="_Toc108539575"/>
      <w:bookmarkStart w:id="3297" w:name="_Toc109822812"/>
      <w:bookmarkStart w:id="3298" w:name="_Toc109919294"/>
      <w:bookmarkStart w:id="3299" w:name="_Toc110250105"/>
      <w:bookmarkStart w:id="3300" w:name="_Toc110252146"/>
      <w:bookmarkStart w:id="3301" w:name="_Toc110265544"/>
      <w:bookmarkStart w:id="3302" w:name="_Toc110411781"/>
      <w:bookmarkStart w:id="3303" w:name="_Toc108539576"/>
      <w:bookmarkStart w:id="3304" w:name="_Toc109822813"/>
      <w:bookmarkStart w:id="3305" w:name="_Toc109919295"/>
      <w:bookmarkStart w:id="3306" w:name="_Toc110250106"/>
      <w:bookmarkStart w:id="3307" w:name="_Toc110252147"/>
      <w:bookmarkStart w:id="3308" w:name="_Toc110265545"/>
      <w:bookmarkStart w:id="3309" w:name="_Toc110411782"/>
      <w:bookmarkStart w:id="3310" w:name="_Toc108539617"/>
      <w:bookmarkStart w:id="3311" w:name="_Toc109822854"/>
      <w:bookmarkStart w:id="3312" w:name="_Toc109919336"/>
      <w:bookmarkStart w:id="3313" w:name="_Toc110250147"/>
      <w:bookmarkStart w:id="3314" w:name="_Toc110252188"/>
      <w:bookmarkStart w:id="3315" w:name="_Toc110265586"/>
      <w:bookmarkStart w:id="3316" w:name="_Toc110411823"/>
      <w:bookmarkStart w:id="3317" w:name="_Toc108539798"/>
      <w:bookmarkStart w:id="3318" w:name="_Toc109823035"/>
      <w:bookmarkStart w:id="3319" w:name="_Toc109919517"/>
      <w:bookmarkStart w:id="3320" w:name="_Toc110250328"/>
      <w:bookmarkStart w:id="3321" w:name="_Toc110252369"/>
      <w:bookmarkStart w:id="3322" w:name="_Toc110265767"/>
      <w:bookmarkStart w:id="3323" w:name="_Toc110412004"/>
      <w:bookmarkStart w:id="3324" w:name="_Toc108539799"/>
      <w:bookmarkStart w:id="3325" w:name="_Toc109823036"/>
      <w:bookmarkStart w:id="3326" w:name="_Toc109919518"/>
      <w:bookmarkStart w:id="3327" w:name="_Toc110250329"/>
      <w:bookmarkStart w:id="3328" w:name="_Toc110252370"/>
      <w:bookmarkStart w:id="3329" w:name="_Toc110265768"/>
      <w:bookmarkStart w:id="3330" w:name="_Toc110412005"/>
      <w:bookmarkStart w:id="3331" w:name="_Toc108539800"/>
      <w:bookmarkStart w:id="3332" w:name="_Toc109823037"/>
      <w:bookmarkStart w:id="3333" w:name="_Toc109919519"/>
      <w:bookmarkStart w:id="3334" w:name="_Toc110250330"/>
      <w:bookmarkStart w:id="3335" w:name="_Toc110252371"/>
      <w:bookmarkStart w:id="3336" w:name="_Toc110265769"/>
      <w:bookmarkStart w:id="3337" w:name="_Toc110412006"/>
      <w:bookmarkStart w:id="3338" w:name="_Toc108539801"/>
      <w:bookmarkStart w:id="3339" w:name="_Toc109823038"/>
      <w:bookmarkStart w:id="3340" w:name="_Toc109919520"/>
      <w:bookmarkStart w:id="3341" w:name="_Toc110250331"/>
      <w:bookmarkStart w:id="3342" w:name="_Toc110252372"/>
      <w:bookmarkStart w:id="3343" w:name="_Toc110265770"/>
      <w:bookmarkStart w:id="3344" w:name="_Toc110412007"/>
      <w:bookmarkStart w:id="3345" w:name="_Toc108539805"/>
      <w:bookmarkStart w:id="3346" w:name="_Toc109823042"/>
      <w:bookmarkStart w:id="3347" w:name="_Toc109919524"/>
      <w:bookmarkStart w:id="3348" w:name="_Toc110250335"/>
      <w:bookmarkStart w:id="3349" w:name="_Toc110252376"/>
      <w:bookmarkStart w:id="3350" w:name="_Toc110265774"/>
      <w:bookmarkStart w:id="3351" w:name="_Toc110412011"/>
      <w:bookmarkStart w:id="3352" w:name="_Toc108539861"/>
      <w:bookmarkStart w:id="3353" w:name="_Toc109823098"/>
      <w:bookmarkStart w:id="3354" w:name="_Toc109919580"/>
      <w:bookmarkStart w:id="3355" w:name="_Toc110250391"/>
      <w:bookmarkStart w:id="3356" w:name="_Toc110252432"/>
      <w:bookmarkStart w:id="3357" w:name="_Toc110265830"/>
      <w:bookmarkStart w:id="3358" w:name="_Toc110412067"/>
      <w:bookmarkStart w:id="3359" w:name="_Toc108539865"/>
      <w:bookmarkStart w:id="3360" w:name="_Toc109823102"/>
      <w:bookmarkStart w:id="3361" w:name="_Toc109919584"/>
      <w:bookmarkStart w:id="3362" w:name="_Toc110250395"/>
      <w:bookmarkStart w:id="3363" w:name="_Toc110252436"/>
      <w:bookmarkStart w:id="3364" w:name="_Toc110265834"/>
      <w:bookmarkStart w:id="3365" w:name="_Toc110412071"/>
      <w:bookmarkStart w:id="3366" w:name="_Toc108539871"/>
      <w:bookmarkStart w:id="3367" w:name="_Toc109823108"/>
      <w:bookmarkStart w:id="3368" w:name="_Toc109919590"/>
      <w:bookmarkStart w:id="3369" w:name="_Toc110250401"/>
      <w:bookmarkStart w:id="3370" w:name="_Toc110252442"/>
      <w:bookmarkStart w:id="3371" w:name="_Toc110265840"/>
      <w:bookmarkStart w:id="3372" w:name="_Toc110412077"/>
      <w:bookmarkStart w:id="3373" w:name="_Toc108539931"/>
      <w:bookmarkStart w:id="3374" w:name="_Toc109823168"/>
      <w:bookmarkStart w:id="3375" w:name="_Toc109919650"/>
      <w:bookmarkStart w:id="3376" w:name="_Toc110250461"/>
      <w:bookmarkStart w:id="3377" w:name="_Toc110252502"/>
      <w:bookmarkStart w:id="3378" w:name="_Toc110265900"/>
      <w:bookmarkStart w:id="3379" w:name="_Toc110412137"/>
      <w:bookmarkStart w:id="3380" w:name="_Toc108539932"/>
      <w:bookmarkStart w:id="3381" w:name="_Toc109823169"/>
      <w:bookmarkStart w:id="3382" w:name="_Toc109919651"/>
      <w:bookmarkStart w:id="3383" w:name="_Toc110250462"/>
      <w:bookmarkStart w:id="3384" w:name="_Toc110252503"/>
      <w:bookmarkStart w:id="3385" w:name="_Toc110265901"/>
      <w:bookmarkStart w:id="3386" w:name="_Toc110412138"/>
      <w:bookmarkStart w:id="3387" w:name="_Toc108539933"/>
      <w:bookmarkStart w:id="3388" w:name="_Toc109823170"/>
      <w:bookmarkStart w:id="3389" w:name="_Toc109919652"/>
      <w:bookmarkStart w:id="3390" w:name="_Toc110250463"/>
      <w:bookmarkStart w:id="3391" w:name="_Toc110252504"/>
      <w:bookmarkStart w:id="3392" w:name="_Toc110265902"/>
      <w:bookmarkStart w:id="3393" w:name="_Toc110412139"/>
      <w:bookmarkStart w:id="3394" w:name="_Toc107412787"/>
      <w:bookmarkStart w:id="3395" w:name="_Toc108539993"/>
      <w:bookmarkStart w:id="3396" w:name="_Toc109823230"/>
      <w:bookmarkStart w:id="3397" w:name="_Toc109919712"/>
      <w:bookmarkStart w:id="3398" w:name="_Toc110250523"/>
      <w:bookmarkStart w:id="3399" w:name="_Toc110252564"/>
      <w:bookmarkStart w:id="3400" w:name="_Toc110265962"/>
      <w:bookmarkStart w:id="3401" w:name="_Toc110412199"/>
      <w:bookmarkStart w:id="3402" w:name="_Toc108539994"/>
      <w:bookmarkStart w:id="3403" w:name="_Toc109823231"/>
      <w:bookmarkStart w:id="3404" w:name="_Toc109919713"/>
      <w:bookmarkStart w:id="3405" w:name="_Toc110250524"/>
      <w:bookmarkStart w:id="3406" w:name="_Toc110252565"/>
      <w:bookmarkStart w:id="3407" w:name="_Toc110265963"/>
      <w:bookmarkStart w:id="3408" w:name="_Toc110412200"/>
      <w:bookmarkStart w:id="3409" w:name="_Toc108539995"/>
      <w:bookmarkStart w:id="3410" w:name="_Toc109823232"/>
      <w:bookmarkStart w:id="3411" w:name="_Toc109919714"/>
      <w:bookmarkStart w:id="3412" w:name="_Toc110250525"/>
      <w:bookmarkStart w:id="3413" w:name="_Toc110252566"/>
      <w:bookmarkStart w:id="3414" w:name="_Toc110265964"/>
      <w:bookmarkStart w:id="3415" w:name="_Toc110412201"/>
      <w:bookmarkStart w:id="3416" w:name="_Toc108539996"/>
      <w:bookmarkStart w:id="3417" w:name="_Toc109823233"/>
      <w:bookmarkStart w:id="3418" w:name="_Toc109919715"/>
      <w:bookmarkStart w:id="3419" w:name="_Toc110250526"/>
      <w:bookmarkStart w:id="3420" w:name="_Toc110252567"/>
      <w:bookmarkStart w:id="3421" w:name="_Toc110265965"/>
      <w:bookmarkStart w:id="3422" w:name="_Toc110412202"/>
      <w:bookmarkStart w:id="3423" w:name="_Toc108539997"/>
      <w:bookmarkStart w:id="3424" w:name="_Toc109823234"/>
      <w:bookmarkStart w:id="3425" w:name="_Toc109919716"/>
      <w:bookmarkStart w:id="3426" w:name="_Toc110250527"/>
      <w:bookmarkStart w:id="3427" w:name="_Toc110252568"/>
      <w:bookmarkStart w:id="3428" w:name="_Toc110265966"/>
      <w:bookmarkStart w:id="3429" w:name="_Toc110412203"/>
      <w:bookmarkStart w:id="3430" w:name="_Toc108539998"/>
      <w:bookmarkStart w:id="3431" w:name="_Toc109823235"/>
      <w:bookmarkStart w:id="3432" w:name="_Toc109919717"/>
      <w:bookmarkStart w:id="3433" w:name="_Toc110250528"/>
      <w:bookmarkStart w:id="3434" w:name="_Toc110252569"/>
      <w:bookmarkStart w:id="3435" w:name="_Toc110265967"/>
      <w:bookmarkStart w:id="3436" w:name="_Toc110412204"/>
      <w:bookmarkStart w:id="3437" w:name="_Toc108540029"/>
      <w:bookmarkStart w:id="3438" w:name="_Toc109823266"/>
      <w:bookmarkStart w:id="3439" w:name="_Toc109919748"/>
      <w:bookmarkStart w:id="3440" w:name="_Toc110250559"/>
      <w:bookmarkStart w:id="3441" w:name="_Toc110252600"/>
      <w:bookmarkStart w:id="3442" w:name="_Toc110265998"/>
      <w:bookmarkStart w:id="3443" w:name="_Toc110412235"/>
      <w:bookmarkStart w:id="3444" w:name="_Toc108540030"/>
      <w:bookmarkStart w:id="3445" w:name="_Toc109823267"/>
      <w:bookmarkStart w:id="3446" w:name="_Toc109919749"/>
      <w:bookmarkStart w:id="3447" w:name="_Toc110250560"/>
      <w:bookmarkStart w:id="3448" w:name="_Toc110252601"/>
      <w:bookmarkStart w:id="3449" w:name="_Toc110265999"/>
      <w:bookmarkStart w:id="3450" w:name="_Toc110412236"/>
      <w:bookmarkStart w:id="3451" w:name="_Toc108540031"/>
      <w:bookmarkStart w:id="3452" w:name="_Toc109823268"/>
      <w:bookmarkStart w:id="3453" w:name="_Toc109919750"/>
      <w:bookmarkStart w:id="3454" w:name="_Toc110250561"/>
      <w:bookmarkStart w:id="3455" w:name="_Toc110252602"/>
      <w:bookmarkStart w:id="3456" w:name="_Toc110266000"/>
      <w:bookmarkStart w:id="3457" w:name="_Toc110412237"/>
      <w:bookmarkStart w:id="3458" w:name="_Toc108540032"/>
      <w:bookmarkStart w:id="3459" w:name="_Toc109823269"/>
      <w:bookmarkStart w:id="3460" w:name="_Toc109919751"/>
      <w:bookmarkStart w:id="3461" w:name="_Toc110250562"/>
      <w:bookmarkStart w:id="3462" w:name="_Toc110252603"/>
      <w:bookmarkStart w:id="3463" w:name="_Toc110266001"/>
      <w:bookmarkStart w:id="3464" w:name="_Toc110412238"/>
      <w:bookmarkStart w:id="3465" w:name="_Toc108540033"/>
      <w:bookmarkStart w:id="3466" w:name="_Toc109823270"/>
      <w:bookmarkStart w:id="3467" w:name="_Toc109919752"/>
      <w:bookmarkStart w:id="3468" w:name="_Toc110250563"/>
      <w:bookmarkStart w:id="3469" w:name="_Toc110252604"/>
      <w:bookmarkStart w:id="3470" w:name="_Toc110266002"/>
      <w:bookmarkStart w:id="3471" w:name="_Toc110412239"/>
      <w:bookmarkStart w:id="3472" w:name="_Toc108540034"/>
      <w:bookmarkStart w:id="3473" w:name="_Toc109823271"/>
      <w:bookmarkStart w:id="3474" w:name="_Toc109919753"/>
      <w:bookmarkStart w:id="3475" w:name="_Toc110250564"/>
      <w:bookmarkStart w:id="3476" w:name="_Toc110252605"/>
      <w:bookmarkStart w:id="3477" w:name="_Toc110266003"/>
      <w:bookmarkStart w:id="3478" w:name="_Toc110412240"/>
      <w:bookmarkStart w:id="3479" w:name="_Toc108540038"/>
      <w:bookmarkStart w:id="3480" w:name="_Toc109823275"/>
      <w:bookmarkStart w:id="3481" w:name="_Toc109919757"/>
      <w:bookmarkStart w:id="3482" w:name="_Toc110250568"/>
      <w:bookmarkStart w:id="3483" w:name="_Toc110252609"/>
      <w:bookmarkStart w:id="3484" w:name="_Toc110266007"/>
      <w:bookmarkStart w:id="3485" w:name="_Toc110412244"/>
      <w:bookmarkStart w:id="3486" w:name="_Toc108540059"/>
      <w:bookmarkStart w:id="3487" w:name="_Toc109823296"/>
      <w:bookmarkStart w:id="3488" w:name="_Toc109919778"/>
      <w:bookmarkStart w:id="3489" w:name="_Toc110250589"/>
      <w:bookmarkStart w:id="3490" w:name="_Toc110252630"/>
      <w:bookmarkStart w:id="3491" w:name="_Toc110266028"/>
      <w:bookmarkStart w:id="3492" w:name="_Toc110412265"/>
      <w:bookmarkStart w:id="3493" w:name="_Toc108540060"/>
      <w:bookmarkStart w:id="3494" w:name="_Toc109823297"/>
      <w:bookmarkStart w:id="3495" w:name="_Toc109919779"/>
      <w:bookmarkStart w:id="3496" w:name="_Toc110250590"/>
      <w:bookmarkStart w:id="3497" w:name="_Toc110252631"/>
      <w:bookmarkStart w:id="3498" w:name="_Toc110266029"/>
      <w:bookmarkStart w:id="3499" w:name="_Toc110412266"/>
      <w:bookmarkStart w:id="3500" w:name="_Toc108540064"/>
      <w:bookmarkStart w:id="3501" w:name="_Toc109823301"/>
      <w:bookmarkStart w:id="3502" w:name="_Toc109919783"/>
      <w:bookmarkStart w:id="3503" w:name="_Toc110250594"/>
      <w:bookmarkStart w:id="3504" w:name="_Toc110252635"/>
      <w:bookmarkStart w:id="3505" w:name="_Toc110266033"/>
      <w:bookmarkStart w:id="3506" w:name="_Toc110412270"/>
      <w:bookmarkStart w:id="3507" w:name="_Toc108540085"/>
      <w:bookmarkStart w:id="3508" w:name="_Toc110266054"/>
      <w:bookmarkStart w:id="3509" w:name="_Toc110412291"/>
      <w:bookmarkStart w:id="3510" w:name="_Toc108540086"/>
      <w:bookmarkStart w:id="3511" w:name="_Toc109823323"/>
      <w:bookmarkStart w:id="3512" w:name="_Toc109919805"/>
      <w:bookmarkStart w:id="3513" w:name="_Toc110250616"/>
      <w:bookmarkStart w:id="3514" w:name="_Toc110252657"/>
      <w:bookmarkStart w:id="3515" w:name="_Toc110266055"/>
      <w:bookmarkStart w:id="3516" w:name="_Toc110412292"/>
      <w:bookmarkStart w:id="3517" w:name="_Toc108540087"/>
      <w:bookmarkStart w:id="3518" w:name="_Toc109823324"/>
      <w:bookmarkStart w:id="3519" w:name="_Toc109919806"/>
      <w:bookmarkStart w:id="3520" w:name="_Toc110250617"/>
      <w:bookmarkStart w:id="3521" w:name="_Toc110252658"/>
      <w:bookmarkStart w:id="3522" w:name="_Toc110266056"/>
      <w:bookmarkStart w:id="3523" w:name="_Toc110412293"/>
      <w:bookmarkStart w:id="3524" w:name="_Toc108540088"/>
      <w:bookmarkStart w:id="3525" w:name="_Toc109823325"/>
      <w:bookmarkStart w:id="3526" w:name="_Toc109919807"/>
      <w:bookmarkStart w:id="3527" w:name="_Toc110250618"/>
      <w:bookmarkStart w:id="3528" w:name="_Toc110252659"/>
      <w:bookmarkStart w:id="3529" w:name="_Toc110266057"/>
      <w:bookmarkStart w:id="3530" w:name="_Toc110412294"/>
      <w:bookmarkStart w:id="3531" w:name="_Toc108540089"/>
      <w:bookmarkStart w:id="3532" w:name="_Toc109823326"/>
      <w:bookmarkStart w:id="3533" w:name="_Toc109919808"/>
      <w:bookmarkStart w:id="3534" w:name="_Toc110250619"/>
      <w:bookmarkStart w:id="3535" w:name="_Toc110252660"/>
      <w:bookmarkStart w:id="3536" w:name="_Toc110266058"/>
      <w:bookmarkStart w:id="3537" w:name="_Toc110412295"/>
      <w:bookmarkStart w:id="3538" w:name="_Toc108540090"/>
      <w:bookmarkStart w:id="3539" w:name="_Toc109823327"/>
      <w:bookmarkStart w:id="3540" w:name="_Toc109919809"/>
      <w:bookmarkStart w:id="3541" w:name="_Toc110250620"/>
      <w:bookmarkStart w:id="3542" w:name="_Toc110252661"/>
      <w:bookmarkStart w:id="3543" w:name="_Toc110266059"/>
      <w:bookmarkStart w:id="3544" w:name="_Toc110412296"/>
      <w:bookmarkStart w:id="3545" w:name="_Toc108540091"/>
      <w:bookmarkStart w:id="3546" w:name="_Toc109823328"/>
      <w:bookmarkStart w:id="3547" w:name="_Toc109919810"/>
      <w:bookmarkStart w:id="3548" w:name="_Toc110250621"/>
      <w:bookmarkStart w:id="3549" w:name="_Toc110252662"/>
      <w:bookmarkStart w:id="3550" w:name="_Toc110266060"/>
      <w:bookmarkStart w:id="3551" w:name="_Toc110412297"/>
      <w:bookmarkStart w:id="3552" w:name="_Toc108540092"/>
      <w:bookmarkStart w:id="3553" w:name="_Toc109823329"/>
      <w:bookmarkStart w:id="3554" w:name="_Toc109919811"/>
      <w:bookmarkStart w:id="3555" w:name="_Toc110250622"/>
      <w:bookmarkStart w:id="3556" w:name="_Toc110252663"/>
      <w:bookmarkStart w:id="3557" w:name="_Toc110266061"/>
      <w:bookmarkStart w:id="3558" w:name="_Toc110412298"/>
      <w:bookmarkStart w:id="3559" w:name="_Toc108540093"/>
      <w:bookmarkStart w:id="3560" w:name="_Toc109823330"/>
      <w:bookmarkStart w:id="3561" w:name="_Toc109919812"/>
      <w:bookmarkStart w:id="3562" w:name="_Toc110250623"/>
      <w:bookmarkStart w:id="3563" w:name="_Toc110252664"/>
      <w:bookmarkStart w:id="3564" w:name="_Toc110266062"/>
      <w:bookmarkStart w:id="3565" w:name="_Toc110412299"/>
      <w:bookmarkStart w:id="3566" w:name="_Toc108540094"/>
      <w:bookmarkStart w:id="3567" w:name="_Toc109823331"/>
      <w:bookmarkStart w:id="3568" w:name="_Toc109919813"/>
      <w:bookmarkStart w:id="3569" w:name="_Toc110250624"/>
      <w:bookmarkStart w:id="3570" w:name="_Toc110252665"/>
      <w:bookmarkStart w:id="3571" w:name="_Toc110266063"/>
      <w:bookmarkStart w:id="3572" w:name="_Toc110412300"/>
      <w:bookmarkStart w:id="3573" w:name="_Toc108540095"/>
      <w:bookmarkStart w:id="3574" w:name="_Toc109823332"/>
      <w:bookmarkStart w:id="3575" w:name="_Toc109919814"/>
      <w:bookmarkStart w:id="3576" w:name="_Toc110250625"/>
      <w:bookmarkStart w:id="3577" w:name="_Toc110252666"/>
      <w:bookmarkStart w:id="3578" w:name="_Toc110266064"/>
      <w:bookmarkStart w:id="3579" w:name="_Toc110412301"/>
      <w:bookmarkStart w:id="3580" w:name="_Toc108540096"/>
      <w:bookmarkStart w:id="3581" w:name="_Toc109823333"/>
      <w:bookmarkStart w:id="3582" w:name="_Toc109919815"/>
      <w:bookmarkStart w:id="3583" w:name="_Toc110250626"/>
      <w:bookmarkStart w:id="3584" w:name="_Toc110252667"/>
      <w:bookmarkStart w:id="3585" w:name="_Toc110266065"/>
      <w:bookmarkStart w:id="3586" w:name="_Toc110412302"/>
      <w:bookmarkEnd w:id="293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r w:rsidR="0073298F">
        <w:t xml:space="preserve"> What was the impact of extending the maximum duration of service from 12 to 18 months?</w:t>
      </w:r>
      <w:bookmarkEnd w:id="2944"/>
      <w:bookmarkEnd w:id="2945"/>
    </w:p>
    <w:p w14:paraId="31143D46" w14:textId="77777777" w:rsidR="0073298F" w:rsidRDefault="0073298F" w:rsidP="006E41FD">
      <w:pPr>
        <w:pStyle w:val="Heading2"/>
      </w:pPr>
      <w:bookmarkStart w:id="3587" w:name="_Toc118817708"/>
      <w:bookmarkStart w:id="3588" w:name="_Toc132650500"/>
      <w:bookmarkStart w:id="3589" w:name="_Toc146033530"/>
      <w:r>
        <w:t>Introduction</w:t>
      </w:r>
      <w:bookmarkEnd w:id="3587"/>
      <w:bookmarkEnd w:id="3588"/>
      <w:bookmarkEnd w:id="3589"/>
    </w:p>
    <w:p w14:paraId="707F70D5" w14:textId="3FC2BCF5" w:rsidR="0073298F" w:rsidRDefault="0073298F" w:rsidP="0073298F">
      <w:pPr>
        <w:rPr>
          <w:bCs/>
        </w:rPr>
      </w:pPr>
      <w:r w:rsidRPr="009F0A7C">
        <w:t>This chapter examines the impact of the policy change that came into effect on 1 July 2020 which enabled TtW providers to continue delivering intensive servicing beyond 12 months and for up to 18</w:t>
      </w:r>
      <w:r w:rsidR="00D72C75">
        <w:t> </w:t>
      </w:r>
      <w:r w:rsidRPr="009F0A7C">
        <w:t>months to young people who need</w:t>
      </w:r>
      <w:r>
        <w:t>ed</w:t>
      </w:r>
      <w:r w:rsidRPr="009F0A7C">
        <w:t xml:space="preserve"> ongoing assistance, even if they were not tracking </w:t>
      </w:r>
      <w:r w:rsidR="00CF73DE">
        <w:t>to</w:t>
      </w:r>
      <w:r w:rsidR="00CF73DE" w:rsidRPr="009F0A7C">
        <w:t xml:space="preserve"> </w:t>
      </w:r>
      <w:r w:rsidRPr="009F0A7C">
        <w:t>an outcome</w:t>
      </w:r>
      <w:r w:rsidRPr="00400397">
        <w:t xml:space="preserve">. </w:t>
      </w:r>
      <w:r w:rsidRPr="00ED3A62">
        <w:rPr>
          <w:bCs/>
        </w:rPr>
        <w:t>It was</w:t>
      </w:r>
      <w:r w:rsidRPr="00400397">
        <w:rPr>
          <w:bCs/>
        </w:rPr>
        <w:t xml:space="preserve"> expected </w:t>
      </w:r>
      <w:r w:rsidRPr="00ED3A62">
        <w:rPr>
          <w:bCs/>
        </w:rPr>
        <w:t xml:space="preserve">that this change would </w:t>
      </w:r>
      <w:r>
        <w:rPr>
          <w:bCs/>
        </w:rPr>
        <w:t xml:space="preserve">help </w:t>
      </w:r>
      <w:r w:rsidRPr="00ED3A62">
        <w:rPr>
          <w:bCs/>
        </w:rPr>
        <w:t xml:space="preserve">more young people to achieve </w:t>
      </w:r>
      <w:r w:rsidR="00D72C75">
        <w:rPr>
          <w:bCs/>
        </w:rPr>
        <w:t>better</w:t>
      </w:r>
      <w:r w:rsidR="00D72C75" w:rsidRPr="00400397">
        <w:rPr>
          <w:bCs/>
        </w:rPr>
        <w:t xml:space="preserve"> </w:t>
      </w:r>
      <w:r w:rsidRPr="00400397">
        <w:rPr>
          <w:bCs/>
        </w:rPr>
        <w:t>results</w:t>
      </w:r>
      <w:r w:rsidRPr="00ED3A62">
        <w:rPr>
          <w:bCs/>
        </w:rPr>
        <w:t>,</w:t>
      </w:r>
      <w:r w:rsidRPr="00400397">
        <w:rPr>
          <w:bCs/>
        </w:rPr>
        <w:t xml:space="preserve"> by keeping them connected to their TtW service provider with whom they have an established relationship and who understand</w:t>
      </w:r>
      <w:r w:rsidR="006F579D">
        <w:rPr>
          <w:bCs/>
        </w:rPr>
        <w:t>s</w:t>
      </w:r>
      <w:r w:rsidRPr="00400397">
        <w:rPr>
          <w:bCs/>
        </w:rPr>
        <w:t xml:space="preserve"> their needs.</w:t>
      </w:r>
    </w:p>
    <w:p w14:paraId="64188361" w14:textId="1B4A6D36" w:rsidR="0073298F" w:rsidRDefault="0073298F" w:rsidP="0073298F">
      <w:r>
        <w:t xml:space="preserve">Administrative data was used to examine the effect that </w:t>
      </w:r>
      <w:r w:rsidR="007833C9">
        <w:t>increasing maximum service duration</w:t>
      </w:r>
      <w:r>
        <w:t xml:space="preserve"> had on the time participants spent in the program, and the number and type of employment and education outcomes they achieved</w:t>
      </w:r>
      <w:r w:rsidR="001B0785">
        <w:t>. To do this</w:t>
      </w:r>
      <w:r w:rsidR="007833C9">
        <w:t>,</w:t>
      </w:r>
      <w:r>
        <w:t xml:space="preserve"> outcomes from </w:t>
      </w:r>
      <w:r w:rsidR="00F8391B">
        <w:t>2</w:t>
      </w:r>
      <w:r>
        <w:t xml:space="preserve"> matched samples of TtW participants (participants who were eligible for a maximum of 18 months of servicing (MD18) </w:t>
      </w:r>
      <w:r w:rsidR="001B0785">
        <w:t xml:space="preserve">were </w:t>
      </w:r>
      <w:r>
        <w:t>compared to participants eligible for a maximum of 12 months (MD12). These participants were followed for a minimum of 27 months</w:t>
      </w:r>
      <w:r w:rsidR="006F579D">
        <w:t>.</w:t>
      </w:r>
      <w:r>
        <w:rPr>
          <w:rStyle w:val="FootnoteReference"/>
        </w:rPr>
        <w:footnoteReference w:id="95"/>
      </w:r>
      <w:r>
        <w:t xml:space="preserve"> Data was also collected from providers and participants through interviews and surveys undertaken approximately 18 months after the change came into effect. It was not possible to quantify the impact of this change on participants</w:t>
      </w:r>
      <w:r w:rsidR="006F579D">
        <w:t>’</w:t>
      </w:r>
      <w:r>
        <w:t xml:space="preserve"> </w:t>
      </w:r>
      <w:r w:rsidR="00A10BA1">
        <w:t xml:space="preserve">work readiness, </w:t>
      </w:r>
      <w:r>
        <w:t>human capability or wellbeing.</w:t>
      </w:r>
    </w:p>
    <w:p w14:paraId="1B74FE93" w14:textId="0584C7EA" w:rsidR="0073298F" w:rsidRDefault="0073298F" w:rsidP="006E41FD">
      <w:pPr>
        <w:pStyle w:val="Heading2"/>
      </w:pPr>
      <w:bookmarkStart w:id="3590" w:name="_Toc118817713"/>
      <w:bookmarkStart w:id="3591" w:name="_Toc132650501"/>
      <w:bookmarkStart w:id="3592" w:name="_Toc146033531"/>
      <w:r>
        <w:t>Impact of changing maximum program duration on participant outcomes</w:t>
      </w:r>
      <w:bookmarkEnd w:id="3590"/>
      <w:bookmarkEnd w:id="3591"/>
      <w:bookmarkEnd w:id="3592"/>
    </w:p>
    <w:p w14:paraId="72571B2D" w14:textId="61CEE21F" w:rsidR="0073298F" w:rsidRDefault="0073298F" w:rsidP="007833C9">
      <w:pPr>
        <w:pStyle w:val="Heading3"/>
        <w:ind w:left="0"/>
      </w:pPr>
      <w:bookmarkStart w:id="3593" w:name="_Toc118817714"/>
      <w:bookmarkStart w:id="3594" w:name="_Toc132650502"/>
      <w:bookmarkStart w:id="3595" w:name="_Toc146033532"/>
      <w:r>
        <w:t>Time in program</w:t>
      </w:r>
      <w:bookmarkEnd w:id="3593"/>
      <w:bookmarkEnd w:id="3594"/>
      <w:bookmarkEnd w:id="3595"/>
    </w:p>
    <w:p w14:paraId="12BA7C05" w14:textId="7B3C4B8A" w:rsidR="0073298F" w:rsidRDefault="0073298F" w:rsidP="0073298F">
      <w:pPr>
        <w:spacing w:after="120"/>
      </w:pPr>
      <w:r>
        <w:t>It was expected that increasing the maximum duration of service would increase the proportion of participants who stayed in the program for over 12 months</w:t>
      </w:r>
      <w:r w:rsidRPr="00722895">
        <w:t xml:space="preserve">. </w:t>
      </w:r>
      <w:r w:rsidRPr="00F368AD">
        <w:fldChar w:fldCharType="begin"/>
      </w:r>
      <w:r w:rsidRPr="00722895">
        <w:instrText xml:space="preserve"> REF _Ref110000964 \h  \* MERGEFORMAT </w:instrText>
      </w:r>
      <w:r w:rsidRPr="00F368AD">
        <w:fldChar w:fldCharType="separate"/>
      </w:r>
      <w:r w:rsidR="00180E14" w:rsidRPr="00180E14">
        <w:rPr>
          <w:b/>
          <w:bCs/>
        </w:rPr>
        <w:t>Figure</w:t>
      </w:r>
      <w:r w:rsidR="00180E14">
        <w:t xml:space="preserve"> </w:t>
      </w:r>
      <w:r w:rsidR="00180E14" w:rsidRPr="00180E14">
        <w:rPr>
          <w:b/>
          <w:bCs/>
          <w:noProof/>
        </w:rPr>
        <w:t>33</w:t>
      </w:r>
      <w:r w:rsidRPr="00F368AD">
        <w:fldChar w:fldCharType="end"/>
      </w:r>
      <w:r w:rsidRPr="00722895">
        <w:t xml:space="preserve"> shows the total time that participant</w:t>
      </w:r>
      <w:r>
        <w:t>s were</w:t>
      </w:r>
      <w:r w:rsidRPr="00722895">
        <w:t xml:space="preserve"> in the program (defined as the period of service, or POS).</w:t>
      </w:r>
    </w:p>
    <w:p w14:paraId="17348A3C" w14:textId="2CD7D0DB" w:rsidR="0073298F" w:rsidRDefault="0073298F" w:rsidP="0073298F">
      <w:pPr>
        <w:spacing w:after="120"/>
      </w:pPr>
      <w:bookmarkStart w:id="3596" w:name="_Hlk124866255"/>
      <w:r>
        <w:t xml:space="preserve">With the increase in maximum duration of service from 12 to 18 months, the proportion of participants remaining in the program for over 12 months more than doubled </w:t>
      </w:r>
      <w:bookmarkStart w:id="3597" w:name="_Hlk121139823"/>
      <w:r>
        <w:t>(from 23.3% to 49.7%)</w:t>
      </w:r>
      <w:bookmarkEnd w:id="3597"/>
      <w:r>
        <w:t>.</w:t>
      </w:r>
    </w:p>
    <w:p w14:paraId="55A7DF09" w14:textId="114C696A" w:rsidR="0073298F" w:rsidRDefault="0073298F" w:rsidP="0073298F">
      <w:pPr>
        <w:spacing w:after="120"/>
      </w:pPr>
      <w:bookmarkStart w:id="3598" w:name="_Hlk124866275"/>
      <w:bookmarkEnd w:id="3596"/>
      <w:r>
        <w:t xml:space="preserve">It is interesting to note that a similar proportion of participants stayed in the program beyond their maximum allowed service period (23.4% with POS over 12 months in the MD12 sample and 23% with POS over 18 months in the MD18 sample). </w:t>
      </w:r>
      <w:bookmarkEnd w:id="3598"/>
      <w:r>
        <w:t>Participants who were progressing towards an outcome when the maximum service time was reached were allowed to remain in the program to complete the outcome</w:t>
      </w:r>
      <w:r w:rsidR="00F2119C">
        <w:t>, which</w:t>
      </w:r>
      <w:r>
        <w:t xml:space="preserve"> likely explain</w:t>
      </w:r>
      <w:r w:rsidR="006F579D">
        <w:t>s</w:t>
      </w:r>
      <w:r>
        <w:t xml:space="preserve"> this </w:t>
      </w:r>
      <w:r w:rsidR="00F8391B">
        <w:t>‘</w:t>
      </w:r>
      <w:r>
        <w:t>overstay</w:t>
      </w:r>
      <w:r w:rsidR="00F8391B">
        <w:t>’</w:t>
      </w:r>
      <w:r>
        <w:t>.</w:t>
      </w:r>
    </w:p>
    <w:p w14:paraId="242441CD" w14:textId="2B905D57" w:rsidR="0073298F" w:rsidRDefault="0073298F" w:rsidP="0073298F">
      <w:pPr>
        <w:pStyle w:val="Caption"/>
        <w:keepNext/>
      </w:pPr>
      <w:bookmarkStart w:id="3599" w:name="_Ref110000964"/>
      <w:bookmarkStart w:id="3600" w:name="_Toc132647874"/>
      <w:bookmarkStart w:id="3601" w:name="_Toc145883343"/>
      <w:bookmarkStart w:id="3602" w:name="_Hlk124850199"/>
      <w:r>
        <w:lastRenderedPageBreak/>
        <w:t xml:space="preserve">Figure </w:t>
      </w:r>
      <w:r w:rsidR="00BE71D4">
        <w:fldChar w:fldCharType="begin"/>
      </w:r>
      <w:r w:rsidR="00BE71D4">
        <w:instrText xml:space="preserve"> SEQ Figure \* ARABIC </w:instrText>
      </w:r>
      <w:r w:rsidR="00BE71D4">
        <w:fldChar w:fldCharType="separate"/>
      </w:r>
      <w:r w:rsidR="00180E14">
        <w:rPr>
          <w:noProof/>
        </w:rPr>
        <w:t>33</w:t>
      </w:r>
      <w:r w:rsidR="00BE71D4">
        <w:rPr>
          <w:noProof/>
        </w:rPr>
        <w:fldChar w:fldCharType="end"/>
      </w:r>
      <w:bookmarkEnd w:id="3599"/>
      <w:r>
        <w:t xml:space="preserve">: Proportion of participants with a </w:t>
      </w:r>
      <w:r w:rsidR="006F579D">
        <w:t>p</w:t>
      </w:r>
      <w:r>
        <w:t xml:space="preserve">eriod of </w:t>
      </w:r>
      <w:r w:rsidR="006F579D">
        <w:t>s</w:t>
      </w:r>
      <w:r>
        <w:t>ervice that is &lt;12 months, 12</w:t>
      </w:r>
      <w:r w:rsidR="006F579D">
        <w:t>–</w:t>
      </w:r>
      <w:r>
        <w:t>18 months, and &gt;18 months</w:t>
      </w:r>
      <w:r w:rsidR="00D23BA0">
        <w:t xml:space="preserve">, </w:t>
      </w:r>
      <w:r w:rsidRPr="000C5F20">
        <w:t>matched samples</w:t>
      </w:r>
      <w:r>
        <w:t>: maximum duration 12 months (MD12) and maximum duration 18 months (MD18)</w:t>
      </w:r>
      <w:bookmarkEnd w:id="3600"/>
      <w:r>
        <w:t xml:space="preserve"> </w:t>
      </w:r>
      <w:r w:rsidR="00D23BA0">
        <w:t>(% of participants)</w:t>
      </w:r>
      <w:bookmarkEnd w:id="3601"/>
    </w:p>
    <w:p w14:paraId="10023BCE" w14:textId="2193697E" w:rsidR="0073298F" w:rsidRDefault="00D23BA0" w:rsidP="0073298F">
      <w:pPr>
        <w:pStyle w:val="SourceandNotes"/>
      </w:pPr>
      <w:bookmarkStart w:id="3603" w:name="_Ref110345707"/>
      <w:r>
        <w:rPr>
          <w:noProof/>
        </w:rPr>
        <w:drawing>
          <wp:inline distT="0" distB="0" distL="0" distR="0" wp14:anchorId="656D47C0" wp14:editId="5AEA1C51">
            <wp:extent cx="5736590" cy="1981200"/>
            <wp:effectExtent l="0" t="0" r="0" b="0"/>
            <wp:docPr id="94" name="Picture 94" descr="MD18: 12 months or less 50.3%, 12-18 months 26.7%, Over 18 months 23.0%&#10;MD12: 12 months or less 76.7%, 12-18 months 18.9%, Over 18 months 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MD18: 12 months or less 50.3%, 12-18 months 26.7%, Over 18 months 23.0%&#10;MD12: 12 months or less 76.7%, 12-18 months 18.9%, Over 18 months 4.4%&#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6590" cy="1981200"/>
                    </a:xfrm>
                    <a:prstGeom prst="rect">
                      <a:avLst/>
                    </a:prstGeom>
                    <a:noFill/>
                  </pic:spPr>
                </pic:pic>
              </a:graphicData>
            </a:graphic>
          </wp:inline>
        </w:drawing>
      </w:r>
      <w:r w:rsidR="0073298F" w:rsidRPr="002F1F24">
        <w:t>S</w:t>
      </w:r>
      <w:bookmarkEnd w:id="3603"/>
      <w:r w:rsidR="0073298F" w:rsidRPr="002F1F24">
        <w:t>ource: The department</w:t>
      </w:r>
      <w:r w:rsidR="00F8391B">
        <w:t>’</w:t>
      </w:r>
      <w:r w:rsidR="0073298F" w:rsidRPr="002F1F24">
        <w:t xml:space="preserve">s </w:t>
      </w:r>
      <w:r w:rsidR="0073298F">
        <w:t>administrative data</w:t>
      </w:r>
    </w:p>
    <w:p w14:paraId="40BD09C7" w14:textId="5B72F5B6" w:rsidR="0073298F" w:rsidRDefault="0073298F" w:rsidP="0073298F">
      <w:pPr>
        <w:pStyle w:val="SourceandNotes"/>
      </w:pPr>
      <w:r>
        <w:t>Base: Matched before duration change (n=30,045) and after</w:t>
      </w:r>
      <w:r w:rsidRPr="007C5BB7">
        <w:t xml:space="preserve"> </w:t>
      </w:r>
      <w:r>
        <w:t>duration change (n=30,045) participants</w:t>
      </w:r>
    </w:p>
    <w:p w14:paraId="2F2CFD1F" w14:textId="30D5998F" w:rsidR="0073298F" w:rsidRDefault="0073298F" w:rsidP="0073298F">
      <w:pPr>
        <w:pStyle w:val="SourceandNotes"/>
      </w:pPr>
      <w:bookmarkStart w:id="3604" w:name="_Ref109993615"/>
      <w:r w:rsidRPr="00563ACF">
        <w:t>Note: MD12</w:t>
      </w:r>
      <w:r w:rsidR="00F8391B">
        <w:t xml:space="preserve"> – </w:t>
      </w:r>
      <w:r w:rsidRPr="00563ACF">
        <w:t>23,046 participants had POS &lt;12 months, 5</w:t>
      </w:r>
      <w:r w:rsidR="00976521">
        <w:t>,</w:t>
      </w:r>
      <w:r w:rsidRPr="00563ACF">
        <w:t>692 had POS 12</w:t>
      </w:r>
      <w:r w:rsidR="00976521">
        <w:t>–</w:t>
      </w:r>
      <w:r w:rsidRPr="00563ACF">
        <w:t>18 months, and 1</w:t>
      </w:r>
      <w:r w:rsidR="00976521">
        <w:t>,</w:t>
      </w:r>
      <w:r w:rsidRPr="00563ACF">
        <w:t>307 had POS &gt;18 months, MD18 – 15</w:t>
      </w:r>
      <w:r w:rsidR="00976521">
        <w:t>,</w:t>
      </w:r>
      <w:r w:rsidRPr="00563ACF">
        <w:t>118 participants had POS &lt;12 months, 8</w:t>
      </w:r>
      <w:r w:rsidR="00976521">
        <w:t>,</w:t>
      </w:r>
      <w:r w:rsidRPr="00563ACF">
        <w:t>019 had POS 12-18 months, and 6</w:t>
      </w:r>
      <w:r w:rsidR="00976521">
        <w:t>,</w:t>
      </w:r>
      <w:r w:rsidRPr="00563ACF">
        <w:t>908 had POS &gt;18 months</w:t>
      </w:r>
    </w:p>
    <w:p w14:paraId="0C842914" w14:textId="6E7430D5" w:rsidR="0073298F" w:rsidRPr="004F3569" w:rsidRDefault="0073298F" w:rsidP="009251AF">
      <w:pPr>
        <w:spacing w:before="240"/>
      </w:pPr>
      <w:bookmarkStart w:id="3605" w:name="_Hlk121492262"/>
      <w:bookmarkEnd w:id="3602"/>
      <w:r w:rsidRPr="004F3569">
        <w:t xml:space="preserve">It appears that </w:t>
      </w:r>
      <w:r>
        <w:t xml:space="preserve">the increase in the proportion of participants taking advantage of the </w:t>
      </w:r>
      <w:r w:rsidR="00F905EF">
        <w:t>longer</w:t>
      </w:r>
      <w:r>
        <w:t xml:space="preserve"> maximum duration was not related to participants</w:t>
      </w:r>
      <w:r w:rsidR="00F8391B">
        <w:t>’</w:t>
      </w:r>
      <w:r>
        <w:t xml:space="preserve"> labour market disadvantage (determined by participant JSCI score).</w:t>
      </w:r>
    </w:p>
    <w:bookmarkEnd w:id="3605"/>
    <w:p w14:paraId="4528A1C8" w14:textId="408716A0" w:rsidR="0073298F" w:rsidRDefault="0073298F" w:rsidP="0073298F">
      <w:r w:rsidRPr="001D49B8">
        <w:rPr>
          <w:b/>
          <w:bCs/>
        </w:rPr>
        <w:fldChar w:fldCharType="begin"/>
      </w:r>
      <w:r w:rsidRPr="001D49B8">
        <w:rPr>
          <w:b/>
          <w:bCs/>
        </w:rPr>
        <w:instrText xml:space="preserve"> REF _Ref110959850 \h  \* MERGEFORMAT </w:instrText>
      </w:r>
      <w:r w:rsidRPr="001D49B8">
        <w:rPr>
          <w:b/>
          <w:bCs/>
        </w:rPr>
      </w:r>
      <w:r w:rsidRPr="001D49B8">
        <w:rPr>
          <w:b/>
          <w:bCs/>
        </w:rPr>
        <w:fldChar w:fldCharType="separate"/>
      </w:r>
      <w:r w:rsidR="00180E14" w:rsidRPr="00180E14">
        <w:rPr>
          <w:b/>
          <w:bCs/>
        </w:rPr>
        <w:t xml:space="preserve">Figure </w:t>
      </w:r>
      <w:r w:rsidR="00180E14" w:rsidRPr="00180E14">
        <w:rPr>
          <w:b/>
          <w:bCs/>
          <w:noProof/>
        </w:rPr>
        <w:t>34</w:t>
      </w:r>
      <w:r w:rsidRPr="001D49B8">
        <w:rPr>
          <w:b/>
          <w:bCs/>
        </w:rPr>
        <w:fldChar w:fldCharType="end"/>
      </w:r>
      <w:r>
        <w:rPr>
          <w:b/>
          <w:bCs/>
        </w:rPr>
        <w:t xml:space="preserve"> </w:t>
      </w:r>
      <w:r>
        <w:t>presents the proportion of participants with high versus moderate labour market disadvantage</w:t>
      </w:r>
      <w:r>
        <w:rPr>
          <w:rStyle w:val="FootnoteReference"/>
        </w:rPr>
        <w:footnoteReference w:id="96"/>
      </w:r>
      <w:r>
        <w:t xml:space="preserve"> remaining in the program for less than 12 months, 12</w:t>
      </w:r>
      <w:r w:rsidR="004A73BB">
        <w:t>–</w:t>
      </w:r>
      <w:r>
        <w:t xml:space="preserve">18 months or </w:t>
      </w:r>
      <w:r w:rsidR="004A73BB">
        <w:t xml:space="preserve">more </w:t>
      </w:r>
      <w:r>
        <w:t>than 18</w:t>
      </w:r>
      <w:r w:rsidR="004A73BB">
        <w:t> </w:t>
      </w:r>
      <w:r>
        <w:t>months for both the MD12 and MD18 cohorts.</w:t>
      </w:r>
      <w:r>
        <w:rPr>
          <w:rStyle w:val="FootnoteReference"/>
        </w:rPr>
        <w:footnoteReference w:id="97"/>
      </w:r>
    </w:p>
    <w:p w14:paraId="42D3545E" w14:textId="7A823BF5" w:rsidR="0073298F" w:rsidRDefault="0073298F" w:rsidP="0073298F">
      <w:pPr>
        <w:spacing w:after="120"/>
      </w:pPr>
      <w:r>
        <w:t>Both participants with high levels of labour market disadvantage and those with moderate labour market disadvantage took advantage of the extension, with participants from both categories remaining in the program for longer after the maximum duration increased</w:t>
      </w:r>
      <w:r w:rsidRPr="00306CE7">
        <w:t xml:space="preserve">. </w:t>
      </w:r>
      <w:r w:rsidR="004400D4">
        <w:t>About half</w:t>
      </w:r>
      <w:r w:rsidRPr="00306CE7">
        <w:t xml:space="preserve"> </w:t>
      </w:r>
      <w:r w:rsidR="004400D4">
        <w:t>(</w:t>
      </w:r>
      <w:r>
        <w:t>52% of participants with high disadvantage, and 49% of those with moderate disadvantage</w:t>
      </w:r>
      <w:r w:rsidR="004400D4">
        <w:t>)</w:t>
      </w:r>
      <w:r>
        <w:t xml:space="preserve"> remained in the program for 12 months or more. A slightly higher proportion of participants with </w:t>
      </w:r>
      <w:r w:rsidR="004A73BB">
        <w:t xml:space="preserve">higher </w:t>
      </w:r>
      <w:r>
        <w:t>labour market</w:t>
      </w:r>
      <w:r w:rsidR="004A73BB">
        <w:t xml:space="preserve"> </w:t>
      </w:r>
      <w:r>
        <w:t xml:space="preserve">disadvantage remained in the program beyond the maximum allowed service period </w:t>
      </w:r>
      <w:r w:rsidRPr="00306CE7">
        <w:t>(28% compared to 22%)</w:t>
      </w:r>
      <w:r>
        <w:t>,</w:t>
      </w:r>
      <w:r w:rsidRPr="00306CE7">
        <w:t xml:space="preserve"> presumably</w:t>
      </w:r>
      <w:r>
        <w:t xml:space="preserve"> again due to still progressing towards an outcome.</w:t>
      </w:r>
    </w:p>
    <w:p w14:paraId="0A765E44" w14:textId="2A0D71AF" w:rsidR="0073298F" w:rsidRDefault="0073298F" w:rsidP="00C239FD">
      <w:pPr>
        <w:pStyle w:val="Caption"/>
        <w:keepNext/>
        <w:keepLines/>
      </w:pPr>
      <w:bookmarkStart w:id="3606" w:name="_Ref110959850"/>
      <w:bookmarkStart w:id="3607" w:name="_Toc132647875"/>
      <w:bookmarkStart w:id="3608" w:name="_Toc145883344"/>
      <w:bookmarkStart w:id="3609" w:name="_Hlk124850211"/>
      <w:r>
        <w:lastRenderedPageBreak/>
        <w:t xml:space="preserve">Figure </w:t>
      </w:r>
      <w:r w:rsidR="00BE71D4">
        <w:fldChar w:fldCharType="begin"/>
      </w:r>
      <w:r w:rsidR="00BE71D4">
        <w:instrText xml:space="preserve"> SEQ Figure \* ARABIC </w:instrText>
      </w:r>
      <w:r w:rsidR="00BE71D4">
        <w:fldChar w:fldCharType="separate"/>
      </w:r>
      <w:r w:rsidR="00180E14">
        <w:rPr>
          <w:noProof/>
        </w:rPr>
        <w:t>34</w:t>
      </w:r>
      <w:r w:rsidR="00BE71D4">
        <w:rPr>
          <w:noProof/>
        </w:rPr>
        <w:fldChar w:fldCharType="end"/>
      </w:r>
      <w:bookmarkEnd w:id="3606"/>
      <w:r>
        <w:t>: Proportion of participants with high or moderate/low labour market disadvantage remaining in the program for less than 12</w:t>
      </w:r>
      <w:r w:rsidR="00C71F22">
        <w:t> </w:t>
      </w:r>
      <w:r>
        <w:t>months, 12</w:t>
      </w:r>
      <w:r w:rsidR="00C71F22">
        <w:t>–</w:t>
      </w:r>
      <w:r>
        <w:t xml:space="preserve">18 months or </w:t>
      </w:r>
      <w:r w:rsidR="00C71F22">
        <w:t xml:space="preserve">more </w:t>
      </w:r>
      <w:r>
        <w:t>than 18 months</w:t>
      </w:r>
      <w:bookmarkEnd w:id="3607"/>
      <w:r w:rsidR="00D23BA0">
        <w:t xml:space="preserve">, </w:t>
      </w:r>
      <w:r w:rsidR="00D23BA0" w:rsidRPr="000C5F20">
        <w:t>matched samples</w:t>
      </w:r>
      <w:r w:rsidR="00D23BA0">
        <w:t>: maximum duration 12 months (MD12) and maximum duration 18 months (MD18) (% of participants)</w:t>
      </w:r>
      <w:bookmarkEnd w:id="3608"/>
    </w:p>
    <w:p w14:paraId="44C29271" w14:textId="5DD2948E" w:rsidR="00D23BA0" w:rsidRPr="00D23BA0" w:rsidRDefault="00D23BA0" w:rsidP="00D23BA0">
      <w:pPr>
        <w:spacing w:after="0"/>
      </w:pPr>
      <w:r>
        <w:rPr>
          <w:noProof/>
        </w:rPr>
        <w:drawing>
          <wp:inline distT="0" distB="0" distL="0" distR="0" wp14:anchorId="6EA46480" wp14:editId="56D79892">
            <wp:extent cx="5695950" cy="2209800"/>
            <wp:effectExtent l="0" t="0" r="0" b="0"/>
            <wp:docPr id="98" name="Chart 98" descr="MD18&#10;% of high JSCI: &lt;12 months 48.0%, 12-18 months 24.0%, &gt;18 months 28.0%&#10;% of moderate JSCI: &lt;12 months 50.6%, 12-18 months 27.5%, &gt;18 months 21.9%&#10;">
              <a:extLst xmlns:a="http://schemas.openxmlformats.org/drawingml/2006/main">
                <a:ext uri="{FF2B5EF4-FFF2-40B4-BE49-F238E27FC236}">
                  <a16:creationId xmlns:a16="http://schemas.microsoft.com/office/drawing/2014/main" id="{5A376DE2-B0E7-4F0C-ACDD-74FD51C9E4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8BA552E" w14:textId="42587BAA" w:rsidR="00D23BA0" w:rsidRDefault="00D23BA0" w:rsidP="00D23BA0">
      <w:pPr>
        <w:spacing w:after="0"/>
        <w:rPr>
          <w:noProof/>
        </w:rPr>
      </w:pPr>
      <w:r>
        <w:rPr>
          <w:noProof/>
        </w:rPr>
        <w:drawing>
          <wp:inline distT="0" distB="0" distL="0" distR="0" wp14:anchorId="578CF8EE" wp14:editId="67D20F76">
            <wp:extent cx="5731510" cy="2128036"/>
            <wp:effectExtent l="0" t="0" r="0" b="0"/>
            <wp:docPr id="15" name="Chart 15" descr="MD12&#10;% of high JSCI: &lt;12 months 72.2%, 12-18 months 21.7%, &gt;18 months 6.1%&#10;% of moderate JSCI: &lt;12 months 77.6%, 12-18 months 18.5%, &gt;18 months 3.9%&#10;">
              <a:extLst xmlns:a="http://schemas.openxmlformats.org/drawingml/2006/main">
                <a:ext uri="{FF2B5EF4-FFF2-40B4-BE49-F238E27FC236}">
                  <a16:creationId xmlns:a16="http://schemas.microsoft.com/office/drawing/2014/main" id="{4F32A613-2EEC-4D25-8886-53410C078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44CC5C4" w14:textId="70D872E0" w:rsidR="0073298F" w:rsidRDefault="0073298F" w:rsidP="00D23BA0">
      <w:pPr>
        <w:pStyle w:val="SourceandNotes"/>
        <w:spacing w:before="0"/>
      </w:pPr>
      <w:r w:rsidRPr="002F1F24">
        <w:t>Source: The department</w:t>
      </w:r>
      <w:r w:rsidR="00F8391B">
        <w:t>’</w:t>
      </w:r>
      <w:r w:rsidRPr="002F1F24">
        <w:t xml:space="preserve">s </w:t>
      </w:r>
      <w:r>
        <w:t>administrative data</w:t>
      </w:r>
    </w:p>
    <w:p w14:paraId="304BABB3" w14:textId="51A4BF00" w:rsidR="0073298F" w:rsidRDefault="0073298F" w:rsidP="0073298F">
      <w:pPr>
        <w:pStyle w:val="SourceandNotes"/>
      </w:pPr>
      <w:r>
        <w:t xml:space="preserve">Base: </w:t>
      </w:r>
      <w:r w:rsidR="00D23BA0" w:rsidRPr="00D23BA0">
        <w:t>Matched samples: maximum duration 12 months</w:t>
      </w:r>
      <w:r>
        <w:t xml:space="preserve"> MD12 (n=30,045) and</w:t>
      </w:r>
      <w:r w:rsidR="00D23BA0">
        <w:t xml:space="preserve"> maximum duration 18 months</w:t>
      </w:r>
      <w:r>
        <w:t xml:space="preserve"> MD18 (n=30,045) participants</w:t>
      </w:r>
    </w:p>
    <w:p w14:paraId="6206AE0B" w14:textId="54ACFCC1" w:rsidR="0073298F" w:rsidRDefault="0073298F" w:rsidP="0073298F">
      <w:pPr>
        <w:pStyle w:val="SourceandNotes"/>
      </w:pPr>
      <w:r>
        <w:t xml:space="preserve">Note: </w:t>
      </w:r>
      <w:r w:rsidR="00976521">
        <w:t>B</w:t>
      </w:r>
      <w:r>
        <w:t>oth MD12 and MD18, total participants with a low/moderate JSCI n = 23,332, total participants with high JSCI n = 6,700</w:t>
      </w:r>
    </w:p>
    <w:p w14:paraId="50D6E3B2" w14:textId="77777777" w:rsidR="0073298F" w:rsidRDefault="0073298F" w:rsidP="007833C9">
      <w:pPr>
        <w:pStyle w:val="Heading3"/>
        <w:ind w:left="0"/>
      </w:pPr>
      <w:bookmarkStart w:id="3610" w:name="_Toc132650503"/>
      <w:bookmarkStart w:id="3611" w:name="_Toc146033533"/>
      <w:bookmarkStart w:id="3612" w:name="_Hlk121151813"/>
      <w:bookmarkStart w:id="3613" w:name="_Toc118817715"/>
      <w:bookmarkEnd w:id="3604"/>
      <w:bookmarkEnd w:id="3609"/>
      <w:r>
        <w:t>Employment and education outcomes</w:t>
      </w:r>
      <w:bookmarkEnd w:id="3610"/>
      <w:bookmarkEnd w:id="3611"/>
    </w:p>
    <w:bookmarkStart w:id="3614" w:name="_Hlk121216047"/>
    <w:p w14:paraId="5EE9F63C" w14:textId="336CA9EC" w:rsidR="0073298F" w:rsidRDefault="0073298F" w:rsidP="0073298F">
      <w:r w:rsidRPr="00E40FC3">
        <w:rPr>
          <w:b/>
          <w:bCs/>
        </w:rPr>
        <w:fldChar w:fldCharType="begin"/>
      </w:r>
      <w:r w:rsidRPr="00700B26">
        <w:rPr>
          <w:b/>
          <w:bCs/>
        </w:rPr>
        <w:instrText xml:space="preserve"> REF _Ref121296595 \h </w:instrText>
      </w:r>
      <w:r w:rsidRPr="007C667C">
        <w:rPr>
          <w:b/>
          <w:bCs/>
        </w:rPr>
        <w:instrText xml:space="preserve"> \* MERGEFORMAT </w:instrText>
      </w:r>
      <w:r w:rsidRPr="00E40FC3">
        <w:rPr>
          <w:b/>
          <w:bCs/>
        </w:rPr>
      </w:r>
      <w:r w:rsidRPr="00E40FC3">
        <w:rPr>
          <w:b/>
          <w:bCs/>
        </w:rPr>
        <w:fldChar w:fldCharType="separate"/>
      </w:r>
      <w:r w:rsidR="00180E14" w:rsidRPr="00180E14">
        <w:rPr>
          <w:b/>
          <w:bCs/>
        </w:rPr>
        <w:t xml:space="preserve">Figure </w:t>
      </w:r>
      <w:r w:rsidR="00180E14" w:rsidRPr="00180E14">
        <w:rPr>
          <w:b/>
          <w:bCs/>
          <w:noProof/>
        </w:rPr>
        <w:t>35</w:t>
      </w:r>
      <w:r w:rsidRPr="00E40FC3">
        <w:rPr>
          <w:b/>
          <w:bCs/>
        </w:rPr>
        <w:fldChar w:fldCharType="end"/>
      </w:r>
      <w:r>
        <w:rPr>
          <w:b/>
          <w:bCs/>
        </w:rPr>
        <w:t xml:space="preserve"> </w:t>
      </w:r>
      <w:r>
        <w:t>shows the number of outcomes achieved and the number of participants achieving at least one outcome</w:t>
      </w:r>
      <w:r w:rsidR="00037A42">
        <w:t>, for the MD12 and MD18 cohorts</w:t>
      </w:r>
      <w:r w:rsidR="00C71F22">
        <w:t>.</w:t>
      </w:r>
      <w:r>
        <w:rPr>
          <w:rStyle w:val="FootnoteReference"/>
        </w:rPr>
        <w:footnoteReference w:id="98"/>
      </w:r>
    </w:p>
    <w:p w14:paraId="2836C4AF" w14:textId="1AD18834" w:rsidR="003B256E" w:rsidRDefault="0073298F" w:rsidP="003B256E">
      <w:bookmarkStart w:id="3615" w:name="_Hlk124866397"/>
      <w:r>
        <w:t xml:space="preserve">Not surprisingly, more outcomes were achieved by participants who were able to remain in the program for longer, with the MD18 cohort achieving 2,490 more outcomes than the MD12 cohort overall. </w:t>
      </w:r>
      <w:r w:rsidR="003B256E">
        <w:t>While there</w:t>
      </w:r>
      <w:r>
        <w:t xml:space="preserve"> was an increase in the number of participants achieving at least one outcome (542 more MD18 participants achieved any outcome than MD12 participants)</w:t>
      </w:r>
      <w:r w:rsidR="003B256E">
        <w:t xml:space="preserve">, </w:t>
      </w:r>
      <w:bookmarkStart w:id="3616" w:name="_Hlk121492283"/>
      <w:r w:rsidR="003B256E" w:rsidRPr="00165983">
        <w:t xml:space="preserve">about </w:t>
      </w:r>
      <w:r w:rsidR="003B256E">
        <w:t>four</w:t>
      </w:r>
      <w:r w:rsidR="00F8391B">
        <w:t>-</w:t>
      </w:r>
      <w:r w:rsidR="003B256E">
        <w:t>fifths</w:t>
      </w:r>
      <w:r w:rsidR="009251AF">
        <w:t xml:space="preserve"> </w:t>
      </w:r>
      <w:r w:rsidR="00FC6600">
        <w:t>(</w:t>
      </w:r>
      <w:r w:rsidR="003B256E">
        <w:t>78%)</w:t>
      </w:r>
      <w:r w:rsidR="003B256E" w:rsidRPr="00165983">
        <w:t xml:space="preserve"> of </w:t>
      </w:r>
      <w:r w:rsidR="003B256E">
        <w:t xml:space="preserve">the </w:t>
      </w:r>
      <w:r w:rsidR="003B256E" w:rsidRPr="00165983">
        <w:t xml:space="preserve">increase </w:t>
      </w:r>
      <w:r w:rsidR="003B256E">
        <w:t xml:space="preserve">in </w:t>
      </w:r>
      <w:r w:rsidR="003B256E" w:rsidRPr="00165983">
        <w:t xml:space="preserve">outcomes </w:t>
      </w:r>
      <w:r w:rsidR="003B256E">
        <w:t xml:space="preserve">by MD18 participants </w:t>
      </w:r>
      <w:r w:rsidR="003B256E" w:rsidRPr="00165983">
        <w:t>were extra outcomes achieved by participants who had already achieved an</w:t>
      </w:r>
      <w:r w:rsidR="003B256E">
        <w:t xml:space="preserve"> </w:t>
      </w:r>
      <w:r w:rsidR="003B256E" w:rsidRPr="00165983">
        <w:t>outcome</w:t>
      </w:r>
      <w:r w:rsidR="003B256E" w:rsidRPr="00E62B01">
        <w:t>.</w:t>
      </w:r>
    </w:p>
    <w:bookmarkEnd w:id="3616"/>
    <w:p w14:paraId="50983C14" w14:textId="71432B73" w:rsidR="0073298F" w:rsidRDefault="0073298F" w:rsidP="0073298F">
      <w:r>
        <w:lastRenderedPageBreak/>
        <w:t>The proportion of participants who achieved any outcome rose from 35.5% (MD12) to 37.3% (MD18) (i.e. extending the maximum duration of service by 6 months was associated with 1.8 percentage points more participants achieving at least one outcome).</w:t>
      </w:r>
    </w:p>
    <w:p w14:paraId="3C349374" w14:textId="783871DD" w:rsidR="0073298F" w:rsidRDefault="0073298F" w:rsidP="0073298F">
      <w:pPr>
        <w:pStyle w:val="Caption"/>
        <w:keepNext/>
      </w:pPr>
      <w:bookmarkStart w:id="3617" w:name="_Ref121296595"/>
      <w:bookmarkStart w:id="3618" w:name="_Toc132647876"/>
      <w:bookmarkStart w:id="3619" w:name="_Toc145883345"/>
      <w:bookmarkStart w:id="3620" w:name="_Hlk124850225"/>
      <w:bookmarkEnd w:id="3615"/>
      <w:r>
        <w:t xml:space="preserve">Figure </w:t>
      </w:r>
      <w:r w:rsidR="00BE71D4">
        <w:fldChar w:fldCharType="begin"/>
      </w:r>
      <w:r w:rsidR="00BE71D4">
        <w:instrText xml:space="preserve"> SEQ Figure \* ARABIC </w:instrText>
      </w:r>
      <w:r w:rsidR="00BE71D4">
        <w:fldChar w:fldCharType="separate"/>
      </w:r>
      <w:r w:rsidR="00180E14">
        <w:rPr>
          <w:noProof/>
        </w:rPr>
        <w:t>35</w:t>
      </w:r>
      <w:r w:rsidR="00BE71D4">
        <w:rPr>
          <w:noProof/>
        </w:rPr>
        <w:fldChar w:fldCharType="end"/>
      </w:r>
      <w:bookmarkEnd w:id="3617"/>
      <w:r>
        <w:t xml:space="preserve">: </w:t>
      </w:r>
      <w:r w:rsidRPr="00C36916">
        <w:t>Numbers of participants who achieved any outcomes, and total outcomes achieved, MD12 and MD18 matched samples</w:t>
      </w:r>
      <w:bookmarkEnd w:id="3618"/>
      <w:bookmarkEnd w:id="3619"/>
    </w:p>
    <w:p w14:paraId="331FDA0C" w14:textId="172A24F5" w:rsidR="00E717A3" w:rsidRDefault="007E2FB1" w:rsidP="00E717A3">
      <w:r>
        <w:rPr>
          <w:noProof/>
        </w:rPr>
        <w:drawing>
          <wp:inline distT="0" distB="0" distL="0" distR="0" wp14:anchorId="4159585C" wp14:editId="2D8450E3">
            <wp:extent cx="4334510" cy="2743200"/>
            <wp:effectExtent l="0" t="0" r="0" b="0"/>
            <wp:docPr id="99" name="Picture 99" descr="Participants achieving outcomes: MD12 10,654, MD18 11,197&#10;Total Outcomes: MD12 18,540, MD18 21,0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Participants achieving outcomes: MD12 10,654, MD18 11,197&#10;Total Outcomes: MD12 18,540, MD18 21,030&#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34510" cy="2743200"/>
                    </a:xfrm>
                    <a:prstGeom prst="rect">
                      <a:avLst/>
                    </a:prstGeom>
                    <a:noFill/>
                  </pic:spPr>
                </pic:pic>
              </a:graphicData>
            </a:graphic>
          </wp:inline>
        </w:drawing>
      </w:r>
    </w:p>
    <w:p w14:paraId="579D4C3F" w14:textId="5C0DC7B4" w:rsidR="00FC6600" w:rsidRDefault="0088479A" w:rsidP="0088479A">
      <w:pPr>
        <w:pStyle w:val="Caption"/>
      </w:pPr>
      <w:bookmarkStart w:id="3621" w:name="_Toc145877304"/>
      <w:r>
        <w:t xml:space="preserve">Table </w:t>
      </w:r>
      <w:r w:rsidR="00BE71D4">
        <w:fldChar w:fldCharType="begin"/>
      </w:r>
      <w:r w:rsidR="00BE71D4">
        <w:instrText xml:space="preserve"> SEQ Table \* ARABIC </w:instrText>
      </w:r>
      <w:r w:rsidR="00BE71D4">
        <w:fldChar w:fldCharType="separate"/>
      </w:r>
      <w:r w:rsidR="00180E14">
        <w:rPr>
          <w:noProof/>
        </w:rPr>
        <w:t>15</w:t>
      </w:r>
      <w:r w:rsidR="00BE71D4">
        <w:rPr>
          <w:noProof/>
        </w:rPr>
        <w:fldChar w:fldCharType="end"/>
      </w:r>
      <w:r>
        <w:t>:</w:t>
      </w:r>
      <w:r w:rsidR="00F8391B">
        <w:t xml:space="preserve"> </w:t>
      </w:r>
      <w:r w:rsidRPr="00C36916">
        <w:t xml:space="preserve">Numbers </w:t>
      </w:r>
      <w:r>
        <w:t>and percentage</w:t>
      </w:r>
      <w:r w:rsidR="00C71F22">
        <w:t>s</w:t>
      </w:r>
      <w:r>
        <w:t xml:space="preserve"> </w:t>
      </w:r>
      <w:r w:rsidRPr="00C36916">
        <w:t xml:space="preserve">of participants who achieved any outcomes, and total </w:t>
      </w:r>
      <w:r>
        <w:t xml:space="preserve">number of </w:t>
      </w:r>
      <w:r w:rsidRPr="00C36916">
        <w:t>outcomes achieved, MD12 and MD18 matched samples</w:t>
      </w:r>
      <w:bookmarkEnd w:id="3621"/>
    </w:p>
    <w:tbl>
      <w:tblPr>
        <w:tblStyle w:val="TtWReportTableTemplate2"/>
        <w:tblW w:w="0" w:type="auto"/>
        <w:tblLook w:val="04A0" w:firstRow="1" w:lastRow="0" w:firstColumn="1" w:lastColumn="0" w:noHBand="0" w:noVBand="1"/>
      </w:tblPr>
      <w:tblGrid>
        <w:gridCol w:w="1227"/>
        <w:gridCol w:w="2283"/>
        <w:gridCol w:w="2127"/>
        <w:gridCol w:w="2268"/>
      </w:tblGrid>
      <w:tr w:rsidR="0088479A" w:rsidRPr="0096560E" w14:paraId="3E121B7F" w14:textId="77777777" w:rsidTr="0004663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27" w:type="dxa"/>
            <w:shd w:val="clear" w:color="auto" w:fill="5D7A38"/>
            <w:noWrap/>
            <w:hideMark/>
          </w:tcPr>
          <w:p w14:paraId="4275BE4E" w14:textId="2B329FC4" w:rsidR="0088479A" w:rsidRPr="0096560E" w:rsidRDefault="0088479A" w:rsidP="009251AF">
            <w:pPr>
              <w:spacing w:after="0" w:line="240" w:lineRule="auto"/>
              <w:jc w:val="center"/>
              <w:rPr>
                <w:rFonts w:eastAsia="Times New Roman" w:cs="Calibri"/>
                <w:szCs w:val="20"/>
                <w:lang w:eastAsia="zh-CN"/>
              </w:rPr>
            </w:pPr>
            <w:bookmarkStart w:id="3622" w:name="_Hlk121223845"/>
            <w:r w:rsidRPr="0096560E">
              <w:rPr>
                <w:rFonts w:eastAsia="Times New Roman" w:cs="Calibri"/>
                <w:szCs w:val="20"/>
                <w:lang w:eastAsia="zh-CN"/>
              </w:rPr>
              <w:t>Sample</w:t>
            </w:r>
          </w:p>
        </w:tc>
        <w:tc>
          <w:tcPr>
            <w:tcW w:w="2283" w:type="dxa"/>
            <w:shd w:val="clear" w:color="auto" w:fill="5D7A38"/>
            <w:noWrap/>
            <w:hideMark/>
          </w:tcPr>
          <w:p w14:paraId="763D33FD" w14:textId="7B4AF47A" w:rsidR="0088479A" w:rsidRPr="0096560E" w:rsidRDefault="0088479A" w:rsidP="008970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Cs w:val="20"/>
                <w:lang w:eastAsia="zh-CN"/>
              </w:rPr>
            </w:pPr>
            <w:r w:rsidRPr="0096560E">
              <w:rPr>
                <w:rFonts w:eastAsia="Times New Roman" w:cs="Calibri"/>
                <w:szCs w:val="20"/>
                <w:lang w:eastAsia="zh-CN"/>
              </w:rPr>
              <w:t>Number of participants achieving outcomes</w:t>
            </w:r>
          </w:p>
        </w:tc>
        <w:tc>
          <w:tcPr>
            <w:tcW w:w="2127" w:type="dxa"/>
            <w:shd w:val="clear" w:color="auto" w:fill="5D7A38"/>
            <w:noWrap/>
            <w:hideMark/>
          </w:tcPr>
          <w:p w14:paraId="2500710A" w14:textId="54C93A0A" w:rsidR="0088479A" w:rsidRPr="0096560E" w:rsidRDefault="0088479A" w:rsidP="008970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Cs w:val="20"/>
                <w:lang w:eastAsia="zh-CN"/>
              </w:rPr>
            </w:pPr>
            <w:r w:rsidRPr="0096560E">
              <w:rPr>
                <w:rFonts w:eastAsia="Times New Roman" w:cs="Calibri"/>
                <w:szCs w:val="20"/>
                <w:lang w:eastAsia="zh-CN"/>
              </w:rPr>
              <w:t>% of participants achieving outcomes</w:t>
            </w:r>
          </w:p>
        </w:tc>
        <w:tc>
          <w:tcPr>
            <w:tcW w:w="2268" w:type="dxa"/>
            <w:shd w:val="clear" w:color="auto" w:fill="5D7A38"/>
            <w:hideMark/>
          </w:tcPr>
          <w:p w14:paraId="1CFD577D" w14:textId="3E6FD0FE" w:rsidR="0088479A" w:rsidRPr="0096560E" w:rsidRDefault="0088479A" w:rsidP="007E2F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szCs w:val="20"/>
                <w:lang w:eastAsia="zh-CN"/>
              </w:rPr>
            </w:pPr>
            <w:r w:rsidRPr="0096560E">
              <w:rPr>
                <w:rFonts w:eastAsia="Times New Roman" w:cs="Calibri"/>
                <w:szCs w:val="20"/>
                <w:lang w:eastAsia="zh-CN"/>
              </w:rPr>
              <w:t>Total number of outcomes</w:t>
            </w:r>
          </w:p>
        </w:tc>
      </w:tr>
      <w:tr w:rsidR="0088479A" w:rsidRPr="0096560E" w14:paraId="54E31D79" w14:textId="77777777" w:rsidTr="00884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dxa"/>
            <w:noWrap/>
            <w:hideMark/>
          </w:tcPr>
          <w:p w14:paraId="57B59CBE" w14:textId="77777777" w:rsidR="0088479A" w:rsidRPr="0096560E" w:rsidRDefault="0088479A" w:rsidP="009251AF">
            <w:pPr>
              <w:spacing w:after="0" w:line="240" w:lineRule="auto"/>
              <w:jc w:val="center"/>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MD12</w:t>
            </w:r>
          </w:p>
        </w:tc>
        <w:tc>
          <w:tcPr>
            <w:tcW w:w="2283" w:type="dxa"/>
            <w:noWrap/>
            <w:hideMark/>
          </w:tcPr>
          <w:p w14:paraId="756764AE" w14:textId="77777777" w:rsidR="0088479A" w:rsidRPr="0096560E" w:rsidRDefault="0088479A" w:rsidP="0088479A">
            <w:pPr>
              <w:spacing w:after="0" w:line="240" w:lineRule="auto"/>
              <w:ind w:right="748"/>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10,654</w:t>
            </w:r>
          </w:p>
        </w:tc>
        <w:tc>
          <w:tcPr>
            <w:tcW w:w="2127" w:type="dxa"/>
            <w:noWrap/>
            <w:hideMark/>
          </w:tcPr>
          <w:p w14:paraId="1A8E69D0" w14:textId="77777777" w:rsidR="0088479A" w:rsidRPr="0096560E" w:rsidRDefault="0088479A" w:rsidP="0088479A">
            <w:pPr>
              <w:spacing w:after="0" w:line="240" w:lineRule="auto"/>
              <w:ind w:right="73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35.5</w:t>
            </w:r>
          </w:p>
        </w:tc>
        <w:tc>
          <w:tcPr>
            <w:tcW w:w="2268" w:type="dxa"/>
            <w:noWrap/>
            <w:hideMark/>
          </w:tcPr>
          <w:p w14:paraId="647E1B1D" w14:textId="77777777" w:rsidR="0088479A" w:rsidRPr="0096560E" w:rsidRDefault="0088479A" w:rsidP="0088479A">
            <w:pPr>
              <w:spacing w:after="0" w:line="240" w:lineRule="auto"/>
              <w:ind w:right="60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18,540</w:t>
            </w:r>
          </w:p>
        </w:tc>
      </w:tr>
      <w:tr w:rsidR="0088479A" w:rsidRPr="0096560E" w14:paraId="6961A48A" w14:textId="77777777" w:rsidTr="0088479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dxa"/>
            <w:noWrap/>
            <w:hideMark/>
          </w:tcPr>
          <w:p w14:paraId="27EE810D" w14:textId="77777777" w:rsidR="0088479A" w:rsidRPr="0096560E" w:rsidRDefault="0088479A" w:rsidP="009251AF">
            <w:pPr>
              <w:spacing w:after="0" w:line="240" w:lineRule="auto"/>
              <w:jc w:val="center"/>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MD18</w:t>
            </w:r>
          </w:p>
        </w:tc>
        <w:tc>
          <w:tcPr>
            <w:tcW w:w="2283" w:type="dxa"/>
            <w:noWrap/>
            <w:hideMark/>
          </w:tcPr>
          <w:p w14:paraId="4E98BE83" w14:textId="77777777" w:rsidR="0088479A" w:rsidRPr="0096560E" w:rsidRDefault="0088479A" w:rsidP="0088479A">
            <w:pPr>
              <w:spacing w:after="0" w:line="240" w:lineRule="auto"/>
              <w:ind w:right="748"/>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11,197</w:t>
            </w:r>
          </w:p>
        </w:tc>
        <w:tc>
          <w:tcPr>
            <w:tcW w:w="2127" w:type="dxa"/>
            <w:noWrap/>
            <w:hideMark/>
          </w:tcPr>
          <w:p w14:paraId="54D18972" w14:textId="77777777" w:rsidR="0088479A" w:rsidRPr="0096560E" w:rsidRDefault="0088479A" w:rsidP="0088479A">
            <w:pPr>
              <w:spacing w:after="0" w:line="240" w:lineRule="auto"/>
              <w:ind w:right="73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37.3</w:t>
            </w:r>
          </w:p>
        </w:tc>
        <w:tc>
          <w:tcPr>
            <w:tcW w:w="2268" w:type="dxa"/>
            <w:noWrap/>
            <w:hideMark/>
          </w:tcPr>
          <w:p w14:paraId="0592BCCC" w14:textId="77777777" w:rsidR="0088479A" w:rsidRPr="0096560E" w:rsidRDefault="0088479A" w:rsidP="0088479A">
            <w:pPr>
              <w:spacing w:after="0" w:line="240" w:lineRule="auto"/>
              <w:ind w:right="60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21,030</w:t>
            </w:r>
          </w:p>
        </w:tc>
      </w:tr>
      <w:tr w:rsidR="0088479A" w:rsidRPr="0096560E" w14:paraId="0B1406FA" w14:textId="77777777" w:rsidTr="008847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dxa"/>
            <w:noWrap/>
          </w:tcPr>
          <w:p w14:paraId="61F23871" w14:textId="77777777" w:rsidR="0088479A" w:rsidRPr="0096560E" w:rsidRDefault="0088479A" w:rsidP="009251AF">
            <w:pPr>
              <w:spacing w:after="0" w:line="240" w:lineRule="auto"/>
              <w:jc w:val="center"/>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Difference</w:t>
            </w:r>
          </w:p>
        </w:tc>
        <w:tc>
          <w:tcPr>
            <w:tcW w:w="2283" w:type="dxa"/>
            <w:noWrap/>
          </w:tcPr>
          <w:p w14:paraId="67DF86D4" w14:textId="77777777" w:rsidR="0088479A" w:rsidRPr="0096560E" w:rsidRDefault="0088479A" w:rsidP="0088479A">
            <w:pPr>
              <w:spacing w:after="0" w:line="240" w:lineRule="auto"/>
              <w:ind w:right="748"/>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543</w:t>
            </w:r>
          </w:p>
        </w:tc>
        <w:tc>
          <w:tcPr>
            <w:tcW w:w="2127" w:type="dxa"/>
            <w:noWrap/>
          </w:tcPr>
          <w:p w14:paraId="05445C85" w14:textId="77777777" w:rsidR="0088479A" w:rsidRPr="0096560E" w:rsidRDefault="0088479A" w:rsidP="0088479A">
            <w:pPr>
              <w:spacing w:after="0" w:line="240" w:lineRule="auto"/>
              <w:ind w:right="73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1.8</w:t>
            </w:r>
          </w:p>
        </w:tc>
        <w:tc>
          <w:tcPr>
            <w:tcW w:w="2268" w:type="dxa"/>
            <w:noWrap/>
          </w:tcPr>
          <w:p w14:paraId="2A9E0434" w14:textId="77777777" w:rsidR="0088479A" w:rsidRPr="0096560E" w:rsidRDefault="0088479A" w:rsidP="0088479A">
            <w:pPr>
              <w:spacing w:after="0" w:line="240" w:lineRule="auto"/>
              <w:ind w:right="60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0"/>
                <w:lang w:eastAsia="zh-CN"/>
              </w:rPr>
            </w:pPr>
            <w:r w:rsidRPr="0096560E">
              <w:rPr>
                <w:rFonts w:ascii="Calibri" w:eastAsia="Times New Roman" w:hAnsi="Calibri" w:cs="Calibri"/>
                <w:color w:val="000000"/>
                <w:szCs w:val="20"/>
                <w:lang w:eastAsia="zh-CN"/>
              </w:rPr>
              <w:t>2,490</w:t>
            </w:r>
          </w:p>
        </w:tc>
      </w:tr>
    </w:tbl>
    <w:bookmarkEnd w:id="3622"/>
    <w:p w14:paraId="1A5C4E42" w14:textId="7362EE28" w:rsidR="0073298F" w:rsidRDefault="0073298F" w:rsidP="0073298F">
      <w:pPr>
        <w:pStyle w:val="SourceandNotes"/>
      </w:pPr>
      <w:r w:rsidRPr="002F1F24">
        <w:t xml:space="preserve">Source: The </w:t>
      </w:r>
      <w:r w:rsidRPr="00700B26">
        <w:t>department</w:t>
      </w:r>
      <w:r w:rsidR="00F8391B">
        <w:t>’</w:t>
      </w:r>
      <w:r w:rsidRPr="00700B26">
        <w:t>s</w:t>
      </w:r>
      <w:r w:rsidRPr="002F1F24">
        <w:t xml:space="preserve"> </w:t>
      </w:r>
      <w:r>
        <w:t>administrative data</w:t>
      </w:r>
    </w:p>
    <w:p w14:paraId="654444A7" w14:textId="3557685F" w:rsidR="007E2FB1" w:rsidRDefault="007E2FB1" w:rsidP="0073298F">
      <w:pPr>
        <w:pStyle w:val="SourceandNotes"/>
      </w:pPr>
      <w:r>
        <w:t xml:space="preserve">Note: Matched samples MD12 n = </w:t>
      </w:r>
      <w:r w:rsidRPr="00CB7416">
        <w:rPr>
          <w:lang w:eastAsia="zh-CN"/>
        </w:rPr>
        <w:t>30,045</w:t>
      </w:r>
      <w:r>
        <w:rPr>
          <w:lang w:eastAsia="zh-CN"/>
        </w:rPr>
        <w:t xml:space="preserve">; MD18 n = </w:t>
      </w:r>
      <w:r w:rsidRPr="00CB7416">
        <w:rPr>
          <w:lang w:eastAsia="zh-CN"/>
        </w:rPr>
        <w:t>30,045</w:t>
      </w:r>
    </w:p>
    <w:bookmarkEnd w:id="3614"/>
    <w:bookmarkEnd w:id="3620"/>
    <w:p w14:paraId="6232FE9C" w14:textId="6E493FEE" w:rsidR="0073298F" w:rsidRDefault="0073298F" w:rsidP="0073298F">
      <w:pPr>
        <w:spacing w:after="120"/>
      </w:pPr>
      <w:r>
        <w:t>The p</w:t>
      </w:r>
      <w:r w:rsidRPr="00856C6A">
        <w:t xml:space="preserve">roportion of participants with </w:t>
      </w:r>
      <w:r w:rsidR="00F8391B">
        <w:t>‘</w:t>
      </w:r>
      <w:r w:rsidRPr="00856C6A">
        <w:t>high</w:t>
      </w:r>
      <w:r w:rsidR="00F8391B">
        <w:t>’</w:t>
      </w:r>
      <w:r w:rsidRPr="00856C6A">
        <w:t xml:space="preserve"> or </w:t>
      </w:r>
      <w:r w:rsidR="00F8391B">
        <w:t>‘</w:t>
      </w:r>
      <w:r w:rsidRPr="00856C6A">
        <w:t>moderate</w:t>
      </w:r>
      <w:r w:rsidR="00F8391B">
        <w:t>’</w:t>
      </w:r>
      <w:r w:rsidRPr="00856C6A">
        <w:t xml:space="preserve"> labour market disadvantage </w:t>
      </w:r>
      <w:r>
        <w:t xml:space="preserve">who </w:t>
      </w:r>
      <w:r w:rsidRPr="00856C6A">
        <w:t>achiev</w:t>
      </w:r>
      <w:r>
        <w:t>ed</w:t>
      </w:r>
      <w:r w:rsidRPr="00856C6A">
        <w:t xml:space="preserve"> a</w:t>
      </w:r>
      <w:r>
        <w:t xml:space="preserve">t least one outcome is presented in </w:t>
      </w:r>
      <w:r w:rsidRPr="004322A2">
        <w:rPr>
          <w:b/>
          <w:bCs/>
        </w:rPr>
        <w:fldChar w:fldCharType="begin"/>
      </w:r>
      <w:r w:rsidRPr="004322A2">
        <w:rPr>
          <w:b/>
          <w:bCs/>
        </w:rPr>
        <w:instrText xml:space="preserve"> REF _Ref120018398 \h  \* MERGEFORMAT </w:instrText>
      </w:r>
      <w:r w:rsidRPr="004322A2">
        <w:rPr>
          <w:b/>
          <w:bCs/>
        </w:rPr>
      </w:r>
      <w:r w:rsidRPr="004322A2">
        <w:rPr>
          <w:b/>
          <w:bCs/>
        </w:rPr>
        <w:fldChar w:fldCharType="separate"/>
      </w:r>
      <w:r w:rsidR="00180E14" w:rsidRPr="00180E14">
        <w:rPr>
          <w:b/>
          <w:bCs/>
        </w:rPr>
        <w:t xml:space="preserve">Figure </w:t>
      </w:r>
      <w:r w:rsidR="00180E14" w:rsidRPr="00180E14">
        <w:rPr>
          <w:b/>
          <w:bCs/>
          <w:noProof/>
        </w:rPr>
        <w:t>36</w:t>
      </w:r>
      <w:r w:rsidRPr="004322A2">
        <w:rPr>
          <w:b/>
          <w:bCs/>
        </w:rPr>
        <w:fldChar w:fldCharType="end"/>
      </w:r>
      <w:r>
        <w:t xml:space="preserve">. </w:t>
      </w:r>
      <w:bookmarkStart w:id="3623" w:name="_Hlk124868820"/>
      <w:r>
        <w:t xml:space="preserve">The change in maximum duration of service led to very little difference in the proportion of participants with high labour market disadvantage who achieved an employment or education outcome (MD12 </w:t>
      </w:r>
      <w:r w:rsidRPr="009F1529">
        <w:t>=</w:t>
      </w:r>
      <w:r>
        <w:t xml:space="preserve"> 27.5%, MD18 = 27.1%).</w:t>
      </w:r>
    </w:p>
    <w:p w14:paraId="595E8F32" w14:textId="5D64389D" w:rsidR="0073298F" w:rsidRDefault="0073298F" w:rsidP="0073298F">
      <w:pPr>
        <w:pStyle w:val="Caption"/>
        <w:keepNext/>
      </w:pPr>
      <w:bookmarkStart w:id="3624" w:name="_Ref120018398"/>
      <w:bookmarkStart w:id="3625" w:name="_Toc132647877"/>
      <w:bookmarkStart w:id="3626" w:name="_Toc145883346"/>
      <w:bookmarkStart w:id="3627" w:name="_Hlk124850234"/>
      <w:bookmarkEnd w:id="3623"/>
      <w:r>
        <w:lastRenderedPageBreak/>
        <w:t xml:space="preserve">Figure </w:t>
      </w:r>
      <w:r w:rsidR="00BE71D4">
        <w:fldChar w:fldCharType="begin"/>
      </w:r>
      <w:r w:rsidR="00BE71D4">
        <w:instrText xml:space="preserve"> SEQ Figure \* ARABIC </w:instrText>
      </w:r>
      <w:r w:rsidR="00BE71D4">
        <w:fldChar w:fldCharType="separate"/>
      </w:r>
      <w:r w:rsidR="00180E14">
        <w:rPr>
          <w:noProof/>
        </w:rPr>
        <w:t>36</w:t>
      </w:r>
      <w:r w:rsidR="00BE71D4">
        <w:rPr>
          <w:noProof/>
        </w:rPr>
        <w:fldChar w:fldCharType="end"/>
      </w:r>
      <w:bookmarkEnd w:id="3624"/>
      <w:r>
        <w:t xml:space="preserve">: </w:t>
      </w:r>
      <w:r w:rsidRPr="003405E7">
        <w:t xml:space="preserve">Proportion of participants </w:t>
      </w:r>
      <w:r>
        <w:t xml:space="preserve">with high or moderate labour market disadvantage </w:t>
      </w:r>
      <w:r w:rsidRPr="003405E7">
        <w:t xml:space="preserve">achieving </w:t>
      </w:r>
      <w:r>
        <w:t>an outcome, MD12 and MD18 matched samples</w:t>
      </w:r>
      <w:bookmarkEnd w:id="3625"/>
      <w:bookmarkEnd w:id="3626"/>
    </w:p>
    <w:p w14:paraId="1BA859EB" w14:textId="4EF04881" w:rsidR="0073298F" w:rsidRDefault="0088479A" w:rsidP="0073298F">
      <w:pPr>
        <w:pStyle w:val="SourceandNotes"/>
      </w:pPr>
      <w:r>
        <w:rPr>
          <w:noProof/>
        </w:rPr>
        <w:drawing>
          <wp:inline distT="0" distB="0" distL="0" distR="0" wp14:anchorId="53C2CE15" wp14:editId="10C20F4E">
            <wp:extent cx="5541645" cy="2646045"/>
            <wp:effectExtent l="0" t="0" r="0" b="0"/>
            <wp:docPr id="102" name="Picture 102" descr="Moderate JSCI: MD12 38.7%, MD18 39.7%&#10;High JSCI: MD12 27.5%, MD18 2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Moderate JSCI: MD12 38.7%, MD18 39.7%&#10;High JSCI: MD12 27.5%, MD18 27.1%&#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41645" cy="2646045"/>
                    </a:xfrm>
                    <a:prstGeom prst="rect">
                      <a:avLst/>
                    </a:prstGeom>
                    <a:noFill/>
                  </pic:spPr>
                </pic:pic>
              </a:graphicData>
            </a:graphic>
          </wp:inline>
        </w:drawing>
      </w:r>
    </w:p>
    <w:p w14:paraId="248E3D4D" w14:textId="754BD774" w:rsidR="0073298F" w:rsidRDefault="0073298F" w:rsidP="0073298F">
      <w:pPr>
        <w:pStyle w:val="SourceandNotes"/>
      </w:pPr>
      <w:r w:rsidRPr="002F1F24">
        <w:t>Source: The department</w:t>
      </w:r>
      <w:r w:rsidR="00F8391B">
        <w:t>’</w:t>
      </w:r>
      <w:r w:rsidRPr="002F1F24">
        <w:t xml:space="preserve">s </w:t>
      </w:r>
      <w:r>
        <w:t>administrative data</w:t>
      </w:r>
    </w:p>
    <w:p w14:paraId="7FD27DE6" w14:textId="79958043" w:rsidR="0073298F" w:rsidRDefault="0073298F" w:rsidP="0073298F">
      <w:pPr>
        <w:pStyle w:val="SourceandNotes"/>
      </w:pPr>
      <w:r>
        <w:t>Base: Matched MD12 (n=30,045) and MD18 (n=30,045) participants</w:t>
      </w:r>
    </w:p>
    <w:p w14:paraId="4934D2F8" w14:textId="3325D085" w:rsidR="0073298F" w:rsidRDefault="0073298F" w:rsidP="0073298F">
      <w:pPr>
        <w:pStyle w:val="SourceandNotes"/>
      </w:pPr>
      <w:r>
        <w:t xml:space="preserve">Note: </w:t>
      </w:r>
      <w:r w:rsidR="00260A71">
        <w:t>B</w:t>
      </w:r>
      <w:r>
        <w:t>oth MD12 and MD18, total participants with a moderate JSCI n = 23,332, total participants with high JSCI n = 6,700</w:t>
      </w:r>
    </w:p>
    <w:p w14:paraId="0A8E5C06" w14:textId="3A1E9967" w:rsidR="0073298F" w:rsidRDefault="0073298F" w:rsidP="0073298F">
      <w:bookmarkStart w:id="3628" w:name="_Hlk124866443"/>
      <w:bookmarkEnd w:id="3627"/>
      <w:r>
        <w:t xml:space="preserve">Employment outcomes </w:t>
      </w:r>
      <w:r w:rsidR="00A1093E">
        <w:t>were</w:t>
      </w:r>
      <w:r>
        <w:t xml:space="preserve"> the majority (over three</w:t>
      </w:r>
      <w:r w:rsidR="00F8391B">
        <w:t>-</w:t>
      </w:r>
      <w:r>
        <w:t>quarters) of all outcomes claimed both before and after the maximum duration of service was increased (MD18</w:t>
      </w:r>
      <w:r w:rsidR="00A70879">
        <w:t>,</w:t>
      </w:r>
      <w:r>
        <w:t xml:space="preserve"> 84.7%</w:t>
      </w:r>
      <w:r w:rsidR="00A70879">
        <w:t>;</w:t>
      </w:r>
      <w:r>
        <w:t xml:space="preserve"> MD12</w:t>
      </w:r>
      <w:r w:rsidR="00A70879">
        <w:t>,</w:t>
      </w:r>
      <w:r>
        <w:t xml:space="preserve"> 77.6%), as shown in </w:t>
      </w:r>
      <w:r w:rsidRPr="00AE53BF">
        <w:rPr>
          <w:b/>
          <w:bCs/>
        </w:rPr>
        <w:fldChar w:fldCharType="begin"/>
      </w:r>
      <w:r w:rsidRPr="00AE53BF">
        <w:rPr>
          <w:b/>
          <w:bCs/>
        </w:rPr>
        <w:instrText xml:space="preserve"> REF _Ref120698625 \h  \* MERGEFORMAT </w:instrText>
      </w:r>
      <w:r w:rsidRPr="00AE53BF">
        <w:rPr>
          <w:b/>
          <w:bCs/>
        </w:rPr>
      </w:r>
      <w:r w:rsidRPr="00AE53BF">
        <w:rPr>
          <w:b/>
          <w:bCs/>
        </w:rPr>
        <w:fldChar w:fldCharType="separate"/>
      </w:r>
      <w:r w:rsidR="00180E14" w:rsidRPr="00180E14">
        <w:rPr>
          <w:b/>
          <w:bCs/>
        </w:rPr>
        <w:t xml:space="preserve">Figure </w:t>
      </w:r>
      <w:r w:rsidR="00180E14" w:rsidRPr="00180E14">
        <w:rPr>
          <w:b/>
          <w:bCs/>
          <w:noProof/>
        </w:rPr>
        <w:t>37</w:t>
      </w:r>
      <w:r w:rsidRPr="00AE53BF">
        <w:rPr>
          <w:b/>
          <w:bCs/>
        </w:rPr>
        <w:fldChar w:fldCharType="end"/>
      </w:r>
      <w:r w:rsidRPr="00E62B01">
        <w:t>.</w:t>
      </w:r>
      <w:r>
        <w:t xml:space="preserve"> The proportion of employment-related outcomes was 7.1 percentage points higher for MD18 participants compared to MD12 participants. This is largely a result of these participants achieving more 12-week employment outcomes. Correspondingly, proportionately </w:t>
      </w:r>
      <w:r w:rsidR="000E5BD9">
        <w:t xml:space="preserve">fewer </w:t>
      </w:r>
      <w:r>
        <w:t>MD18 participants achieved education outcomes than MD12 participants.</w:t>
      </w:r>
    </w:p>
    <w:p w14:paraId="126D0330" w14:textId="3533BB2B" w:rsidR="0073298F" w:rsidRDefault="0073298F" w:rsidP="0073298F">
      <w:pPr>
        <w:pStyle w:val="Caption"/>
        <w:keepNext/>
      </w:pPr>
      <w:bookmarkStart w:id="3629" w:name="_Ref120698625"/>
      <w:bookmarkStart w:id="3630" w:name="_Ref120698606"/>
      <w:bookmarkStart w:id="3631" w:name="_Toc132647878"/>
      <w:bookmarkStart w:id="3632" w:name="_Toc145883347"/>
      <w:bookmarkStart w:id="3633" w:name="_Hlk124850242"/>
      <w:bookmarkEnd w:id="3612"/>
      <w:bookmarkEnd w:id="3628"/>
      <w:r>
        <w:t xml:space="preserve">Figure </w:t>
      </w:r>
      <w:r w:rsidR="00BE71D4">
        <w:fldChar w:fldCharType="begin"/>
      </w:r>
      <w:r w:rsidR="00BE71D4">
        <w:instrText xml:space="preserve"> SEQ Figure \* ARABIC </w:instrText>
      </w:r>
      <w:r w:rsidR="00BE71D4">
        <w:fldChar w:fldCharType="separate"/>
      </w:r>
      <w:r w:rsidR="00180E14">
        <w:rPr>
          <w:noProof/>
        </w:rPr>
        <w:t>37</w:t>
      </w:r>
      <w:r w:rsidR="00BE71D4">
        <w:rPr>
          <w:noProof/>
        </w:rPr>
        <w:fldChar w:fldCharType="end"/>
      </w:r>
      <w:bookmarkEnd w:id="3629"/>
      <w:r>
        <w:t>: All o</w:t>
      </w:r>
      <w:r w:rsidRPr="00365353">
        <w:t>utcome</w:t>
      </w:r>
      <w:r>
        <w:t>s – types claimed</w:t>
      </w:r>
      <w:r w:rsidRPr="00365353">
        <w:t xml:space="preserve"> </w:t>
      </w:r>
      <w:r>
        <w:t>by MD12 and MD18 participants (</w:t>
      </w:r>
      <w:r w:rsidR="0088479A">
        <w:t>%</w:t>
      </w:r>
      <w:r>
        <w:t>)</w:t>
      </w:r>
      <w:bookmarkEnd w:id="3630"/>
      <w:bookmarkEnd w:id="3631"/>
      <w:bookmarkEnd w:id="3632"/>
    </w:p>
    <w:p w14:paraId="13DF5F64" w14:textId="522A37CA" w:rsidR="0073298F" w:rsidRDefault="0088479A" w:rsidP="0073298F">
      <w:pPr>
        <w:pStyle w:val="SourceandNotes"/>
      </w:pPr>
      <w:r>
        <w:rPr>
          <w:noProof/>
        </w:rPr>
        <w:drawing>
          <wp:inline distT="0" distB="0" distL="0" distR="0" wp14:anchorId="41F42D80" wp14:editId="2319DEA8">
            <wp:extent cx="5730875" cy="2451100"/>
            <wp:effectExtent l="0" t="0" r="0" b="0"/>
            <wp:docPr id="104" name="Picture 104" descr="MD18: 12 Week Employment Outcome 51.1%, Sustainability Employment Outcome 33.6%, Education Outcome – Attainment 8.3%, Education Outcomes – Participation 6.6%, 12 Week or Sustainability Hybrid Outcome 0.4%&#10;MD12: 12 Week Employment Outcome 46.2%, Sustainability Employment Outcome 31.4%, Education Outcome – Attainment 12.7%, Education Outcomes – Participation 8.9%, 12 Week or Sustainability Hybrid Outcome 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MD18: 12 Week Employment Outcome 51.1%, Sustainability Employment Outcome 33.6%, Education Outcome – Attainment 8.3%, Education Outcomes – Participation 6.6%, 12 Week or Sustainability Hybrid Outcome 0.4%&#10;MD12: 12 Week Employment Outcome 46.2%, Sustainability Employment Outcome 31.4%, Education Outcome – Attainment 12.7%, Education Outcomes – Participation 8.9%, 12 Week or Sustainability Hybrid Outcome 0.8%&#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0875" cy="2451100"/>
                    </a:xfrm>
                    <a:prstGeom prst="rect">
                      <a:avLst/>
                    </a:prstGeom>
                    <a:noFill/>
                  </pic:spPr>
                </pic:pic>
              </a:graphicData>
            </a:graphic>
          </wp:inline>
        </w:drawing>
      </w:r>
      <w:r w:rsidR="0073298F" w:rsidRPr="002F1F24">
        <w:t>Source: The department</w:t>
      </w:r>
      <w:r w:rsidR="00F8391B">
        <w:t>’</w:t>
      </w:r>
      <w:r w:rsidR="0073298F" w:rsidRPr="002F1F24">
        <w:t xml:space="preserve">s </w:t>
      </w:r>
      <w:r w:rsidR="0073298F">
        <w:t>administrative data</w:t>
      </w:r>
    </w:p>
    <w:p w14:paraId="7B5B4130" w14:textId="38AB2802" w:rsidR="0073298F" w:rsidRDefault="0073298F" w:rsidP="0073298F">
      <w:pPr>
        <w:pStyle w:val="SourceandNotes"/>
      </w:pPr>
      <w:r>
        <w:t>Base: Matched MD12 (n=30,045) and MD18 (n=30,045) participants</w:t>
      </w:r>
    </w:p>
    <w:p w14:paraId="76E0C1AD" w14:textId="16AB5483" w:rsidR="0073298F" w:rsidRDefault="0073298F" w:rsidP="0073298F">
      <w:pPr>
        <w:pStyle w:val="SourceandNotes"/>
      </w:pPr>
      <w:r>
        <w:t xml:space="preserve">Note: MD12 </w:t>
      </w:r>
      <w:r w:rsidR="00260A71">
        <w:t>t</w:t>
      </w:r>
      <w:r>
        <w:t xml:space="preserve">otal outcomes achieved = 18,540, employment-related outcomes = 14,387, education-related outcomes = 3,999, hybrid outcomes = 154. MD18 </w:t>
      </w:r>
      <w:r w:rsidR="00260A71">
        <w:t>t</w:t>
      </w:r>
      <w:r>
        <w:t>otal outcomes achieved = 21,030, employment-related outcomes = 17,812, education-related outcomes = 3,132, hybrid outcomes = 86</w:t>
      </w:r>
      <w:r w:rsidR="00842284">
        <w:t>.</w:t>
      </w:r>
    </w:p>
    <w:p w14:paraId="2772F1C6" w14:textId="1423F20B" w:rsidR="0073298F" w:rsidRPr="006F0F9E" w:rsidRDefault="0073298F" w:rsidP="0073298F">
      <w:bookmarkStart w:id="3634" w:name="_Hlk124866641"/>
      <w:bookmarkEnd w:id="3633"/>
      <w:r>
        <w:t xml:space="preserve">Looking at the first outcomes achieved by participants, while </w:t>
      </w:r>
      <w:r w:rsidRPr="006F0F9E">
        <w:t>employment</w:t>
      </w:r>
      <w:r w:rsidR="000E5BD9">
        <w:t>-</w:t>
      </w:r>
      <w:r w:rsidRPr="006F0F9E">
        <w:t xml:space="preserve">related </w:t>
      </w:r>
      <w:r w:rsidRPr="00C523D4">
        <w:t>outcomes</w:t>
      </w:r>
      <w:r w:rsidRPr="006F0F9E">
        <w:t xml:space="preserve"> account for </w:t>
      </w:r>
      <w:r>
        <w:t xml:space="preserve">a slightly lower proportion of first outcomes than all outcomes, they also make up the </w:t>
      </w:r>
      <w:r w:rsidRPr="006F0F9E">
        <w:t xml:space="preserve">majority of </w:t>
      </w:r>
      <w:r w:rsidRPr="006F0F9E">
        <w:lastRenderedPageBreak/>
        <w:t>f</w:t>
      </w:r>
      <w:r>
        <w:t xml:space="preserve">irst outcomes for both MD12 (65.2%) and MD18 (74.9%) populations. Proportionately more MD18 </w:t>
      </w:r>
      <w:r w:rsidR="00842284">
        <w:t>p</w:t>
      </w:r>
      <w:r>
        <w:t>articipants achieve</w:t>
      </w:r>
      <w:r w:rsidR="0063296A">
        <w:t>d</w:t>
      </w:r>
      <w:r>
        <w:t xml:space="preserve"> employment-related first outcomes (9.9 percentage points greater) than MD12 participants, and </w:t>
      </w:r>
      <w:r w:rsidR="000E5BD9">
        <w:t xml:space="preserve">fewer </w:t>
      </w:r>
      <w:r>
        <w:t xml:space="preserve">education-related first outcomes </w:t>
      </w:r>
      <w:r w:rsidRPr="00E62B01">
        <w:t>(</w:t>
      </w:r>
      <w:r w:rsidR="0017387F" w:rsidRPr="0017387F">
        <w:rPr>
          <w:b/>
          <w:bCs/>
        </w:rPr>
        <w:fldChar w:fldCharType="begin"/>
      </w:r>
      <w:r w:rsidR="0017387F" w:rsidRPr="0017387F">
        <w:rPr>
          <w:b/>
          <w:bCs/>
        </w:rPr>
        <w:instrText xml:space="preserve"> REF _Ref124860661 \h </w:instrText>
      </w:r>
      <w:r w:rsidR="0017387F">
        <w:rPr>
          <w:b/>
          <w:bCs/>
        </w:rPr>
        <w:instrText xml:space="preserve"> \* MERGEFORMAT </w:instrText>
      </w:r>
      <w:r w:rsidR="0017387F" w:rsidRPr="0017387F">
        <w:rPr>
          <w:b/>
          <w:bCs/>
        </w:rPr>
      </w:r>
      <w:r w:rsidR="0017387F" w:rsidRPr="0017387F">
        <w:rPr>
          <w:b/>
          <w:bCs/>
        </w:rPr>
        <w:fldChar w:fldCharType="separate"/>
      </w:r>
      <w:r w:rsidR="00180E14" w:rsidRPr="00180E14">
        <w:rPr>
          <w:b/>
          <w:bCs/>
        </w:rPr>
        <w:t xml:space="preserve">Figure </w:t>
      </w:r>
      <w:r w:rsidR="00180E14" w:rsidRPr="00180E14">
        <w:rPr>
          <w:b/>
          <w:bCs/>
          <w:noProof/>
        </w:rPr>
        <w:t>38</w:t>
      </w:r>
      <w:r w:rsidR="0017387F" w:rsidRPr="0017387F">
        <w:rPr>
          <w:b/>
          <w:bCs/>
        </w:rPr>
        <w:fldChar w:fldCharType="end"/>
      </w:r>
      <w:r w:rsidRPr="00E62B01">
        <w:t>).</w:t>
      </w:r>
    </w:p>
    <w:p w14:paraId="7FB2105E" w14:textId="66B0041B" w:rsidR="0073298F" w:rsidRDefault="0073298F" w:rsidP="0073298F">
      <w:pPr>
        <w:pStyle w:val="Caption"/>
        <w:keepNext/>
      </w:pPr>
      <w:bookmarkStart w:id="3635" w:name="_Ref124860661"/>
      <w:bookmarkStart w:id="3636" w:name="_Toc132647879"/>
      <w:bookmarkStart w:id="3637" w:name="_Toc145883348"/>
      <w:bookmarkStart w:id="3638" w:name="_Hlk124850256"/>
      <w:bookmarkEnd w:id="3634"/>
      <w:r>
        <w:t xml:space="preserve">Figure </w:t>
      </w:r>
      <w:r w:rsidR="00BE71D4">
        <w:fldChar w:fldCharType="begin"/>
      </w:r>
      <w:r w:rsidR="00BE71D4">
        <w:instrText xml:space="preserve"> SEQ Figure \* ARABIC </w:instrText>
      </w:r>
      <w:r w:rsidR="00BE71D4">
        <w:fldChar w:fldCharType="separate"/>
      </w:r>
      <w:r w:rsidR="00180E14">
        <w:rPr>
          <w:noProof/>
        </w:rPr>
        <w:t>38</w:t>
      </w:r>
      <w:r w:rsidR="00BE71D4">
        <w:rPr>
          <w:noProof/>
        </w:rPr>
        <w:fldChar w:fldCharType="end"/>
      </w:r>
      <w:bookmarkEnd w:id="3635"/>
      <w:r>
        <w:t xml:space="preserve">: </w:t>
      </w:r>
      <w:r w:rsidRPr="0022643B">
        <w:t>First outcomes – types claimed by MD12 and MD18 participants (</w:t>
      </w:r>
      <w:r w:rsidR="000E5BD9">
        <w:t>%</w:t>
      </w:r>
      <w:r w:rsidRPr="0022643B">
        <w:t>)</w:t>
      </w:r>
      <w:bookmarkEnd w:id="3636"/>
      <w:bookmarkEnd w:id="3637"/>
    </w:p>
    <w:p w14:paraId="21AE7E33" w14:textId="3C5E043C" w:rsidR="0073298F" w:rsidRDefault="0088479A" w:rsidP="0073298F">
      <w:pPr>
        <w:pStyle w:val="SourceandNotes"/>
      </w:pPr>
      <w:r>
        <w:rPr>
          <w:noProof/>
        </w:rPr>
        <w:drawing>
          <wp:inline distT="0" distB="0" distL="0" distR="0" wp14:anchorId="451E37C2" wp14:editId="488B607C">
            <wp:extent cx="5730875" cy="2407920"/>
            <wp:effectExtent l="0" t="0" r="0" b="0"/>
            <wp:docPr id="105" name="Picture 105" descr="MD18: 12 Week Employment Outcome 74.7%, Sustainability Employment Outcome 0.2%, Education Outcome – Attainment 13.7%, Education Outcomes – Participation 11.0%, 12 Week or Sustainability Hybrid Outcome 0.5%&#10;MD12: 12 Week Employment Outcome 64.8%, Sustainability Employment Outcome 0.4%, Education Outcome – Attainment 20.0%, Education Outcomes – Participation 13.9%, 12 Week or Sustainability Hybrid Outcome 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MD18: 12 Week Employment Outcome 74.7%, Sustainability Employment Outcome 0.2%, Education Outcome – Attainment 13.7%, Education Outcomes – Participation 11.0%, 12 Week or Sustainability Hybrid Outcome 0.5%&#10;MD12: 12 Week Employment Outcome 64.8%, Sustainability Employment Outcome 0.4%, Education Outcome – Attainment 20.0%, Education Outcomes – Participation 13.9%, 12 Week or Sustainability Hybrid Outcome 0.9%&#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0875" cy="2407920"/>
                    </a:xfrm>
                    <a:prstGeom prst="rect">
                      <a:avLst/>
                    </a:prstGeom>
                    <a:noFill/>
                  </pic:spPr>
                </pic:pic>
              </a:graphicData>
            </a:graphic>
          </wp:inline>
        </w:drawing>
      </w:r>
      <w:r w:rsidR="0073298F" w:rsidRPr="002F1F24">
        <w:t>Source: The department</w:t>
      </w:r>
      <w:r w:rsidR="00F8391B">
        <w:t>’</w:t>
      </w:r>
      <w:r w:rsidR="0073298F" w:rsidRPr="002F1F24">
        <w:t xml:space="preserve">s </w:t>
      </w:r>
      <w:r w:rsidR="0073298F">
        <w:t>administrative data</w:t>
      </w:r>
    </w:p>
    <w:p w14:paraId="3E2C3AC7" w14:textId="775C8512" w:rsidR="0073298F" w:rsidRDefault="0073298F" w:rsidP="0073298F">
      <w:pPr>
        <w:pStyle w:val="SourceandNotes"/>
      </w:pPr>
      <w:r>
        <w:t>Base: Matched MD12 (n=30,045) and MD18 (n=30,045) participants</w:t>
      </w:r>
    </w:p>
    <w:p w14:paraId="09FCAEAD" w14:textId="4F28AAF0" w:rsidR="0073298F" w:rsidRDefault="0073298F" w:rsidP="0073298F">
      <w:pPr>
        <w:pStyle w:val="SourceandNotes"/>
      </w:pPr>
      <w:r>
        <w:t>Note</w:t>
      </w:r>
      <w:r w:rsidR="00260A71">
        <w:t>s</w:t>
      </w:r>
      <w:r>
        <w:t xml:space="preserve">: MD12 </w:t>
      </w:r>
      <w:r w:rsidR="00260A71">
        <w:t>n</w:t>
      </w:r>
      <w:r>
        <w:t xml:space="preserve">umber of first outcomes achieved = </w:t>
      </w:r>
      <w:r w:rsidRPr="006F7B1B">
        <w:t>10,6</w:t>
      </w:r>
      <w:r>
        <w:t>5</w:t>
      </w:r>
      <w:r w:rsidRPr="006F7B1B">
        <w:t>4</w:t>
      </w:r>
      <w:r>
        <w:t xml:space="preserve">, employment-related outcomes = 6,902, education-related outcomes = 3,616, hybrid outcomes = 136. MD18 </w:t>
      </w:r>
      <w:r w:rsidR="00260A71">
        <w:t>n</w:t>
      </w:r>
      <w:r>
        <w:t xml:space="preserve">umber of first outcomes achieved = </w:t>
      </w:r>
      <w:r w:rsidRPr="006F7B1B">
        <w:t>1</w:t>
      </w:r>
      <w:r>
        <w:t>1</w:t>
      </w:r>
      <w:r w:rsidRPr="006F7B1B">
        <w:t>,</w:t>
      </w:r>
      <w:r>
        <w:t>197, employment-related outcomes = 8,359, education-related outcomes = 2,761, hybrid outcomes = 77</w:t>
      </w:r>
      <w:r w:rsidR="0063296A">
        <w:t>.</w:t>
      </w:r>
      <w:r w:rsidR="00260A71">
        <w:t xml:space="preserve"> </w:t>
      </w:r>
      <w:r>
        <w:t>Sustainability outcomes, by definition, come after a 12</w:t>
      </w:r>
      <w:r w:rsidR="000E5BD9">
        <w:t>-</w:t>
      </w:r>
      <w:r>
        <w:t>week outcome, so should not be identified as a first outcome. The small number of sustainability employment outcomes are due to administrative error.</w:t>
      </w:r>
    </w:p>
    <w:p w14:paraId="616DA3D5" w14:textId="512C9A97" w:rsidR="00646658" w:rsidRDefault="00646658" w:rsidP="007833C9">
      <w:pPr>
        <w:pStyle w:val="Heading3"/>
        <w:ind w:left="0"/>
      </w:pPr>
      <w:bookmarkStart w:id="3639" w:name="_Toc132650504"/>
      <w:bookmarkStart w:id="3640" w:name="_Toc146033534"/>
      <w:bookmarkEnd w:id="3638"/>
      <w:r>
        <w:t>Provider perspectives</w:t>
      </w:r>
      <w:bookmarkEnd w:id="3639"/>
      <w:bookmarkEnd w:id="3640"/>
    </w:p>
    <w:p w14:paraId="6C4E4235" w14:textId="373370E4" w:rsidR="0073298F" w:rsidRDefault="0073298F" w:rsidP="0073298F">
      <w:r>
        <w:t>Providers tended to be more optimistic about the positive impact of extending program duration than the above findings describe.</w:t>
      </w:r>
    </w:p>
    <w:p w14:paraId="114ED402" w14:textId="4B7EB318" w:rsidR="0073298F" w:rsidRDefault="0073298F" w:rsidP="0073298F">
      <w:bookmarkStart w:id="3641" w:name="_Hlk124866809"/>
      <w:r>
        <w:t>Overall providers who were interviewed felt that the TtW program allowed the time, flexibility and freedom to meaningfully address participant</w:t>
      </w:r>
      <w:r w:rsidR="00251A7E">
        <w:t>s’</w:t>
      </w:r>
      <w:r>
        <w:t xml:space="preserve"> barriers and support them in finding appropriate job placements. </w:t>
      </w:r>
      <w:bookmarkEnd w:id="3641"/>
      <w:r>
        <w:t>Providers were pleased to have the additional 6 months to be able to work with participants who needed a longer period of support and felt the longer service duration appeared most important in enabling them to continue to work with participants who either had significant non-vocational barriers that needed addressing before participants could engage with work, or to link those who had undertaken lengthier training courses or study to</w:t>
      </w:r>
      <w:r w:rsidR="00FF7819">
        <w:t xml:space="preserve"> opportunities to</w:t>
      </w:r>
      <w:r>
        <w:t xml:space="preserve"> engage with employment. </w:t>
      </w:r>
      <w:bookmarkStart w:id="3642" w:name="_Hlk124866827"/>
      <w:r>
        <w:t>In addition, providers emphasised the broader benefit of the program on participants.</w:t>
      </w:r>
      <w:bookmarkEnd w:id="3642"/>
    </w:p>
    <w:p w14:paraId="182801CF" w14:textId="3DA3E0B0" w:rsidR="0073298F" w:rsidRDefault="002B3BFF" w:rsidP="0073298F">
      <w:r>
        <w:t xml:space="preserve">In the provider survey </w:t>
      </w:r>
      <w:r w:rsidR="0073298F">
        <w:t>staff were invited to describe the main impacts of the extension on participant outcomes. Most staff (85%) responded</w:t>
      </w:r>
      <w:r w:rsidR="0035449E">
        <w:t>,</w:t>
      </w:r>
      <w:r w:rsidR="0073298F">
        <w:rPr>
          <w:rStyle w:val="FootnoteReference"/>
        </w:rPr>
        <w:footnoteReference w:id="99"/>
      </w:r>
      <w:r w:rsidR="0073298F">
        <w:t xml:space="preserve"> describing a variety of impacts on participant outcomes. </w:t>
      </w:r>
      <w:r w:rsidR="00FA33A0">
        <w:t>W</w:t>
      </w:r>
      <w:r w:rsidR="0073298F">
        <w:t>hile providers felt that extending the program had enabled more employment and education outcomes to be obtained, they also emphasised the broader benefit of the program on participants</w:t>
      </w:r>
      <w:bookmarkStart w:id="3643" w:name="_Hlk124867312"/>
      <w:r w:rsidR="0073298F">
        <w:t>, including helping participants to work towards longer-term goals, and enhanced human capabilities</w:t>
      </w:r>
      <w:bookmarkEnd w:id="3643"/>
      <w:r w:rsidR="0073298F">
        <w:t>.</w:t>
      </w:r>
    </w:p>
    <w:p w14:paraId="51DA14B3" w14:textId="56A97882" w:rsidR="0073298F" w:rsidRDefault="00FA33A0" w:rsidP="0073298F">
      <w:r>
        <w:lastRenderedPageBreak/>
        <w:t>R</w:t>
      </w:r>
      <w:r w:rsidR="0073298F">
        <w:t>esponses included:</w:t>
      </w:r>
    </w:p>
    <w:p w14:paraId="36590134" w14:textId="3E80F66F" w:rsidR="0073298F" w:rsidRPr="0028704F" w:rsidRDefault="0073298F" w:rsidP="0073298F">
      <w:pPr>
        <w:pStyle w:val="Quote"/>
        <w:rPr>
          <w:noProof/>
        </w:rPr>
      </w:pPr>
      <w:r>
        <w:rPr>
          <w:noProof/>
        </w:rPr>
        <w:t>Some education and employment outcomes were likely to be obtained as a result of the extension, especially those who may have had more significant barriers at initial referral</w:t>
      </w:r>
    </w:p>
    <w:p w14:paraId="0F8FEA21" w14:textId="77777777" w:rsidR="0073298F" w:rsidRPr="0028704F" w:rsidRDefault="0073298F" w:rsidP="0073298F">
      <w:pPr>
        <w:pStyle w:val="Quote"/>
        <w:rPr>
          <w:noProof/>
        </w:rPr>
      </w:pPr>
      <w:r>
        <w:rPr>
          <w:noProof/>
        </w:rPr>
        <w:t>More sustainable outcomes [because of] the ability to work with participants longer</w:t>
      </w:r>
    </w:p>
    <w:p w14:paraId="1F15BD58" w14:textId="77777777" w:rsidR="0073298F" w:rsidRPr="00511345" w:rsidRDefault="0073298F" w:rsidP="0073298F">
      <w:pPr>
        <w:pStyle w:val="Quote"/>
        <w:rPr>
          <w:noProof/>
        </w:rPr>
      </w:pPr>
      <w:r>
        <w:rPr>
          <w:noProof/>
        </w:rPr>
        <w:t>Focus on long-term career paths vs short term solutions</w:t>
      </w:r>
    </w:p>
    <w:p w14:paraId="200DAC24" w14:textId="77777777" w:rsidR="0073298F" w:rsidRDefault="0073298F" w:rsidP="0073298F">
      <w:pPr>
        <w:pStyle w:val="Quote"/>
        <w:rPr>
          <w:noProof/>
        </w:rPr>
      </w:pPr>
      <w:r>
        <w:rPr>
          <w:noProof/>
        </w:rPr>
        <w:t>Improved overall wellbeing and motivation as barriers were addressed</w:t>
      </w:r>
    </w:p>
    <w:p w14:paraId="4791AC62" w14:textId="5CA462AA" w:rsidR="0073298F" w:rsidRDefault="0073298F" w:rsidP="0073298F">
      <w:r>
        <w:t>Provider responses were categorised</w:t>
      </w:r>
      <w:r w:rsidR="00D11BDB">
        <w:t xml:space="preserve"> and</w:t>
      </w:r>
      <w:r>
        <w:t xml:space="preserve"> the majority </w:t>
      </w:r>
      <w:r w:rsidR="00D11BDB">
        <w:t>reported</w:t>
      </w:r>
      <w:r>
        <w:t xml:space="preserve"> that enabling participants to remain in the program for longer would make participants more job ready (69%). They also noted that the extension would enable participants to complete more education or training (45%), find more sustainable longer-term employment (14%) or develop their human capabilities (6%) (</w:t>
      </w:r>
      <w:r w:rsidRPr="004A440A">
        <w:rPr>
          <w:b/>
          <w:bCs/>
        </w:rPr>
        <w:fldChar w:fldCharType="begin"/>
      </w:r>
      <w:r w:rsidRPr="004A440A">
        <w:rPr>
          <w:b/>
          <w:bCs/>
        </w:rPr>
        <w:instrText xml:space="preserve"> REF _Ref110345902 \h </w:instrText>
      </w:r>
      <w:r>
        <w:rPr>
          <w:b/>
          <w:bCs/>
        </w:rPr>
        <w:instrText xml:space="preserve"> \* MERGEFORMAT </w:instrText>
      </w:r>
      <w:r w:rsidRPr="004A440A">
        <w:rPr>
          <w:b/>
          <w:bCs/>
        </w:rPr>
      </w:r>
      <w:r w:rsidRPr="004A440A">
        <w:rPr>
          <w:b/>
          <w:bCs/>
        </w:rPr>
        <w:fldChar w:fldCharType="separate"/>
      </w:r>
      <w:r w:rsidR="00180E14" w:rsidRPr="00180E14">
        <w:rPr>
          <w:b/>
          <w:bCs/>
        </w:rPr>
        <w:t xml:space="preserve">Figure </w:t>
      </w:r>
      <w:r w:rsidR="00180E14" w:rsidRPr="00180E14">
        <w:rPr>
          <w:b/>
          <w:bCs/>
          <w:noProof/>
        </w:rPr>
        <w:t>39</w:t>
      </w:r>
      <w:r w:rsidRPr="004A440A">
        <w:rPr>
          <w:b/>
          <w:bCs/>
        </w:rPr>
        <w:fldChar w:fldCharType="end"/>
      </w:r>
      <w:r>
        <w:t>).</w:t>
      </w:r>
    </w:p>
    <w:p w14:paraId="3A8EF422" w14:textId="798159D8" w:rsidR="0073298F" w:rsidRDefault="0073298F" w:rsidP="0073298F">
      <w:pPr>
        <w:pStyle w:val="Caption"/>
        <w:keepNext/>
      </w:pPr>
      <w:bookmarkStart w:id="3644" w:name="_Ref110345902"/>
      <w:bookmarkStart w:id="3645" w:name="_Toc145883349"/>
      <w:bookmarkStart w:id="3646" w:name="_Toc132647880"/>
      <w:bookmarkStart w:id="3647" w:name="_Hlk124850266"/>
      <w:r>
        <w:t xml:space="preserve">Figure </w:t>
      </w:r>
      <w:r w:rsidR="00BE71D4">
        <w:fldChar w:fldCharType="begin"/>
      </w:r>
      <w:r w:rsidR="00BE71D4">
        <w:instrText xml:space="preserve"> SEQ Figure \* ARABIC </w:instrText>
      </w:r>
      <w:r w:rsidR="00BE71D4">
        <w:fldChar w:fldCharType="separate"/>
      </w:r>
      <w:r w:rsidR="00180E14">
        <w:rPr>
          <w:noProof/>
        </w:rPr>
        <w:t>39</w:t>
      </w:r>
      <w:r w:rsidR="00BE71D4">
        <w:rPr>
          <w:noProof/>
        </w:rPr>
        <w:fldChar w:fldCharType="end"/>
      </w:r>
      <w:bookmarkEnd w:id="3644"/>
      <w:r>
        <w:t>: Provider views on the impact of extending maximum service duration on</w:t>
      </w:r>
      <w:r w:rsidRPr="005F62C9">
        <w:t xml:space="preserve"> </w:t>
      </w:r>
      <w:r w:rsidRPr="000A6225">
        <w:t>participant outcomes</w:t>
      </w:r>
      <w:r w:rsidR="0088479A">
        <w:t xml:space="preserve"> (% of providers)</w:t>
      </w:r>
      <w:bookmarkEnd w:id="3645"/>
      <w:bookmarkEnd w:id="3646"/>
    </w:p>
    <w:p w14:paraId="29E9B2DB" w14:textId="4E3B89D5" w:rsidR="0073298F" w:rsidRDefault="0088479A" w:rsidP="0073298F">
      <w:pPr>
        <w:pStyle w:val="SourceandNotes"/>
      </w:pPr>
      <w:r>
        <w:rPr>
          <w:rStyle w:val="FigurefootnoteChar"/>
          <w:noProof/>
        </w:rPr>
        <w:drawing>
          <wp:inline distT="0" distB="0" distL="0" distR="0" wp14:anchorId="2425E5F7" wp14:editId="0E875FB5">
            <wp:extent cx="5627370" cy="2725420"/>
            <wp:effectExtent l="0" t="0" r="0" b="0"/>
            <wp:docPr id="106" name="Picture 106" descr="Work or job readiness including employment: 68.7%&#10;Completed education and training: 45.2%&#10;More time for support: 40.6%&#10;Addressing barriers: 22.1%&#10;Better sustainability in outcomes: 13.8%&#10;Enhanced human capabilities: 6.0%&#10;Other impacts: 1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Work or job readiness including employment: 68.7%&#10;Completed education and training: 45.2%&#10;More time for support: 40.6%&#10;Addressing barriers: 22.1%&#10;Better sustainability in outcomes: 13.8%&#10;Enhanced human capabilities: 6.0%&#10;Other impacts: 10.1%&#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27370" cy="2725420"/>
                    </a:xfrm>
                    <a:prstGeom prst="rect">
                      <a:avLst/>
                    </a:prstGeom>
                    <a:noFill/>
                  </pic:spPr>
                </pic:pic>
              </a:graphicData>
            </a:graphic>
          </wp:inline>
        </w:drawing>
      </w:r>
      <w:r w:rsidR="00450959">
        <w:t>Source: Provider survey 2021</w:t>
      </w:r>
      <w:r w:rsidR="0073298F">
        <w:t xml:space="preserve"> </w:t>
      </w:r>
    </w:p>
    <w:p w14:paraId="188BFBCC" w14:textId="5D239A53" w:rsidR="00F8391B" w:rsidRDefault="0073298F" w:rsidP="0073298F">
      <w:pPr>
        <w:pStyle w:val="SourceandNotes"/>
      </w:pPr>
      <w:r w:rsidRPr="00BC4A6A">
        <w:t xml:space="preserve">Base: </w:t>
      </w:r>
      <w:r>
        <w:t xml:space="preserve">Selected </w:t>
      </w:r>
      <w:r w:rsidRPr="00BC4A6A">
        <w:t xml:space="preserve">respondents </w:t>
      </w:r>
      <w:r>
        <w:t xml:space="preserve">who reported an impact in </w:t>
      </w:r>
      <w:r w:rsidR="00D74BAA">
        <w:t>Q</w:t>
      </w:r>
      <w:r>
        <w:t>8.3 (</w:t>
      </w:r>
      <w:r w:rsidRPr="00BC4A6A">
        <w:t>n=</w:t>
      </w:r>
      <w:r>
        <w:t>217)</w:t>
      </w:r>
    </w:p>
    <w:p w14:paraId="057F3FF9" w14:textId="747AC6AE" w:rsidR="0073298F" w:rsidRDefault="0073298F" w:rsidP="0073298F">
      <w:pPr>
        <w:pStyle w:val="SourceandNotes"/>
      </w:pPr>
      <w:r w:rsidRPr="00BC4A6A">
        <w:t>Q</w:t>
      </w:r>
      <w:r>
        <w:t>8.3</w:t>
      </w:r>
      <w:r w:rsidR="00F8391B">
        <w:t xml:space="preserve"> – </w:t>
      </w:r>
      <w:r>
        <w:t>What were the MAIN impacts of this extension on participant outcomes, including education, employment and other non-vocational outcomes?</w:t>
      </w:r>
    </w:p>
    <w:p w14:paraId="7DC5E0B6" w14:textId="77777777" w:rsidR="0073298F" w:rsidRDefault="0073298F" w:rsidP="007833C9">
      <w:pPr>
        <w:pStyle w:val="Heading3"/>
        <w:ind w:left="0"/>
      </w:pPr>
      <w:bookmarkStart w:id="3648" w:name="_Toc132650505"/>
      <w:bookmarkStart w:id="3649" w:name="_Toc146033535"/>
      <w:bookmarkEnd w:id="3647"/>
      <w:r>
        <w:t>Timing of outcomes</w:t>
      </w:r>
      <w:bookmarkEnd w:id="3648"/>
      <w:bookmarkEnd w:id="3649"/>
    </w:p>
    <w:p w14:paraId="2B4A9B3B" w14:textId="2524F08E" w:rsidR="0073298F" w:rsidRDefault="0073298F" w:rsidP="0073298F">
      <w:pPr>
        <w:rPr>
          <w:bCs/>
        </w:rPr>
      </w:pPr>
      <w:r w:rsidRPr="00A34E6B">
        <w:rPr>
          <w:bCs/>
        </w:rPr>
        <w:t xml:space="preserve">As well as examining the impact of the change in maximum service duration on overall outcomes, it is interesting to examine how this change affected </w:t>
      </w:r>
      <w:r w:rsidR="00A2228A">
        <w:rPr>
          <w:bCs/>
        </w:rPr>
        <w:t xml:space="preserve">the </w:t>
      </w:r>
      <w:r w:rsidR="00332E38">
        <w:rPr>
          <w:bCs/>
        </w:rPr>
        <w:t>time it took for</w:t>
      </w:r>
      <w:r w:rsidRPr="00A34E6B">
        <w:rPr>
          <w:bCs/>
        </w:rPr>
        <w:t xml:space="preserve"> participants</w:t>
      </w:r>
      <w:r w:rsidR="00C9539A">
        <w:rPr>
          <w:bCs/>
        </w:rPr>
        <w:t xml:space="preserve"> to</w:t>
      </w:r>
      <w:r w:rsidRPr="00A34E6B">
        <w:rPr>
          <w:bCs/>
        </w:rPr>
        <w:t xml:space="preserve"> beg</w:t>
      </w:r>
      <w:r w:rsidR="00C9539A">
        <w:rPr>
          <w:bCs/>
        </w:rPr>
        <w:t>i</w:t>
      </w:r>
      <w:r w:rsidRPr="00A34E6B">
        <w:rPr>
          <w:bCs/>
        </w:rPr>
        <w:t>n progressing towards their first outcomes</w:t>
      </w:r>
      <w:r>
        <w:rPr>
          <w:bCs/>
        </w:rPr>
        <w:t>.</w:t>
      </w:r>
    </w:p>
    <w:p w14:paraId="6831FCAD" w14:textId="18EF8463" w:rsidR="0073298F" w:rsidRDefault="0073298F" w:rsidP="0073298F">
      <w:r w:rsidRPr="00A34E6B">
        <w:rPr>
          <w:bCs/>
        </w:rPr>
        <w:t>As shown in</w:t>
      </w:r>
      <w:r w:rsidRPr="00A34E6B">
        <w:rPr>
          <w:b/>
        </w:rPr>
        <w:t xml:space="preserve"> </w:t>
      </w:r>
      <w:r w:rsidR="0017387F" w:rsidRPr="0017387F">
        <w:rPr>
          <w:b/>
        </w:rPr>
        <w:fldChar w:fldCharType="begin"/>
      </w:r>
      <w:r w:rsidR="0017387F" w:rsidRPr="0017387F">
        <w:rPr>
          <w:b/>
        </w:rPr>
        <w:instrText xml:space="preserve"> REF _Ref124860685 \h  \* MERGEFORMAT </w:instrText>
      </w:r>
      <w:r w:rsidR="0017387F" w:rsidRPr="0017387F">
        <w:rPr>
          <w:b/>
        </w:rPr>
      </w:r>
      <w:r w:rsidR="0017387F" w:rsidRPr="0017387F">
        <w:rPr>
          <w:b/>
        </w:rPr>
        <w:fldChar w:fldCharType="separate"/>
      </w:r>
      <w:r w:rsidR="00180E14" w:rsidRPr="00180E14">
        <w:rPr>
          <w:b/>
        </w:rPr>
        <w:t xml:space="preserve">Figure </w:t>
      </w:r>
      <w:r w:rsidR="00180E14" w:rsidRPr="00180E14">
        <w:rPr>
          <w:b/>
          <w:noProof/>
        </w:rPr>
        <w:t>40</w:t>
      </w:r>
      <w:r w:rsidR="0017387F" w:rsidRPr="0017387F">
        <w:rPr>
          <w:b/>
        </w:rPr>
        <w:fldChar w:fldCharType="end"/>
      </w:r>
      <w:r w:rsidRPr="00A34E6B">
        <w:rPr>
          <w:bCs/>
        </w:rPr>
        <w:t>, while most participants who achieve</w:t>
      </w:r>
      <w:r w:rsidR="00C9539A">
        <w:rPr>
          <w:bCs/>
        </w:rPr>
        <w:t>d</w:t>
      </w:r>
      <w:r w:rsidRPr="00A34E6B">
        <w:rPr>
          <w:bCs/>
        </w:rPr>
        <w:t xml:space="preserve"> an outcome</w:t>
      </w:r>
      <w:r w:rsidR="00332E38">
        <w:rPr>
          <w:rStyle w:val="FootnoteReference"/>
          <w:bCs/>
        </w:rPr>
        <w:footnoteReference w:id="100"/>
      </w:r>
      <w:r w:rsidRPr="00A34E6B">
        <w:rPr>
          <w:bCs/>
        </w:rPr>
        <w:t xml:space="preserve"> beg</w:t>
      </w:r>
      <w:r w:rsidR="00A2228A">
        <w:rPr>
          <w:bCs/>
        </w:rPr>
        <w:t>a</w:t>
      </w:r>
      <w:r w:rsidRPr="00A34E6B">
        <w:rPr>
          <w:bCs/>
        </w:rPr>
        <w:t>n progressing towards this outcome within 12 months of commencing, the</w:t>
      </w:r>
      <w:r w:rsidRPr="00A34E6B">
        <w:t xml:space="preserve"> change in program duration was associated with a</w:t>
      </w:r>
      <w:r>
        <w:t xml:space="preserve"> small</w:t>
      </w:r>
      <w:r w:rsidRPr="00A34E6B">
        <w:t xml:space="preserve"> increase in the number of participants who started progressing towards their first outcome after 12 months (3.4 percentage point increase). It is also associated with a slight </w:t>
      </w:r>
      <w:r w:rsidRPr="00A34E6B">
        <w:lastRenderedPageBreak/>
        <w:t>reduction in the number of participants who started progressing towards their first outcome within 12 months (1.6</w:t>
      </w:r>
      <w:r w:rsidR="005E353F">
        <w:t> </w:t>
      </w:r>
      <w:r w:rsidRPr="00A34E6B">
        <w:t>percentage point drop)</w:t>
      </w:r>
      <w:r w:rsidR="00AF41B9">
        <w:t>.</w:t>
      </w:r>
      <w:r w:rsidRPr="00A34E6B">
        <w:rPr>
          <w:rStyle w:val="FootnoteReference"/>
        </w:rPr>
        <w:footnoteReference w:id="101"/>
      </w:r>
      <w:r w:rsidRPr="00A34E6B">
        <w:t xml:space="preserve"> </w:t>
      </w:r>
      <w:r w:rsidR="00A10BA1">
        <w:t>This might indicate a small change in provider servicing to participants, enabling them to have a longer-term plan with participants.</w:t>
      </w:r>
    </w:p>
    <w:p w14:paraId="60B7554F" w14:textId="72535770" w:rsidR="0073298F" w:rsidRDefault="0073298F" w:rsidP="0073298F">
      <w:pPr>
        <w:pStyle w:val="Caption"/>
        <w:keepNext/>
      </w:pPr>
      <w:bookmarkStart w:id="3650" w:name="_Ref124860685"/>
      <w:bookmarkStart w:id="3651" w:name="_Toc132647881"/>
      <w:bookmarkStart w:id="3652" w:name="_Toc145883350"/>
      <w:bookmarkStart w:id="3653" w:name="_Hlk124850275"/>
      <w:r>
        <w:t xml:space="preserve">Figure </w:t>
      </w:r>
      <w:r w:rsidR="00BE71D4">
        <w:fldChar w:fldCharType="begin"/>
      </w:r>
      <w:r w:rsidR="00BE71D4">
        <w:instrText xml:space="preserve"> SEQ Figure \* ARABIC </w:instrText>
      </w:r>
      <w:r w:rsidR="00BE71D4">
        <w:fldChar w:fldCharType="separate"/>
      </w:r>
      <w:r w:rsidR="00180E14">
        <w:rPr>
          <w:noProof/>
        </w:rPr>
        <w:t>40</w:t>
      </w:r>
      <w:r w:rsidR="00BE71D4">
        <w:rPr>
          <w:noProof/>
        </w:rPr>
        <w:fldChar w:fldCharType="end"/>
      </w:r>
      <w:bookmarkEnd w:id="3650"/>
      <w:r>
        <w:t xml:space="preserve">: </w:t>
      </w:r>
      <w:r w:rsidR="00F1156B">
        <w:t>Start date for</w:t>
      </w:r>
      <w:r>
        <w:t xml:space="preserve"> </w:t>
      </w:r>
      <w:r w:rsidR="00F1156B">
        <w:t xml:space="preserve">first </w:t>
      </w:r>
      <w:r>
        <w:t>outcome in the program</w:t>
      </w:r>
      <w:r w:rsidR="00F1156B">
        <w:t>,</w:t>
      </w:r>
      <w:r>
        <w:t xml:space="preserve"> by proportion of participants, MD12 and MD18 matched samples</w:t>
      </w:r>
      <w:bookmarkEnd w:id="3651"/>
      <w:r w:rsidR="00F1156B">
        <w:t xml:space="preserve"> (%)</w:t>
      </w:r>
      <w:bookmarkEnd w:id="3652"/>
    </w:p>
    <w:p w14:paraId="1D4E84E5" w14:textId="37851671" w:rsidR="00E717A3" w:rsidRDefault="00F1156B" w:rsidP="0073298F">
      <w:pPr>
        <w:pStyle w:val="SourceandNotes"/>
      </w:pPr>
      <w:r>
        <w:rPr>
          <w:noProof/>
        </w:rPr>
        <w:drawing>
          <wp:inline distT="0" distB="0" distL="0" distR="0" wp14:anchorId="65981B78" wp14:editId="7015C1AC">
            <wp:extent cx="4572635" cy="2743200"/>
            <wp:effectExtent l="0" t="0" r="0" b="0"/>
            <wp:docPr id="3" name="Picture 3" descr="12 months or less: MD12 34.9%, MD18 33.3%&#10;&gt;12-18 months: MD12 0.5%, MD18 3.6%&#10;Over 18 months: MD12 0.1%, MD18 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12 months or less: MD12 34.9%, MD18 33.3%&#10;&gt;12-18 months: MD12 0.5%, MD18 3.6%&#10;Over 18 months: MD12 0.1%, MD18 0.4%&#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2C0E33C" w14:textId="2B098EC1" w:rsidR="0073298F" w:rsidRPr="005E0ED0" w:rsidRDefault="0073298F" w:rsidP="0073298F">
      <w:pPr>
        <w:pStyle w:val="SourceandNotes"/>
      </w:pPr>
      <w:r w:rsidRPr="005E0ED0">
        <w:t>Source: The department</w:t>
      </w:r>
      <w:r w:rsidR="00F8391B">
        <w:t>’</w:t>
      </w:r>
      <w:r w:rsidRPr="005E0ED0">
        <w:t>s administrative data</w:t>
      </w:r>
    </w:p>
    <w:p w14:paraId="4CDA5022" w14:textId="28B63BBC" w:rsidR="0073298F" w:rsidRDefault="0073298F" w:rsidP="0073298F">
      <w:pPr>
        <w:pStyle w:val="SourceandNotes"/>
      </w:pPr>
      <w:r>
        <w:t>Base: Matched MD12 (n=30,045) and MD18 (n=30,045) participants</w:t>
      </w:r>
    </w:p>
    <w:p w14:paraId="6E41124C" w14:textId="40D2A4BF" w:rsidR="0073298F" w:rsidRDefault="0073298F" w:rsidP="006E41FD">
      <w:pPr>
        <w:pStyle w:val="Heading2"/>
      </w:pPr>
      <w:bookmarkStart w:id="3654" w:name="_Toc132650506"/>
      <w:bookmarkStart w:id="3655" w:name="_Toc146033536"/>
      <w:bookmarkEnd w:id="3653"/>
      <w:r>
        <w:t>Provider views on the impact of increasing program duration on service delivery</w:t>
      </w:r>
      <w:bookmarkEnd w:id="3654"/>
      <w:bookmarkEnd w:id="3655"/>
    </w:p>
    <w:p w14:paraId="5167E7AB" w14:textId="767EA70C" w:rsidR="0073298F" w:rsidRDefault="0073298F" w:rsidP="0073298F">
      <w:r>
        <w:t>In interviews, provider staff mentioned that while they did not feel that the extended time had changed how they manag</w:t>
      </w:r>
      <w:r w:rsidR="00105CA2">
        <w:t>ed</w:t>
      </w:r>
      <w:r>
        <w:t xml:space="preserve"> most of their participants, as noted above, they felt that the longer service duration enabled them to continue to work with participants who either had significant non-vocational barriers or had undertaken lengthier training courses or study.</w:t>
      </w:r>
    </w:p>
    <w:p w14:paraId="1A2F60EB" w14:textId="721E68EB" w:rsidR="0073298F" w:rsidRDefault="0073298F" w:rsidP="0073298F">
      <w:r>
        <w:t>Providers felt that the extra time meant that those participants were not transitioned to jobactive at the crucial time when they were almost work ready and whe</w:t>
      </w:r>
      <w:r w:rsidR="00DD5E37">
        <w:t>n</w:t>
      </w:r>
      <w:r>
        <w:t xml:space="preserve"> caseworkers were poised to set up an appropriate placement. The longer lead time </w:t>
      </w:r>
      <w:r w:rsidR="00E532A3">
        <w:t>was</w:t>
      </w:r>
      <w:r>
        <w:t xml:space="preserve"> spent addressing significant non-vocational barriers or </w:t>
      </w:r>
      <w:r w:rsidR="00E532A3">
        <w:t xml:space="preserve">undertaking </w:t>
      </w:r>
      <w:r>
        <w:t>lengthier training courses.</w:t>
      </w:r>
    </w:p>
    <w:p w14:paraId="26A5CA06" w14:textId="2294B866" w:rsidR="0073298F" w:rsidRDefault="0073298F" w:rsidP="0073298F">
      <w:pPr>
        <w:pStyle w:val="Quote"/>
        <w:rPr>
          <w:rFonts w:eastAsia="Times New Roman" w:cs="Times New Roman"/>
        </w:rPr>
      </w:pPr>
      <w:r w:rsidRPr="18A2CA84">
        <w:rPr>
          <w:rFonts w:eastAsia="Times New Roman" w:cs="Times New Roman"/>
        </w:rPr>
        <w:t xml:space="preserve">Definitely we like the change because it gives </w:t>
      </w:r>
      <w:r>
        <w:rPr>
          <w:rFonts w:eastAsia="Times New Roman" w:cs="Times New Roman"/>
        </w:rPr>
        <w:t xml:space="preserve">… </w:t>
      </w:r>
      <w:r w:rsidRPr="18A2CA84">
        <w:rPr>
          <w:rFonts w:eastAsia="Times New Roman" w:cs="Times New Roman"/>
        </w:rPr>
        <w:t>participants who are most vulnerable in our caseload the opportunity to remain in our service. […] Those most vulnerable can take longer. [Also] those that are studying can complete their study, and then we can work with them to gain employment in the field that they</w:t>
      </w:r>
      <w:r w:rsidR="00F8391B">
        <w:rPr>
          <w:rFonts w:eastAsia="Times New Roman" w:cs="Times New Roman"/>
        </w:rPr>
        <w:t>’</w:t>
      </w:r>
      <w:r w:rsidRPr="18A2CA84">
        <w:rPr>
          <w:rFonts w:eastAsia="Times New Roman" w:cs="Times New Roman"/>
        </w:rPr>
        <w:t>ve studied. [Before, those who did long</w:t>
      </w:r>
      <w:r>
        <w:rPr>
          <w:rFonts w:eastAsia="Times New Roman" w:cs="Times New Roman"/>
        </w:rPr>
        <w:t>-</w:t>
      </w:r>
      <w:r w:rsidRPr="18A2CA84">
        <w:rPr>
          <w:rFonts w:eastAsia="Times New Roman" w:cs="Times New Roman"/>
        </w:rPr>
        <w:t>term study] it meant that they used up their whole service with us and then they</w:t>
      </w:r>
      <w:r w:rsidR="00F8391B">
        <w:rPr>
          <w:rFonts w:eastAsia="Times New Roman" w:cs="Times New Roman"/>
        </w:rPr>
        <w:t>’</w:t>
      </w:r>
      <w:r w:rsidRPr="18A2CA84">
        <w:rPr>
          <w:rFonts w:eastAsia="Times New Roman" w:cs="Times New Roman"/>
        </w:rPr>
        <w:t>d have to go to jobactive. (Provider 6, metro Q</w:t>
      </w:r>
      <w:r>
        <w:rPr>
          <w:rFonts w:eastAsia="Times New Roman" w:cs="Times New Roman"/>
        </w:rPr>
        <w:t>ld</w:t>
      </w:r>
      <w:r w:rsidRPr="18A2CA84">
        <w:rPr>
          <w:rFonts w:eastAsia="Times New Roman" w:cs="Times New Roman"/>
        </w:rPr>
        <w:t>, medium</w:t>
      </w:r>
      <w:r>
        <w:rPr>
          <w:rFonts w:eastAsia="Times New Roman" w:cs="Times New Roman"/>
        </w:rPr>
        <w:t xml:space="preserve"> size</w:t>
      </w:r>
      <w:r w:rsidRPr="18A2CA84">
        <w:rPr>
          <w:rFonts w:eastAsia="Times New Roman" w:cs="Times New Roman"/>
        </w:rPr>
        <w:t>)</w:t>
      </w:r>
    </w:p>
    <w:p w14:paraId="414419ED" w14:textId="0E6C258B" w:rsidR="0073298F" w:rsidRDefault="0073298F" w:rsidP="0073298F">
      <w:pPr>
        <w:pStyle w:val="Quote"/>
      </w:pPr>
      <w:r>
        <w:lastRenderedPageBreak/>
        <w:t>Tt</w:t>
      </w:r>
      <w:r w:rsidRPr="009332DC">
        <w:rPr>
          <w:rFonts w:eastAsia="Times New Roman" w:cs="Times New Roman"/>
        </w:rPr>
        <w:t xml:space="preserve">W extended the period of service from twelve months to eighteen months. That was really, really critical because twelve months was too short. </w:t>
      </w:r>
      <w:r>
        <w:t>[…] [Before the change was introduced] w</w:t>
      </w:r>
      <w:r w:rsidRPr="009332DC">
        <w:rPr>
          <w:rFonts w:eastAsia="Times New Roman" w:cs="Times New Roman"/>
        </w:rPr>
        <w:t>e</w:t>
      </w:r>
      <w:r w:rsidR="00F8391B">
        <w:rPr>
          <w:rFonts w:eastAsia="Times New Roman" w:cs="Times New Roman"/>
        </w:rPr>
        <w:t>’</w:t>
      </w:r>
      <w:r w:rsidRPr="009332DC">
        <w:rPr>
          <w:rFonts w:eastAsia="Times New Roman" w:cs="Times New Roman"/>
        </w:rPr>
        <w:t>d get to twelve months, and, as you know, back then we had to exit them. Particularly if they weren</w:t>
      </w:r>
      <w:r w:rsidR="00F8391B">
        <w:rPr>
          <w:rFonts w:eastAsia="Times New Roman" w:cs="Times New Roman"/>
        </w:rPr>
        <w:t>’</w:t>
      </w:r>
      <w:r w:rsidRPr="009332DC">
        <w:rPr>
          <w:rFonts w:eastAsia="Times New Roman" w:cs="Times New Roman"/>
        </w:rPr>
        <w:t xml:space="preserve">t tracking to an outcome. But we had a number of young people, particularly in our Indigenous cohort </w:t>
      </w:r>
      <w:r>
        <w:t>…</w:t>
      </w:r>
      <w:r w:rsidRPr="009332DC">
        <w:rPr>
          <w:rFonts w:eastAsia="Times New Roman" w:cs="Times New Roman"/>
        </w:rPr>
        <w:t xml:space="preserve"> that just needed that additional six months. </w:t>
      </w:r>
      <w:r>
        <w:t>(Provider 10, metro NSW, medium size, TtW + jobactive)</w:t>
      </w:r>
    </w:p>
    <w:p w14:paraId="6CA37974" w14:textId="2D9E080C" w:rsidR="0073298F" w:rsidRPr="000D0BED" w:rsidRDefault="0073298F" w:rsidP="0073298F">
      <w:pPr>
        <w:pStyle w:val="Quote"/>
        <w:rPr>
          <w:rFonts w:eastAsia="Times New Roman" w:cs="Times New Roman"/>
        </w:rPr>
      </w:pPr>
      <w:r>
        <w:rPr>
          <w:rFonts w:eastAsia="Times New Roman" w:cs="Times New Roman"/>
        </w:rPr>
        <w:t>W</w:t>
      </w:r>
      <w:r w:rsidRPr="000D0BED">
        <w:rPr>
          <w:rFonts w:eastAsia="Times New Roman" w:cs="Times New Roman"/>
        </w:rPr>
        <w:t>e don</w:t>
      </w:r>
      <w:r w:rsidR="00F8391B">
        <w:rPr>
          <w:rFonts w:eastAsia="Times New Roman" w:cs="Times New Roman"/>
        </w:rPr>
        <w:t>’</w:t>
      </w:r>
      <w:r w:rsidRPr="000D0BED">
        <w:rPr>
          <w:rFonts w:eastAsia="Times New Roman" w:cs="Times New Roman"/>
        </w:rPr>
        <w:t>t say that every young person is going to have the 18 months. That</w:t>
      </w:r>
      <w:r w:rsidR="00F8391B">
        <w:rPr>
          <w:rFonts w:eastAsia="Times New Roman" w:cs="Times New Roman"/>
        </w:rPr>
        <w:t>’</w:t>
      </w:r>
      <w:r w:rsidRPr="000D0BED">
        <w:rPr>
          <w:rFonts w:eastAsia="Times New Roman" w:cs="Times New Roman"/>
        </w:rPr>
        <w:t>s not feasible. It</w:t>
      </w:r>
      <w:r w:rsidR="00F8391B">
        <w:rPr>
          <w:rFonts w:eastAsia="Times New Roman" w:cs="Times New Roman"/>
        </w:rPr>
        <w:t>’</w:t>
      </w:r>
      <w:r w:rsidRPr="000D0BED">
        <w:rPr>
          <w:rFonts w:eastAsia="Times New Roman" w:cs="Times New Roman"/>
        </w:rPr>
        <w:t>s about what is appropriate for that young person, what actually do they need, and where they</w:t>
      </w:r>
      <w:r w:rsidR="00F8391B">
        <w:rPr>
          <w:rFonts w:eastAsia="Times New Roman" w:cs="Times New Roman"/>
        </w:rPr>
        <w:t>’</w:t>
      </w:r>
      <w:r w:rsidRPr="000D0BED">
        <w:rPr>
          <w:rFonts w:eastAsia="Times New Roman" w:cs="Times New Roman"/>
        </w:rPr>
        <w:t>re at in that journey. Particularly if they</w:t>
      </w:r>
      <w:r w:rsidR="00F8391B">
        <w:rPr>
          <w:rFonts w:eastAsia="Times New Roman" w:cs="Times New Roman"/>
        </w:rPr>
        <w:t>’</w:t>
      </w:r>
      <w:r w:rsidRPr="000D0BED">
        <w:rPr>
          <w:rFonts w:eastAsia="Times New Roman" w:cs="Times New Roman"/>
        </w:rPr>
        <w:t>ve studied something, we find that that extra six months is really important. Because it helps us link their studies and their skills into the labour market. What we have had happen</w:t>
      </w:r>
      <w:r>
        <w:rPr>
          <w:rFonts w:eastAsia="Times New Roman" w:cs="Times New Roman"/>
        </w:rPr>
        <w:t xml:space="preserve"> [in the past]</w:t>
      </w:r>
      <w:r w:rsidRPr="000D0BED">
        <w:rPr>
          <w:rFonts w:eastAsia="Times New Roman" w:cs="Times New Roman"/>
        </w:rPr>
        <w:t xml:space="preserve"> is when young people have moved onto </w:t>
      </w:r>
      <w:r>
        <w:rPr>
          <w:rFonts w:eastAsia="Times New Roman" w:cs="Times New Roman"/>
        </w:rPr>
        <w:t>j</w:t>
      </w:r>
      <w:r w:rsidRPr="000D0BED">
        <w:rPr>
          <w:rFonts w:eastAsia="Times New Roman" w:cs="Times New Roman"/>
        </w:rPr>
        <w:t>obactive at the 12-month mark and they</w:t>
      </w:r>
      <w:r w:rsidR="00F8391B">
        <w:rPr>
          <w:rFonts w:eastAsia="Times New Roman" w:cs="Times New Roman"/>
        </w:rPr>
        <w:t>’</w:t>
      </w:r>
      <w:r w:rsidRPr="000D0BED">
        <w:rPr>
          <w:rFonts w:eastAsia="Times New Roman" w:cs="Times New Roman"/>
        </w:rPr>
        <w:t>ve studied something, they</w:t>
      </w:r>
      <w:r w:rsidR="00F8391B">
        <w:rPr>
          <w:rFonts w:eastAsia="Times New Roman" w:cs="Times New Roman"/>
        </w:rPr>
        <w:t>’</w:t>
      </w:r>
      <w:r w:rsidRPr="000D0BED">
        <w:rPr>
          <w:rFonts w:eastAsia="Times New Roman" w:cs="Times New Roman"/>
        </w:rPr>
        <w:t xml:space="preserve">ve just gone on to study something else, rather than having the time to actually explore and think about, </w:t>
      </w:r>
      <w:r w:rsidR="00F8391B">
        <w:rPr>
          <w:rFonts w:eastAsia="Times New Roman" w:cs="Times New Roman"/>
        </w:rPr>
        <w:t>‘</w:t>
      </w:r>
      <w:r w:rsidRPr="000D0BED">
        <w:rPr>
          <w:rFonts w:eastAsia="Times New Roman" w:cs="Times New Roman"/>
        </w:rPr>
        <w:t>I</w:t>
      </w:r>
      <w:r w:rsidR="00F8391B">
        <w:rPr>
          <w:rFonts w:eastAsia="Times New Roman" w:cs="Times New Roman"/>
        </w:rPr>
        <w:t>’</w:t>
      </w:r>
      <w:r w:rsidRPr="000D0BED">
        <w:rPr>
          <w:rFonts w:eastAsia="Times New Roman" w:cs="Times New Roman"/>
        </w:rPr>
        <w:t>ve studied this, what kind of jobs can I have?</w:t>
      </w:r>
      <w:r w:rsidR="00F8391B">
        <w:rPr>
          <w:rFonts w:eastAsia="Times New Roman" w:cs="Times New Roman"/>
        </w:rPr>
        <w:t>’</w:t>
      </w:r>
      <w:r w:rsidRPr="000D0BED">
        <w:rPr>
          <w:rFonts w:eastAsia="Times New Roman" w:cs="Times New Roman"/>
        </w:rPr>
        <w:t xml:space="preserve"> </w:t>
      </w:r>
      <w:r>
        <w:rPr>
          <w:rFonts w:eastAsia="Times New Roman" w:cs="Times New Roman"/>
        </w:rPr>
        <w:t>(Provider 4, metro Vic, medium size)</w:t>
      </w:r>
    </w:p>
    <w:p w14:paraId="5677479B" w14:textId="5304FC8C" w:rsidR="0073298F" w:rsidRDefault="0073298F" w:rsidP="0073298F">
      <w:r>
        <w:t>Provider survey respondents were asked an open-ended question regarding the main impacts of this extension on providers</w:t>
      </w:r>
      <w:r w:rsidR="00F8391B">
        <w:t>’</w:t>
      </w:r>
      <w:r>
        <w:t xml:space="preserve"> support to participants at their site. These were categorised, and support findings from provider interviews, including that the extended time allowed providers to continue to provide general ongoing support, including mentoring</w:t>
      </w:r>
      <w:r w:rsidR="003657BC">
        <w:t xml:space="preserve"> </w:t>
      </w:r>
      <w:r>
        <w:t>(61%), more time to address barriers before moving into employment or training (37%), and longer to work on participants</w:t>
      </w:r>
      <w:r w:rsidR="00F8391B">
        <w:t>’</w:t>
      </w:r>
      <w:r>
        <w:t xml:space="preserve"> work readiness and target appropriate employment opportunities </w:t>
      </w:r>
      <w:r w:rsidRPr="005B5EB0">
        <w:t xml:space="preserve">(36%) </w:t>
      </w:r>
      <w:r w:rsidRPr="00C239FD">
        <w:t>(</w:t>
      </w:r>
      <w:r w:rsidRPr="004A440A">
        <w:rPr>
          <w:b/>
          <w:bCs/>
        </w:rPr>
        <w:fldChar w:fldCharType="begin"/>
      </w:r>
      <w:r w:rsidRPr="004A440A">
        <w:rPr>
          <w:b/>
          <w:bCs/>
        </w:rPr>
        <w:instrText xml:space="preserve"> REF _Ref110345725 \h  \* MERGEFORMAT </w:instrText>
      </w:r>
      <w:r w:rsidRPr="004A440A">
        <w:rPr>
          <w:b/>
          <w:bCs/>
        </w:rPr>
      </w:r>
      <w:r w:rsidRPr="004A440A">
        <w:rPr>
          <w:b/>
          <w:bCs/>
        </w:rPr>
        <w:fldChar w:fldCharType="separate"/>
      </w:r>
      <w:r w:rsidR="00180E14" w:rsidRPr="00180E14">
        <w:rPr>
          <w:b/>
          <w:bCs/>
        </w:rPr>
        <w:t xml:space="preserve">Figure </w:t>
      </w:r>
      <w:r w:rsidR="00180E14" w:rsidRPr="00180E14">
        <w:rPr>
          <w:b/>
          <w:bCs/>
          <w:noProof/>
        </w:rPr>
        <w:t>41</w:t>
      </w:r>
      <w:r w:rsidRPr="004A440A">
        <w:rPr>
          <w:b/>
          <w:bCs/>
        </w:rPr>
        <w:fldChar w:fldCharType="end"/>
      </w:r>
      <w:r w:rsidRPr="00C239FD">
        <w:t>)</w:t>
      </w:r>
      <w:r w:rsidRPr="005B5EB0">
        <w:t>.</w:t>
      </w:r>
    </w:p>
    <w:p w14:paraId="3902F7E0" w14:textId="06269972" w:rsidR="0073298F" w:rsidRDefault="00E956E8" w:rsidP="0073298F">
      <w:pPr>
        <w:keepNext/>
      </w:pPr>
      <w:r>
        <w:t>R</w:t>
      </w:r>
      <w:r w:rsidR="0073298F">
        <w:t>esponses included:</w:t>
      </w:r>
    </w:p>
    <w:p w14:paraId="41EC1BCD" w14:textId="77777777" w:rsidR="0073298F" w:rsidRDefault="0073298F" w:rsidP="0073298F">
      <w:pPr>
        <w:pStyle w:val="Quote"/>
        <w:rPr>
          <w:noProof/>
        </w:rPr>
      </w:pPr>
      <w:r>
        <w:rPr>
          <w:noProof/>
        </w:rPr>
        <w:t>More time to address barriers like mental health which can take 6-12 months while still affording time to then move into education or employment</w:t>
      </w:r>
    </w:p>
    <w:p w14:paraId="19F34FA2" w14:textId="77777777" w:rsidR="0073298F" w:rsidRPr="00511345" w:rsidRDefault="0073298F" w:rsidP="0073298F">
      <w:pPr>
        <w:pStyle w:val="Quote"/>
        <w:rPr>
          <w:noProof/>
        </w:rPr>
      </w:pPr>
      <w:r>
        <w:rPr>
          <w:noProof/>
        </w:rPr>
        <w:t>More time to upskill and then support the transition to paid employment</w:t>
      </w:r>
    </w:p>
    <w:p w14:paraId="2642AA42" w14:textId="77777777" w:rsidR="0073298F" w:rsidRPr="0028704F" w:rsidRDefault="0073298F" w:rsidP="0073298F">
      <w:pPr>
        <w:pStyle w:val="Quote"/>
        <w:rPr>
          <w:noProof/>
        </w:rPr>
      </w:pPr>
      <w:r>
        <w:rPr>
          <w:noProof/>
        </w:rPr>
        <w:t>Important for participants to navigate severe non-vocational barriers, and still allow sufficient time to then move beyond the non-vocational to the vocational</w:t>
      </w:r>
    </w:p>
    <w:p w14:paraId="668A667D" w14:textId="77777777" w:rsidR="0073298F" w:rsidRPr="00C52D00" w:rsidRDefault="0073298F" w:rsidP="0073298F">
      <w:pPr>
        <w:pStyle w:val="Quote"/>
        <w:rPr>
          <w:noProof/>
        </w:rPr>
      </w:pPr>
      <w:r>
        <w:rPr>
          <w:noProof/>
        </w:rPr>
        <w:t>Additional time to make sure these young people are work ready and find employment or training that meets their own individual needs</w:t>
      </w:r>
    </w:p>
    <w:p w14:paraId="668AB24F" w14:textId="11D968D5" w:rsidR="0073298F" w:rsidRDefault="0073298F" w:rsidP="0073298F">
      <w:r w:rsidRPr="003657BC">
        <w:t>There was some indication from the survey that the change in duration may have changed how providers plan their engagement with participants</w:t>
      </w:r>
      <w:r w:rsidR="00E956E8">
        <w:t>;</w:t>
      </w:r>
      <w:r w:rsidRPr="003657BC">
        <w:t xml:space="preserve"> for example</w:t>
      </w:r>
      <w:r w:rsidR="00E956E8">
        <w:t>,</w:t>
      </w:r>
      <w:r w:rsidRPr="003657BC">
        <w:t xml:space="preserve"> one provider noted that they were</w:t>
      </w:r>
      <w:r w:rsidR="00E956E8">
        <w:t>:</w:t>
      </w:r>
    </w:p>
    <w:p w14:paraId="71E765ED" w14:textId="5ABBEB74" w:rsidR="0073298F" w:rsidRDefault="00B465BE" w:rsidP="0073298F">
      <w:pPr>
        <w:pStyle w:val="Quote"/>
      </w:pPr>
      <w:r>
        <w:t>…</w:t>
      </w:r>
      <w:r w:rsidR="00E956E8">
        <w:t xml:space="preserve"> </w:t>
      </w:r>
      <w:r>
        <w:t>a</w:t>
      </w:r>
      <w:r w:rsidR="0073298F" w:rsidRPr="00C52D00">
        <w:t>ble to create a plan that allowed participants to follow at a comfortable pace – ensuring the participants stayed engaged and were not discouraged by unattainable goal setting within the 12 months</w:t>
      </w:r>
    </w:p>
    <w:p w14:paraId="553E1E25" w14:textId="4E9BA918" w:rsidR="0073298F" w:rsidRDefault="0073298F" w:rsidP="0073298F">
      <w:pPr>
        <w:pStyle w:val="Caption"/>
        <w:keepNext/>
      </w:pPr>
      <w:bookmarkStart w:id="3656" w:name="_Ref110345725"/>
      <w:bookmarkStart w:id="3657" w:name="_Toc145883351"/>
      <w:bookmarkStart w:id="3658" w:name="_Toc132647882"/>
      <w:bookmarkStart w:id="3659" w:name="_Hlk124850285"/>
      <w:r>
        <w:lastRenderedPageBreak/>
        <w:t xml:space="preserve">Figure </w:t>
      </w:r>
      <w:r w:rsidR="00BE71D4">
        <w:fldChar w:fldCharType="begin"/>
      </w:r>
      <w:r w:rsidR="00BE71D4">
        <w:instrText xml:space="preserve"> SEQ Figure \* ARABIC </w:instrText>
      </w:r>
      <w:r w:rsidR="00BE71D4">
        <w:fldChar w:fldCharType="separate"/>
      </w:r>
      <w:r w:rsidR="00180E14">
        <w:rPr>
          <w:noProof/>
        </w:rPr>
        <w:t>41</w:t>
      </w:r>
      <w:r w:rsidR="00BE71D4">
        <w:rPr>
          <w:noProof/>
        </w:rPr>
        <w:fldChar w:fldCharType="end"/>
      </w:r>
      <w:bookmarkEnd w:id="3656"/>
      <w:r>
        <w:t>: Provider views on the impact of extending maximum service duration on</w:t>
      </w:r>
      <w:r w:rsidRPr="005F62C9">
        <w:t xml:space="preserve"> </w:t>
      </w:r>
      <w:r>
        <w:t xml:space="preserve">their </w:t>
      </w:r>
      <w:r w:rsidRPr="005F62C9">
        <w:t>support to participants</w:t>
      </w:r>
      <w:r w:rsidR="0088479A">
        <w:t xml:space="preserve"> (% of providers)</w:t>
      </w:r>
      <w:bookmarkEnd w:id="3657"/>
      <w:bookmarkEnd w:id="3658"/>
    </w:p>
    <w:p w14:paraId="4B1764C1" w14:textId="3FA26C82" w:rsidR="0073298F" w:rsidRDefault="0088479A" w:rsidP="008E1868">
      <w:pPr>
        <w:spacing w:before="120" w:after="0"/>
      </w:pPr>
      <w:r>
        <w:rPr>
          <w:noProof/>
        </w:rPr>
        <w:drawing>
          <wp:inline distT="0" distB="0" distL="0" distR="0" wp14:anchorId="072C0E39" wp14:editId="50EA429D">
            <wp:extent cx="5639435" cy="2810510"/>
            <wp:effectExtent l="0" t="0" r="0" b="0"/>
            <wp:docPr id="108" name="Picture 108" descr="More support including mentoring: 60.7%&#10;More time to address barriers: 37.2%&#10;Increased work or job readiness: 35.5%&#10;More opportunities to maintain engagement: 29.8%&#10;More time to build human capabilities: 19.8%&#10;More time to complete training: 7.9%&#10;Other impacts: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More support including mentoring: 60.7%&#10;More time to address barriers: 37.2%&#10;Increased work or job readiness: 35.5%&#10;More opportunities to maintain engagement: 29.8%&#10;More time to build human capabilities: 19.8%&#10;More time to complete training: 7.9%&#10;Other impacts: 2.1%&#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39435" cy="2810510"/>
                    </a:xfrm>
                    <a:prstGeom prst="rect">
                      <a:avLst/>
                    </a:prstGeom>
                    <a:noFill/>
                  </pic:spPr>
                </pic:pic>
              </a:graphicData>
            </a:graphic>
          </wp:inline>
        </w:drawing>
      </w:r>
    </w:p>
    <w:p w14:paraId="5B812EDB" w14:textId="34C7289C" w:rsidR="0073298F" w:rsidRDefault="00450959" w:rsidP="009251AF">
      <w:pPr>
        <w:pStyle w:val="SourceandNotes"/>
      </w:pPr>
      <w:r>
        <w:rPr>
          <w:rStyle w:val="FigurefootnoteChar"/>
          <w:rFonts w:ascii="Calibri" w:hAnsi="Calibri"/>
        </w:rPr>
        <w:t>Source: Provider survey 2021</w:t>
      </w:r>
    </w:p>
    <w:p w14:paraId="33DEBB0E" w14:textId="270B8170" w:rsidR="00F8391B" w:rsidRDefault="0073298F" w:rsidP="0073298F">
      <w:pPr>
        <w:pStyle w:val="SourceandNotes"/>
      </w:pPr>
      <w:r>
        <w:t xml:space="preserve">Base: Selected </w:t>
      </w:r>
      <w:r w:rsidRPr="00BC4A6A">
        <w:t xml:space="preserve">respondents </w:t>
      </w:r>
      <w:r>
        <w:t xml:space="preserve">who reported an impact in </w:t>
      </w:r>
      <w:r w:rsidR="00491D4E">
        <w:t>Q</w:t>
      </w:r>
      <w:r>
        <w:t xml:space="preserve">8.2 </w:t>
      </w:r>
      <w:r w:rsidRPr="00BC4A6A">
        <w:t>(n=</w:t>
      </w:r>
      <w:r>
        <w:t>242)</w:t>
      </w:r>
    </w:p>
    <w:p w14:paraId="4E2478F2" w14:textId="7F7175C8" w:rsidR="0073298F" w:rsidRDefault="0073298F" w:rsidP="0073298F">
      <w:pPr>
        <w:pStyle w:val="SourceandNotes"/>
      </w:pPr>
      <w:r>
        <w:t>Q8.2</w:t>
      </w:r>
      <w:r w:rsidR="00F8391B">
        <w:t xml:space="preserve"> </w:t>
      </w:r>
      <w:r>
        <w:t>What were the MAIN impacts of this extension on your support to participants at your site?</w:t>
      </w:r>
      <w:bookmarkEnd w:id="3659"/>
    </w:p>
    <w:p w14:paraId="6840C5EF" w14:textId="77777777" w:rsidR="0073298F" w:rsidRDefault="0073298F" w:rsidP="006E41FD">
      <w:pPr>
        <w:pStyle w:val="Heading2"/>
      </w:pPr>
      <w:bookmarkStart w:id="3660" w:name="_Toc118817716"/>
      <w:bookmarkStart w:id="3661" w:name="_Toc118817717"/>
      <w:bookmarkStart w:id="3662" w:name="_Toc118817718"/>
      <w:bookmarkStart w:id="3663" w:name="_Toc110944020"/>
      <w:bookmarkStart w:id="3664" w:name="_Toc110944256"/>
      <w:bookmarkStart w:id="3665" w:name="_Toc110945124"/>
      <w:bookmarkStart w:id="3666" w:name="_Toc110945340"/>
      <w:bookmarkStart w:id="3667" w:name="_Toc110951547"/>
      <w:bookmarkStart w:id="3668" w:name="_Toc118817709"/>
      <w:bookmarkStart w:id="3669" w:name="_Toc132650507"/>
      <w:bookmarkStart w:id="3670" w:name="_Toc146033537"/>
      <w:bookmarkStart w:id="3671" w:name="_Toc118817720"/>
      <w:bookmarkEnd w:id="3613"/>
      <w:bookmarkEnd w:id="3660"/>
      <w:bookmarkEnd w:id="3661"/>
      <w:bookmarkEnd w:id="3662"/>
      <w:bookmarkEnd w:id="3663"/>
      <w:bookmarkEnd w:id="3664"/>
      <w:bookmarkEnd w:id="3665"/>
      <w:bookmarkEnd w:id="3666"/>
      <w:bookmarkEnd w:id="3667"/>
      <w:r>
        <w:t>Participant perspectives on program duration</w:t>
      </w:r>
      <w:bookmarkEnd w:id="3668"/>
      <w:bookmarkEnd w:id="3669"/>
      <w:bookmarkEnd w:id="3670"/>
    </w:p>
    <w:p w14:paraId="17F662DA" w14:textId="5C97729E" w:rsidR="0073298F" w:rsidRDefault="0073298F" w:rsidP="0073298F">
      <w:r>
        <w:t xml:space="preserve">Interviews and focus group discussions with participants were undertaken approximately 18 months after the duration change took effect. Most participants </w:t>
      </w:r>
      <w:r w:rsidR="00B465BE">
        <w:t>were not</w:t>
      </w:r>
      <w:r>
        <w:t xml:space="preserve"> aware that maximum duration had changed and many participants were unaware of how much time they had left </w:t>
      </w:r>
      <w:r w:rsidR="008A4F5D">
        <w:t>i</w:t>
      </w:r>
      <w:r>
        <w:t>n the program.</w:t>
      </w:r>
    </w:p>
    <w:p w14:paraId="623B16CA" w14:textId="428A76E1" w:rsidR="0073298F" w:rsidRDefault="0073298F" w:rsidP="0073298F">
      <w:r>
        <w:t>When asked about how long the program should be, many participants felt that the program should be available for as long as people needed it</w:t>
      </w:r>
      <w:r w:rsidR="000951FA">
        <w:t xml:space="preserve"> or</w:t>
      </w:r>
      <w:r>
        <w:t xml:space="preserve"> as long as they were engaging and finding it useful, and that a longer program would allow them and other young people to receive more support from their caseworkers, which they valued. Several participants also suggested that there should be no time limit </w:t>
      </w:r>
      <w:r w:rsidR="008A4F5D">
        <w:t>i</w:t>
      </w:r>
      <w:r>
        <w:t>n the program and wanted to be able to continue accessing support into the foreseeable future.</w:t>
      </w:r>
    </w:p>
    <w:p w14:paraId="0FE63C2C" w14:textId="54FF5F18" w:rsidR="0073298F" w:rsidRDefault="0073298F" w:rsidP="0073298F">
      <w:pPr>
        <w:pStyle w:val="Quote"/>
      </w:pPr>
      <w:r w:rsidRPr="004A0B43">
        <w:t>I mean</w:t>
      </w:r>
      <w:r>
        <w:t>,</w:t>
      </w:r>
      <w:r w:rsidRPr="004A0B43">
        <w:t xml:space="preserve"> as long as you can show you</w:t>
      </w:r>
      <w:r w:rsidR="00F8391B">
        <w:t>’</w:t>
      </w:r>
      <w:r w:rsidRPr="004A0B43">
        <w:t>re legitimately trying to get a job and actually putting your best foot forward</w:t>
      </w:r>
      <w:r>
        <w:t>,</w:t>
      </w:r>
      <w:r w:rsidRPr="004A0B43">
        <w:t xml:space="preserve"> then I don</w:t>
      </w:r>
      <w:r w:rsidR="00F8391B">
        <w:t>’</w:t>
      </w:r>
      <w:r w:rsidRPr="004A0B43">
        <w:t>t see why there should be a real limit I guess</w:t>
      </w:r>
      <w:r w:rsidR="004640F2">
        <w:t>.</w:t>
      </w:r>
      <w:r>
        <w:t xml:space="preserve"> […]</w:t>
      </w:r>
      <w:r w:rsidRPr="004A0B43">
        <w:t xml:space="preserve"> </w:t>
      </w:r>
      <w:r w:rsidR="004640F2">
        <w:t>L</w:t>
      </w:r>
      <w:r w:rsidRPr="004A0B43">
        <w:t>ike if you</w:t>
      </w:r>
      <w:r w:rsidR="00F8391B">
        <w:t>’</w:t>
      </w:r>
      <w:r w:rsidRPr="004A0B43">
        <w:t>re really just trying your best and yeah, it</w:t>
      </w:r>
      <w:r w:rsidR="00F8391B">
        <w:t>’</w:t>
      </w:r>
      <w:r w:rsidRPr="004A0B43">
        <w:t>d be kind of weird to just cut you off after</w:t>
      </w:r>
      <w:r>
        <w:t xml:space="preserve"> </w:t>
      </w:r>
      <w:r w:rsidRPr="004A0B43">
        <w:t>12 months, even 18 months</w:t>
      </w:r>
      <w:r>
        <w:t>. (</w:t>
      </w:r>
      <w:r w:rsidRPr="00484591">
        <w:t>Participant 1</w:t>
      </w:r>
      <w:r>
        <w:t xml:space="preserve">, </w:t>
      </w:r>
      <w:r w:rsidR="00ED248D">
        <w:t>m</w:t>
      </w:r>
      <w:r>
        <w:t>ale, 22+ years old, m</w:t>
      </w:r>
      <w:r w:rsidRPr="00484591">
        <w:t>etro Q</w:t>
      </w:r>
      <w:r>
        <w:t xml:space="preserve">ld, </w:t>
      </w:r>
      <w:r w:rsidRPr="00484591">
        <w:t>Group 2</w:t>
      </w:r>
      <w:r>
        <w:t>)</w:t>
      </w:r>
    </w:p>
    <w:p w14:paraId="0E9F0FF8" w14:textId="3509DD59" w:rsidR="0073298F" w:rsidRPr="00DB0A80" w:rsidRDefault="0073298F" w:rsidP="0073298F">
      <w:pPr>
        <w:pStyle w:val="Quote"/>
      </w:pPr>
      <w:r w:rsidRPr="00DB0A80">
        <w:t>I</w:t>
      </w:r>
      <w:r w:rsidR="00F8391B">
        <w:t>’</w:t>
      </w:r>
      <w:r w:rsidRPr="00DB0A80">
        <w:t>d say as much support as I could get</w:t>
      </w:r>
      <w:r>
        <w:t>,</w:t>
      </w:r>
      <w:r w:rsidRPr="00DB0A80">
        <w:t xml:space="preserve"> because I don</w:t>
      </w:r>
      <w:r w:rsidR="00F8391B">
        <w:t>’</w:t>
      </w:r>
      <w:r w:rsidRPr="00DB0A80">
        <w:t>t have a lot of people that I know personally</w:t>
      </w:r>
      <w:r>
        <w:t xml:space="preserve"> –</w:t>
      </w:r>
      <w:r w:rsidRPr="00DB0A80">
        <w:t xml:space="preserve"> I just know my mum and her friends</w:t>
      </w:r>
      <w:r>
        <w:t>,</w:t>
      </w:r>
      <w:r w:rsidRPr="00DB0A80">
        <w:t xml:space="preserve"> I don</w:t>
      </w:r>
      <w:r w:rsidR="00F8391B">
        <w:t>’</w:t>
      </w:r>
      <w:r w:rsidRPr="00DB0A80">
        <w:t xml:space="preserve">t have anyone close that I can reach out and say </w:t>
      </w:r>
      <w:r w:rsidR="000C50D1">
        <w:t>‘</w:t>
      </w:r>
      <w:r w:rsidRPr="00DB0A80">
        <w:t>oh, could you help me get this</w:t>
      </w:r>
      <w:r>
        <w:t>?</w:t>
      </w:r>
      <w:r w:rsidR="000C50D1">
        <w:t>’</w:t>
      </w:r>
      <w:r>
        <w:t xml:space="preserve"> (</w:t>
      </w:r>
      <w:r w:rsidRPr="00D8241B">
        <w:t>Participant 20</w:t>
      </w:r>
      <w:r>
        <w:t xml:space="preserve">, </w:t>
      </w:r>
      <w:r w:rsidR="00ED248D">
        <w:t>m</w:t>
      </w:r>
      <w:r>
        <w:t xml:space="preserve">ale, </w:t>
      </w:r>
      <w:r w:rsidR="00625CBE">
        <w:t>16–18</w:t>
      </w:r>
      <w:r>
        <w:t xml:space="preserve"> years old, m</w:t>
      </w:r>
      <w:r w:rsidRPr="00D8241B">
        <w:t>etro WA</w:t>
      </w:r>
      <w:r>
        <w:t xml:space="preserve">, </w:t>
      </w:r>
      <w:r w:rsidRPr="00D8241B">
        <w:t>Group 2</w:t>
      </w:r>
      <w:r>
        <w:t>)</w:t>
      </w:r>
    </w:p>
    <w:p w14:paraId="0734687A" w14:textId="3914FCED" w:rsidR="0073298F" w:rsidRDefault="0073298F" w:rsidP="0073298F">
      <w:pPr>
        <w:pStyle w:val="Quote"/>
      </w:pPr>
      <w:r w:rsidRPr="00B17249">
        <w:t>I think 18 months is long enough. Most people won</w:t>
      </w:r>
      <w:r w:rsidR="00F8391B">
        <w:t>’</w:t>
      </w:r>
      <w:r w:rsidRPr="00B17249">
        <w:t>t actually need to be in it for that long. But some people just need reassurance that you</w:t>
      </w:r>
      <w:r w:rsidR="00F8391B">
        <w:t>’</w:t>
      </w:r>
      <w:r w:rsidRPr="00B17249">
        <w:t>re not going to be kicked out or something like that. I just think that</w:t>
      </w:r>
      <w:r w:rsidR="00F8391B">
        <w:t>’</w:t>
      </w:r>
      <w:r w:rsidRPr="00B17249">
        <w:t>s a good standard. But I don</w:t>
      </w:r>
      <w:r w:rsidR="00F8391B">
        <w:t>’</w:t>
      </w:r>
      <w:r w:rsidRPr="00B17249">
        <w:t xml:space="preserve">t actually really think </w:t>
      </w:r>
      <w:r w:rsidRPr="00B17249">
        <w:lastRenderedPageBreak/>
        <w:t>people would be in it for that long.</w:t>
      </w:r>
      <w:r>
        <w:t xml:space="preserve"> (Focus group 1, 18</w:t>
      </w:r>
      <w:r w:rsidR="00625CBE">
        <w:t>–</w:t>
      </w:r>
      <w:r>
        <w:t>22 year</w:t>
      </w:r>
      <w:r w:rsidR="00A57D0F">
        <w:t>s</w:t>
      </w:r>
      <w:r>
        <w:t xml:space="preserve"> old, Australia-wide, Group</w:t>
      </w:r>
      <w:r w:rsidR="005C09FA">
        <w:t> </w:t>
      </w:r>
      <w:r>
        <w:t>1)</w:t>
      </w:r>
    </w:p>
    <w:p w14:paraId="0098B976" w14:textId="7537EEA7" w:rsidR="0073298F" w:rsidRDefault="0073298F" w:rsidP="0073298F">
      <w:r>
        <w:t xml:space="preserve">Many participants reported they wanted to be able to stay </w:t>
      </w:r>
      <w:r w:rsidR="008A4F5D">
        <w:t>i</w:t>
      </w:r>
      <w:r>
        <w:t>n the program until they had found stable employment and gained financial independence. Some felt that even if they were employed, they would benefit from having the reassurance and ongoing support from their caseworkers.</w:t>
      </w:r>
    </w:p>
    <w:p w14:paraId="7E0F8CA0" w14:textId="0C110D31" w:rsidR="0073298F" w:rsidRDefault="0073298F" w:rsidP="0073298F">
      <w:pPr>
        <w:pStyle w:val="Quote"/>
      </w:pPr>
      <w:r>
        <w:t>I</w:t>
      </w:r>
      <w:r w:rsidR="00F8391B">
        <w:t>’</w:t>
      </w:r>
      <w:r>
        <w:t>d like to be on [the TtW program]</w:t>
      </w:r>
      <w:r w:rsidRPr="00CF3F40">
        <w:t xml:space="preserve"> until I find the stability and financial support and what I need out of it</w:t>
      </w:r>
      <w:r>
        <w:t>,</w:t>
      </w:r>
      <w:r w:rsidRPr="00CF3F40">
        <w:t xml:space="preserve"> I guess. Not really </w:t>
      </w:r>
      <w:r>
        <w:t xml:space="preserve">a </w:t>
      </w:r>
      <w:r w:rsidRPr="00CF3F40">
        <w:t>time frame I can say, but for me, I guess yeah</w:t>
      </w:r>
      <w:r>
        <w:t>,</w:t>
      </w:r>
      <w:r w:rsidRPr="00CF3F40">
        <w:t xml:space="preserve"> until I reach that point of </w:t>
      </w:r>
      <w:r w:rsidR="000C50D1">
        <w:t>‘</w:t>
      </w:r>
      <w:r w:rsidRPr="00CF3F40">
        <w:t>I don</w:t>
      </w:r>
      <w:r w:rsidR="00F8391B">
        <w:t>’</w:t>
      </w:r>
      <w:r w:rsidRPr="00CF3F40">
        <w:t>t need help anymore</w:t>
      </w:r>
      <w:r w:rsidR="000C50D1">
        <w:t>’</w:t>
      </w:r>
      <w:r w:rsidRPr="00CF3F40">
        <w:t>.</w:t>
      </w:r>
      <w:r>
        <w:t xml:space="preserve"> (</w:t>
      </w:r>
      <w:r w:rsidRPr="004A1DB3">
        <w:t>Participant 18</w:t>
      </w:r>
      <w:r>
        <w:t xml:space="preserve">, </w:t>
      </w:r>
      <w:r w:rsidR="00ED248D">
        <w:t>f</w:t>
      </w:r>
      <w:r>
        <w:t xml:space="preserve">emale, </w:t>
      </w:r>
      <w:r w:rsidR="00625CBE">
        <w:t>19–21</w:t>
      </w:r>
      <w:r>
        <w:t xml:space="preserve"> years old, m</w:t>
      </w:r>
      <w:r w:rsidRPr="004A1DB3">
        <w:t>etro NSW</w:t>
      </w:r>
      <w:r>
        <w:t xml:space="preserve">, </w:t>
      </w:r>
      <w:r w:rsidRPr="004A1DB3">
        <w:t>Group 1</w:t>
      </w:r>
      <w:r>
        <w:t>)</w:t>
      </w:r>
    </w:p>
    <w:p w14:paraId="3592CF23" w14:textId="77777777" w:rsidR="0073298F" w:rsidRDefault="0073298F" w:rsidP="0073298F">
      <w:r>
        <w:t>Those who had been in the program for longer than 12 months appreciated being able to remain in TtW (though this is not surprising, as if they did not feel remaining was beneficial it is likely that they would have chosen to leave earlier).</w:t>
      </w:r>
    </w:p>
    <w:p w14:paraId="5C213E37" w14:textId="2F7358A7" w:rsidR="0073298F" w:rsidRPr="005936B7" w:rsidRDefault="0073298F" w:rsidP="0073298F">
      <w:pPr>
        <w:pStyle w:val="Quote"/>
      </w:pPr>
      <w:r w:rsidRPr="00E92050">
        <w:t>Yeah, well I was originally only for 12 months, but then they changed it to 18 months, which is really helps like, the 12 months were ending and I</w:t>
      </w:r>
      <w:r w:rsidR="00F8391B">
        <w:t>’</w:t>
      </w:r>
      <w:r w:rsidRPr="00E92050">
        <w:t>ve no idea what I was going to do and things like that, but they extended it and I had extra time with my case worker and I</w:t>
      </w:r>
      <w:r w:rsidR="00F8391B">
        <w:t>’</w:t>
      </w:r>
      <w:r w:rsidRPr="00E92050">
        <w:t>m starting to figure out what I want to do which is really nice. (Participant 29,</w:t>
      </w:r>
      <w:r>
        <w:t xml:space="preserve"> </w:t>
      </w:r>
      <w:r w:rsidR="00ED248D">
        <w:t>f</w:t>
      </w:r>
      <w:r>
        <w:t xml:space="preserve">emale, </w:t>
      </w:r>
      <w:r w:rsidR="00625CBE">
        <w:t>16–18</w:t>
      </w:r>
      <w:r>
        <w:t xml:space="preserve"> years old,</w:t>
      </w:r>
      <w:r w:rsidRPr="00E92050">
        <w:t xml:space="preserve"> regional Q</w:t>
      </w:r>
      <w:r>
        <w:t>ld</w:t>
      </w:r>
      <w:r w:rsidRPr="00E92050">
        <w:t>, Group 2, Indigenous)</w:t>
      </w:r>
    </w:p>
    <w:p w14:paraId="025CAF48" w14:textId="4F88643E" w:rsidR="0073298F" w:rsidRDefault="0073298F" w:rsidP="006E41FD">
      <w:pPr>
        <w:pStyle w:val="Heading2"/>
      </w:pPr>
      <w:bookmarkStart w:id="3672" w:name="_Toc132650508"/>
      <w:bookmarkStart w:id="3673" w:name="_Toc146033538"/>
      <w:r>
        <w:t>Conclusion</w:t>
      </w:r>
      <w:bookmarkEnd w:id="3671"/>
      <w:bookmarkEnd w:id="3672"/>
      <w:bookmarkEnd w:id="3673"/>
    </w:p>
    <w:p w14:paraId="5CC060F4" w14:textId="7DCB85B5" w:rsidR="003B256E" w:rsidRDefault="0073298F" w:rsidP="003B256E">
      <w:bookmarkStart w:id="3674" w:name="_Hlk121141158"/>
      <w:r w:rsidRPr="002B3D8B">
        <w:t xml:space="preserve">Extending the maximum duration of service by </w:t>
      </w:r>
      <w:r w:rsidR="00F8391B">
        <w:t>6</w:t>
      </w:r>
      <w:r w:rsidRPr="002B3D8B">
        <w:t xml:space="preserve"> months more than doubled the number of people who remained in the program (from 23% to </w:t>
      </w:r>
      <w:r>
        <w:t>50</w:t>
      </w:r>
      <w:r w:rsidRPr="002B3D8B">
        <w:t>%</w:t>
      </w:r>
      <w:r>
        <w:rPr>
          <w:rStyle w:val="FootnoteReference"/>
        </w:rPr>
        <w:footnoteReference w:id="102"/>
      </w:r>
      <w:r w:rsidRPr="002B3D8B">
        <w:t>). This was associated with a</w:t>
      </w:r>
      <w:r>
        <w:t xml:space="preserve">n </w:t>
      </w:r>
      <w:r w:rsidRPr="002B3D8B">
        <w:t>increase in the total number of outcomes being achieved by participant</w:t>
      </w:r>
      <w:r>
        <w:t>s</w:t>
      </w:r>
      <w:r w:rsidRPr="002B3D8B">
        <w:t xml:space="preserve">, most of which were second or third outcomes, and employment-related outcomes. </w:t>
      </w:r>
      <w:r w:rsidR="003B256E">
        <w:t>The proportion of participants achieving at least one outcome increased by 1.8% (37.3% of the MD18 participants achieved at least one outcome, compared to 35.5% of the MD12 participants)</w:t>
      </w:r>
      <w:r w:rsidR="003B256E" w:rsidRPr="002B3D8B">
        <w:t>.</w:t>
      </w:r>
    </w:p>
    <w:p w14:paraId="118E2D9F" w14:textId="03D57981" w:rsidR="003B256E" w:rsidRDefault="003B256E" w:rsidP="003B256E">
      <w:r>
        <w:t>While there was an increase in the number of participants achieving at least one outcome, t</w:t>
      </w:r>
      <w:r w:rsidRPr="00165983">
        <w:t xml:space="preserve">he majority (about </w:t>
      </w:r>
      <w:r>
        <w:t>four</w:t>
      </w:r>
      <w:r w:rsidR="0026601C">
        <w:t>-</w:t>
      </w:r>
      <w:r>
        <w:t>fifths, or 78%)</w:t>
      </w:r>
      <w:r w:rsidRPr="00165983">
        <w:t xml:space="preserve"> of </w:t>
      </w:r>
      <w:r>
        <w:t xml:space="preserve">the </w:t>
      </w:r>
      <w:r w:rsidRPr="00165983">
        <w:t xml:space="preserve">increase </w:t>
      </w:r>
      <w:r>
        <w:t xml:space="preserve">in </w:t>
      </w:r>
      <w:r w:rsidRPr="00165983">
        <w:t xml:space="preserve">outcomes </w:t>
      </w:r>
      <w:r>
        <w:t xml:space="preserve">by MD18 participants </w:t>
      </w:r>
      <w:r w:rsidR="00C52331">
        <w:t>comprised</w:t>
      </w:r>
      <w:r w:rsidR="008C4786" w:rsidRPr="00165983">
        <w:t xml:space="preserve"> </w:t>
      </w:r>
      <w:r w:rsidRPr="00165983">
        <w:t>extra outcomes achieved by participants who had already achieved an</w:t>
      </w:r>
      <w:r>
        <w:t xml:space="preserve"> </w:t>
      </w:r>
      <w:r w:rsidRPr="00165983">
        <w:t>outcome</w:t>
      </w:r>
      <w:r w:rsidRPr="00E62B01">
        <w:t>.</w:t>
      </w:r>
    </w:p>
    <w:p w14:paraId="6F44F51F" w14:textId="09F3E476" w:rsidR="00AD13C7" w:rsidRDefault="00AD13C7" w:rsidP="003B256E">
      <w:r>
        <w:t>Employment outcomes made up the majority (over three</w:t>
      </w:r>
      <w:r w:rsidR="0026601C">
        <w:t>-</w:t>
      </w:r>
      <w:r>
        <w:t>quarters) of all outcomes claimed both before and after the maximum duration of service was increased (MD18</w:t>
      </w:r>
      <w:r w:rsidR="00623EA7">
        <w:t>,</w:t>
      </w:r>
      <w:r>
        <w:t xml:space="preserve"> 84.7%</w:t>
      </w:r>
      <w:r w:rsidR="00623EA7">
        <w:t>;</w:t>
      </w:r>
      <w:r>
        <w:t xml:space="preserve"> MD12</w:t>
      </w:r>
      <w:r w:rsidR="00623EA7">
        <w:t>,</w:t>
      </w:r>
      <w:r>
        <w:t xml:space="preserve"> 77.6%). The proportion of employment-related outcomes was 7.1 percentage points higher for MD18 participants compared to MD12 participants. This is largely a result of these participants achieving more 12-week employment outcomes.</w:t>
      </w:r>
    </w:p>
    <w:p w14:paraId="48D4E149" w14:textId="2FA2EA02" w:rsidR="0073298F" w:rsidRDefault="0073298F" w:rsidP="0073298F">
      <w:r>
        <w:t>This is consistent with the finding that the increase in the proportion of participants taking advantage of the increase in maximum duration was not related to participants</w:t>
      </w:r>
      <w:r w:rsidR="00AF6FA7">
        <w:t>’</w:t>
      </w:r>
      <w:r>
        <w:t xml:space="preserve"> labour market disadvantage (determined by participant JSCI score).</w:t>
      </w:r>
    </w:p>
    <w:p w14:paraId="29D376F3" w14:textId="0184A324" w:rsidR="0073298F" w:rsidRDefault="0073298F" w:rsidP="0073298F">
      <w:r w:rsidRPr="002B3D8B">
        <w:lastRenderedPageBreak/>
        <w:t xml:space="preserve">These outcomes are in line with provider observations that identified </w:t>
      </w:r>
      <w:r w:rsidR="00F8391B">
        <w:t>2</w:t>
      </w:r>
      <w:r w:rsidRPr="002B3D8B">
        <w:t xml:space="preserve"> main groups who benefited from the extension in program duration: participants who had significant non-vocational barriers that needed addressing before participants could engage with work, and those who had undertaken lengthier training courses or study and would benefit from further engagement with the program to translate their new skills into employment. </w:t>
      </w:r>
      <w:r>
        <w:t xml:space="preserve">While providers felt that extending the program </w:t>
      </w:r>
      <w:r w:rsidR="0026601C">
        <w:t>facilitated</w:t>
      </w:r>
      <w:r>
        <w:t xml:space="preserve"> more employment and education outcomes, they also emphasised the broader benefit of the program on participants, including helping participants to work towards longer-term goals, and enhanced human capabilities. </w:t>
      </w:r>
      <w:r w:rsidR="00221DB0">
        <w:t xml:space="preserve">It should be noted that this evaluation was not able to quantify the impact of the change in maximum duration on these broader </w:t>
      </w:r>
      <w:r w:rsidR="00221DB0" w:rsidRPr="00221DB0">
        <w:t>factors: work readiness, human capability and wellbeing. The high rate</w:t>
      </w:r>
      <w:r w:rsidR="00221DB0">
        <w:t xml:space="preserve"> of participants who remained in the program for over 12</w:t>
      </w:r>
      <w:r w:rsidR="00460DD0">
        <w:t> </w:t>
      </w:r>
      <w:r w:rsidR="00221DB0">
        <w:t>months after the maximum duration was increased</w:t>
      </w:r>
      <w:r w:rsidR="00221DB0" w:rsidRPr="00221DB0">
        <w:t xml:space="preserve"> is an indicator that participants are satisfied with and benefiting from the program</w:t>
      </w:r>
      <w:r w:rsidR="00221DB0">
        <w:t>.</w:t>
      </w:r>
    </w:p>
    <w:bookmarkEnd w:id="3674"/>
    <w:p w14:paraId="413C1EB4" w14:textId="77777777" w:rsidR="00DE0043" w:rsidRDefault="00DE0043">
      <w:pPr>
        <w:spacing w:after="160" w:line="259" w:lineRule="auto"/>
      </w:pPr>
      <w:r>
        <w:br w:type="page"/>
      </w:r>
    </w:p>
    <w:p w14:paraId="3EFD96AC" w14:textId="35B10850" w:rsidR="001B0B5D" w:rsidRPr="00746490" w:rsidRDefault="007B21FD" w:rsidP="009251AF">
      <w:pPr>
        <w:pStyle w:val="Heading1"/>
      </w:pPr>
      <w:bookmarkStart w:id="3677" w:name="_Toc132194181"/>
      <w:bookmarkStart w:id="3678" w:name="_Toc132194337"/>
      <w:bookmarkStart w:id="3679" w:name="_Toc132209618"/>
      <w:bookmarkStart w:id="3680" w:name="_Toc132209783"/>
      <w:bookmarkStart w:id="3681" w:name="_Toc132209948"/>
      <w:bookmarkStart w:id="3682" w:name="_Toc132650509"/>
      <w:bookmarkStart w:id="3683" w:name="_Toc146033539"/>
      <w:bookmarkEnd w:id="3677"/>
      <w:bookmarkEnd w:id="3678"/>
      <w:bookmarkEnd w:id="3679"/>
      <w:bookmarkEnd w:id="3680"/>
      <w:bookmarkEnd w:id="3681"/>
      <w:r w:rsidRPr="00746490">
        <w:lastRenderedPageBreak/>
        <w:t>–</w:t>
      </w:r>
      <w:r w:rsidR="00C74691" w:rsidRPr="00746490">
        <w:t xml:space="preserve"> </w:t>
      </w:r>
      <w:r w:rsidR="001863B2" w:rsidRPr="00746490">
        <w:t xml:space="preserve">Does </w:t>
      </w:r>
      <w:r w:rsidR="00D86F94" w:rsidRPr="00746490">
        <w:t>TtW</w:t>
      </w:r>
      <w:r w:rsidR="001863B2" w:rsidRPr="00746490">
        <w:t xml:space="preserve"> offer value for money</w:t>
      </w:r>
      <w:bookmarkEnd w:id="3682"/>
      <w:r w:rsidR="00460DD0" w:rsidRPr="00746490">
        <w:t>?</w:t>
      </w:r>
      <w:bookmarkEnd w:id="3683"/>
    </w:p>
    <w:p w14:paraId="1B1A7C9D" w14:textId="3F18625B" w:rsidR="009B545A" w:rsidRDefault="6EEA0FD3" w:rsidP="006E41FD">
      <w:pPr>
        <w:pStyle w:val="Heading2"/>
      </w:pPr>
      <w:bookmarkStart w:id="3684" w:name="_Toc106711893"/>
      <w:bookmarkStart w:id="3685" w:name="_Toc132650510"/>
      <w:bookmarkStart w:id="3686" w:name="_Toc146033540"/>
      <w:r>
        <w:t>Introduction</w:t>
      </w:r>
      <w:bookmarkEnd w:id="3684"/>
      <w:bookmarkEnd w:id="3685"/>
      <w:bookmarkEnd w:id="3686"/>
    </w:p>
    <w:p w14:paraId="0318D099" w14:textId="02297804" w:rsidR="00DE4048" w:rsidRDefault="00C456BD">
      <w:bookmarkStart w:id="3687" w:name="_Hlk105423978"/>
      <w:r>
        <w:t xml:space="preserve">Evidence from the evaluation indicates that </w:t>
      </w:r>
      <w:r w:rsidR="00F4384C">
        <w:t>TtW participants and providers in general are highly satisfied with the TtW program</w:t>
      </w:r>
      <w:r w:rsidR="00D40DA7">
        <w:t>;</w:t>
      </w:r>
      <w:r w:rsidR="00F4384C">
        <w:t xml:space="preserve"> however</w:t>
      </w:r>
      <w:r w:rsidR="00D40DA7">
        <w:t>,</w:t>
      </w:r>
      <w:r w:rsidR="00F4384C">
        <w:t xml:space="preserve"> </w:t>
      </w:r>
      <w:r w:rsidR="006A2B5A">
        <w:t xml:space="preserve">TtW is considerably </w:t>
      </w:r>
      <w:r w:rsidR="00114DA6">
        <w:t xml:space="preserve">more </w:t>
      </w:r>
      <w:r w:rsidR="006A2B5A">
        <w:t>expensive than jobactive</w:t>
      </w:r>
      <w:r w:rsidR="00114DA6">
        <w:t xml:space="preserve"> because it offers much more </w:t>
      </w:r>
      <w:r w:rsidR="00BD5C7B">
        <w:t>intensive and individualised</w:t>
      </w:r>
      <w:r w:rsidR="00114DA6">
        <w:t xml:space="preserve"> support</w:t>
      </w:r>
      <w:r w:rsidR="00E76E99">
        <w:t xml:space="preserve"> to participants</w:t>
      </w:r>
      <w:r w:rsidR="00F4384C">
        <w:t xml:space="preserve"> (</w:t>
      </w:r>
      <w:r w:rsidR="00F4384C" w:rsidRPr="00824049">
        <w:rPr>
          <w:b/>
          <w:bCs/>
        </w:rPr>
        <w:t>DESE 2021</w:t>
      </w:r>
      <w:r w:rsidR="00F4384C">
        <w:t>)</w:t>
      </w:r>
      <w:r w:rsidR="006A2B5A">
        <w:t xml:space="preserve">. </w:t>
      </w:r>
      <w:r w:rsidR="00E76E99">
        <w:t xml:space="preserve">It is important therefore to assess the value for money that TtW provides. </w:t>
      </w:r>
      <w:bookmarkStart w:id="3688" w:name="_Hlk126830638"/>
      <w:r w:rsidR="007766D6">
        <w:t xml:space="preserve">To do this, </w:t>
      </w:r>
      <w:r w:rsidR="00CF1FBC">
        <w:t>the evaluation team</w:t>
      </w:r>
      <w:r w:rsidR="008B0B84">
        <w:t xml:space="preserve"> examine</w:t>
      </w:r>
      <w:r w:rsidR="00824049">
        <w:t>d</w:t>
      </w:r>
      <w:r w:rsidR="008B0B84" w:rsidRPr="009567DC">
        <w:t xml:space="preserve"> benefits and costs </w:t>
      </w:r>
      <w:r w:rsidR="00824049">
        <w:t>related to participation in TtW, in addition to those associated</w:t>
      </w:r>
      <w:r w:rsidR="008B0B84" w:rsidRPr="009567DC">
        <w:t xml:space="preserve"> with jobactive</w:t>
      </w:r>
      <w:r w:rsidR="008B0B84">
        <w:t>.</w:t>
      </w:r>
      <w:r w:rsidR="00C065B9">
        <w:t xml:space="preserve"> While analysis of </w:t>
      </w:r>
      <w:r w:rsidR="009E4B68">
        <w:t xml:space="preserve">the </w:t>
      </w:r>
      <w:r w:rsidR="00E96F6C">
        <w:t>longer-term</w:t>
      </w:r>
      <w:r w:rsidR="00C065B9">
        <w:t xml:space="preserve"> impact of TtW has been carried out, and informs the discussion regarding the benefits of TtW, a 12</w:t>
      </w:r>
      <w:r w:rsidR="00E96F6C">
        <w:t>-</w:t>
      </w:r>
      <w:r w:rsidR="00C065B9">
        <w:t xml:space="preserve">month period </w:t>
      </w:r>
      <w:r w:rsidR="001D6BCD">
        <w:t>was</w:t>
      </w:r>
      <w:r w:rsidR="00C065B9">
        <w:t xml:space="preserve"> chosen for this value-for-money analysis due to data constraints.</w:t>
      </w:r>
    </w:p>
    <w:bookmarkEnd w:id="3687"/>
    <w:p w14:paraId="185608AF" w14:textId="76A52DB2" w:rsidR="006A2B5A" w:rsidRDefault="001D6BCD">
      <w:r>
        <w:t>A</w:t>
      </w:r>
      <w:r w:rsidR="00E76E99">
        <w:t>nalys</w:t>
      </w:r>
      <w:r w:rsidR="00F4384C">
        <w:t>e</w:t>
      </w:r>
      <w:r w:rsidR="00E76E99">
        <w:t xml:space="preserve">s in the </w:t>
      </w:r>
      <w:r w:rsidR="009F03A0">
        <w:t xml:space="preserve">preceding chapters </w:t>
      </w:r>
      <w:r>
        <w:t xml:space="preserve">indicate </w:t>
      </w:r>
      <w:r w:rsidR="00E76E99">
        <w:t xml:space="preserve">that TtW </w:t>
      </w:r>
      <w:r w:rsidR="0010592B">
        <w:t xml:space="preserve">may be </w:t>
      </w:r>
      <w:bookmarkStart w:id="3689" w:name="_Hlk106705177"/>
      <w:r w:rsidR="0010592B">
        <w:t xml:space="preserve">no more effective </w:t>
      </w:r>
      <w:r w:rsidR="00E76E99">
        <w:t>than</w:t>
      </w:r>
      <w:r w:rsidR="008F0439">
        <w:t xml:space="preserve"> jobactive </w:t>
      </w:r>
      <w:r w:rsidR="000F67D4">
        <w:t xml:space="preserve">over </w:t>
      </w:r>
      <w:r w:rsidR="009E4B68">
        <w:t>the longer term</w:t>
      </w:r>
      <w:r w:rsidR="000F67D4">
        <w:t xml:space="preserve"> </w:t>
      </w:r>
      <w:r w:rsidR="00E76E99">
        <w:t xml:space="preserve">at </w:t>
      </w:r>
      <w:r w:rsidR="000F67D4">
        <w:t>supporting young people to engage with the labour market</w:t>
      </w:r>
      <w:r w:rsidR="00E76E99">
        <w:t>.</w:t>
      </w:r>
      <w:bookmarkEnd w:id="3689"/>
      <w:r w:rsidR="00E76E99">
        <w:t xml:space="preserve"> It is clear</w:t>
      </w:r>
      <w:r w:rsidR="00383956">
        <w:t>,</w:t>
      </w:r>
      <w:r w:rsidR="00E76E99">
        <w:t xml:space="preserve"> however</w:t>
      </w:r>
      <w:r w:rsidR="001D4ED4">
        <w:t>,</w:t>
      </w:r>
      <w:r w:rsidR="00E76E99">
        <w:t xml:space="preserve"> that </w:t>
      </w:r>
      <w:r w:rsidR="000F67D4">
        <w:t xml:space="preserve">engagement in </w:t>
      </w:r>
      <w:r w:rsidR="00E76E99">
        <w:t xml:space="preserve">TtW </w:t>
      </w:r>
      <w:bookmarkStart w:id="3690" w:name="_Hlk106705275"/>
      <w:r w:rsidR="000F67D4">
        <w:t xml:space="preserve">leads to </w:t>
      </w:r>
      <w:r w:rsidR="00F916F6">
        <w:t xml:space="preserve">a </w:t>
      </w:r>
      <w:r w:rsidR="000F67D4">
        <w:t>number of other benefits</w:t>
      </w:r>
      <w:r w:rsidR="00B25BBB">
        <w:t xml:space="preserve"> that are highly valued by participants and are likely to have broader </w:t>
      </w:r>
      <w:r w:rsidR="009F65EA">
        <w:t xml:space="preserve">personal and </w:t>
      </w:r>
      <w:r w:rsidR="00B25BBB">
        <w:t>social value</w:t>
      </w:r>
      <w:r w:rsidR="00E76E99">
        <w:t>, namely increased human capabilities, increased wellbeing and reduced incarceration.</w:t>
      </w:r>
      <w:bookmarkEnd w:id="3690"/>
    </w:p>
    <w:p w14:paraId="7A247322" w14:textId="39D70FE8" w:rsidR="009F03A0" w:rsidRDefault="00B25BBB">
      <w:bookmarkStart w:id="3691" w:name="_Hlk106705437"/>
      <w:bookmarkEnd w:id="3688"/>
      <w:r>
        <w:t>While it is acknowledged that many of the non-</w:t>
      </w:r>
      <w:r w:rsidR="005D54EC">
        <w:t>labour</w:t>
      </w:r>
      <w:r w:rsidR="00383956">
        <w:t>-</w:t>
      </w:r>
      <w:r w:rsidR="005D54EC">
        <w:t>market</w:t>
      </w:r>
      <w:r>
        <w:t xml:space="preserve"> benefits associated with TtW are difficult to both measure and value in a robust way</w:t>
      </w:r>
      <w:bookmarkEnd w:id="3691"/>
      <w:r>
        <w:t xml:space="preserve">, this </w:t>
      </w:r>
      <w:r w:rsidR="009F03A0">
        <w:t xml:space="preserve">chapter </w:t>
      </w:r>
      <w:r>
        <w:t>presents an exploratory attempt at,</w:t>
      </w:r>
      <w:r w:rsidRPr="00B25BBB">
        <w:t xml:space="preserve"> </w:t>
      </w:r>
      <w:r>
        <w:t xml:space="preserve">where possible, expressing benefits and costs in monetary terms so they can be compared. </w:t>
      </w:r>
      <w:bookmarkStart w:id="3692" w:name="_Hlk106709583"/>
    </w:p>
    <w:p w14:paraId="140D4E7D" w14:textId="7AF55D50" w:rsidR="006045E6" w:rsidRDefault="006045E6">
      <w:r w:rsidRPr="00CD7319">
        <w:rPr>
          <w:b/>
          <w:bCs/>
        </w:rPr>
        <w:t>Section 7.2</w:t>
      </w:r>
      <w:r w:rsidR="008B0B84">
        <w:t xml:space="preserve"> </w:t>
      </w:r>
      <w:r>
        <w:t>outlines</w:t>
      </w:r>
      <w:r w:rsidR="008B0B84">
        <w:t xml:space="preserve"> the expected </w:t>
      </w:r>
      <w:r w:rsidR="000F67D4">
        <w:t>impacts of</w:t>
      </w:r>
      <w:r w:rsidR="008B0B84">
        <w:t xml:space="preserve"> TtW </w:t>
      </w:r>
      <w:r w:rsidR="000F67D4">
        <w:t xml:space="preserve">as well as </w:t>
      </w:r>
      <w:r w:rsidR="008B0B84">
        <w:t xml:space="preserve">additional benefits and costs </w:t>
      </w:r>
      <w:r w:rsidR="005F4361" w:rsidRPr="00CD7319">
        <w:t>in comparison with jobactive</w:t>
      </w:r>
      <w:r>
        <w:t xml:space="preserve">, and </w:t>
      </w:r>
      <w:r w:rsidR="000F67D4">
        <w:t xml:space="preserve">summarises </w:t>
      </w:r>
      <w:r>
        <w:t>findings from the value</w:t>
      </w:r>
      <w:r w:rsidR="00A6695D">
        <w:t>-</w:t>
      </w:r>
      <w:r>
        <w:t>for</w:t>
      </w:r>
      <w:r w:rsidR="00A6695D">
        <w:t>-</w:t>
      </w:r>
      <w:r>
        <w:t>money analysis</w:t>
      </w:r>
      <w:r w:rsidR="00824049">
        <w:t xml:space="preserve">. </w:t>
      </w:r>
    </w:p>
    <w:p w14:paraId="63826035" w14:textId="17F825A5" w:rsidR="00B25BBB" w:rsidRPr="005F4361" w:rsidRDefault="006045E6">
      <w:r w:rsidRPr="00CD7319">
        <w:rPr>
          <w:b/>
          <w:bCs/>
        </w:rPr>
        <w:t xml:space="preserve">Sections 7.3 </w:t>
      </w:r>
      <w:r w:rsidR="0090168D">
        <w:rPr>
          <w:b/>
          <w:bCs/>
        </w:rPr>
        <w:t>to</w:t>
      </w:r>
      <w:r w:rsidRPr="00CD7319">
        <w:rPr>
          <w:b/>
          <w:bCs/>
        </w:rPr>
        <w:t xml:space="preserve"> 7.6</w:t>
      </w:r>
      <w:r>
        <w:t xml:space="preserve"> present the methodology and findings for</w:t>
      </w:r>
      <w:r w:rsidR="00B25BBB">
        <w:t xml:space="preserve"> valuing increased wellbeing </w:t>
      </w:r>
      <w:r w:rsidR="009F03A0">
        <w:t xml:space="preserve">(as a measure of increased human capability) </w:t>
      </w:r>
      <w:r w:rsidR="00B25BBB">
        <w:t xml:space="preserve">and reduced incarceration </w:t>
      </w:r>
      <w:r w:rsidR="0010592B">
        <w:t>attributable to the program</w:t>
      </w:r>
      <w:r>
        <w:t>,</w:t>
      </w:r>
      <w:r w:rsidR="0010592B">
        <w:t xml:space="preserve"> </w:t>
      </w:r>
      <w:r w:rsidR="00B25BBB">
        <w:t xml:space="preserve">and </w:t>
      </w:r>
      <w:r>
        <w:t>calculating the</w:t>
      </w:r>
      <w:r w:rsidR="00B25BBB" w:rsidRPr="00824049">
        <w:t xml:space="preserve"> </w:t>
      </w:r>
      <w:r w:rsidR="0010592B" w:rsidRPr="00824049">
        <w:t xml:space="preserve">additional </w:t>
      </w:r>
      <w:r w:rsidR="00B25BBB" w:rsidRPr="005F4361">
        <w:t>costs associated with the program</w:t>
      </w:r>
      <w:r w:rsidR="0062279D" w:rsidRPr="005F4361">
        <w:t xml:space="preserve"> relative to jobactive</w:t>
      </w:r>
      <w:r w:rsidR="00B25BBB" w:rsidRPr="005F4361">
        <w:t>.</w:t>
      </w:r>
      <w:bookmarkEnd w:id="3692"/>
    </w:p>
    <w:p w14:paraId="7BF1A9BB" w14:textId="3361B7FB" w:rsidR="005D54EC" w:rsidRDefault="009F03A0" w:rsidP="00A02DEA">
      <w:r w:rsidRPr="00CD7319">
        <w:t>W</w:t>
      </w:r>
      <w:r w:rsidR="005D54EC" w:rsidRPr="00824049">
        <w:t>hile it is relatively straightforward to estimate additional cost of TtW relative to jobactive based on program</w:t>
      </w:r>
      <w:r w:rsidR="005D54EC" w:rsidRPr="005F4361">
        <w:t xml:space="preserve"> expenditure</w:t>
      </w:r>
      <w:r w:rsidRPr="00CD7319">
        <w:t>, e</w:t>
      </w:r>
      <w:r w:rsidR="005D54EC" w:rsidRPr="00824049">
        <w:t xml:space="preserve">stimating the </w:t>
      </w:r>
      <w:r w:rsidR="005D54EC" w:rsidRPr="005F4361">
        <w:t xml:space="preserve">additional benefits associated with increased wellbeing and reduced incarceration is much more involved, especially </w:t>
      </w:r>
      <w:r w:rsidR="00824049">
        <w:t>with regard to</w:t>
      </w:r>
      <w:r w:rsidR="005D54EC" w:rsidRPr="005F4361">
        <w:t xml:space="preserve"> valuing wellbeing. </w:t>
      </w:r>
      <w:r w:rsidR="00824049">
        <w:t>T</w:t>
      </w:r>
      <w:r w:rsidR="005F4361" w:rsidRPr="00CD7319">
        <w:t>h</w:t>
      </w:r>
      <w:r w:rsidR="005D54EC" w:rsidRPr="00824049">
        <w:t xml:space="preserve">is analysis therefore does not attempt to </w:t>
      </w:r>
      <w:r w:rsidR="005D54EC" w:rsidRPr="005F4361">
        <w:t>put a single value on wellbeing; rather it explores several published methods to generate a range of estimated value.</w:t>
      </w:r>
    </w:p>
    <w:p w14:paraId="54104648" w14:textId="1EEC4F99" w:rsidR="0090168D" w:rsidRPr="005F4361" w:rsidRDefault="0090168D" w:rsidP="00A02DEA">
      <w:r w:rsidRPr="00CD7319">
        <w:rPr>
          <w:b/>
          <w:bCs/>
        </w:rPr>
        <w:t>Section</w:t>
      </w:r>
      <w:r w:rsidR="00BE7423">
        <w:rPr>
          <w:b/>
          <w:bCs/>
        </w:rPr>
        <w:t>s</w:t>
      </w:r>
      <w:r w:rsidRPr="00CD7319">
        <w:rPr>
          <w:b/>
          <w:bCs/>
        </w:rPr>
        <w:t xml:space="preserve"> 7.7 and 7.8</w:t>
      </w:r>
      <w:r>
        <w:t xml:space="preserve"> present the estimate</w:t>
      </w:r>
      <w:r w:rsidR="00F018C2">
        <w:t>d</w:t>
      </w:r>
      <w:r>
        <w:t xml:space="preserve"> </w:t>
      </w:r>
      <w:r w:rsidRPr="00A02B89">
        <w:t>cost</w:t>
      </w:r>
      <w:r w:rsidR="00A02B89">
        <w:t xml:space="preserve"> </w:t>
      </w:r>
      <w:r w:rsidRPr="00A02B89">
        <w:t>:</w:t>
      </w:r>
      <w:r w:rsidR="00A02B89">
        <w:t xml:space="preserve"> </w:t>
      </w:r>
      <w:r w:rsidRPr="00A02B89">
        <w:t>benefit ratio</w:t>
      </w:r>
      <w:r>
        <w:t xml:space="preserve"> and conclusions.</w:t>
      </w:r>
      <w:r w:rsidR="00A2228A">
        <w:t xml:space="preserve"> </w:t>
      </w:r>
      <w:r w:rsidR="00A2228A" w:rsidRPr="00A2228A">
        <w:rPr>
          <w:b/>
          <w:bCs/>
        </w:rPr>
        <w:t>Appendix 5</w:t>
      </w:r>
      <w:r w:rsidR="00A2228A" w:rsidRPr="00A2228A">
        <w:t xml:space="preserve"> contains additional details regarding the methodology used for all elements of this analysis.</w:t>
      </w:r>
    </w:p>
    <w:p w14:paraId="466E997C" w14:textId="25C8F965" w:rsidR="00A60DBE" w:rsidRDefault="00DE0043" w:rsidP="006E41FD">
      <w:pPr>
        <w:pStyle w:val="Heading2"/>
      </w:pPr>
      <w:r>
        <w:br w:type="page"/>
      </w:r>
      <w:bookmarkStart w:id="3693" w:name="_Toc132647709"/>
      <w:bookmarkStart w:id="3694" w:name="_Toc132650511"/>
      <w:bookmarkStart w:id="3695" w:name="_Toc146033541"/>
      <w:bookmarkEnd w:id="3693"/>
      <w:r w:rsidR="25D97CBD">
        <w:lastRenderedPageBreak/>
        <w:t>Summary: the value for money of TtW</w:t>
      </w:r>
      <w:bookmarkEnd w:id="3694"/>
      <w:bookmarkEnd w:id="3695"/>
    </w:p>
    <w:p w14:paraId="1C030084" w14:textId="2A1451FD" w:rsidR="00A60DBE" w:rsidRPr="001431BC" w:rsidRDefault="008216ED" w:rsidP="00A60DBE">
      <w:r>
        <w:t xml:space="preserve">The below tables </w:t>
      </w:r>
      <w:r w:rsidRPr="00824049">
        <w:t xml:space="preserve">summarise </w:t>
      </w:r>
      <w:r w:rsidRPr="00CD7319">
        <w:t xml:space="preserve">the expected </w:t>
      </w:r>
      <w:r>
        <w:t>benefits</w:t>
      </w:r>
      <w:r w:rsidR="00D02936">
        <w:t xml:space="preserve">, </w:t>
      </w:r>
      <w:r>
        <w:t>additional benefits</w:t>
      </w:r>
      <w:r w:rsidR="00D02936">
        <w:t xml:space="preserve"> </w:t>
      </w:r>
      <w:r>
        <w:t>and additional costs</w:t>
      </w:r>
      <w:r w:rsidR="00D02936">
        <w:t xml:space="preserve"> </w:t>
      </w:r>
      <w:r>
        <w:t xml:space="preserve">associated with TtW, compared to jobactive. </w:t>
      </w:r>
      <w:r w:rsidR="003917EA">
        <w:t>They</w:t>
      </w:r>
      <w:r w:rsidR="003917EA" w:rsidRPr="001431BC">
        <w:t xml:space="preserve"> </w:t>
      </w:r>
      <w:r w:rsidR="008A35C8" w:rsidRPr="001431BC">
        <w:t xml:space="preserve">include </w:t>
      </w:r>
      <w:r w:rsidR="00A60DBE" w:rsidRPr="001431BC">
        <w:t xml:space="preserve">indicative </w:t>
      </w:r>
      <w:r w:rsidR="005420BD">
        <w:t>monetised costs and benefits</w:t>
      </w:r>
      <w:r w:rsidR="00A60DBE" w:rsidRPr="001431BC">
        <w:t xml:space="preserve"> of the program </w:t>
      </w:r>
      <w:r w:rsidR="005420BD">
        <w:t xml:space="preserve">where this was possible to estimate, </w:t>
      </w:r>
      <w:r w:rsidR="00A60DBE" w:rsidRPr="001431BC">
        <w:t xml:space="preserve">and </w:t>
      </w:r>
      <w:r w:rsidR="005420BD">
        <w:t>a summary of</w:t>
      </w:r>
      <w:r w:rsidR="00CF268A">
        <w:t xml:space="preserve"> other non-monetised costs and benefits </w:t>
      </w:r>
      <w:r w:rsidR="00A60DBE" w:rsidRPr="001431BC">
        <w:t xml:space="preserve">discussed in </w:t>
      </w:r>
      <w:r w:rsidRPr="00CD7319">
        <w:rPr>
          <w:b/>
          <w:bCs/>
        </w:rPr>
        <w:t>Chapters 4</w:t>
      </w:r>
      <w:r>
        <w:t xml:space="preserve"> and </w:t>
      </w:r>
      <w:r w:rsidRPr="00CD7319">
        <w:rPr>
          <w:b/>
          <w:bCs/>
        </w:rPr>
        <w:t>5</w:t>
      </w:r>
      <w:r>
        <w:t xml:space="preserve"> of this report</w:t>
      </w:r>
      <w:r w:rsidR="00A60DBE" w:rsidRPr="001431BC">
        <w:t xml:space="preserve">. </w:t>
      </w:r>
      <w:r w:rsidR="009A3EB3">
        <w:t>The benefits</w:t>
      </w:r>
      <w:r w:rsidR="00CF268A">
        <w:t xml:space="preserve"> and costs associated with </w:t>
      </w:r>
      <w:r w:rsidR="003B7D1D">
        <w:t>the TtW program activities were identified through evaluation research.</w:t>
      </w:r>
    </w:p>
    <w:p w14:paraId="523539FE" w14:textId="78BFED98" w:rsidR="0068660E" w:rsidRDefault="0068660E" w:rsidP="00A60DBE">
      <w:r>
        <w:t xml:space="preserve">TtW is a pre-employment program, aiming to </w:t>
      </w:r>
      <w:r w:rsidRPr="006E09CA">
        <w:t xml:space="preserve">assist eligible young people </w:t>
      </w:r>
      <w:r>
        <w:t>to</w:t>
      </w:r>
      <w:r w:rsidRPr="006E09CA">
        <w:t xml:space="preserve"> gain and retain </w:t>
      </w:r>
      <w:r w:rsidR="00434DA3">
        <w:t>e</w:t>
      </w:r>
      <w:r w:rsidRPr="006E09CA">
        <w:t>mployment (including apprenticeships or traineeships)</w:t>
      </w:r>
      <w:r>
        <w:t xml:space="preserve">, </w:t>
      </w:r>
      <w:r w:rsidRPr="006E09CA">
        <w:t xml:space="preserve">move into </w:t>
      </w:r>
      <w:r w:rsidR="00434DA3">
        <w:t>e</w:t>
      </w:r>
      <w:r w:rsidRPr="006E09CA">
        <w:t>ducation</w:t>
      </w:r>
      <w:r>
        <w:t xml:space="preserve"> </w:t>
      </w:r>
      <w:r w:rsidRPr="006E09CA">
        <w:t xml:space="preserve">and/or improve their </w:t>
      </w:r>
      <w:r w:rsidR="00434DA3">
        <w:t>w</w:t>
      </w:r>
      <w:r w:rsidRPr="006E09CA">
        <w:t>ork</w:t>
      </w:r>
      <w:r w:rsidR="00DA04B2">
        <w:t xml:space="preserve"> </w:t>
      </w:r>
      <w:r w:rsidR="00434DA3">
        <w:t>r</w:t>
      </w:r>
      <w:r w:rsidRPr="006E09CA">
        <w:t>eadiness</w:t>
      </w:r>
      <w:r>
        <w:t xml:space="preserve">. </w:t>
      </w:r>
      <w:r w:rsidR="008B0B84" w:rsidRPr="00CD7319">
        <w:rPr>
          <w:b/>
          <w:bCs/>
        </w:rPr>
        <w:fldChar w:fldCharType="begin"/>
      </w:r>
      <w:r w:rsidR="008B0B84" w:rsidRPr="00CD7319">
        <w:rPr>
          <w:b/>
          <w:bCs/>
        </w:rPr>
        <w:instrText xml:space="preserve"> REF _Ref120183507 \h </w:instrText>
      </w:r>
      <w:r w:rsidR="008B0B84">
        <w:rPr>
          <w:b/>
          <w:bCs/>
        </w:rPr>
        <w:instrText xml:space="preserve"> \* MERGEFORMAT </w:instrText>
      </w:r>
      <w:r w:rsidR="008B0B84" w:rsidRPr="00CD7319">
        <w:rPr>
          <w:b/>
          <w:bCs/>
        </w:rPr>
      </w:r>
      <w:r w:rsidR="008B0B84" w:rsidRPr="00CD7319">
        <w:rPr>
          <w:b/>
          <w:bCs/>
        </w:rPr>
        <w:fldChar w:fldCharType="separate"/>
      </w:r>
      <w:r w:rsidR="00180E14" w:rsidRPr="00180E14">
        <w:rPr>
          <w:b/>
          <w:bCs/>
        </w:rPr>
        <w:t xml:space="preserve">Table </w:t>
      </w:r>
      <w:r w:rsidR="00180E14" w:rsidRPr="00180E14">
        <w:rPr>
          <w:b/>
          <w:bCs/>
          <w:noProof/>
        </w:rPr>
        <w:t>17</w:t>
      </w:r>
      <w:r w:rsidR="008B0B84" w:rsidRPr="00CD7319">
        <w:rPr>
          <w:b/>
          <w:bCs/>
        </w:rPr>
        <w:fldChar w:fldCharType="end"/>
      </w:r>
      <w:r w:rsidR="008B0B84">
        <w:t xml:space="preserve"> </w:t>
      </w:r>
      <w:r>
        <w:t xml:space="preserve">outlines the benefits that could be expected from TtW over </w:t>
      </w:r>
      <w:r w:rsidR="009E4B68">
        <w:t>the longer term</w:t>
      </w:r>
      <w:r>
        <w:t>. T</w:t>
      </w:r>
      <w:r w:rsidR="00A60DBE" w:rsidRPr="001431BC">
        <w:t>here is no evidence that TtW is more</w:t>
      </w:r>
      <w:r w:rsidR="00434DA3">
        <w:t xml:space="preserve"> or less </w:t>
      </w:r>
      <w:r w:rsidR="00A60DBE" w:rsidRPr="001431BC">
        <w:t>effective than jobactive at helping disadvantaged young people move into</w:t>
      </w:r>
      <w:r w:rsidR="008B0B84">
        <w:t xml:space="preserve"> </w:t>
      </w:r>
      <w:r w:rsidR="00180231">
        <w:t>employment</w:t>
      </w:r>
      <w:r w:rsidR="00A60DBE" w:rsidRPr="001431BC">
        <w:t xml:space="preserve"> </w:t>
      </w:r>
      <w:r w:rsidR="008B0B84">
        <w:t>or</w:t>
      </w:r>
      <w:r w:rsidR="00A60DBE" w:rsidRPr="001431BC">
        <w:t xml:space="preserve"> off income support </w:t>
      </w:r>
      <w:r w:rsidR="00F8391B">
        <w:t>3</w:t>
      </w:r>
      <w:r w:rsidR="00A60DBE" w:rsidRPr="001431BC">
        <w:t xml:space="preserve"> or </w:t>
      </w:r>
      <w:r w:rsidR="00F8391B">
        <w:t>4</w:t>
      </w:r>
      <w:r w:rsidR="00A60DBE" w:rsidRPr="001431BC">
        <w:t xml:space="preserve"> years from commencement</w:t>
      </w:r>
      <w:r w:rsidR="008B0B84">
        <w:t>. While TtW is more effective at supporting participants to undertake training</w:t>
      </w:r>
      <w:r w:rsidR="00FC40A8">
        <w:t xml:space="preserve"> in the shorter term</w:t>
      </w:r>
      <w:r w:rsidR="008B0B84">
        <w:t>, there is also no evidence that TtW is more effective than</w:t>
      </w:r>
      <w:r w:rsidR="00A60DBE" w:rsidRPr="001431BC">
        <w:t xml:space="preserve"> </w:t>
      </w:r>
      <w:r w:rsidR="008B0B84">
        <w:t>jobactive at supporting participants to undertake full-time study.</w:t>
      </w:r>
      <w:r w:rsidR="00824049">
        <w:t xml:space="preserve"> These elements are therefore not included in the value</w:t>
      </w:r>
      <w:r w:rsidR="00CC644F">
        <w:t>-</w:t>
      </w:r>
      <w:r w:rsidR="00824049">
        <w:t>for</w:t>
      </w:r>
      <w:r w:rsidR="00CC644F">
        <w:t>-</w:t>
      </w:r>
      <w:r w:rsidR="00824049">
        <w:t xml:space="preserve">money analysis, as there is no additional benefit accruing to individuals or society from TtW in relation to increased employment or </w:t>
      </w:r>
      <w:r w:rsidR="000F67D4">
        <w:t xml:space="preserve">full-time </w:t>
      </w:r>
      <w:r w:rsidR="00824049">
        <w:t>education.</w:t>
      </w:r>
    </w:p>
    <w:p w14:paraId="4F34F589" w14:textId="4AD6E8FB" w:rsidR="00B178FA" w:rsidRDefault="00824049" w:rsidP="00A60DBE">
      <w:r>
        <w:t>T</w:t>
      </w:r>
      <w:r w:rsidR="00A60DBE" w:rsidRPr="001431BC">
        <w:t>here is evidence</w:t>
      </w:r>
      <w:r w:rsidR="00CC644F">
        <w:t>,</w:t>
      </w:r>
      <w:r w:rsidR="00C065B9">
        <w:t xml:space="preserve"> however</w:t>
      </w:r>
      <w:r w:rsidR="00CC644F">
        <w:t>,</w:t>
      </w:r>
      <w:r w:rsidR="00A60DBE" w:rsidRPr="001431BC">
        <w:t xml:space="preserve"> that TtW </w:t>
      </w:r>
      <w:r w:rsidR="000F67D4">
        <w:t>leads to</w:t>
      </w:r>
      <w:r w:rsidR="00A60DBE" w:rsidRPr="001431BC">
        <w:t xml:space="preserve"> a number of other </w:t>
      </w:r>
      <w:r w:rsidR="000F67D4">
        <w:t>benefits</w:t>
      </w:r>
      <w:r w:rsidR="00A60DBE" w:rsidRPr="001431BC">
        <w:t xml:space="preserve"> that are highly valued by participants and are likely to have broader social value,</w:t>
      </w:r>
      <w:r w:rsidR="00B178FA">
        <w:t xml:space="preserve"> above those achieved by jobactive, as </w:t>
      </w:r>
      <w:r w:rsidR="00C065B9">
        <w:t>described</w:t>
      </w:r>
      <w:r w:rsidR="00B178FA">
        <w:t xml:space="preserve"> in </w:t>
      </w:r>
      <w:r w:rsidR="00B178FA" w:rsidRPr="00CD7319">
        <w:rPr>
          <w:b/>
          <w:bCs/>
        </w:rPr>
        <w:fldChar w:fldCharType="begin"/>
      </w:r>
      <w:r w:rsidR="00B178FA" w:rsidRPr="00CD7319">
        <w:rPr>
          <w:b/>
          <w:bCs/>
        </w:rPr>
        <w:instrText xml:space="preserve"> REF _Ref120183546 \h </w:instrText>
      </w:r>
      <w:r w:rsidR="00B178FA">
        <w:rPr>
          <w:b/>
          <w:bCs/>
        </w:rPr>
        <w:instrText xml:space="preserve"> \* MERGEFORMAT </w:instrText>
      </w:r>
      <w:r w:rsidR="00B178FA" w:rsidRPr="00CD7319">
        <w:rPr>
          <w:b/>
          <w:bCs/>
        </w:rPr>
      </w:r>
      <w:r w:rsidR="00B178FA" w:rsidRPr="00CD7319">
        <w:rPr>
          <w:b/>
          <w:bCs/>
        </w:rPr>
        <w:fldChar w:fldCharType="separate"/>
      </w:r>
      <w:r w:rsidR="00180E14" w:rsidRPr="00180E14">
        <w:rPr>
          <w:b/>
          <w:bCs/>
        </w:rPr>
        <w:t xml:space="preserve">Table </w:t>
      </w:r>
      <w:r w:rsidR="00180E14" w:rsidRPr="00180E14">
        <w:rPr>
          <w:b/>
          <w:bCs/>
          <w:noProof/>
        </w:rPr>
        <w:t>18</w:t>
      </w:r>
      <w:r w:rsidR="00B178FA" w:rsidRPr="00CD7319">
        <w:rPr>
          <w:b/>
          <w:bCs/>
        </w:rPr>
        <w:fldChar w:fldCharType="end"/>
      </w:r>
      <w:r w:rsidR="00B178FA">
        <w:t xml:space="preserve">. These include </w:t>
      </w:r>
      <w:r w:rsidR="00A60DBE" w:rsidRPr="001431BC">
        <w:t>increased human capabilities</w:t>
      </w:r>
      <w:r w:rsidR="00B178FA">
        <w:t xml:space="preserve"> (including mental health)</w:t>
      </w:r>
      <w:r w:rsidR="00A60DBE" w:rsidRPr="001431BC">
        <w:t>, increased wellbeing and reduced incarceration.</w:t>
      </w:r>
      <w:r w:rsidR="00180231">
        <w:t xml:space="preserve"> </w:t>
      </w:r>
      <w:r w:rsidR="00B178FA">
        <w:t>Additional costs associated with TtW include a higher cost per participant for service provision, and higher income support payments associated with the lock</w:t>
      </w:r>
      <w:r w:rsidR="0095785D">
        <w:t>-</w:t>
      </w:r>
      <w:r w:rsidR="00B178FA">
        <w:t xml:space="preserve">in effect of TtW, as outlined in </w:t>
      </w:r>
      <w:r w:rsidR="00B178FA" w:rsidRPr="00CD7319">
        <w:rPr>
          <w:b/>
          <w:bCs/>
        </w:rPr>
        <w:fldChar w:fldCharType="begin"/>
      </w:r>
      <w:r w:rsidR="00B178FA" w:rsidRPr="00CD7319">
        <w:rPr>
          <w:b/>
          <w:bCs/>
        </w:rPr>
        <w:instrText xml:space="preserve"> REF _Ref120183583 \h </w:instrText>
      </w:r>
      <w:r w:rsidR="00B178FA">
        <w:rPr>
          <w:b/>
          <w:bCs/>
        </w:rPr>
        <w:instrText xml:space="preserve"> \* MERGEFORMAT </w:instrText>
      </w:r>
      <w:r w:rsidR="00B178FA" w:rsidRPr="00CD7319">
        <w:rPr>
          <w:b/>
          <w:bCs/>
        </w:rPr>
      </w:r>
      <w:r w:rsidR="00B178FA" w:rsidRPr="00CD7319">
        <w:rPr>
          <w:b/>
          <w:bCs/>
        </w:rPr>
        <w:fldChar w:fldCharType="separate"/>
      </w:r>
      <w:r w:rsidR="00180E14" w:rsidRPr="00180E14">
        <w:rPr>
          <w:b/>
          <w:bCs/>
        </w:rPr>
        <w:t xml:space="preserve">Table </w:t>
      </w:r>
      <w:r w:rsidR="00180E14" w:rsidRPr="00180E14">
        <w:rPr>
          <w:b/>
          <w:bCs/>
          <w:noProof/>
        </w:rPr>
        <w:t>19</w:t>
      </w:r>
      <w:r w:rsidR="00B178FA" w:rsidRPr="00CD7319">
        <w:rPr>
          <w:b/>
          <w:bCs/>
        </w:rPr>
        <w:fldChar w:fldCharType="end"/>
      </w:r>
      <w:r w:rsidR="00B178FA" w:rsidRPr="00CD7319">
        <w:t>.</w:t>
      </w:r>
    </w:p>
    <w:p w14:paraId="10222C3B" w14:textId="1E5C92ED" w:rsidR="001A4A69" w:rsidRDefault="00180231" w:rsidP="00A60DBE">
      <w:r>
        <w:t xml:space="preserve">Summarising findings for the value of </w:t>
      </w:r>
      <w:r w:rsidR="005D54EC">
        <w:t xml:space="preserve">additional </w:t>
      </w:r>
      <w:r>
        <w:t xml:space="preserve">costs and benefits that could be monetised, it is estimated </w:t>
      </w:r>
      <w:r w:rsidR="005F53A7">
        <w:t xml:space="preserve">that </w:t>
      </w:r>
      <w:r>
        <w:t xml:space="preserve">every dollar spent on TtW </w:t>
      </w:r>
      <w:bookmarkStart w:id="3696" w:name="_Hlk126830676"/>
      <w:r w:rsidR="00AE563E">
        <w:t>(in addition to what would have been spent on a participant if they were in jobactive)</w:t>
      </w:r>
      <w:bookmarkEnd w:id="3696"/>
      <w:r w:rsidR="00AE563E">
        <w:t xml:space="preserve"> </w:t>
      </w:r>
      <w:r>
        <w:t xml:space="preserve">has a social value of </w:t>
      </w:r>
      <w:r w:rsidRPr="00AE563E">
        <w:t xml:space="preserve">between </w:t>
      </w:r>
      <w:r w:rsidR="00A62E8C" w:rsidRPr="00AE563E">
        <w:t>$</w:t>
      </w:r>
      <w:r w:rsidR="00AE563E" w:rsidRPr="00CD7319">
        <w:t>1</w:t>
      </w:r>
      <w:r w:rsidR="00A62E8C" w:rsidRPr="00AE563E">
        <w:t xml:space="preserve"> and </w:t>
      </w:r>
      <w:r w:rsidRPr="00AE563E">
        <w:t>$</w:t>
      </w:r>
      <w:r w:rsidR="00AE563E" w:rsidRPr="00AE563E">
        <w:t>6</w:t>
      </w:r>
      <w:r>
        <w:t xml:space="preserve">. </w:t>
      </w:r>
      <w:r w:rsidR="002B3062" w:rsidRPr="00122A56">
        <w:t xml:space="preserve">This analysis demonstrated that the value placed on </w:t>
      </w:r>
      <w:r w:rsidR="002B3062">
        <w:t xml:space="preserve">changes in human capabilities and </w:t>
      </w:r>
      <w:r w:rsidR="002B3062" w:rsidRPr="00122A56">
        <w:t xml:space="preserve">wellbeing </w:t>
      </w:r>
      <w:r w:rsidR="002B3062">
        <w:t xml:space="preserve">attributable to TtW </w:t>
      </w:r>
      <w:r w:rsidR="002B3062" w:rsidRPr="00122A56">
        <w:t>is a determining factor in the analysis of whether TtW offers value for money.</w:t>
      </w:r>
    </w:p>
    <w:p w14:paraId="16FA75CD" w14:textId="388B7634" w:rsidR="00A2228A" w:rsidRPr="0095536E" w:rsidRDefault="00A2228A" w:rsidP="00F7543C">
      <w:pPr>
        <w:pStyle w:val="Caption"/>
        <w:keepNext/>
      </w:pPr>
      <w:bookmarkStart w:id="3697" w:name="_Ref121401878"/>
      <w:bookmarkStart w:id="3698" w:name="_Toc132647794"/>
      <w:bookmarkStart w:id="3699" w:name="_Toc145877305"/>
      <w:r>
        <w:lastRenderedPageBreak/>
        <w:t xml:space="preserve">Table </w:t>
      </w:r>
      <w:r w:rsidR="00BE71D4">
        <w:fldChar w:fldCharType="begin"/>
      </w:r>
      <w:r w:rsidR="00BE71D4">
        <w:instrText xml:space="preserve"> SEQ Table \* ARABIC </w:instrText>
      </w:r>
      <w:r w:rsidR="00BE71D4">
        <w:fldChar w:fldCharType="separate"/>
      </w:r>
      <w:r w:rsidR="00180E14">
        <w:rPr>
          <w:noProof/>
        </w:rPr>
        <w:t>16</w:t>
      </w:r>
      <w:r w:rsidR="00BE71D4">
        <w:rPr>
          <w:noProof/>
        </w:rPr>
        <w:fldChar w:fldCharType="end"/>
      </w:r>
      <w:r>
        <w:t xml:space="preserve">: </w:t>
      </w:r>
      <w:r w:rsidRPr="00161837">
        <w:t>Legend for assessment of the conceptual fit of indicators and</w:t>
      </w:r>
      <w:r w:rsidR="00F030DB">
        <w:t xml:space="preserve"> the</w:t>
      </w:r>
      <w:r w:rsidRPr="00161837">
        <w:t xml:space="preserve"> quality of data used in </w:t>
      </w:r>
      <w:bookmarkEnd w:id="3697"/>
      <w:bookmarkEnd w:id="3698"/>
      <w:r w:rsidR="003657BC">
        <w:t xml:space="preserve">Tables </w:t>
      </w:r>
      <w:r w:rsidR="00625CBE">
        <w:t>16–18</w:t>
      </w:r>
      <w:bookmarkEnd w:id="3699"/>
    </w:p>
    <w:tbl>
      <w:tblPr>
        <w:tblW w:w="4950" w:type="pct"/>
        <w:tblCellSpacing w:w="0" w:type="dxa"/>
        <w:shd w:val="clear" w:color="auto" w:fill="FFFFFF"/>
        <w:tblCellMar>
          <w:left w:w="0" w:type="dxa"/>
          <w:right w:w="0" w:type="dxa"/>
        </w:tblCellMar>
        <w:tblLook w:val="04A0" w:firstRow="1" w:lastRow="0" w:firstColumn="1" w:lastColumn="0" w:noHBand="0" w:noVBand="1"/>
      </w:tblPr>
      <w:tblGrid>
        <w:gridCol w:w="1715"/>
        <w:gridCol w:w="1625"/>
        <w:gridCol w:w="5596"/>
      </w:tblGrid>
      <w:tr w:rsidR="00A06389" w:rsidRPr="00633F11" w14:paraId="097CF0EA" w14:textId="77777777" w:rsidTr="00A06389">
        <w:trPr>
          <w:trHeight w:val="454"/>
          <w:tblCellSpacing w:w="0" w:type="dxa"/>
        </w:trPr>
        <w:tc>
          <w:tcPr>
            <w:tcW w:w="960" w:type="pct"/>
            <w:shd w:val="clear" w:color="auto" w:fill="5D7A38"/>
            <w:vAlign w:val="center"/>
            <w:hideMark/>
          </w:tcPr>
          <w:p w14:paraId="21860095" w14:textId="7EF36618" w:rsidR="00A06389" w:rsidRPr="009251AF" w:rsidRDefault="00A06389" w:rsidP="00560B7C">
            <w:pPr>
              <w:keepNext/>
              <w:spacing w:before="120" w:after="120" w:line="240" w:lineRule="auto"/>
              <w:ind w:left="142"/>
              <w:textAlignment w:val="baseline"/>
              <w:rPr>
                <w:color w:val="FFFFFF" w:themeColor="background1"/>
                <w:sz w:val="20"/>
              </w:rPr>
            </w:pPr>
            <w:r w:rsidRPr="009251AF">
              <w:rPr>
                <w:b/>
                <w:color w:val="FFFFFF" w:themeColor="background1"/>
                <w:sz w:val="20"/>
              </w:rPr>
              <w:t xml:space="preserve">Target </w:t>
            </w:r>
            <w:r>
              <w:rPr>
                <w:b/>
                <w:color w:val="FFFFFF" w:themeColor="background1"/>
                <w:sz w:val="20"/>
              </w:rPr>
              <w:t>d</w:t>
            </w:r>
            <w:r w:rsidRPr="009251AF">
              <w:rPr>
                <w:b/>
                <w:color w:val="FFFFFF" w:themeColor="background1"/>
                <w:sz w:val="20"/>
              </w:rPr>
              <w:t>iagram</w:t>
            </w:r>
          </w:p>
        </w:tc>
        <w:tc>
          <w:tcPr>
            <w:tcW w:w="909" w:type="pct"/>
            <w:shd w:val="clear" w:color="auto" w:fill="5D7A38"/>
            <w:vAlign w:val="center"/>
            <w:hideMark/>
          </w:tcPr>
          <w:p w14:paraId="2CD11611" w14:textId="5AA0B0A9" w:rsidR="00A06389" w:rsidRPr="009251AF" w:rsidRDefault="00A06389" w:rsidP="00F7543C">
            <w:pPr>
              <w:keepNext/>
              <w:spacing w:before="120" w:after="120" w:line="240" w:lineRule="auto"/>
              <w:rPr>
                <w:color w:val="FFFFFF" w:themeColor="background1"/>
                <w:sz w:val="20"/>
              </w:rPr>
            </w:pPr>
            <w:r w:rsidRPr="009251AF">
              <w:rPr>
                <w:b/>
                <w:color w:val="FFFFFF" w:themeColor="background1"/>
                <w:sz w:val="20"/>
              </w:rPr>
              <w:t xml:space="preserve">Type of </w:t>
            </w:r>
            <w:r>
              <w:rPr>
                <w:b/>
                <w:color w:val="FFFFFF" w:themeColor="background1"/>
                <w:sz w:val="20"/>
              </w:rPr>
              <w:t>i</w:t>
            </w:r>
            <w:r w:rsidRPr="009251AF">
              <w:rPr>
                <w:b/>
                <w:color w:val="FFFFFF" w:themeColor="background1"/>
                <w:sz w:val="20"/>
              </w:rPr>
              <w:t>ndicator</w:t>
            </w:r>
          </w:p>
        </w:tc>
        <w:tc>
          <w:tcPr>
            <w:tcW w:w="3131" w:type="pct"/>
            <w:shd w:val="clear" w:color="auto" w:fill="5D7A38"/>
            <w:vAlign w:val="center"/>
            <w:hideMark/>
          </w:tcPr>
          <w:p w14:paraId="2F4BC979" w14:textId="77777777" w:rsidR="00A06389" w:rsidRPr="009251AF" w:rsidRDefault="00A06389" w:rsidP="00F7543C">
            <w:pPr>
              <w:keepNext/>
              <w:spacing w:before="120" w:after="120" w:line="240" w:lineRule="auto"/>
              <w:rPr>
                <w:color w:val="FFFFFF" w:themeColor="background1"/>
                <w:sz w:val="20"/>
              </w:rPr>
            </w:pPr>
            <w:r w:rsidRPr="009251AF">
              <w:rPr>
                <w:b/>
                <w:color w:val="FFFFFF" w:themeColor="background1"/>
                <w:sz w:val="20"/>
              </w:rPr>
              <w:t xml:space="preserve">Description </w:t>
            </w:r>
            <w:r>
              <w:rPr>
                <w:rFonts w:eastAsia="Times New Roman" w:cstheme="minorHAnsi"/>
                <w:b/>
                <w:bCs/>
                <w:color w:val="FFFFFF" w:themeColor="background1"/>
                <w:sz w:val="20"/>
                <w:szCs w:val="20"/>
                <w:lang w:eastAsia="en-AU"/>
              </w:rPr>
              <w:t>–</w:t>
            </w:r>
            <w:r w:rsidRPr="009251AF">
              <w:rPr>
                <w:b/>
                <w:color w:val="FFFFFF" w:themeColor="background1"/>
                <w:sz w:val="20"/>
              </w:rPr>
              <w:t xml:space="preserve"> assessment of conceptual fit</w:t>
            </w:r>
          </w:p>
        </w:tc>
      </w:tr>
      <w:tr w:rsidR="00A06389" w:rsidRPr="00DC26CE" w14:paraId="54A419B3" w14:textId="77777777" w:rsidTr="00A06389">
        <w:trPr>
          <w:tblCellSpacing w:w="0" w:type="dxa"/>
        </w:trPr>
        <w:tc>
          <w:tcPr>
            <w:tcW w:w="960" w:type="pct"/>
            <w:shd w:val="clear" w:color="auto" w:fill="D0CECE" w:themeFill="background2" w:themeFillShade="E6"/>
            <w:vAlign w:val="center"/>
            <w:hideMark/>
          </w:tcPr>
          <w:p w14:paraId="1932FF33" w14:textId="77777777" w:rsidR="00A06389" w:rsidRPr="002A4286" w:rsidRDefault="00A06389" w:rsidP="00F7543C">
            <w:pPr>
              <w:keepNext/>
              <w:spacing w:before="120" w:after="120" w:line="312" w:lineRule="auto"/>
              <w:jc w:val="center"/>
              <w:textAlignment w:val="baseline"/>
              <w:rPr>
                <w:rFonts w:eastAsia="Times New Roman" w:cstheme="minorHAnsi"/>
                <w:color w:val="333333"/>
                <w:sz w:val="20"/>
                <w:szCs w:val="20"/>
                <w:lang w:eastAsia="en-AU"/>
              </w:rPr>
            </w:pPr>
            <w:r w:rsidRPr="002A4286">
              <w:rPr>
                <w:rFonts w:eastAsia="Times New Roman" w:cstheme="minorHAnsi"/>
                <w:noProof/>
                <w:color w:val="333333"/>
                <w:sz w:val="20"/>
                <w:szCs w:val="20"/>
                <w:lang w:eastAsia="en-AU"/>
              </w:rPr>
              <w:drawing>
                <wp:inline distT="0" distB="0" distL="0" distR="0" wp14:anchorId="131EA8C0" wp14:editId="1A3C8846">
                  <wp:extent cx="381000" cy="381000"/>
                  <wp:effectExtent l="0" t="0" r="0" b="0"/>
                  <wp:docPr id="312" name="Picture 312" descr="Icon for 'Direc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con for 'Direct meas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909" w:type="pct"/>
            <w:shd w:val="clear" w:color="auto" w:fill="D0CECE" w:themeFill="background2" w:themeFillShade="E6"/>
            <w:hideMark/>
          </w:tcPr>
          <w:p w14:paraId="25CE6A53" w14:textId="77777777" w:rsidR="00A06389" w:rsidRDefault="00A06389" w:rsidP="00F7543C">
            <w:pPr>
              <w:keepNext/>
              <w:spacing w:before="120" w:after="120" w:line="312" w:lineRule="auto"/>
              <w:rPr>
                <w:rFonts w:eastAsia="Times New Roman" w:cstheme="minorHAnsi"/>
                <w:color w:val="333333"/>
                <w:sz w:val="20"/>
                <w:szCs w:val="20"/>
                <w:lang w:eastAsia="en-AU"/>
              </w:rPr>
            </w:pPr>
          </w:p>
          <w:p w14:paraId="54751839" w14:textId="1BA86243" w:rsidR="00A06389" w:rsidRPr="002A4286" w:rsidRDefault="00A06389" w:rsidP="00F7543C">
            <w:pPr>
              <w:keepNext/>
              <w:spacing w:before="120" w:after="120" w:line="312"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Direct measure</w:t>
            </w:r>
          </w:p>
        </w:tc>
        <w:tc>
          <w:tcPr>
            <w:tcW w:w="3131" w:type="pct"/>
            <w:shd w:val="clear" w:color="auto" w:fill="D0CECE" w:themeFill="background2" w:themeFillShade="E6"/>
            <w:hideMark/>
          </w:tcPr>
          <w:p w14:paraId="02A6B3E9" w14:textId="77777777" w:rsidR="00A06389" w:rsidRDefault="00A06389" w:rsidP="00F7543C">
            <w:pPr>
              <w:keepNext/>
              <w:spacing w:before="120" w:after="120" w:line="312"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 xml:space="preserve">An indicator that measures all of the concept reflected by the theme or element, i.e. a good conceptual </w:t>
            </w:r>
            <w:r>
              <w:rPr>
                <w:rFonts w:eastAsia="Times New Roman" w:cstheme="minorHAnsi"/>
                <w:color w:val="333333"/>
                <w:sz w:val="20"/>
                <w:szCs w:val="20"/>
                <w:lang w:eastAsia="en-AU"/>
              </w:rPr>
              <w:t>fit</w:t>
            </w:r>
          </w:p>
          <w:p w14:paraId="4D01AF04" w14:textId="7EA45D92" w:rsidR="00A06389" w:rsidRPr="002A4286" w:rsidRDefault="00A06389" w:rsidP="00F7543C">
            <w:pPr>
              <w:keepNext/>
              <w:spacing w:before="120" w:after="120" w:line="312" w:lineRule="auto"/>
              <w:rPr>
                <w:rFonts w:eastAsia="Times New Roman" w:cstheme="minorHAnsi"/>
                <w:color w:val="333333"/>
                <w:sz w:val="20"/>
                <w:szCs w:val="20"/>
                <w:lang w:eastAsia="en-AU"/>
              </w:rPr>
            </w:pPr>
          </w:p>
        </w:tc>
      </w:tr>
      <w:tr w:rsidR="00A06389" w:rsidRPr="00DC26CE" w14:paraId="1096905A" w14:textId="77777777" w:rsidTr="00A06389">
        <w:trPr>
          <w:tblCellSpacing w:w="0" w:type="dxa"/>
        </w:trPr>
        <w:tc>
          <w:tcPr>
            <w:tcW w:w="960" w:type="pct"/>
            <w:shd w:val="clear" w:color="auto" w:fill="FFFFFF"/>
            <w:vAlign w:val="center"/>
            <w:hideMark/>
          </w:tcPr>
          <w:p w14:paraId="33F7D0D3" w14:textId="77777777" w:rsidR="00A06389" w:rsidRPr="002A4286" w:rsidRDefault="00A06389" w:rsidP="00F7543C">
            <w:pPr>
              <w:keepNext/>
              <w:spacing w:before="120" w:after="120" w:line="312" w:lineRule="auto"/>
              <w:jc w:val="center"/>
              <w:textAlignment w:val="baseline"/>
              <w:rPr>
                <w:rFonts w:eastAsia="Times New Roman" w:cstheme="minorHAnsi"/>
                <w:color w:val="333333"/>
                <w:sz w:val="20"/>
                <w:szCs w:val="20"/>
                <w:lang w:eastAsia="en-AU"/>
              </w:rPr>
            </w:pPr>
            <w:r w:rsidRPr="002A4286">
              <w:rPr>
                <w:rFonts w:eastAsia="Times New Roman" w:cstheme="minorHAnsi"/>
                <w:noProof/>
                <w:color w:val="333333"/>
                <w:sz w:val="20"/>
                <w:szCs w:val="20"/>
                <w:lang w:eastAsia="en-AU"/>
              </w:rPr>
              <w:drawing>
                <wp:inline distT="0" distB="0" distL="0" distR="0" wp14:anchorId="7B2C74EE" wp14:editId="738EBD0D">
                  <wp:extent cx="381000" cy="390525"/>
                  <wp:effectExtent l="0" t="0" r="0" b="9525"/>
                  <wp:docPr id="6" name="Picture 6" descr="Icon for 'Partial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con for 'Partial meas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909" w:type="pct"/>
            <w:shd w:val="clear" w:color="auto" w:fill="FFFFFF"/>
            <w:hideMark/>
          </w:tcPr>
          <w:p w14:paraId="5B8BF7F7" w14:textId="77777777" w:rsidR="00A06389" w:rsidRDefault="00A06389" w:rsidP="00F7543C">
            <w:pPr>
              <w:keepNext/>
              <w:spacing w:before="120" w:after="120" w:line="312" w:lineRule="auto"/>
              <w:rPr>
                <w:rFonts w:eastAsia="Times New Roman" w:cstheme="minorHAnsi"/>
                <w:color w:val="333333"/>
                <w:sz w:val="20"/>
                <w:szCs w:val="20"/>
                <w:lang w:eastAsia="en-AU"/>
              </w:rPr>
            </w:pPr>
          </w:p>
          <w:p w14:paraId="4512FA8E" w14:textId="7AD1BEA7" w:rsidR="00A06389" w:rsidRPr="002A4286" w:rsidRDefault="00A06389" w:rsidP="00F7543C">
            <w:pPr>
              <w:keepNext/>
              <w:spacing w:before="120" w:after="120" w:line="312"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Partial measure</w:t>
            </w:r>
          </w:p>
        </w:tc>
        <w:tc>
          <w:tcPr>
            <w:tcW w:w="3131" w:type="pct"/>
            <w:shd w:val="clear" w:color="auto" w:fill="FFFFFF"/>
            <w:hideMark/>
          </w:tcPr>
          <w:p w14:paraId="4BE44E24" w14:textId="3F0C7DD4" w:rsidR="00A06389" w:rsidRPr="002A4286" w:rsidRDefault="00A06389" w:rsidP="00F7543C">
            <w:pPr>
              <w:keepNext/>
              <w:spacing w:before="120" w:after="120" w:line="312"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 xml:space="preserve">An indicator that measures part of the concept reflected by the theme or element, where that part is considered significant enough to stand as an indicator for the theme or element as a whole, i.e. a partial conceptual fit </w:t>
            </w:r>
          </w:p>
        </w:tc>
      </w:tr>
      <w:tr w:rsidR="00A06389" w:rsidRPr="00DC26CE" w14:paraId="02B1C9A5" w14:textId="77777777" w:rsidTr="00A06389">
        <w:trPr>
          <w:tblCellSpacing w:w="0" w:type="dxa"/>
        </w:trPr>
        <w:tc>
          <w:tcPr>
            <w:tcW w:w="960" w:type="pct"/>
            <w:shd w:val="clear" w:color="auto" w:fill="D0CECE" w:themeFill="background2" w:themeFillShade="E6"/>
            <w:vAlign w:val="center"/>
            <w:hideMark/>
          </w:tcPr>
          <w:p w14:paraId="2C521795" w14:textId="1958BD6E" w:rsidR="00A06389" w:rsidRPr="002A4286" w:rsidRDefault="00A06389" w:rsidP="00F7543C">
            <w:pPr>
              <w:keepNext/>
              <w:spacing w:before="120" w:after="120" w:line="312" w:lineRule="auto"/>
              <w:jc w:val="center"/>
              <w:textAlignment w:val="baseline"/>
              <w:rPr>
                <w:rFonts w:eastAsia="Times New Roman" w:cstheme="minorHAnsi"/>
                <w:color w:val="333333"/>
                <w:sz w:val="20"/>
                <w:szCs w:val="20"/>
                <w:lang w:eastAsia="en-AU"/>
              </w:rPr>
            </w:pPr>
            <w:r w:rsidRPr="00CE0A73">
              <w:rPr>
                <w:rFonts w:ascii="inherit" w:eastAsia="Times New Roman" w:hAnsi="inherit" w:cs="Arial"/>
                <w:noProof/>
                <w:color w:val="333333"/>
                <w:sz w:val="24"/>
                <w:szCs w:val="24"/>
                <w:lang w:eastAsia="en-AU"/>
              </w:rPr>
              <w:drawing>
                <wp:inline distT="0" distB="0" distL="0" distR="0" wp14:anchorId="7C67D68F" wp14:editId="369F3598">
                  <wp:extent cx="381000" cy="390525"/>
                  <wp:effectExtent l="0" t="0" r="0" b="9525"/>
                  <wp:docPr id="24" name="Picture 24" descr="Icon for 'Indirec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con for 'Indirect meas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909" w:type="pct"/>
            <w:shd w:val="clear" w:color="auto" w:fill="D0CECE" w:themeFill="background2" w:themeFillShade="E6"/>
            <w:hideMark/>
          </w:tcPr>
          <w:p w14:paraId="62EEE378" w14:textId="77777777" w:rsidR="00A06389" w:rsidRDefault="00A06389" w:rsidP="00F7543C">
            <w:pPr>
              <w:keepNext/>
              <w:spacing w:before="120" w:after="120" w:line="312" w:lineRule="auto"/>
              <w:rPr>
                <w:rFonts w:eastAsia="Times New Roman" w:cstheme="minorHAnsi"/>
                <w:color w:val="333333"/>
                <w:sz w:val="20"/>
                <w:szCs w:val="20"/>
                <w:lang w:eastAsia="en-AU"/>
              </w:rPr>
            </w:pPr>
          </w:p>
          <w:p w14:paraId="645F837F" w14:textId="23B49CC4" w:rsidR="00A06389" w:rsidRPr="002A4286" w:rsidRDefault="00A06389" w:rsidP="00F7543C">
            <w:pPr>
              <w:keepNext/>
              <w:spacing w:before="120" w:after="120" w:line="312" w:lineRule="auto"/>
              <w:rPr>
                <w:rFonts w:eastAsia="Times New Roman" w:cstheme="minorHAnsi"/>
                <w:color w:val="333333"/>
                <w:sz w:val="20"/>
                <w:szCs w:val="20"/>
                <w:lang w:eastAsia="en-AU"/>
              </w:rPr>
            </w:pPr>
            <w:r>
              <w:rPr>
                <w:rFonts w:eastAsia="Times New Roman" w:cstheme="minorHAnsi"/>
                <w:color w:val="333333"/>
                <w:sz w:val="20"/>
                <w:szCs w:val="20"/>
                <w:lang w:eastAsia="en-AU"/>
              </w:rPr>
              <w:t>Indirect</w:t>
            </w:r>
            <w:r w:rsidRPr="002A4286">
              <w:rPr>
                <w:rFonts w:eastAsia="Times New Roman" w:cstheme="minorHAnsi"/>
                <w:color w:val="333333"/>
                <w:sz w:val="20"/>
                <w:szCs w:val="20"/>
                <w:lang w:eastAsia="en-AU"/>
              </w:rPr>
              <w:t xml:space="preserve"> measure</w:t>
            </w:r>
          </w:p>
        </w:tc>
        <w:tc>
          <w:tcPr>
            <w:tcW w:w="3131" w:type="pct"/>
            <w:shd w:val="clear" w:color="auto" w:fill="D0CECE" w:themeFill="background2" w:themeFillShade="E6"/>
            <w:hideMark/>
          </w:tcPr>
          <w:p w14:paraId="43E9FD93" w14:textId="04D7B062" w:rsidR="00A06389" w:rsidRPr="002A4286" w:rsidRDefault="00A06389" w:rsidP="00F7543C">
            <w:pPr>
              <w:keepNext/>
              <w:spacing w:before="120" w:after="120" w:line="312" w:lineRule="auto"/>
              <w:rPr>
                <w:rFonts w:eastAsia="Times New Roman" w:cstheme="minorHAnsi"/>
                <w:color w:val="333333"/>
                <w:sz w:val="20"/>
                <w:szCs w:val="20"/>
                <w:lang w:eastAsia="en-AU"/>
              </w:rPr>
            </w:pPr>
            <w:r w:rsidRPr="00854E35">
              <w:rPr>
                <w:rFonts w:eastAsia="Times New Roman" w:cstheme="minorHAnsi"/>
                <w:color w:val="333333"/>
                <w:sz w:val="20"/>
                <w:szCs w:val="20"/>
                <w:lang w:eastAsia="en-AU"/>
              </w:rPr>
              <w:t>An indicator that measures the concept reflected by the theme or element, whil</w:t>
            </w:r>
            <w:r>
              <w:rPr>
                <w:rFonts w:eastAsia="Times New Roman" w:cstheme="minorHAnsi"/>
                <w:color w:val="333333"/>
                <w:sz w:val="20"/>
                <w:szCs w:val="20"/>
                <w:lang w:eastAsia="en-AU"/>
              </w:rPr>
              <w:t>e</w:t>
            </w:r>
            <w:r w:rsidRPr="00854E35">
              <w:rPr>
                <w:rFonts w:eastAsia="Times New Roman" w:cstheme="minorHAnsi"/>
                <w:color w:val="333333"/>
                <w:sz w:val="20"/>
                <w:szCs w:val="20"/>
                <w:lang w:eastAsia="en-AU"/>
              </w:rPr>
              <w:t xml:space="preserve"> being somewhat conceptually separate from the central idea of the theme or element, i.e. a proxy for the idea, rather than</w:t>
            </w:r>
            <w:r>
              <w:rPr>
                <w:rFonts w:eastAsia="Times New Roman" w:cstheme="minorHAnsi"/>
                <w:color w:val="333333"/>
                <w:sz w:val="20"/>
                <w:szCs w:val="20"/>
                <w:lang w:eastAsia="en-AU"/>
              </w:rPr>
              <w:t xml:space="preserve"> a</w:t>
            </w:r>
            <w:r w:rsidRPr="00854E35">
              <w:rPr>
                <w:rFonts w:eastAsia="Times New Roman" w:cstheme="minorHAnsi"/>
                <w:color w:val="333333"/>
                <w:sz w:val="20"/>
                <w:szCs w:val="20"/>
                <w:lang w:eastAsia="en-AU"/>
              </w:rPr>
              <w:t xml:space="preserve"> good conceptual fit (e.g. </w:t>
            </w:r>
            <w:r>
              <w:rPr>
                <w:rFonts w:eastAsia="Times New Roman" w:cstheme="minorHAnsi"/>
                <w:color w:val="333333"/>
                <w:sz w:val="20"/>
                <w:szCs w:val="20"/>
                <w:lang w:eastAsia="en-AU"/>
              </w:rPr>
              <w:t>l</w:t>
            </w:r>
            <w:r w:rsidRPr="00854E35">
              <w:rPr>
                <w:rFonts w:eastAsia="Times New Roman" w:cstheme="minorHAnsi"/>
                <w:color w:val="333333"/>
                <w:sz w:val="20"/>
                <w:szCs w:val="20"/>
                <w:lang w:eastAsia="en-AU"/>
              </w:rPr>
              <w:t xml:space="preserve">ife expectancy for the </w:t>
            </w:r>
            <w:r>
              <w:rPr>
                <w:rFonts w:eastAsia="Times New Roman" w:cstheme="minorHAnsi"/>
                <w:color w:val="333333"/>
                <w:sz w:val="20"/>
                <w:szCs w:val="20"/>
                <w:lang w:eastAsia="en-AU"/>
              </w:rPr>
              <w:t>h</w:t>
            </w:r>
            <w:r w:rsidRPr="00854E35">
              <w:rPr>
                <w:rFonts w:eastAsia="Times New Roman" w:cstheme="minorHAnsi"/>
                <w:color w:val="333333"/>
                <w:sz w:val="20"/>
                <w:szCs w:val="20"/>
                <w:lang w:eastAsia="en-AU"/>
              </w:rPr>
              <w:t>ealth theme</w:t>
            </w:r>
            <w:r>
              <w:rPr>
                <w:rFonts w:eastAsia="Times New Roman" w:cstheme="minorHAnsi"/>
                <w:color w:val="333333"/>
                <w:sz w:val="20"/>
                <w:szCs w:val="20"/>
                <w:lang w:eastAsia="en-AU"/>
              </w:rPr>
              <w:t xml:space="preserve"> – s</w:t>
            </w:r>
            <w:r w:rsidRPr="00854E35">
              <w:rPr>
                <w:rFonts w:eastAsia="Times New Roman" w:cstheme="minorHAnsi"/>
                <w:color w:val="333333"/>
                <w:sz w:val="20"/>
                <w:szCs w:val="20"/>
                <w:lang w:eastAsia="en-AU"/>
              </w:rPr>
              <w:t xml:space="preserve">ocial </w:t>
            </w:r>
            <w:r>
              <w:rPr>
                <w:rFonts w:eastAsia="Times New Roman" w:cstheme="minorHAnsi"/>
                <w:color w:val="333333"/>
                <w:sz w:val="20"/>
                <w:szCs w:val="20"/>
                <w:lang w:eastAsia="en-AU"/>
              </w:rPr>
              <w:t>d</w:t>
            </w:r>
            <w:r w:rsidRPr="00854E35">
              <w:rPr>
                <w:rFonts w:eastAsia="Times New Roman" w:cstheme="minorHAnsi"/>
                <w:color w:val="333333"/>
                <w:sz w:val="20"/>
                <w:szCs w:val="20"/>
                <w:lang w:eastAsia="en-AU"/>
              </w:rPr>
              <w:t>omain)</w:t>
            </w:r>
          </w:p>
        </w:tc>
      </w:tr>
      <w:tr w:rsidR="00A06389" w:rsidRPr="00633F11" w14:paraId="03C85364" w14:textId="77777777" w:rsidTr="00A06389">
        <w:trPr>
          <w:tblCellSpacing w:w="0" w:type="dxa"/>
        </w:trPr>
        <w:tc>
          <w:tcPr>
            <w:tcW w:w="960" w:type="pct"/>
            <w:shd w:val="clear" w:color="auto" w:fill="5D7A38"/>
            <w:vAlign w:val="center"/>
            <w:hideMark/>
          </w:tcPr>
          <w:p w14:paraId="61051AA9" w14:textId="77777777" w:rsidR="00A06389" w:rsidRPr="009251AF" w:rsidRDefault="00A06389" w:rsidP="00560B7C">
            <w:pPr>
              <w:spacing w:before="120" w:after="120" w:line="240" w:lineRule="auto"/>
              <w:ind w:left="142"/>
              <w:textAlignment w:val="baseline"/>
              <w:rPr>
                <w:color w:val="FFFFFF" w:themeColor="background1"/>
                <w:sz w:val="20"/>
              </w:rPr>
            </w:pPr>
            <w:r w:rsidRPr="009251AF">
              <w:rPr>
                <w:b/>
                <w:color w:val="FFFFFF" w:themeColor="background1"/>
                <w:sz w:val="20"/>
              </w:rPr>
              <w:t>Scale diagram</w:t>
            </w:r>
          </w:p>
        </w:tc>
        <w:tc>
          <w:tcPr>
            <w:tcW w:w="909" w:type="pct"/>
            <w:shd w:val="clear" w:color="auto" w:fill="5D7A38"/>
            <w:vAlign w:val="center"/>
            <w:hideMark/>
          </w:tcPr>
          <w:p w14:paraId="1BDC9D96" w14:textId="77777777" w:rsidR="00A06389" w:rsidRPr="009251AF" w:rsidRDefault="00A06389" w:rsidP="00F7543C">
            <w:pPr>
              <w:spacing w:before="120" w:after="120" w:line="240" w:lineRule="auto"/>
              <w:rPr>
                <w:color w:val="FFFFFF" w:themeColor="background1"/>
                <w:sz w:val="20"/>
              </w:rPr>
            </w:pPr>
            <w:r w:rsidRPr="009251AF">
              <w:rPr>
                <w:b/>
                <w:color w:val="FFFFFF" w:themeColor="background1"/>
                <w:sz w:val="20"/>
              </w:rPr>
              <w:t>Quality of data source</w:t>
            </w:r>
          </w:p>
        </w:tc>
        <w:tc>
          <w:tcPr>
            <w:tcW w:w="3131" w:type="pct"/>
            <w:shd w:val="clear" w:color="auto" w:fill="5D7A38"/>
            <w:vAlign w:val="center"/>
            <w:hideMark/>
          </w:tcPr>
          <w:p w14:paraId="1753C564" w14:textId="77777777" w:rsidR="00A06389" w:rsidRPr="009251AF" w:rsidRDefault="00A06389" w:rsidP="00F7543C">
            <w:pPr>
              <w:spacing w:before="120" w:after="120" w:line="240" w:lineRule="auto"/>
              <w:rPr>
                <w:color w:val="FFFFFF" w:themeColor="background1"/>
                <w:sz w:val="20"/>
              </w:rPr>
            </w:pPr>
            <w:r w:rsidRPr="009251AF">
              <w:rPr>
                <w:b/>
                <w:color w:val="FFFFFF" w:themeColor="background1"/>
                <w:sz w:val="20"/>
              </w:rPr>
              <w:t xml:space="preserve">Description </w:t>
            </w:r>
            <w:r>
              <w:rPr>
                <w:rFonts w:eastAsia="Times New Roman" w:cstheme="minorHAnsi"/>
                <w:b/>
                <w:bCs/>
                <w:color w:val="FFFFFF" w:themeColor="background1"/>
                <w:sz w:val="20"/>
                <w:szCs w:val="20"/>
                <w:lang w:eastAsia="en-AU"/>
              </w:rPr>
              <w:t>–</w:t>
            </w:r>
            <w:r w:rsidRPr="009251AF">
              <w:rPr>
                <w:b/>
                <w:color w:val="FFFFFF" w:themeColor="background1"/>
                <w:sz w:val="20"/>
              </w:rPr>
              <w:t xml:space="preserve"> assessment of quality</w:t>
            </w:r>
          </w:p>
        </w:tc>
      </w:tr>
      <w:tr w:rsidR="00A06389" w:rsidRPr="00DC26CE" w14:paraId="118C953D" w14:textId="77777777" w:rsidTr="00A06389">
        <w:trPr>
          <w:tblCellSpacing w:w="0" w:type="dxa"/>
        </w:trPr>
        <w:tc>
          <w:tcPr>
            <w:tcW w:w="960" w:type="pct"/>
            <w:shd w:val="clear" w:color="auto" w:fill="FFFFFF"/>
            <w:hideMark/>
          </w:tcPr>
          <w:p w14:paraId="7014F6DC" w14:textId="77777777" w:rsidR="00A06389" w:rsidRDefault="00A06389" w:rsidP="00A245F6">
            <w:pPr>
              <w:spacing w:after="0" w:line="240" w:lineRule="auto"/>
              <w:jc w:val="center"/>
              <w:textAlignment w:val="baseline"/>
              <w:rPr>
                <w:rFonts w:eastAsia="Times New Roman" w:cstheme="minorHAnsi"/>
                <w:color w:val="333333"/>
                <w:sz w:val="20"/>
                <w:szCs w:val="20"/>
                <w:lang w:eastAsia="en-AU"/>
              </w:rPr>
            </w:pPr>
          </w:p>
          <w:p w14:paraId="1F6F21E9" w14:textId="67457E8E" w:rsidR="00A06389" w:rsidRPr="002A4286" w:rsidRDefault="00A06389" w:rsidP="00A245F6">
            <w:pPr>
              <w:spacing w:after="0" w:line="240" w:lineRule="auto"/>
              <w:jc w:val="center"/>
              <w:textAlignment w:val="baseline"/>
              <w:rPr>
                <w:rFonts w:eastAsia="Times New Roman" w:cstheme="minorHAnsi"/>
                <w:color w:val="333333"/>
                <w:sz w:val="20"/>
                <w:szCs w:val="20"/>
                <w:lang w:eastAsia="en-AU"/>
              </w:rPr>
            </w:pPr>
            <w:r w:rsidRPr="002A4286">
              <w:rPr>
                <w:rFonts w:eastAsia="Times New Roman" w:cstheme="minorHAnsi"/>
                <w:noProof/>
                <w:color w:val="333333"/>
                <w:sz w:val="20"/>
                <w:szCs w:val="20"/>
                <w:lang w:eastAsia="en-AU"/>
              </w:rPr>
              <w:drawing>
                <wp:inline distT="0" distB="0" distL="0" distR="0" wp14:anchorId="781CB26C" wp14:editId="7FF5DBFB">
                  <wp:extent cx="571500" cy="152400"/>
                  <wp:effectExtent l="0" t="0" r="0" b="0"/>
                  <wp:docPr id="319" name="Picture 319" descr="Icon for 'High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con for 'High qualit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tc>
        <w:tc>
          <w:tcPr>
            <w:tcW w:w="909" w:type="pct"/>
            <w:shd w:val="clear" w:color="auto" w:fill="FFFFFF"/>
            <w:hideMark/>
          </w:tcPr>
          <w:p w14:paraId="3F8621E9" w14:textId="77777777" w:rsidR="00A06389" w:rsidRDefault="00A06389" w:rsidP="00A245F6">
            <w:pPr>
              <w:spacing w:after="0" w:line="240" w:lineRule="auto"/>
              <w:rPr>
                <w:rFonts w:eastAsia="Times New Roman" w:cstheme="minorHAnsi"/>
                <w:color w:val="333333"/>
                <w:sz w:val="20"/>
                <w:szCs w:val="20"/>
                <w:lang w:eastAsia="en-AU"/>
              </w:rPr>
            </w:pPr>
          </w:p>
          <w:p w14:paraId="0574BC64" w14:textId="24508189" w:rsidR="00A06389" w:rsidRPr="002A4286" w:rsidRDefault="00A06389" w:rsidP="00A245F6">
            <w:pPr>
              <w:spacing w:after="0" w:line="240"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High quality</w:t>
            </w:r>
          </w:p>
        </w:tc>
        <w:tc>
          <w:tcPr>
            <w:tcW w:w="3131" w:type="pct"/>
            <w:shd w:val="clear" w:color="auto" w:fill="FFFFFF"/>
            <w:hideMark/>
          </w:tcPr>
          <w:p w14:paraId="4E28E2AB" w14:textId="77777777" w:rsidR="00A06389" w:rsidRPr="002A4286" w:rsidRDefault="00A06389" w:rsidP="00F7543C">
            <w:pPr>
              <w:spacing w:before="120" w:after="120" w:line="312"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The data source rates highly in terms of reliability, currency and methodology</w:t>
            </w:r>
          </w:p>
        </w:tc>
      </w:tr>
      <w:tr w:rsidR="00A06389" w:rsidRPr="00DC26CE" w14:paraId="0C78067C" w14:textId="77777777" w:rsidTr="00A06389">
        <w:trPr>
          <w:tblCellSpacing w:w="0" w:type="dxa"/>
        </w:trPr>
        <w:tc>
          <w:tcPr>
            <w:tcW w:w="960" w:type="pct"/>
            <w:shd w:val="clear" w:color="auto" w:fill="D0CECE" w:themeFill="background2" w:themeFillShade="E6"/>
            <w:hideMark/>
          </w:tcPr>
          <w:p w14:paraId="4D15EFEF" w14:textId="77777777" w:rsidR="00A06389" w:rsidRDefault="00A06389" w:rsidP="00A245F6">
            <w:pPr>
              <w:spacing w:after="0" w:line="240" w:lineRule="auto"/>
              <w:jc w:val="center"/>
              <w:textAlignment w:val="baseline"/>
              <w:rPr>
                <w:rFonts w:eastAsia="Times New Roman" w:cstheme="minorHAnsi"/>
                <w:color w:val="333333"/>
                <w:sz w:val="20"/>
                <w:szCs w:val="20"/>
                <w:lang w:eastAsia="en-AU"/>
              </w:rPr>
            </w:pPr>
          </w:p>
          <w:p w14:paraId="3557A2DA" w14:textId="6F4F37A0" w:rsidR="00A06389" w:rsidRPr="002A4286" w:rsidRDefault="00A06389" w:rsidP="00A245F6">
            <w:pPr>
              <w:spacing w:after="0" w:line="240" w:lineRule="auto"/>
              <w:jc w:val="center"/>
              <w:textAlignment w:val="baseline"/>
              <w:rPr>
                <w:rFonts w:eastAsia="Times New Roman" w:cstheme="minorHAnsi"/>
                <w:color w:val="333333"/>
                <w:sz w:val="20"/>
                <w:szCs w:val="20"/>
                <w:lang w:eastAsia="en-AU"/>
              </w:rPr>
            </w:pPr>
            <w:r w:rsidRPr="002A4286">
              <w:rPr>
                <w:rFonts w:eastAsia="Times New Roman" w:cstheme="minorHAnsi"/>
                <w:noProof/>
                <w:color w:val="333333"/>
                <w:sz w:val="20"/>
                <w:szCs w:val="20"/>
                <w:lang w:eastAsia="en-AU"/>
              </w:rPr>
              <w:drawing>
                <wp:inline distT="0" distB="0" distL="0" distR="0" wp14:anchorId="3D95EB72" wp14:editId="3B7637C6">
                  <wp:extent cx="571500" cy="161925"/>
                  <wp:effectExtent l="0" t="0" r="0" b="9525"/>
                  <wp:docPr id="321" name="Picture 321" descr="Icon for 'Acceptable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con for 'Acceptable quality'"/>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161925"/>
                          </a:xfrm>
                          <a:prstGeom prst="rect">
                            <a:avLst/>
                          </a:prstGeom>
                          <a:noFill/>
                          <a:ln>
                            <a:noFill/>
                          </a:ln>
                        </pic:spPr>
                      </pic:pic>
                    </a:graphicData>
                  </a:graphic>
                </wp:inline>
              </w:drawing>
            </w:r>
          </w:p>
        </w:tc>
        <w:tc>
          <w:tcPr>
            <w:tcW w:w="909" w:type="pct"/>
            <w:shd w:val="clear" w:color="auto" w:fill="D0CECE" w:themeFill="background2" w:themeFillShade="E6"/>
            <w:hideMark/>
          </w:tcPr>
          <w:p w14:paraId="1980753D" w14:textId="77777777" w:rsidR="00A06389" w:rsidRDefault="00A06389" w:rsidP="00A245F6">
            <w:pPr>
              <w:spacing w:after="0" w:line="240" w:lineRule="auto"/>
              <w:rPr>
                <w:rFonts w:eastAsia="Times New Roman" w:cstheme="minorHAnsi"/>
                <w:color w:val="333333"/>
                <w:sz w:val="20"/>
                <w:szCs w:val="20"/>
                <w:lang w:eastAsia="en-AU"/>
              </w:rPr>
            </w:pPr>
          </w:p>
          <w:p w14:paraId="7E0F61E1" w14:textId="17CFC9E1" w:rsidR="00A06389" w:rsidRPr="002A4286" w:rsidRDefault="00A06389" w:rsidP="00A245F6">
            <w:pPr>
              <w:spacing w:after="0" w:line="240"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Acceptable quality</w:t>
            </w:r>
          </w:p>
        </w:tc>
        <w:tc>
          <w:tcPr>
            <w:tcW w:w="3131" w:type="pct"/>
            <w:shd w:val="clear" w:color="auto" w:fill="D0CECE" w:themeFill="background2" w:themeFillShade="E6"/>
            <w:hideMark/>
          </w:tcPr>
          <w:p w14:paraId="1C3A87CA" w14:textId="77777777" w:rsidR="00A06389" w:rsidRPr="002A4286" w:rsidRDefault="00A06389" w:rsidP="00F7543C">
            <w:pPr>
              <w:spacing w:before="120" w:after="120" w:line="312"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The data source is acceptable in terms of reliability, currency and methodology</w:t>
            </w:r>
          </w:p>
        </w:tc>
      </w:tr>
      <w:tr w:rsidR="00A06389" w:rsidRPr="00DC26CE" w14:paraId="596A570A" w14:textId="77777777" w:rsidTr="00A06389">
        <w:trPr>
          <w:tblCellSpacing w:w="0" w:type="dxa"/>
        </w:trPr>
        <w:tc>
          <w:tcPr>
            <w:tcW w:w="960" w:type="pct"/>
            <w:shd w:val="clear" w:color="auto" w:fill="FFFFFF"/>
            <w:hideMark/>
          </w:tcPr>
          <w:p w14:paraId="3C124792" w14:textId="77777777" w:rsidR="00A06389" w:rsidRDefault="00A06389" w:rsidP="00A245F6">
            <w:pPr>
              <w:spacing w:after="0" w:line="240" w:lineRule="auto"/>
              <w:jc w:val="center"/>
              <w:textAlignment w:val="baseline"/>
              <w:rPr>
                <w:rFonts w:eastAsia="Times New Roman" w:cstheme="minorHAnsi"/>
                <w:color w:val="333333"/>
                <w:sz w:val="20"/>
                <w:szCs w:val="20"/>
                <w:lang w:eastAsia="en-AU"/>
              </w:rPr>
            </w:pPr>
          </w:p>
          <w:p w14:paraId="494C25FE" w14:textId="5DA27293" w:rsidR="00A06389" w:rsidRPr="002A4286" w:rsidRDefault="00A06389" w:rsidP="00A245F6">
            <w:pPr>
              <w:spacing w:after="0" w:line="240" w:lineRule="auto"/>
              <w:jc w:val="center"/>
              <w:textAlignment w:val="baseline"/>
              <w:rPr>
                <w:rFonts w:eastAsia="Times New Roman" w:cstheme="minorHAnsi"/>
                <w:color w:val="333333"/>
                <w:sz w:val="20"/>
                <w:szCs w:val="20"/>
                <w:lang w:eastAsia="en-AU"/>
              </w:rPr>
            </w:pPr>
            <w:r w:rsidRPr="002A4286">
              <w:rPr>
                <w:rFonts w:eastAsia="Times New Roman" w:cstheme="minorHAnsi"/>
                <w:noProof/>
                <w:color w:val="333333"/>
                <w:sz w:val="20"/>
                <w:szCs w:val="20"/>
                <w:lang w:eastAsia="en-AU"/>
              </w:rPr>
              <w:drawing>
                <wp:inline distT="0" distB="0" distL="0" distR="0" wp14:anchorId="1AC48E0B" wp14:editId="0189F612">
                  <wp:extent cx="571500" cy="171450"/>
                  <wp:effectExtent l="0" t="0" r="0" b="0"/>
                  <wp:docPr id="323" name="Picture 323" descr="Icon for 'Limited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 for 'Limited qualit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500" cy="171450"/>
                          </a:xfrm>
                          <a:prstGeom prst="rect">
                            <a:avLst/>
                          </a:prstGeom>
                          <a:noFill/>
                          <a:ln>
                            <a:noFill/>
                          </a:ln>
                        </pic:spPr>
                      </pic:pic>
                    </a:graphicData>
                  </a:graphic>
                </wp:inline>
              </w:drawing>
            </w:r>
          </w:p>
        </w:tc>
        <w:tc>
          <w:tcPr>
            <w:tcW w:w="909" w:type="pct"/>
            <w:shd w:val="clear" w:color="auto" w:fill="FFFFFF"/>
            <w:hideMark/>
          </w:tcPr>
          <w:p w14:paraId="56FBF9BB" w14:textId="77777777" w:rsidR="00A06389" w:rsidRDefault="00A06389" w:rsidP="00A245F6">
            <w:pPr>
              <w:spacing w:after="0" w:line="240" w:lineRule="auto"/>
              <w:rPr>
                <w:rFonts w:eastAsia="Times New Roman" w:cstheme="minorHAnsi"/>
                <w:color w:val="333333"/>
                <w:sz w:val="20"/>
                <w:szCs w:val="20"/>
                <w:lang w:eastAsia="en-AU"/>
              </w:rPr>
            </w:pPr>
          </w:p>
          <w:p w14:paraId="095A6B4D" w14:textId="701E56FC" w:rsidR="00A06389" w:rsidRPr="002A4286" w:rsidRDefault="00A06389" w:rsidP="00A245F6">
            <w:pPr>
              <w:spacing w:after="0" w:line="240"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Limited quality</w:t>
            </w:r>
          </w:p>
        </w:tc>
        <w:tc>
          <w:tcPr>
            <w:tcW w:w="3131" w:type="pct"/>
            <w:shd w:val="clear" w:color="auto" w:fill="FFFFFF"/>
            <w:hideMark/>
          </w:tcPr>
          <w:p w14:paraId="7A16D806" w14:textId="77777777" w:rsidR="00A06389" w:rsidRPr="002A4286" w:rsidRDefault="00A06389" w:rsidP="00F7543C">
            <w:pPr>
              <w:spacing w:before="120" w:after="120" w:line="312" w:lineRule="auto"/>
              <w:rPr>
                <w:rFonts w:eastAsia="Times New Roman" w:cstheme="minorHAnsi"/>
                <w:color w:val="333333"/>
                <w:sz w:val="20"/>
                <w:szCs w:val="20"/>
                <w:lang w:eastAsia="en-AU"/>
              </w:rPr>
            </w:pPr>
            <w:r w:rsidRPr="002A4286">
              <w:rPr>
                <w:rFonts w:eastAsia="Times New Roman" w:cstheme="minorHAnsi"/>
                <w:color w:val="333333"/>
                <w:sz w:val="20"/>
                <w:szCs w:val="20"/>
                <w:lang w:eastAsia="en-AU"/>
              </w:rPr>
              <w:t>The data source is of limited quality in terms of reliability, currency and methodology</w:t>
            </w:r>
          </w:p>
        </w:tc>
      </w:tr>
    </w:tbl>
    <w:p w14:paraId="5F99F405" w14:textId="61965C38" w:rsidR="00A2228A" w:rsidRDefault="00A2228A" w:rsidP="001C37AB">
      <w:pPr>
        <w:pStyle w:val="SourceandNotes"/>
      </w:pPr>
      <w:r>
        <w:t xml:space="preserve">Source: </w:t>
      </w:r>
      <w:hyperlink r:id="rId73" w:history="1">
        <w:r>
          <w:rPr>
            <w:rStyle w:val="Hyperlink"/>
          </w:rPr>
          <w:t>1370.0.00.003</w:t>
        </w:r>
        <w:r w:rsidR="00F8391B">
          <w:rPr>
            <w:rStyle w:val="Hyperlink"/>
          </w:rPr>
          <w:t xml:space="preserve"> – </w:t>
        </w:r>
        <w:r>
          <w:rPr>
            <w:rStyle w:val="Hyperlink"/>
          </w:rPr>
          <w:t>Information Paper: Measures of Australia</w:t>
        </w:r>
        <w:r w:rsidR="00F8391B">
          <w:rPr>
            <w:rStyle w:val="Hyperlink"/>
          </w:rPr>
          <w:t>’</w:t>
        </w:r>
        <w:r>
          <w:rPr>
            <w:rStyle w:val="Hyperlink"/>
          </w:rPr>
          <w:t>s Progress Proposed Statistical Indicators, 2013 (abs.gov.au)</w:t>
        </w:r>
      </w:hyperlink>
    </w:p>
    <w:p w14:paraId="187211D5" w14:textId="77777777" w:rsidR="00871E10" w:rsidRDefault="00871E10" w:rsidP="00A60DBE"/>
    <w:p w14:paraId="021A135E" w14:textId="69C728B8" w:rsidR="00871E10" w:rsidRDefault="00871E10" w:rsidP="00A60DBE">
      <w:pPr>
        <w:sectPr w:rsidR="00871E10" w:rsidSect="003F3CFA">
          <w:headerReference w:type="default" r:id="rId74"/>
          <w:pgSz w:w="11906" w:h="16838"/>
          <w:pgMar w:top="1560" w:right="1440" w:bottom="1440" w:left="1440" w:header="0" w:footer="708" w:gutter="0"/>
          <w:cols w:space="708"/>
          <w:docGrid w:linePitch="360"/>
        </w:sectPr>
      </w:pPr>
    </w:p>
    <w:p w14:paraId="71BD0DE0" w14:textId="0DB5CBC8" w:rsidR="00EB3A4E" w:rsidRDefault="00EB3A4E" w:rsidP="00CD7319">
      <w:pPr>
        <w:pStyle w:val="Caption"/>
        <w:keepNext/>
      </w:pPr>
      <w:bookmarkStart w:id="3700" w:name="_Ref120183507"/>
      <w:bookmarkStart w:id="3701" w:name="_Toc132647791"/>
      <w:bookmarkStart w:id="3702" w:name="_Toc145877306"/>
      <w:r>
        <w:lastRenderedPageBreak/>
        <w:t xml:space="preserve">Table </w:t>
      </w:r>
      <w:r w:rsidR="00BE71D4">
        <w:fldChar w:fldCharType="begin"/>
      </w:r>
      <w:r w:rsidR="00BE71D4">
        <w:instrText xml:space="preserve"> SEQ Table \* ARABIC </w:instrText>
      </w:r>
      <w:r w:rsidR="00BE71D4">
        <w:fldChar w:fldCharType="separate"/>
      </w:r>
      <w:r w:rsidR="00180E14">
        <w:rPr>
          <w:noProof/>
        </w:rPr>
        <w:t>17</w:t>
      </w:r>
      <w:r w:rsidR="00BE71D4">
        <w:rPr>
          <w:noProof/>
        </w:rPr>
        <w:fldChar w:fldCharType="end"/>
      </w:r>
      <w:bookmarkEnd w:id="3700"/>
      <w:r>
        <w:t xml:space="preserve">: </w:t>
      </w:r>
      <w:r w:rsidRPr="0027630B">
        <w:t xml:space="preserve">Summary of </w:t>
      </w:r>
      <w:r>
        <w:t>expected benefits</w:t>
      </w:r>
      <w:r w:rsidRPr="0027630B">
        <w:t xml:space="preserve"> attributable to TtW, calculations and data sources</w:t>
      </w:r>
      <w:bookmarkEnd w:id="3701"/>
      <w:bookmarkEnd w:id="3702"/>
    </w:p>
    <w:tbl>
      <w:tblPr>
        <w:tblStyle w:val="TtWReportTableTemplate2"/>
        <w:tblW w:w="13832" w:type="dxa"/>
        <w:tblLook w:val="04A0" w:firstRow="1" w:lastRow="0" w:firstColumn="1" w:lastColumn="0" w:noHBand="0" w:noVBand="1"/>
      </w:tblPr>
      <w:tblGrid>
        <w:gridCol w:w="2554"/>
        <w:gridCol w:w="3004"/>
        <w:gridCol w:w="3798"/>
        <w:gridCol w:w="992"/>
        <w:gridCol w:w="1134"/>
        <w:gridCol w:w="2350"/>
      </w:tblGrid>
      <w:tr w:rsidR="00854E35" w:rsidRPr="00BA759C" w14:paraId="76F18BC5" w14:textId="77777777" w:rsidTr="009C6B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5D7A38"/>
            <w:vAlign w:val="center"/>
          </w:tcPr>
          <w:p w14:paraId="0DBEDE79" w14:textId="1F053B0E" w:rsidR="00EB3A4E" w:rsidRPr="00BA759C" w:rsidRDefault="00EB3A4E" w:rsidP="009251AF">
            <w:r>
              <w:t>Expected benefits</w:t>
            </w:r>
          </w:p>
        </w:tc>
        <w:tc>
          <w:tcPr>
            <w:tcW w:w="0" w:type="dxa"/>
            <w:shd w:val="clear" w:color="auto" w:fill="5D7A38"/>
            <w:vAlign w:val="center"/>
          </w:tcPr>
          <w:p w14:paraId="6E698399" w14:textId="4CF62AEC" w:rsidR="00EB3A4E" w:rsidRPr="00BA759C" w:rsidRDefault="000F67D4" w:rsidP="009251AF">
            <w:pPr>
              <w:cnfStyle w:val="100000000000" w:firstRow="1" w:lastRow="0" w:firstColumn="0" w:lastColumn="0" w:oddVBand="0" w:evenVBand="0" w:oddHBand="0" w:evenHBand="0" w:firstRowFirstColumn="0" w:firstRowLastColumn="0" w:lastRowFirstColumn="0" w:lastRowLastColumn="0"/>
            </w:pPr>
            <w:r>
              <w:t>Actual benefit</w:t>
            </w:r>
          </w:p>
        </w:tc>
        <w:tc>
          <w:tcPr>
            <w:tcW w:w="0" w:type="dxa"/>
            <w:shd w:val="clear" w:color="auto" w:fill="5D7A38"/>
            <w:vAlign w:val="center"/>
          </w:tcPr>
          <w:p w14:paraId="60EA74E6" w14:textId="605CA828" w:rsidR="00EB3A4E" w:rsidRPr="00BA759C" w:rsidRDefault="00EB3A4E" w:rsidP="00560B7C">
            <w:pPr>
              <w:spacing w:before="60" w:after="120"/>
              <w:cnfStyle w:val="100000000000" w:firstRow="1" w:lastRow="0" w:firstColumn="0" w:lastColumn="0" w:oddVBand="0" w:evenVBand="0" w:oddHBand="0" w:evenHBand="0" w:firstRowFirstColumn="0" w:firstRowLastColumn="0" w:lastRowFirstColumn="0" w:lastRowLastColumn="0"/>
            </w:pPr>
            <w:r w:rsidRPr="00BA759C">
              <w:t xml:space="preserve">Calculation of the value of the change attributed to TtW (difference between </w:t>
            </w:r>
            <w:r w:rsidR="000F67D4">
              <w:t>benefit</w:t>
            </w:r>
            <w:r w:rsidR="00A83AAD">
              <w:t>s</w:t>
            </w:r>
            <w:r w:rsidRPr="00BA759C">
              <w:t xml:space="preserve"> for TtW and comparison group) </w:t>
            </w:r>
          </w:p>
        </w:tc>
        <w:tc>
          <w:tcPr>
            <w:tcW w:w="0" w:type="dxa"/>
            <w:shd w:val="clear" w:color="auto" w:fill="5D7A38"/>
            <w:vAlign w:val="center"/>
          </w:tcPr>
          <w:p w14:paraId="1D938030" w14:textId="376E7E94" w:rsidR="00C4392F" w:rsidRDefault="00EB3A4E" w:rsidP="009251AF">
            <w:pPr>
              <w:cnfStyle w:val="100000000000" w:firstRow="1" w:lastRow="0" w:firstColumn="0" w:lastColumn="0" w:oddVBand="0" w:evenVBand="0" w:oddHBand="0" w:evenHBand="0" w:firstRowFirstColumn="0" w:firstRowLastColumn="0" w:lastRowFirstColumn="0" w:lastRowLastColumn="0"/>
            </w:pPr>
            <w:r>
              <w:t>Type of indicator</w:t>
            </w:r>
          </w:p>
        </w:tc>
        <w:tc>
          <w:tcPr>
            <w:tcW w:w="0" w:type="dxa"/>
            <w:shd w:val="clear" w:color="auto" w:fill="5D7A38"/>
            <w:vAlign w:val="center"/>
          </w:tcPr>
          <w:p w14:paraId="3EA962BE" w14:textId="5DAC023D" w:rsidR="00EB3A4E" w:rsidRPr="00BA759C" w:rsidRDefault="00EB3A4E" w:rsidP="00560B7C">
            <w:pPr>
              <w:spacing w:before="60" w:after="120"/>
              <w:cnfStyle w:val="100000000000" w:firstRow="1" w:lastRow="0" w:firstColumn="0" w:lastColumn="0" w:oddVBand="0" w:evenVBand="0" w:oddHBand="0" w:evenHBand="0" w:firstRowFirstColumn="0" w:firstRowLastColumn="0" w:lastRowFirstColumn="0" w:lastRowLastColumn="0"/>
            </w:pPr>
            <w:r>
              <w:t>Quality of data</w:t>
            </w:r>
            <w:r w:rsidR="0030149A">
              <w:t xml:space="preserve"> </w:t>
            </w:r>
            <w:r>
              <w:t>source</w:t>
            </w:r>
          </w:p>
        </w:tc>
        <w:tc>
          <w:tcPr>
            <w:tcW w:w="0" w:type="dxa"/>
            <w:shd w:val="clear" w:color="auto" w:fill="5D7A38"/>
            <w:vAlign w:val="center"/>
          </w:tcPr>
          <w:p w14:paraId="033DDA6F" w14:textId="77777777" w:rsidR="00EB3A4E" w:rsidRPr="00BA759C" w:rsidRDefault="00EB3A4E" w:rsidP="009251AF">
            <w:pPr>
              <w:cnfStyle w:val="100000000000" w:firstRow="1" w:lastRow="0" w:firstColumn="0" w:lastColumn="0" w:oddVBand="0" w:evenVBand="0" w:oddHBand="0" w:evenHBand="0" w:firstRowFirstColumn="0" w:firstRowLastColumn="0" w:lastRowFirstColumn="0" w:lastRowLastColumn="0"/>
            </w:pPr>
            <w:r w:rsidRPr="00BA759C">
              <w:t>Source</w:t>
            </w:r>
          </w:p>
        </w:tc>
      </w:tr>
      <w:tr w:rsidR="00854E35" w:rsidRPr="00BA759C" w14:paraId="24E511E8" w14:textId="77777777" w:rsidTr="00897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38393070" w14:textId="1AD98377" w:rsidR="00EB3A4E" w:rsidRPr="00BA759C" w:rsidRDefault="00EB3A4E" w:rsidP="00897071">
            <w:pPr>
              <w:pStyle w:val="ListParagraph"/>
              <w:keepNext/>
              <w:spacing w:line="276" w:lineRule="auto"/>
              <w:ind w:left="37"/>
              <w:contextualSpacing w:val="0"/>
            </w:pPr>
            <w:r>
              <w:rPr>
                <w:bCs/>
              </w:rPr>
              <w:t xml:space="preserve">Improved employment, </w:t>
            </w:r>
            <w:r w:rsidRPr="003C745E">
              <w:t>w</w:t>
            </w:r>
            <w:r w:rsidRPr="00F80281">
              <w:t>i</w:t>
            </w:r>
            <w:r w:rsidRPr="0075668B">
              <w:t>th resultant increased earnings and reduced unemployment</w:t>
            </w:r>
          </w:p>
        </w:tc>
        <w:tc>
          <w:tcPr>
            <w:tcW w:w="3004" w:type="dxa"/>
          </w:tcPr>
          <w:p w14:paraId="0503F7A2" w14:textId="3CA1D10B" w:rsidR="00EB3A4E" w:rsidRDefault="00EB3A4E" w:rsidP="00897071">
            <w:pPr>
              <w:spacing w:after="120"/>
              <w:cnfStyle w:val="000000100000" w:firstRow="0" w:lastRow="0" w:firstColumn="0" w:lastColumn="0" w:oddVBand="0" w:evenVBand="0" w:oddHBand="1" w:evenHBand="0" w:firstRowFirstColumn="0" w:firstRowLastColumn="0" w:lastRowFirstColumn="0" w:lastRowLastColumn="0"/>
            </w:pPr>
            <w:r>
              <w:t xml:space="preserve">No statistical difference in employment </w:t>
            </w:r>
            <w:r w:rsidR="0017410A">
              <w:t xml:space="preserve">outcomes </w:t>
            </w:r>
            <w:r>
              <w:t>between TtW and jobactive participants at 36 or 48 months</w:t>
            </w:r>
          </w:p>
          <w:p w14:paraId="043FA526" w14:textId="26DD711C" w:rsidR="00EB3A4E" w:rsidRDefault="00EB3A4E" w:rsidP="009251AF">
            <w:pPr>
              <w:spacing w:after="120"/>
              <w:cnfStyle w:val="000000100000" w:firstRow="0" w:lastRow="0" w:firstColumn="0" w:lastColumn="0" w:oddVBand="0" w:evenVBand="0" w:oddHBand="1" w:evenHBand="0" w:firstRowFirstColumn="0" w:firstRowLastColumn="0" w:lastRowFirstColumn="0" w:lastRowLastColumn="0"/>
            </w:pPr>
            <w:r>
              <w:t xml:space="preserve">It is not clear if TtW has any impact on the </w:t>
            </w:r>
            <w:r w:rsidR="00FC40A8">
              <w:t xml:space="preserve">type or sustainability </w:t>
            </w:r>
            <w:r>
              <w:t>of employment</w:t>
            </w:r>
          </w:p>
        </w:tc>
        <w:tc>
          <w:tcPr>
            <w:tcW w:w="3798" w:type="dxa"/>
          </w:tcPr>
          <w:p w14:paraId="18AF4520" w14:textId="1848F80C" w:rsidR="00EB3A4E" w:rsidRDefault="00EB3A4E" w:rsidP="00897071">
            <w:pPr>
              <w:keepNext/>
              <w:spacing w:after="120"/>
              <w:cnfStyle w:val="000000100000" w:firstRow="0" w:lastRow="0" w:firstColumn="0" w:lastColumn="0" w:oddVBand="0" w:evenVBand="0" w:oddHBand="1" w:evenHBand="0" w:firstRowFirstColumn="0" w:firstRowLastColumn="0" w:lastRowFirstColumn="0" w:lastRowLastColumn="0"/>
            </w:pPr>
            <w:r>
              <w:t>Difference in number of participants exiting income support for an employment</w:t>
            </w:r>
            <w:r w:rsidR="00A83AAD">
              <w:t>-</w:t>
            </w:r>
            <w:r>
              <w:t>related reason or reducing their reliance on income support</w:t>
            </w:r>
          </w:p>
          <w:p w14:paraId="16FB9772" w14:textId="4F6A1172" w:rsidR="00EB3A4E" w:rsidRPr="00BA759C" w:rsidRDefault="00EB3A4E" w:rsidP="00897071">
            <w:pPr>
              <w:spacing w:after="120"/>
              <w:cnfStyle w:val="000000100000" w:firstRow="0" w:lastRow="0" w:firstColumn="0" w:lastColumn="0" w:oddVBand="0" w:evenVBand="0" w:oddHBand="1" w:evenHBand="0" w:firstRowFirstColumn="0" w:firstRowLastColumn="0" w:lastRowFirstColumn="0" w:lastRowLastColumn="0"/>
            </w:pPr>
            <w:r>
              <w:t>Comparison between TtW and jobactive participants</w:t>
            </w:r>
          </w:p>
        </w:tc>
        <w:tc>
          <w:tcPr>
            <w:tcW w:w="992" w:type="dxa"/>
          </w:tcPr>
          <w:p w14:paraId="4CEDBA71" w14:textId="77777777" w:rsidR="00EB3A4E" w:rsidRPr="00CE0A73" w:rsidRDefault="00EB3A4E" w:rsidP="00560B7C">
            <w:pPr>
              <w:spacing w:before="240"/>
              <w:jc w:val="center"/>
              <w:cnfStyle w:val="000000100000" w:firstRow="0" w:lastRow="0" w:firstColumn="0" w:lastColumn="0" w:oddVBand="0" w:evenVBand="0" w:oddHBand="1" w:evenHBand="0" w:firstRowFirstColumn="0" w:firstRowLastColumn="0" w:lastRowFirstColumn="0" w:lastRowLastColumn="0"/>
              <w:rPr>
                <w:rFonts w:ascii="inherit" w:eastAsia="Times New Roman" w:hAnsi="inherit" w:cs="Arial"/>
                <w:noProof/>
                <w:color w:val="333333"/>
                <w:sz w:val="24"/>
                <w:szCs w:val="24"/>
                <w:lang w:eastAsia="en-AU"/>
              </w:rPr>
            </w:pPr>
            <w:r w:rsidRPr="00CE0A73">
              <w:rPr>
                <w:rFonts w:ascii="inherit" w:eastAsia="Times New Roman" w:hAnsi="inherit" w:cs="Arial"/>
                <w:noProof/>
                <w:color w:val="333333"/>
                <w:sz w:val="24"/>
                <w:szCs w:val="24"/>
                <w:lang w:eastAsia="en-AU"/>
              </w:rPr>
              <w:drawing>
                <wp:inline distT="0" distB="0" distL="0" distR="0" wp14:anchorId="02ECC9ED" wp14:editId="510B3801">
                  <wp:extent cx="381000" cy="390525"/>
                  <wp:effectExtent l="0" t="0" r="0" b="9525"/>
                  <wp:docPr id="77" name="Picture 77" descr="Icon for 'Partial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con for 'Partial meas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1134" w:type="dxa"/>
          </w:tcPr>
          <w:p w14:paraId="57166C92" w14:textId="77777777" w:rsidR="00EB3A4E" w:rsidRPr="00CE0A73" w:rsidRDefault="00EB3A4E" w:rsidP="00560B7C">
            <w:pPr>
              <w:spacing w:before="240"/>
              <w:jc w:val="center"/>
              <w:cnfStyle w:val="000000100000" w:firstRow="0" w:lastRow="0" w:firstColumn="0" w:lastColumn="0" w:oddVBand="0" w:evenVBand="0" w:oddHBand="1" w:evenHBand="0" w:firstRowFirstColumn="0" w:firstRowLastColumn="0" w:lastRowFirstColumn="0" w:lastRowLastColumn="0"/>
              <w:rPr>
                <w:rFonts w:ascii="inherit" w:eastAsia="Times New Roman" w:hAnsi="inherit" w:cs="Arial"/>
                <w:noProof/>
                <w:color w:val="333333"/>
                <w:sz w:val="24"/>
                <w:szCs w:val="24"/>
                <w:lang w:eastAsia="en-AU"/>
              </w:rPr>
            </w:pPr>
            <w:r w:rsidRPr="00CE0A73">
              <w:rPr>
                <w:rFonts w:ascii="inherit" w:eastAsia="Times New Roman" w:hAnsi="inherit" w:cs="Arial"/>
                <w:noProof/>
                <w:color w:val="333333"/>
                <w:sz w:val="24"/>
                <w:szCs w:val="24"/>
                <w:lang w:eastAsia="en-AU"/>
              </w:rPr>
              <w:drawing>
                <wp:inline distT="0" distB="0" distL="0" distR="0" wp14:anchorId="36704CF7" wp14:editId="0D457EF8">
                  <wp:extent cx="571500" cy="152400"/>
                  <wp:effectExtent l="0" t="0" r="0" b="0"/>
                  <wp:docPr id="79" name="Picture 79" descr="Icon for 'High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con for 'High qualit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tc>
        <w:tc>
          <w:tcPr>
            <w:tcW w:w="2350" w:type="dxa"/>
          </w:tcPr>
          <w:p w14:paraId="2481DC17" w14:textId="0DE76757" w:rsidR="00EB3A4E" w:rsidRPr="00BA759C" w:rsidRDefault="00EB3A4E" w:rsidP="00897071">
            <w:pPr>
              <w:cnfStyle w:val="000000100000" w:firstRow="0" w:lastRow="0" w:firstColumn="0" w:lastColumn="0" w:oddVBand="0" w:evenVBand="0" w:oddHBand="1" w:evenHBand="0" w:firstRowFirstColumn="0" w:firstRowLastColumn="0" w:lastRowFirstColumn="0" w:lastRowLastColumn="0"/>
            </w:pPr>
            <w:r w:rsidRPr="00BA759C">
              <w:t>Departmental admin</w:t>
            </w:r>
            <w:r w:rsidR="00A83AAD">
              <w:t>istrative</w:t>
            </w:r>
            <w:r w:rsidRPr="00BA759C">
              <w:t xml:space="preserve"> data</w:t>
            </w:r>
            <w:r w:rsidR="00F8391B">
              <w:t xml:space="preserve"> – </w:t>
            </w:r>
            <w:r w:rsidR="006150C6">
              <w:t>long-term</w:t>
            </w:r>
            <w:r w:rsidRPr="00BA759C">
              <w:t xml:space="preserve"> impact analysis undertaken for this evaluation</w:t>
            </w:r>
          </w:p>
        </w:tc>
      </w:tr>
      <w:tr w:rsidR="00854E35" w:rsidRPr="00BA759C" w14:paraId="7925CBE5" w14:textId="77777777" w:rsidTr="00897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70B4D88D" w14:textId="3C006A8A" w:rsidR="00EB3A4E" w:rsidRPr="00BA759C" w:rsidRDefault="00EB3A4E" w:rsidP="00897071">
            <w:r w:rsidRPr="003C745E">
              <w:rPr>
                <w:bCs/>
              </w:rPr>
              <w:t>Improved education and skills attainment</w:t>
            </w:r>
            <w:r w:rsidR="0030149A">
              <w:rPr>
                <w:bCs/>
              </w:rPr>
              <w:t>,</w:t>
            </w:r>
            <w:r w:rsidRPr="00BA759C">
              <w:t xml:space="preserve"> with a resultant impact on undertaking more skilled work, likely with resultant higher earnings, in the longer term</w:t>
            </w:r>
          </w:p>
        </w:tc>
        <w:tc>
          <w:tcPr>
            <w:tcW w:w="3004" w:type="dxa"/>
          </w:tcPr>
          <w:p w14:paraId="40C95FD0" w14:textId="01743772" w:rsidR="00EB3A4E" w:rsidRDefault="00EB3A4E" w:rsidP="00897071">
            <w:pPr>
              <w:spacing w:after="120" w:line="259" w:lineRule="auto"/>
              <w:ind w:left="-38"/>
              <w:cnfStyle w:val="000000010000" w:firstRow="0" w:lastRow="0" w:firstColumn="0" w:lastColumn="0" w:oddVBand="0" w:evenVBand="0" w:oddHBand="0" w:evenHBand="1" w:firstRowFirstColumn="0" w:firstRowLastColumn="0" w:lastRowFirstColumn="0" w:lastRowLastColumn="0"/>
            </w:pPr>
            <w:r w:rsidRPr="00A62E8C">
              <w:t>TtW participants</w:t>
            </w:r>
            <w:r w:rsidR="00EF61C1">
              <w:t xml:space="preserve"> are</w:t>
            </w:r>
            <w:r w:rsidRPr="00A62E8C">
              <w:t xml:space="preserve"> slightly less likely to take up full</w:t>
            </w:r>
            <w:r w:rsidR="007A4EE1">
              <w:t>-</w:t>
            </w:r>
            <w:r w:rsidRPr="00A62E8C">
              <w:t>time study or apprenticeship, but it appears that those who do are slightly more likely to stick with it</w:t>
            </w:r>
          </w:p>
          <w:p w14:paraId="1793CA78" w14:textId="5AAD51F3" w:rsidR="00EB3A4E" w:rsidRPr="00A62E8C" w:rsidRDefault="00EB3A4E" w:rsidP="00897071">
            <w:pPr>
              <w:spacing w:after="120" w:line="259" w:lineRule="auto"/>
              <w:ind w:left="-38"/>
              <w:cnfStyle w:val="000000010000" w:firstRow="0" w:lastRow="0" w:firstColumn="0" w:lastColumn="0" w:oddVBand="0" w:evenVBand="0" w:oddHBand="0" w:evenHBand="1" w:firstRowFirstColumn="0" w:firstRowLastColumn="0" w:lastRowFirstColumn="0" w:lastRowLastColumn="0"/>
            </w:pPr>
            <w:r w:rsidRPr="00A62E8C">
              <w:t xml:space="preserve">Typical participant </w:t>
            </w:r>
            <w:r w:rsidR="00DA298E">
              <w:t xml:space="preserve">is </w:t>
            </w:r>
            <w:r w:rsidRPr="00A62E8C">
              <w:t xml:space="preserve">10.6 percentage points more likely to achieve a </w:t>
            </w:r>
            <w:r w:rsidR="00F8391B">
              <w:t>‘</w:t>
            </w:r>
            <w:r w:rsidRPr="00A62E8C">
              <w:t>study outcome</w:t>
            </w:r>
            <w:r w:rsidR="00DA298E">
              <w:t>’</w:t>
            </w:r>
            <w:r>
              <w:rPr>
                <w:rStyle w:val="FootnoteReference"/>
              </w:rPr>
              <w:footnoteReference w:id="103"/>
            </w:r>
            <w:r w:rsidRPr="00A62E8C">
              <w:t xml:space="preserve"> up to a year after referral if they were in TtW</w:t>
            </w:r>
            <w:r w:rsidR="00A83AAD">
              <w:t xml:space="preserve"> rather</w:t>
            </w:r>
            <w:r w:rsidRPr="00A62E8C">
              <w:t xml:space="preserve"> than in jobactive</w:t>
            </w:r>
          </w:p>
        </w:tc>
        <w:tc>
          <w:tcPr>
            <w:tcW w:w="3798" w:type="dxa"/>
          </w:tcPr>
          <w:p w14:paraId="44706D38" w14:textId="47DED0FC" w:rsidR="00EB3A4E" w:rsidRDefault="00EB3A4E" w:rsidP="00897071">
            <w:pPr>
              <w:spacing w:after="120"/>
              <w:cnfStyle w:val="000000010000" w:firstRow="0" w:lastRow="0" w:firstColumn="0" w:lastColumn="0" w:oddVBand="0" w:evenVBand="0" w:oddHBand="0" w:evenHBand="1" w:firstRowFirstColumn="0" w:firstRowLastColumn="0" w:lastRowFirstColumn="0" w:lastRowLastColumn="0"/>
            </w:pPr>
            <w:r>
              <w:t>Movement to a study</w:t>
            </w:r>
            <w:r w:rsidR="00A83AAD">
              <w:t>-</w:t>
            </w:r>
            <w:r>
              <w:t xml:space="preserve">related income support payment as an indicator of movement to full-time study or apprenticeship over </w:t>
            </w:r>
            <w:r w:rsidR="009E4B68">
              <w:t>the longer term</w:t>
            </w:r>
          </w:p>
          <w:p w14:paraId="57D67729" w14:textId="4A0422E5" w:rsidR="00EB3A4E" w:rsidRPr="00BA759C" w:rsidRDefault="00EB3A4E" w:rsidP="00897071">
            <w:pPr>
              <w:spacing w:after="120"/>
              <w:cnfStyle w:val="000000010000" w:firstRow="0" w:lastRow="0" w:firstColumn="0" w:lastColumn="0" w:oddVBand="0" w:evenVBand="0" w:oddHBand="0" w:evenHBand="1" w:firstRowFirstColumn="0" w:firstRowLastColumn="0" w:lastRowFirstColumn="0" w:lastRowLastColumn="0"/>
            </w:pPr>
            <w:r>
              <w:t>Difference in p</w:t>
            </w:r>
            <w:r w:rsidRPr="00BA759C">
              <w:t xml:space="preserve">ercentage of participants achieving a </w:t>
            </w:r>
            <w:r w:rsidR="00F8391B">
              <w:t>‘</w:t>
            </w:r>
            <w:r w:rsidRPr="00BA759C">
              <w:t>study outcome</w:t>
            </w:r>
            <w:r w:rsidR="00F8391B">
              <w:t>’</w:t>
            </w:r>
            <w:r w:rsidRPr="00BA759C">
              <w:t xml:space="preserve"> in the 12</w:t>
            </w:r>
            <w:r w:rsidR="00A83AAD">
              <w:t> </w:t>
            </w:r>
            <w:r w:rsidRPr="00BA759C">
              <w:t>months from commencement</w:t>
            </w:r>
          </w:p>
        </w:tc>
        <w:tc>
          <w:tcPr>
            <w:tcW w:w="992" w:type="dxa"/>
          </w:tcPr>
          <w:p w14:paraId="59A63709" w14:textId="77777777" w:rsidR="00EB3A4E" w:rsidRPr="00BA759C" w:rsidRDefault="00EB3A4E" w:rsidP="00560B7C">
            <w:pPr>
              <w:spacing w:before="240"/>
              <w:cnfStyle w:val="000000010000" w:firstRow="0" w:lastRow="0" w:firstColumn="0" w:lastColumn="0" w:oddVBand="0" w:evenVBand="0" w:oddHBand="0" w:evenHBand="1"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3A0C0F6C" wp14:editId="7BB86631">
                  <wp:extent cx="381000" cy="390525"/>
                  <wp:effectExtent l="0" t="0" r="0" b="9525"/>
                  <wp:docPr id="66" name="Picture 66" descr="Icon for 'Indirec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con for 'Indirect meas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1134" w:type="dxa"/>
          </w:tcPr>
          <w:p w14:paraId="589A37A0" w14:textId="77777777" w:rsidR="00EB3A4E" w:rsidRPr="00BA759C" w:rsidRDefault="00EB3A4E" w:rsidP="00560B7C">
            <w:pPr>
              <w:spacing w:before="240"/>
              <w:cnfStyle w:val="000000010000" w:firstRow="0" w:lastRow="0" w:firstColumn="0" w:lastColumn="0" w:oddVBand="0" w:evenVBand="0" w:oddHBand="0" w:evenHBand="1"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6C355C56" wp14:editId="562436DE">
                  <wp:extent cx="571500" cy="152400"/>
                  <wp:effectExtent l="0" t="0" r="0" b="0"/>
                  <wp:docPr id="67" name="Picture 67" descr="Icon for 'High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con for 'High qualit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tc>
        <w:tc>
          <w:tcPr>
            <w:tcW w:w="2350" w:type="dxa"/>
          </w:tcPr>
          <w:p w14:paraId="56C12F66" w14:textId="05F95DEA" w:rsidR="00EB3A4E" w:rsidRDefault="00EB3A4E" w:rsidP="00897071">
            <w:pPr>
              <w:cnfStyle w:val="000000010000" w:firstRow="0" w:lastRow="0" w:firstColumn="0" w:lastColumn="0" w:oddVBand="0" w:evenVBand="0" w:oddHBand="0" w:evenHBand="1" w:firstRowFirstColumn="0" w:firstRowLastColumn="0" w:lastRowFirstColumn="0" w:lastRowLastColumn="0"/>
            </w:pPr>
            <w:r w:rsidRPr="00BA759C">
              <w:t>Departmental admin</w:t>
            </w:r>
            <w:r w:rsidR="00A83AAD">
              <w:t>istrative</w:t>
            </w:r>
            <w:r w:rsidRPr="00BA759C">
              <w:t xml:space="preserve"> data</w:t>
            </w:r>
            <w:r w:rsidR="00F8391B">
              <w:t xml:space="preserve"> – </w:t>
            </w:r>
            <w:r w:rsidR="006150C6">
              <w:t>long-term</w:t>
            </w:r>
            <w:r w:rsidRPr="00BA759C">
              <w:t xml:space="preserve"> impact analysis undertaken for this evaluation</w:t>
            </w:r>
          </w:p>
          <w:p w14:paraId="62BFF4F8" w14:textId="382F1F6F" w:rsidR="00EB3A4E" w:rsidRPr="00BA759C" w:rsidRDefault="00EB3A4E" w:rsidP="00897071">
            <w:pPr>
              <w:cnfStyle w:val="000000010000" w:firstRow="0" w:lastRow="0" w:firstColumn="0" w:lastColumn="0" w:oddVBand="0" w:evenVBand="0" w:oddHBand="0" w:evenHBand="1" w:firstRowFirstColumn="0" w:firstRowLastColumn="0" w:lastRowFirstColumn="0" w:lastRowLastColumn="0"/>
            </w:pPr>
            <w:r w:rsidRPr="00BA759C">
              <w:t xml:space="preserve">TtW Final Evaluation Report </w:t>
            </w:r>
            <w:r>
              <w:t>(</w:t>
            </w:r>
            <w:r w:rsidR="00CE0CBD">
              <w:rPr>
                <w:b/>
                <w:bCs/>
              </w:rPr>
              <w:t>DESE 2021</w:t>
            </w:r>
            <w:r>
              <w:t>)</w:t>
            </w:r>
          </w:p>
        </w:tc>
      </w:tr>
    </w:tbl>
    <w:p w14:paraId="40F4F46B" w14:textId="30FB57A9" w:rsidR="00A60DBE" w:rsidRDefault="00A60DBE" w:rsidP="00CD7319">
      <w:pPr>
        <w:pStyle w:val="Caption"/>
        <w:keepNext/>
      </w:pPr>
      <w:bookmarkStart w:id="3703" w:name="_Ref120183546"/>
      <w:bookmarkStart w:id="3704" w:name="_Toc132647792"/>
      <w:bookmarkStart w:id="3705" w:name="_Toc145877307"/>
      <w:bookmarkStart w:id="3706" w:name="_Hlk120198055"/>
      <w:bookmarkStart w:id="3707" w:name="_Hlk120188898"/>
      <w:r>
        <w:lastRenderedPageBreak/>
        <w:t xml:space="preserve">Table </w:t>
      </w:r>
      <w:r>
        <w:fldChar w:fldCharType="begin"/>
      </w:r>
      <w:r>
        <w:instrText>SEQ Table \* ARABIC</w:instrText>
      </w:r>
      <w:r>
        <w:fldChar w:fldCharType="separate"/>
      </w:r>
      <w:r w:rsidR="00180E14">
        <w:rPr>
          <w:noProof/>
        </w:rPr>
        <w:t>18</w:t>
      </w:r>
      <w:r>
        <w:fldChar w:fldCharType="end"/>
      </w:r>
      <w:bookmarkEnd w:id="3703"/>
      <w:r>
        <w:t xml:space="preserve">: Summary of </w:t>
      </w:r>
      <w:r w:rsidR="000F15AB">
        <w:t xml:space="preserve">additional </w:t>
      </w:r>
      <w:r>
        <w:t>benefit</w:t>
      </w:r>
      <w:r w:rsidR="000F15AB">
        <w:t>s attributable to</w:t>
      </w:r>
      <w:r>
        <w:t xml:space="preserve"> TtW, calculations and data sources</w:t>
      </w:r>
      <w:bookmarkEnd w:id="3704"/>
      <w:bookmarkEnd w:id="3705"/>
    </w:p>
    <w:tbl>
      <w:tblPr>
        <w:tblStyle w:val="TtWReportTableTemplate2"/>
        <w:tblW w:w="13832" w:type="dxa"/>
        <w:tblLook w:val="04A0" w:firstRow="1" w:lastRow="0" w:firstColumn="1" w:lastColumn="0" w:noHBand="0" w:noVBand="1"/>
      </w:tblPr>
      <w:tblGrid>
        <w:gridCol w:w="2531"/>
        <w:gridCol w:w="2978"/>
        <w:gridCol w:w="3760"/>
        <w:gridCol w:w="991"/>
        <w:gridCol w:w="1134"/>
        <w:gridCol w:w="2332"/>
        <w:gridCol w:w="106"/>
      </w:tblGrid>
      <w:tr w:rsidR="00F975E8" w:rsidRPr="00BA759C" w14:paraId="065B9DC5" w14:textId="77777777" w:rsidTr="009C6B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5D7A38"/>
            <w:vAlign w:val="center"/>
          </w:tcPr>
          <w:p w14:paraId="10518ADF" w14:textId="64562B9F" w:rsidR="00A60DBE" w:rsidRPr="00BA759C" w:rsidRDefault="00EB3A4E" w:rsidP="009251AF">
            <w:pPr>
              <w:spacing w:after="0"/>
            </w:pPr>
            <w:r>
              <w:t>A</w:t>
            </w:r>
            <w:r w:rsidR="00A129BE">
              <w:t>dditional</w:t>
            </w:r>
            <w:r w:rsidR="00A60DBE">
              <w:t xml:space="preserve"> benefit</w:t>
            </w:r>
            <w:r w:rsidR="00124615">
              <w:t>s</w:t>
            </w:r>
          </w:p>
        </w:tc>
        <w:tc>
          <w:tcPr>
            <w:tcW w:w="0" w:type="dxa"/>
            <w:shd w:val="clear" w:color="auto" w:fill="5D7A38"/>
            <w:vAlign w:val="center"/>
          </w:tcPr>
          <w:p w14:paraId="234937A6" w14:textId="66A5DE67" w:rsidR="00A60DBE" w:rsidRPr="00BA759C" w:rsidRDefault="00A60DBE" w:rsidP="009251AF">
            <w:pPr>
              <w:spacing w:after="0"/>
              <w:cnfStyle w:val="100000000000" w:firstRow="1" w:lastRow="0" w:firstColumn="0" w:lastColumn="0" w:oddVBand="0" w:evenVBand="0" w:oddHBand="0" w:evenHBand="0" w:firstRowFirstColumn="0" w:firstRowLastColumn="0" w:lastRowFirstColumn="0" w:lastRowLastColumn="0"/>
            </w:pPr>
            <w:r w:rsidRPr="00BA759C">
              <w:t>Benefit/</w:t>
            </w:r>
            <w:r w:rsidR="00124615">
              <w:t>f</w:t>
            </w:r>
            <w:r w:rsidRPr="00BA759C">
              <w:t>inancial proxy</w:t>
            </w:r>
            <w:r w:rsidR="00124615">
              <w:t xml:space="preserve"> per participant</w:t>
            </w:r>
          </w:p>
        </w:tc>
        <w:tc>
          <w:tcPr>
            <w:tcW w:w="0" w:type="dxa"/>
            <w:shd w:val="clear" w:color="auto" w:fill="5D7A38"/>
            <w:vAlign w:val="center"/>
          </w:tcPr>
          <w:p w14:paraId="4AE89C58" w14:textId="4A949A25" w:rsidR="00A60DBE" w:rsidRPr="00BA759C" w:rsidRDefault="00A60DBE" w:rsidP="009251AF">
            <w:pPr>
              <w:spacing w:after="0"/>
              <w:cnfStyle w:val="100000000000" w:firstRow="1" w:lastRow="0" w:firstColumn="0" w:lastColumn="0" w:oddVBand="0" w:evenVBand="0" w:oddHBand="0" w:evenHBand="0" w:firstRowFirstColumn="0" w:firstRowLastColumn="0" w:lastRowFirstColumn="0" w:lastRowLastColumn="0"/>
            </w:pPr>
            <w:r w:rsidRPr="00BA759C">
              <w:t xml:space="preserve">Calculation of the value of the change attributed to TtW (difference between </w:t>
            </w:r>
            <w:r w:rsidR="000F67D4">
              <w:t>benefit</w:t>
            </w:r>
            <w:r w:rsidR="00A83AAD">
              <w:t>s</w:t>
            </w:r>
            <w:r w:rsidRPr="00BA759C">
              <w:t xml:space="preserve"> for TtW and comparison group)</w:t>
            </w:r>
          </w:p>
        </w:tc>
        <w:tc>
          <w:tcPr>
            <w:tcW w:w="0" w:type="dxa"/>
            <w:shd w:val="clear" w:color="auto" w:fill="5D7A38"/>
            <w:vAlign w:val="center"/>
          </w:tcPr>
          <w:p w14:paraId="58C2A8EB" w14:textId="1C452980" w:rsidR="00A60DBE" w:rsidRDefault="00A60DBE" w:rsidP="009251AF">
            <w:pPr>
              <w:spacing w:after="0"/>
              <w:cnfStyle w:val="100000000000" w:firstRow="1" w:lastRow="0" w:firstColumn="0" w:lastColumn="0" w:oddVBand="0" w:evenVBand="0" w:oddHBand="0" w:evenHBand="0" w:firstRowFirstColumn="0" w:firstRowLastColumn="0" w:lastRowFirstColumn="0" w:lastRowLastColumn="0"/>
            </w:pPr>
            <w:r>
              <w:t>Type of indicator</w:t>
            </w:r>
          </w:p>
        </w:tc>
        <w:tc>
          <w:tcPr>
            <w:tcW w:w="0" w:type="dxa"/>
            <w:shd w:val="clear" w:color="auto" w:fill="5D7A38"/>
            <w:vAlign w:val="center"/>
          </w:tcPr>
          <w:p w14:paraId="3ED72E1E" w14:textId="0B0407E2" w:rsidR="00A60DBE" w:rsidRPr="00BA759C" w:rsidRDefault="00A60DBE" w:rsidP="009251AF">
            <w:pPr>
              <w:spacing w:after="0"/>
              <w:cnfStyle w:val="100000000000" w:firstRow="1" w:lastRow="0" w:firstColumn="0" w:lastColumn="0" w:oddVBand="0" w:evenVBand="0" w:oddHBand="0" w:evenHBand="0" w:firstRowFirstColumn="0" w:firstRowLastColumn="0" w:lastRowFirstColumn="0" w:lastRowLastColumn="0"/>
            </w:pPr>
            <w:r>
              <w:t>Quality of data source</w:t>
            </w:r>
          </w:p>
        </w:tc>
        <w:tc>
          <w:tcPr>
            <w:tcW w:w="0" w:type="dxa"/>
            <w:gridSpan w:val="2"/>
            <w:shd w:val="clear" w:color="auto" w:fill="5D7A38"/>
            <w:vAlign w:val="center"/>
          </w:tcPr>
          <w:p w14:paraId="6010FA35" w14:textId="77777777" w:rsidR="00A60DBE" w:rsidRPr="00BA759C" w:rsidRDefault="00A60DBE" w:rsidP="009251AF">
            <w:pPr>
              <w:spacing w:after="0"/>
              <w:cnfStyle w:val="100000000000" w:firstRow="1" w:lastRow="0" w:firstColumn="0" w:lastColumn="0" w:oddVBand="0" w:evenVBand="0" w:oddHBand="0" w:evenHBand="0" w:firstRowFirstColumn="0" w:firstRowLastColumn="0" w:lastRowFirstColumn="0" w:lastRowLastColumn="0"/>
            </w:pPr>
            <w:r w:rsidRPr="00BA759C">
              <w:t>Source</w:t>
            </w:r>
          </w:p>
        </w:tc>
      </w:tr>
      <w:tr w:rsidR="002E122F" w:rsidRPr="00BA759C" w14:paraId="28FC914E" w14:textId="77777777" w:rsidTr="001431BC">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2554" w:type="dxa"/>
          </w:tcPr>
          <w:p w14:paraId="34A97DA5" w14:textId="58D4585D" w:rsidR="00A60DBE" w:rsidRPr="007B640D" w:rsidRDefault="00A60DBE" w:rsidP="00D11E39">
            <w:pPr>
              <w:rPr>
                <w:b w:val="0"/>
                <w:bCs/>
              </w:rPr>
            </w:pPr>
            <w:r w:rsidRPr="00696236">
              <w:rPr>
                <w:bCs/>
              </w:rPr>
              <w:t xml:space="preserve">Reduced contact with the criminal justice system </w:t>
            </w:r>
          </w:p>
        </w:tc>
        <w:tc>
          <w:tcPr>
            <w:tcW w:w="3004" w:type="dxa"/>
          </w:tcPr>
          <w:p w14:paraId="6546059F" w14:textId="41EA69DD" w:rsidR="00A60DBE" w:rsidRPr="00BA759C" w:rsidRDefault="00A60DBE" w:rsidP="00CD7319">
            <w:pPr>
              <w:spacing w:after="120"/>
              <w:cnfStyle w:val="000000100000" w:firstRow="0" w:lastRow="0" w:firstColumn="0" w:lastColumn="0" w:oddVBand="0" w:evenVBand="0" w:oddHBand="1" w:evenHBand="0" w:firstRowFirstColumn="0" w:firstRowLastColumn="0" w:lastRowFirstColumn="0" w:lastRowLastColumn="0"/>
            </w:pPr>
            <w:r>
              <w:t>Average s</w:t>
            </w:r>
            <w:r w:rsidRPr="00BA759C">
              <w:t xml:space="preserve">avings over </w:t>
            </w:r>
            <w:r w:rsidR="000F15AB">
              <w:t xml:space="preserve">12 months </w:t>
            </w:r>
            <w:r w:rsidRPr="00BA759C">
              <w:t xml:space="preserve">associated with </w:t>
            </w:r>
            <w:r>
              <w:t xml:space="preserve">reduced </w:t>
            </w:r>
            <w:r w:rsidRPr="00BA759C">
              <w:t>incarceration:</w:t>
            </w:r>
            <w:r>
              <w:t xml:space="preserve"> </w:t>
            </w:r>
            <w:r w:rsidRPr="00BA759C">
              <w:rPr>
                <w:b/>
                <w:bCs/>
              </w:rPr>
              <w:t>$</w:t>
            </w:r>
            <w:r w:rsidR="000F15AB">
              <w:rPr>
                <w:b/>
                <w:bCs/>
              </w:rPr>
              <w:t>287</w:t>
            </w:r>
            <w:r>
              <w:rPr>
                <w:b/>
                <w:bCs/>
              </w:rPr>
              <w:t xml:space="preserve"> </w:t>
            </w:r>
            <w:r w:rsidRPr="00BA759C">
              <w:t xml:space="preserve">per </w:t>
            </w:r>
            <w:r>
              <w:t>participant</w:t>
            </w:r>
          </w:p>
          <w:p w14:paraId="4A528711" w14:textId="7431D149" w:rsidR="00A60DBE" w:rsidRPr="00A62E8C" w:rsidRDefault="00A60DBE" w:rsidP="00CD7319">
            <w:pPr>
              <w:spacing w:after="120" w:line="259" w:lineRule="auto"/>
              <w:ind w:left="39"/>
              <w:cnfStyle w:val="000000100000" w:firstRow="0" w:lastRow="0" w:firstColumn="0" w:lastColumn="0" w:oddVBand="0" w:evenVBand="0" w:oddHBand="1" w:evenHBand="0" w:firstRowFirstColumn="0" w:firstRowLastColumn="0" w:lastRowFirstColumn="0" w:lastRowLastColumn="0"/>
            </w:pPr>
            <w:r w:rsidRPr="00A62E8C">
              <w:t>In addition, reducing costs associated with policing, court, legal aid, harm to victims and criminal damage – these have not been included in this analysis</w:t>
            </w:r>
            <w:r w:rsidR="005D54EC">
              <w:t xml:space="preserve"> and would contribute to an underestimate of overall benefits</w:t>
            </w:r>
          </w:p>
          <w:p w14:paraId="5B147D01" w14:textId="3636E24B" w:rsidR="00A60DBE" w:rsidRPr="00A62E8C" w:rsidRDefault="00A60DBE" w:rsidP="00CD7319">
            <w:pPr>
              <w:spacing w:after="120" w:line="259" w:lineRule="auto"/>
              <w:ind w:left="40"/>
              <w:cnfStyle w:val="000000100000" w:firstRow="0" w:lastRow="0" w:firstColumn="0" w:lastColumn="0" w:oddVBand="0" w:evenVBand="0" w:oddHBand="1" w:evenHBand="0" w:firstRowFirstColumn="0" w:firstRowLastColumn="0" w:lastRowFirstColumn="0" w:lastRowLastColumn="0"/>
            </w:pPr>
            <w:r w:rsidRPr="00A62E8C">
              <w:t>Impact on participants associated with not having contact with the criminal justice system is assumed to be included in overall wellbeing outcomes</w:t>
            </w:r>
          </w:p>
          <w:p w14:paraId="3C0C636F" w14:textId="72942BFD" w:rsidR="00A60DBE" w:rsidRPr="00A62E8C" w:rsidRDefault="00A60DBE" w:rsidP="00CD7319">
            <w:pPr>
              <w:spacing w:after="120" w:line="259" w:lineRule="auto"/>
              <w:ind w:left="40"/>
              <w:cnfStyle w:val="000000100000" w:firstRow="0" w:lastRow="0" w:firstColumn="0" w:lastColumn="0" w:oddVBand="0" w:evenVBand="0" w:oddHBand="1" w:evenHBand="0" w:firstRowFirstColumn="0" w:firstRowLastColumn="0" w:lastRowFirstColumn="0" w:lastRowLastColumn="0"/>
            </w:pPr>
            <w:r w:rsidRPr="00A62E8C">
              <w:t>TtW had a notable impact on reducing recidivism for Aboriginal and Torres Strait Islander and ex-offender participants</w:t>
            </w:r>
          </w:p>
        </w:tc>
        <w:tc>
          <w:tcPr>
            <w:tcW w:w="3798" w:type="dxa"/>
          </w:tcPr>
          <w:p w14:paraId="424F6B85" w14:textId="047F43FB" w:rsidR="00A60DBE" w:rsidRPr="00BA759C" w:rsidRDefault="00A60DBE" w:rsidP="00CD7319">
            <w:pPr>
              <w:spacing w:after="120"/>
              <w:cnfStyle w:val="000000100000" w:firstRow="0" w:lastRow="0" w:firstColumn="0" w:lastColumn="0" w:oddVBand="0" w:evenVBand="0" w:oddHBand="1" w:evenHBand="0" w:firstRowFirstColumn="0" w:firstRowLastColumn="0" w:lastRowFirstColumn="0" w:lastRowLastColumn="0"/>
            </w:pPr>
            <w:r w:rsidRPr="00BA759C">
              <w:t xml:space="preserve">Direct savings associated with </w:t>
            </w:r>
            <w:r>
              <w:t xml:space="preserve">reduced </w:t>
            </w:r>
            <w:r w:rsidRPr="00BA759C">
              <w:t>incarceration</w:t>
            </w:r>
            <w:r w:rsidR="006B4C26">
              <w:rPr>
                <w:rStyle w:val="FootnoteReference"/>
              </w:rPr>
              <w:footnoteReference w:id="104"/>
            </w:r>
            <w:r w:rsidRPr="00BA759C">
              <w:t xml:space="preserve"> </w:t>
            </w:r>
          </w:p>
          <w:p w14:paraId="7BDCB11E" w14:textId="39687375" w:rsidR="00A60DBE" w:rsidRPr="00CA683F" w:rsidRDefault="00A60DBE" w:rsidP="00CD7319">
            <w:pPr>
              <w:spacing w:after="120" w:line="259" w:lineRule="auto"/>
              <w:cnfStyle w:val="000000100000" w:firstRow="0" w:lastRow="0" w:firstColumn="0" w:lastColumn="0" w:oddVBand="0" w:evenVBand="0" w:oddHBand="1" w:evenHBand="0" w:firstRowFirstColumn="0" w:firstRowLastColumn="0" w:lastRowFirstColumn="0" w:lastRowLastColumn="0"/>
              <w:rPr>
                <w:b/>
                <w:bCs/>
              </w:rPr>
            </w:pPr>
            <w:r w:rsidRPr="00CA683F">
              <w:t>From the sample population of 8</w:t>
            </w:r>
            <w:r w:rsidR="002F4A02">
              <w:t>,</w:t>
            </w:r>
            <w:r w:rsidRPr="00CA683F">
              <w:t>361 participants, reduction in number of incarcerations attributable to TtW</w:t>
            </w:r>
            <w:r w:rsidR="000F15AB">
              <w:t xml:space="preserve"> </w:t>
            </w:r>
            <w:r w:rsidRPr="00CA683F">
              <w:t>= 265</w:t>
            </w:r>
            <w:r w:rsidR="000F15AB">
              <w:t xml:space="preserve"> over 4 years</w:t>
            </w:r>
          </w:p>
          <w:p w14:paraId="5C83CA00" w14:textId="764DD2FB" w:rsidR="00A60DBE" w:rsidRPr="00CA683F" w:rsidRDefault="00A60DBE" w:rsidP="00CD7319">
            <w:pPr>
              <w:spacing w:after="120" w:line="259" w:lineRule="auto"/>
              <w:cnfStyle w:val="000000100000" w:firstRow="0" w:lastRow="0" w:firstColumn="0" w:lastColumn="0" w:oddVBand="0" w:evenVBand="0" w:oddHBand="1" w:evenHBand="0" w:firstRowFirstColumn="0" w:firstRowLastColumn="0" w:lastRowFirstColumn="0" w:lastRowLastColumn="0"/>
            </w:pPr>
            <w:r w:rsidRPr="00CA683F">
              <w:t>Cost per day to incarcerate individual – $254.84</w:t>
            </w:r>
            <w:r w:rsidR="00406671" w:rsidRPr="00C239FD">
              <w:rPr>
                <w:rStyle w:val="FootnoteReference"/>
              </w:rPr>
              <w:footnoteReference w:id="105"/>
            </w:r>
            <w:r w:rsidRPr="00CA683F">
              <w:t xml:space="preserve"> </w:t>
            </w:r>
          </w:p>
          <w:p w14:paraId="46E956D0" w14:textId="77777777" w:rsidR="00A60DBE" w:rsidRPr="00CA683F" w:rsidRDefault="00A60DBE" w:rsidP="00CD7319">
            <w:pPr>
              <w:spacing w:after="120" w:line="259" w:lineRule="auto"/>
              <w:cnfStyle w:val="000000100000" w:firstRow="0" w:lastRow="0" w:firstColumn="0" w:lastColumn="0" w:oddVBand="0" w:evenVBand="0" w:oddHBand="1" w:evenHBand="0" w:firstRowFirstColumn="0" w:firstRowLastColumn="0" w:lastRowFirstColumn="0" w:lastRowLastColumn="0"/>
            </w:pPr>
            <w:r w:rsidRPr="00CA683F">
              <w:t>Average time spent in prison – 142 days</w:t>
            </w:r>
          </w:p>
          <w:p w14:paraId="00B44A39" w14:textId="030228F6" w:rsidR="00A60DBE" w:rsidRPr="00CA683F" w:rsidRDefault="00A60DBE" w:rsidP="00CD7319">
            <w:pPr>
              <w:spacing w:after="120" w:line="259" w:lineRule="auto"/>
              <w:cnfStyle w:val="000000100000" w:firstRow="0" w:lastRow="0" w:firstColumn="0" w:lastColumn="0" w:oddVBand="0" w:evenVBand="0" w:oddHBand="1" w:evenHBand="0" w:firstRowFirstColumn="0" w:firstRowLastColumn="0" w:lastRowFirstColumn="0" w:lastRowLastColumn="0"/>
            </w:pPr>
            <w:r w:rsidRPr="00CA683F">
              <w:t>Total savings from reduced incarceration 265</w:t>
            </w:r>
            <w:r w:rsidR="006231CD">
              <w:t xml:space="preserve"> x </w:t>
            </w:r>
            <w:r w:rsidRPr="00CA683F">
              <w:t>$254.84</w:t>
            </w:r>
            <w:r w:rsidR="006231CD">
              <w:t xml:space="preserve"> x </w:t>
            </w:r>
            <w:r w:rsidRPr="00CA683F">
              <w:t>142 = $9,589,629</w:t>
            </w:r>
          </w:p>
          <w:p w14:paraId="1DC62890" w14:textId="1A766824" w:rsidR="000F15AB" w:rsidRPr="00CD7319" w:rsidRDefault="00A60DBE">
            <w:pPr>
              <w:spacing w:after="120" w:line="259" w:lineRule="auto"/>
              <w:cnfStyle w:val="000000100000" w:firstRow="0" w:lastRow="0" w:firstColumn="0" w:lastColumn="0" w:oddVBand="0" w:evenVBand="0" w:oddHBand="1" w:evenHBand="0" w:firstRowFirstColumn="0" w:firstRowLastColumn="0" w:lastRowFirstColumn="0" w:lastRowLastColumn="0"/>
            </w:pPr>
            <w:r w:rsidRPr="00CA683F">
              <w:t xml:space="preserve">Value saved per person (total savings/number </w:t>
            </w:r>
            <w:r w:rsidRPr="00481F1D">
              <w:t>of people in sample) ($9,250,960/8</w:t>
            </w:r>
            <w:r w:rsidR="002F4A02">
              <w:t>,</w:t>
            </w:r>
            <w:r w:rsidRPr="00481F1D">
              <w:t>361) = $</w:t>
            </w:r>
            <w:r w:rsidRPr="00CD7319">
              <w:t>1,147</w:t>
            </w:r>
            <w:r w:rsidR="000F15AB" w:rsidRPr="00CD7319">
              <w:t xml:space="preserve"> over 4 years</w:t>
            </w:r>
          </w:p>
          <w:p w14:paraId="790127CB" w14:textId="04EA0B49" w:rsidR="00A60DBE" w:rsidRPr="00CA683F" w:rsidRDefault="000F15AB" w:rsidP="00CD7319">
            <w:pPr>
              <w:spacing w:after="120" w:line="259" w:lineRule="auto"/>
              <w:cnfStyle w:val="000000100000" w:firstRow="0" w:lastRow="0" w:firstColumn="0" w:lastColumn="0" w:oddVBand="0" w:evenVBand="0" w:oddHBand="1" w:evenHBand="0" w:firstRowFirstColumn="0" w:firstRowLastColumn="0" w:lastRowFirstColumn="0" w:lastRowLastColumn="0"/>
            </w:pPr>
            <w:r w:rsidRPr="00CD7319">
              <w:t xml:space="preserve">Savings per </w:t>
            </w:r>
            <w:r w:rsidR="000F43CD">
              <w:t xml:space="preserve">person </w:t>
            </w:r>
            <w:r w:rsidR="006045E6" w:rsidRPr="00CD7319">
              <w:t>over</w:t>
            </w:r>
            <w:r w:rsidRPr="00CD7319">
              <w:t xml:space="preserve"> 12</w:t>
            </w:r>
            <w:r w:rsidR="000F43CD">
              <w:t> </w:t>
            </w:r>
            <w:r w:rsidRPr="00CD7319">
              <w:t>months</w:t>
            </w:r>
            <w:r w:rsidR="000F43CD">
              <w:t xml:space="preserve"> </w:t>
            </w:r>
            <w:r w:rsidR="00481F1D" w:rsidRPr="00CD7319">
              <w:t>=</w:t>
            </w:r>
            <w:r w:rsidR="000F43CD">
              <w:t xml:space="preserve"> </w:t>
            </w:r>
            <w:r w:rsidR="00481F1D" w:rsidRPr="00CD7319">
              <w:t>$1,147/4</w:t>
            </w:r>
            <w:r w:rsidRPr="00CD7319">
              <w:t xml:space="preserve"> = $287</w:t>
            </w:r>
          </w:p>
        </w:tc>
        <w:tc>
          <w:tcPr>
            <w:tcW w:w="992" w:type="dxa"/>
          </w:tcPr>
          <w:p w14:paraId="3C609291" w14:textId="77777777" w:rsidR="00A60DBE" w:rsidRPr="00BA759C" w:rsidRDefault="00A60DBE" w:rsidP="00560B7C">
            <w:pPr>
              <w:spacing w:before="240"/>
              <w:cnfStyle w:val="000000100000" w:firstRow="0" w:lastRow="0" w:firstColumn="0" w:lastColumn="0" w:oddVBand="0" w:evenVBand="0" w:oddHBand="1" w:evenHBand="0"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04CF0EFE" wp14:editId="167EDFD3">
                  <wp:extent cx="381000" cy="390525"/>
                  <wp:effectExtent l="0" t="0" r="0" b="9525"/>
                  <wp:docPr id="299" name="Picture 299" descr="Icon for 'Partial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con for 'Partial meas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1134" w:type="dxa"/>
          </w:tcPr>
          <w:p w14:paraId="5FE391A0" w14:textId="77777777" w:rsidR="00A60DBE" w:rsidRPr="00BA759C" w:rsidRDefault="00A60DBE" w:rsidP="00560B7C">
            <w:pPr>
              <w:spacing w:before="240"/>
              <w:cnfStyle w:val="000000100000" w:firstRow="0" w:lastRow="0" w:firstColumn="0" w:lastColumn="0" w:oddVBand="0" w:evenVBand="0" w:oddHBand="1" w:evenHBand="0"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1C5D5052" wp14:editId="42DF22F5">
                  <wp:extent cx="571500" cy="152400"/>
                  <wp:effectExtent l="0" t="0" r="0" b="0"/>
                  <wp:docPr id="300" name="Picture 300" descr="Icon for 'High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con for 'High qualit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tc>
        <w:tc>
          <w:tcPr>
            <w:tcW w:w="2350" w:type="dxa"/>
          </w:tcPr>
          <w:p w14:paraId="385695DF" w14:textId="4F58BF40"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rsidRPr="00BA759C">
              <w:t>Departmental admin</w:t>
            </w:r>
            <w:r w:rsidR="000F43CD">
              <w:t>istrative</w:t>
            </w:r>
            <w:r w:rsidRPr="00BA759C">
              <w:t xml:space="preserve"> data</w:t>
            </w:r>
            <w:r w:rsidR="00F8391B">
              <w:t xml:space="preserve"> – </w:t>
            </w:r>
            <w:r w:rsidR="006150C6">
              <w:t>long-term</w:t>
            </w:r>
            <w:r w:rsidRPr="00BA759C">
              <w:t xml:space="preserve"> impact analysis undertaken for this evaluation</w:t>
            </w:r>
          </w:p>
          <w:p w14:paraId="6CC05151" w14:textId="10BB284E"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rsidRPr="00BA759C">
              <w:t>P</w:t>
            </w:r>
            <w:r>
              <w:t>roductivity Commission</w:t>
            </w:r>
            <w:r w:rsidRPr="00BA759C">
              <w:t xml:space="preserve"> </w:t>
            </w:r>
            <w:r>
              <w:t xml:space="preserve">(various years) </w:t>
            </w:r>
            <w:r w:rsidR="00832014">
              <w:t>R</w:t>
            </w:r>
            <w:r w:rsidRPr="00BA759C">
              <w:t xml:space="preserve">eport on </w:t>
            </w:r>
            <w:r w:rsidR="00832014">
              <w:t>G</w:t>
            </w:r>
            <w:r w:rsidRPr="00BA759C">
              <w:t xml:space="preserve">overnment </w:t>
            </w:r>
            <w:r w:rsidR="00832014">
              <w:t>S</w:t>
            </w:r>
            <w:r w:rsidRPr="00BA759C">
              <w:t xml:space="preserve">ervices </w:t>
            </w:r>
          </w:p>
        </w:tc>
      </w:tr>
      <w:tr w:rsidR="002E122F" w:rsidRPr="00BA759C" w14:paraId="365F4103" w14:textId="77777777" w:rsidTr="001431BC">
        <w:trPr>
          <w:gridAfter w:val="1"/>
          <w:cnfStyle w:val="000000010000" w:firstRow="0" w:lastRow="0" w:firstColumn="0" w:lastColumn="0" w:oddVBand="0" w:evenVBand="0" w:oddHBand="0" w:evenHBand="1"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2554" w:type="dxa"/>
          </w:tcPr>
          <w:p w14:paraId="7C5F20FE" w14:textId="7706B2F8" w:rsidR="00A60DBE" w:rsidRPr="00BA759C" w:rsidRDefault="00A60DBE" w:rsidP="00D11E39">
            <w:r w:rsidRPr="003C745E">
              <w:rPr>
                <w:bCs/>
              </w:rPr>
              <w:lastRenderedPageBreak/>
              <w:t>Increased human capability</w:t>
            </w:r>
            <w:r w:rsidR="00A33C4C">
              <w:rPr>
                <w:bCs/>
              </w:rPr>
              <w:t>,</w:t>
            </w:r>
            <w:r w:rsidRPr="00BA759C">
              <w:t xml:space="preserve"> with a </w:t>
            </w:r>
            <w:r w:rsidR="00945A83">
              <w:t xml:space="preserve">likely </w:t>
            </w:r>
            <w:r w:rsidRPr="00BA759C">
              <w:t>resultant impact on longer</w:t>
            </w:r>
            <w:r w:rsidR="000B3BC8">
              <w:t>-</w:t>
            </w:r>
            <w:r w:rsidRPr="00BA759C">
              <w:t>term employment and earnings, as well as increased personal efficacy, and improved parenting, relationships and engagement in community</w:t>
            </w:r>
          </w:p>
        </w:tc>
        <w:tc>
          <w:tcPr>
            <w:tcW w:w="3004" w:type="dxa"/>
          </w:tcPr>
          <w:p w14:paraId="6881B14C" w14:textId="3CC952FB" w:rsidR="00A60DBE" w:rsidRPr="00A62E8C" w:rsidRDefault="00A60DBE" w:rsidP="00CD7319">
            <w:pPr>
              <w:spacing w:after="120" w:line="259" w:lineRule="auto"/>
              <w:ind w:left="-40"/>
              <w:cnfStyle w:val="000000010000" w:firstRow="0" w:lastRow="0" w:firstColumn="0" w:lastColumn="0" w:oddVBand="0" w:evenVBand="0" w:oddHBand="0" w:evenHBand="1" w:firstRowFirstColumn="0" w:firstRowLastColumn="0" w:lastRowFirstColumn="0" w:lastRowLastColumn="0"/>
            </w:pPr>
            <w:r w:rsidRPr="00A62E8C">
              <w:t>Average participant had increased confidence, motivation, resilience and access to the support and services they needed</w:t>
            </w:r>
          </w:p>
          <w:p w14:paraId="13586D7B" w14:textId="12813663" w:rsidR="00A60DBE" w:rsidRPr="00A62E8C" w:rsidRDefault="00A60DBE" w:rsidP="00CD7319">
            <w:pPr>
              <w:spacing w:after="120" w:line="259" w:lineRule="auto"/>
              <w:ind w:left="-40"/>
              <w:cnfStyle w:val="000000010000" w:firstRow="0" w:lastRow="0" w:firstColumn="0" w:lastColumn="0" w:oddVBand="0" w:evenVBand="0" w:oddHBand="0" w:evenHBand="1" w:firstRowFirstColumn="0" w:firstRowLastColumn="0" w:lastRowFirstColumn="0" w:lastRowLastColumn="0"/>
            </w:pPr>
            <w:r w:rsidRPr="00A62E8C">
              <w:t xml:space="preserve">Impact on participants of increases in these human capabilities </w:t>
            </w:r>
            <w:r w:rsidR="00504159" w:rsidRPr="00A62E8C">
              <w:t>is likely to</w:t>
            </w:r>
            <w:r w:rsidRPr="00A62E8C">
              <w:t xml:space="preserve"> influence overall wellbeing outcomes, so is not valued here to avoid double counting</w:t>
            </w:r>
          </w:p>
          <w:p w14:paraId="527BA8B8" w14:textId="02102738" w:rsidR="00560EEA" w:rsidRPr="00A62E8C" w:rsidRDefault="00560EEA" w:rsidP="00CD7319">
            <w:pPr>
              <w:spacing w:after="120" w:line="259" w:lineRule="auto"/>
              <w:ind w:left="-40"/>
              <w:cnfStyle w:val="000000010000" w:firstRow="0" w:lastRow="0" w:firstColumn="0" w:lastColumn="0" w:oddVBand="0" w:evenVBand="0" w:oddHBand="0" w:evenHBand="1" w:firstRowFirstColumn="0" w:firstRowLastColumn="0" w:lastRowFirstColumn="0" w:lastRowLastColumn="0"/>
            </w:pPr>
            <w:r w:rsidRPr="00A62E8C">
              <w:t>There is likely to be additional value in increasing an individual</w:t>
            </w:r>
            <w:r w:rsidR="00F8391B">
              <w:t>’</w:t>
            </w:r>
            <w:r w:rsidRPr="00A62E8C">
              <w:t>s human capabilities</w:t>
            </w:r>
            <w:r w:rsidR="000F15AB">
              <w:t xml:space="preserve"> through enhancing their contribution to family, friends and community</w:t>
            </w:r>
          </w:p>
        </w:tc>
        <w:tc>
          <w:tcPr>
            <w:tcW w:w="3798" w:type="dxa"/>
          </w:tcPr>
          <w:p w14:paraId="6D047B33" w14:textId="77777777" w:rsidR="00A60DBE" w:rsidRPr="00BA759C" w:rsidRDefault="00A60DBE" w:rsidP="00CD7319">
            <w:pPr>
              <w:spacing w:after="120"/>
              <w:cnfStyle w:val="000000010000" w:firstRow="0" w:lastRow="0" w:firstColumn="0" w:lastColumn="0" w:oddVBand="0" w:evenVBand="0" w:oddHBand="0" w:evenHBand="1" w:firstRowFirstColumn="0" w:firstRowLastColumn="0" w:lastRowFirstColumn="0" w:lastRowLastColumn="0"/>
            </w:pPr>
            <w:r w:rsidRPr="00BA759C">
              <w:t>Confidence: Caseworker had a positive/very positive impact on confidence – TtW 14 percentage points more likely to agree</w:t>
            </w:r>
            <w:r>
              <w:t xml:space="preserve"> than comparison group</w:t>
            </w:r>
          </w:p>
          <w:p w14:paraId="5FF743FE" w14:textId="40BD4C1C" w:rsidR="00A60DBE" w:rsidRPr="00BA759C" w:rsidRDefault="00A60DBE" w:rsidP="00CD7319">
            <w:pPr>
              <w:spacing w:after="120"/>
              <w:cnfStyle w:val="000000010000" w:firstRow="0" w:lastRow="0" w:firstColumn="0" w:lastColumn="0" w:oddVBand="0" w:evenVBand="0" w:oddHBand="0" w:evenHBand="1" w:firstRowFirstColumn="0" w:firstRowLastColumn="0" w:lastRowFirstColumn="0" w:lastRowLastColumn="0"/>
            </w:pPr>
            <w:r w:rsidRPr="00BA759C">
              <w:t>Motivation: Caseworker had a positive/very positive impact on motivation to work towards your goals – TtW 14</w:t>
            </w:r>
            <w:r w:rsidR="00020498">
              <w:t> </w:t>
            </w:r>
            <w:r w:rsidRPr="00BA759C">
              <w:t>percentage points more likely to agree</w:t>
            </w:r>
          </w:p>
          <w:p w14:paraId="2BF859D7" w14:textId="77777777" w:rsidR="00A60DBE" w:rsidRPr="00BA759C" w:rsidRDefault="00A60DBE" w:rsidP="00CD7319">
            <w:pPr>
              <w:spacing w:after="120"/>
              <w:cnfStyle w:val="000000010000" w:firstRow="0" w:lastRow="0" w:firstColumn="0" w:lastColumn="0" w:oddVBand="0" w:evenVBand="0" w:oddHBand="0" w:evenHBand="1" w:firstRowFirstColumn="0" w:firstRowLastColumn="0" w:lastRowFirstColumn="0" w:lastRowLastColumn="0"/>
            </w:pPr>
            <w:r w:rsidRPr="00BA759C">
              <w:t>Access to required services and supports: Caseworker had a positive/very positive impact on access to the support and services you need – TtW 11 percentage points more likely to agree</w:t>
            </w:r>
            <w:r>
              <w:t xml:space="preserve"> than comparison group</w:t>
            </w:r>
          </w:p>
          <w:p w14:paraId="719B5C87" w14:textId="71914965" w:rsidR="00A60DBE" w:rsidRPr="00BA759C" w:rsidRDefault="00A60DBE" w:rsidP="009251AF">
            <w:pPr>
              <w:spacing w:after="0"/>
              <w:cnfStyle w:val="000000010000" w:firstRow="0" w:lastRow="0" w:firstColumn="0" w:lastColumn="0" w:oddVBand="0" w:evenVBand="0" w:oddHBand="0" w:evenHBand="1" w:firstRowFirstColumn="0" w:firstRowLastColumn="0" w:lastRowFirstColumn="0" w:lastRowLastColumn="0"/>
            </w:pPr>
            <w:r w:rsidRPr="00BA759C">
              <w:t xml:space="preserve">Resilience: </w:t>
            </w:r>
            <w:r w:rsidRPr="009F1529">
              <w:t>Brief Resilience Score</w:t>
            </w:r>
            <w:r w:rsidRPr="00BA759C">
              <w:t xml:space="preserve"> for TtW participants (out of 5) TtW 3.3, comparison </w:t>
            </w:r>
            <w:r>
              <w:t>group</w:t>
            </w:r>
            <w:r w:rsidRPr="00BA759C">
              <w:t xml:space="preserve"> 3.1</w:t>
            </w:r>
          </w:p>
        </w:tc>
        <w:tc>
          <w:tcPr>
            <w:tcW w:w="992" w:type="dxa"/>
          </w:tcPr>
          <w:p w14:paraId="7039958F" w14:textId="77777777" w:rsidR="00A60DBE" w:rsidRPr="00BA759C" w:rsidRDefault="00A60DBE" w:rsidP="00560B7C">
            <w:pPr>
              <w:spacing w:before="240"/>
              <w:cnfStyle w:val="000000010000" w:firstRow="0" w:lastRow="0" w:firstColumn="0" w:lastColumn="0" w:oddVBand="0" w:evenVBand="0" w:oddHBand="0" w:evenHBand="1"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054CE5F0" wp14:editId="721DEA92">
                  <wp:extent cx="381000" cy="390525"/>
                  <wp:effectExtent l="0" t="0" r="0" b="9525"/>
                  <wp:docPr id="301" name="Picture 301" descr="Icon for 'Partial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con for 'Partial meas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1134" w:type="dxa"/>
          </w:tcPr>
          <w:p w14:paraId="286933E8" w14:textId="77777777" w:rsidR="00A60DBE" w:rsidRDefault="00A60DBE" w:rsidP="00560B7C">
            <w:pPr>
              <w:spacing w:before="240"/>
              <w:cnfStyle w:val="000000010000" w:firstRow="0" w:lastRow="0" w:firstColumn="0" w:lastColumn="0" w:oddVBand="0" w:evenVBand="0" w:oddHBand="0" w:evenHBand="1"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00BCE0B3" wp14:editId="6904D7AA">
                  <wp:extent cx="571500" cy="152400"/>
                  <wp:effectExtent l="0" t="0" r="0" b="0"/>
                  <wp:docPr id="302" name="Picture 302" descr="Icon for 'High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con for 'High qualit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p w14:paraId="6C2B8C27" w14:textId="523DD034" w:rsidR="00560B7C" w:rsidRPr="00BA759C" w:rsidRDefault="00560B7C" w:rsidP="00D11E39">
            <w:pPr>
              <w:cnfStyle w:val="000000010000" w:firstRow="0" w:lastRow="0" w:firstColumn="0" w:lastColumn="0" w:oddVBand="0" w:evenVBand="0" w:oddHBand="0" w:evenHBand="1" w:firstRowFirstColumn="0" w:firstRowLastColumn="0" w:lastRowFirstColumn="0" w:lastRowLastColumn="0"/>
            </w:pPr>
          </w:p>
        </w:tc>
        <w:tc>
          <w:tcPr>
            <w:tcW w:w="2350" w:type="dxa"/>
          </w:tcPr>
          <w:p w14:paraId="5DACA216" w14:textId="77777777" w:rsidR="00A60DBE" w:rsidRPr="00BA759C" w:rsidRDefault="00A60DBE" w:rsidP="00D11E39">
            <w:pPr>
              <w:cnfStyle w:val="000000010000" w:firstRow="0" w:lastRow="0" w:firstColumn="0" w:lastColumn="0" w:oddVBand="0" w:evenVBand="0" w:oddHBand="0" w:evenHBand="1" w:firstRowFirstColumn="0" w:firstRowLastColumn="0" w:lastRowFirstColumn="0" w:lastRowLastColumn="0"/>
            </w:pPr>
            <w:r w:rsidRPr="00BA759C">
              <w:t>Survey of representative sample of participants and comparison group undertaken as part of the research for this evaluation</w:t>
            </w:r>
          </w:p>
          <w:p w14:paraId="42D311D0" w14:textId="77777777" w:rsidR="00A60DBE" w:rsidRPr="00BA759C" w:rsidRDefault="00A60DBE" w:rsidP="00D11E39">
            <w:pPr>
              <w:cnfStyle w:val="000000010000" w:firstRow="0" w:lastRow="0" w:firstColumn="0" w:lastColumn="0" w:oddVBand="0" w:evenVBand="0" w:oddHBand="0" w:evenHBand="1" w:firstRowFirstColumn="0" w:firstRowLastColumn="0" w:lastRowFirstColumn="0" w:lastRowLastColumn="0"/>
            </w:pPr>
          </w:p>
        </w:tc>
      </w:tr>
      <w:tr w:rsidR="002E122F" w:rsidRPr="00BA759C" w14:paraId="6BE0486F" w14:textId="77777777" w:rsidTr="001431BC">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2554" w:type="dxa"/>
          </w:tcPr>
          <w:p w14:paraId="7F4DF1DE" w14:textId="438C6F34" w:rsidR="00A60DBE" w:rsidRPr="00BA759C" w:rsidRDefault="00A60DBE" w:rsidP="00D11E39">
            <w:r w:rsidRPr="003C745E">
              <w:rPr>
                <w:bCs/>
              </w:rPr>
              <w:t>Improved mental health</w:t>
            </w:r>
            <w:r>
              <w:t xml:space="preserve">, </w:t>
            </w:r>
            <w:r w:rsidRPr="00BA759C">
              <w:t>affecting personal wellbeing and possibly having a positive impact on family and friends</w:t>
            </w:r>
          </w:p>
          <w:p w14:paraId="6C44D36C" w14:textId="0C6DA038" w:rsidR="00A60DBE" w:rsidRPr="00BA759C" w:rsidRDefault="00A33C4C" w:rsidP="009251AF">
            <w:pPr>
              <w:spacing w:after="0"/>
            </w:pPr>
            <w:r>
              <w:t>H</w:t>
            </w:r>
            <w:r w:rsidR="00A60DBE" w:rsidRPr="00BA759C">
              <w:t xml:space="preserve">igher levels of self-reported mental health </w:t>
            </w:r>
            <w:r w:rsidR="009C6BC1">
              <w:t>may</w:t>
            </w:r>
            <w:r w:rsidR="009C6BC1" w:rsidRPr="00BA759C">
              <w:t xml:space="preserve"> </w:t>
            </w:r>
            <w:r w:rsidR="00A60DBE" w:rsidRPr="00BA759C">
              <w:t xml:space="preserve">also translate into reduced use of mental </w:t>
            </w:r>
            <w:r w:rsidR="00A60DBE" w:rsidRPr="00BA759C">
              <w:lastRenderedPageBreak/>
              <w:t xml:space="preserve">health services. Given reported </w:t>
            </w:r>
            <w:r w:rsidR="009C6BC1">
              <w:t>insufficient</w:t>
            </w:r>
            <w:r w:rsidR="00A60DBE" w:rsidRPr="00BA759C">
              <w:t xml:space="preserve"> mental health services to meet demand, this </w:t>
            </w:r>
            <w:r w:rsidR="009C6BC1">
              <w:t>may</w:t>
            </w:r>
            <w:r w:rsidR="009C6BC1" w:rsidRPr="00BA759C">
              <w:t xml:space="preserve"> </w:t>
            </w:r>
            <w:r w:rsidR="00A60DBE" w:rsidRPr="00BA759C">
              <w:t>also free up mental health services for others</w:t>
            </w:r>
          </w:p>
        </w:tc>
        <w:tc>
          <w:tcPr>
            <w:tcW w:w="3004" w:type="dxa"/>
          </w:tcPr>
          <w:p w14:paraId="276FC727" w14:textId="64A847ED" w:rsidR="00A60DBE" w:rsidRPr="00BA759C" w:rsidRDefault="00A60DBE" w:rsidP="00CD7319">
            <w:pPr>
              <w:spacing w:after="120" w:line="259" w:lineRule="auto"/>
              <w:ind w:left="-40"/>
              <w:cnfStyle w:val="000000100000" w:firstRow="0" w:lastRow="0" w:firstColumn="0" w:lastColumn="0" w:oddVBand="0" w:evenVBand="0" w:oddHBand="1" w:evenHBand="0" w:firstRowFirstColumn="0" w:firstRowLastColumn="0" w:lastRowFirstColumn="0" w:lastRowLastColumn="0"/>
            </w:pPr>
            <w:r w:rsidRPr="00BA759C">
              <w:lastRenderedPageBreak/>
              <w:t xml:space="preserve">Typical participant 7 percentage points more likely to report their mental health was </w:t>
            </w:r>
            <w:r w:rsidR="00F8391B">
              <w:t>‘</w:t>
            </w:r>
            <w:r w:rsidRPr="00BA759C">
              <w:t>excellent</w:t>
            </w:r>
            <w:r w:rsidR="00F8391B">
              <w:t>’</w:t>
            </w:r>
            <w:r w:rsidRPr="00BA759C">
              <w:t xml:space="preserve"> or </w:t>
            </w:r>
            <w:r w:rsidR="00F8391B">
              <w:t>‘</w:t>
            </w:r>
            <w:r w:rsidRPr="00BA759C">
              <w:t>very good</w:t>
            </w:r>
            <w:r w:rsidR="00F8391B">
              <w:t>’</w:t>
            </w:r>
          </w:p>
          <w:p w14:paraId="0637F2D2" w14:textId="26DC4928" w:rsidR="00A60DBE" w:rsidRDefault="00A60DBE" w:rsidP="00CD7319">
            <w:pPr>
              <w:spacing w:after="120" w:line="259" w:lineRule="auto"/>
              <w:ind w:left="-40"/>
              <w:cnfStyle w:val="000000100000" w:firstRow="0" w:lastRow="0" w:firstColumn="0" w:lastColumn="0" w:oddVBand="0" w:evenVBand="0" w:oddHBand="1" w:evenHBand="0" w:firstRowFirstColumn="0" w:firstRowLastColumn="0" w:lastRowFirstColumn="0" w:lastRowLastColumn="0"/>
            </w:pPr>
            <w:r w:rsidRPr="00BA759C">
              <w:t xml:space="preserve">Impact of </w:t>
            </w:r>
            <w:r>
              <w:t>improved</w:t>
            </w:r>
            <w:r w:rsidRPr="00BA759C">
              <w:t xml:space="preserve"> mental health is</w:t>
            </w:r>
            <w:r w:rsidR="00504159">
              <w:t xml:space="preserve"> likely to </w:t>
            </w:r>
            <w:r w:rsidRPr="00BA759C">
              <w:t>influence overall wellbeing outcomes</w:t>
            </w:r>
            <w:r>
              <w:t>, so is not valued here to avoid double counting</w:t>
            </w:r>
          </w:p>
          <w:p w14:paraId="2B6B18FD" w14:textId="6BEF593F" w:rsidR="00A60DBE" w:rsidRPr="00BA759C" w:rsidRDefault="00A60DBE" w:rsidP="00FF5DFD">
            <w:pPr>
              <w:pStyle w:val="ListParagraph"/>
              <w:numPr>
                <w:ilvl w:val="0"/>
                <w:numId w:val="15"/>
              </w:numPr>
              <w:spacing w:after="120" w:line="259" w:lineRule="auto"/>
              <w:ind w:left="323"/>
              <w:contextualSpacing w:val="0"/>
              <w:cnfStyle w:val="000000100000" w:firstRow="0" w:lastRow="0" w:firstColumn="0" w:lastColumn="0" w:oddVBand="0" w:evenVBand="0" w:oddHBand="1" w:evenHBand="0" w:firstRowFirstColumn="0" w:firstRowLastColumn="0" w:lastRowFirstColumn="0" w:lastRowLastColumn="0"/>
            </w:pPr>
            <w:r w:rsidRPr="00BA759C">
              <w:lastRenderedPageBreak/>
              <w:t>In addition, there are likely to be cost savings associated with reduced demand on mental health services, and possible benefits to family and friends</w:t>
            </w:r>
          </w:p>
        </w:tc>
        <w:tc>
          <w:tcPr>
            <w:tcW w:w="3798" w:type="dxa"/>
          </w:tcPr>
          <w:p w14:paraId="46AA6C50" w14:textId="0693DCFB"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rsidRPr="00BA759C">
              <w:lastRenderedPageBreak/>
              <w:t xml:space="preserve">Improvements in self-rated mental health </w:t>
            </w:r>
          </w:p>
        </w:tc>
        <w:tc>
          <w:tcPr>
            <w:tcW w:w="992" w:type="dxa"/>
          </w:tcPr>
          <w:p w14:paraId="130A2111" w14:textId="77777777" w:rsidR="00A60DBE" w:rsidRPr="00BA759C" w:rsidRDefault="00A60DBE" w:rsidP="00560B7C">
            <w:pPr>
              <w:spacing w:before="240"/>
              <w:cnfStyle w:val="000000100000" w:firstRow="0" w:lastRow="0" w:firstColumn="0" w:lastColumn="0" w:oddVBand="0" w:evenVBand="0" w:oddHBand="1" w:evenHBand="0"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79D28E24" wp14:editId="4C8A6EB1">
                  <wp:extent cx="381000" cy="390525"/>
                  <wp:effectExtent l="0" t="0" r="0" b="0"/>
                  <wp:docPr id="303" name="Picture 303" descr="Icon for 'Partial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con for 'Partial meas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1134" w:type="dxa"/>
          </w:tcPr>
          <w:p w14:paraId="06A34127" w14:textId="77777777" w:rsidR="00A60DBE" w:rsidRPr="00BA759C" w:rsidRDefault="00A60DBE" w:rsidP="00560B7C">
            <w:pPr>
              <w:spacing w:before="240"/>
              <w:cnfStyle w:val="000000100000" w:firstRow="0" w:lastRow="0" w:firstColumn="0" w:lastColumn="0" w:oddVBand="0" w:evenVBand="0" w:oddHBand="1" w:evenHBand="0"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345F4830" wp14:editId="46611B39">
                  <wp:extent cx="571500" cy="152400"/>
                  <wp:effectExtent l="0" t="0" r="0" b="0"/>
                  <wp:docPr id="304" name="Picture 304" descr="Icon for 'High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con for 'High qualit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tc>
        <w:tc>
          <w:tcPr>
            <w:tcW w:w="2350" w:type="dxa"/>
          </w:tcPr>
          <w:p w14:paraId="40071C95" w14:textId="77777777"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rsidRPr="00BA759C">
              <w:t>Survey of representative sample of participants and comparison group undertaken as part of the research for this evaluation</w:t>
            </w:r>
          </w:p>
        </w:tc>
      </w:tr>
      <w:tr w:rsidR="002E122F" w:rsidRPr="00BA759C" w14:paraId="0B807BE5" w14:textId="77777777" w:rsidTr="001431BC">
        <w:trPr>
          <w:gridAfter w:val="1"/>
          <w:cnfStyle w:val="000000010000" w:firstRow="0" w:lastRow="0" w:firstColumn="0" w:lastColumn="0" w:oddVBand="0" w:evenVBand="0" w:oddHBand="0" w:evenHBand="1"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2554" w:type="dxa"/>
          </w:tcPr>
          <w:p w14:paraId="1647AF08" w14:textId="77777777" w:rsidR="00A60DBE" w:rsidRPr="007B640D" w:rsidRDefault="00A60DBE" w:rsidP="00D11E39">
            <w:pPr>
              <w:rPr>
                <w:b w:val="0"/>
                <w:bCs/>
              </w:rPr>
            </w:pPr>
            <w:r w:rsidRPr="003C745E">
              <w:rPr>
                <w:bCs/>
              </w:rPr>
              <w:t xml:space="preserve">Increased personal wellbeing </w:t>
            </w:r>
          </w:p>
        </w:tc>
        <w:tc>
          <w:tcPr>
            <w:tcW w:w="3004" w:type="dxa"/>
          </w:tcPr>
          <w:p w14:paraId="7B7F6DFE" w14:textId="20743F8E" w:rsidR="00A60DBE" w:rsidRPr="00BA759C" w:rsidRDefault="00A60DBE" w:rsidP="00873641">
            <w:pPr>
              <w:cnfStyle w:val="000000010000" w:firstRow="0" w:lastRow="0" w:firstColumn="0" w:lastColumn="0" w:oddVBand="0" w:evenVBand="0" w:oddHBand="0" w:evenHBand="1" w:firstRowFirstColumn="0" w:firstRowLastColumn="0" w:lastRowFirstColumn="0" w:lastRowLastColumn="0"/>
            </w:pPr>
            <w:r>
              <w:t>Average v</w:t>
            </w:r>
            <w:r w:rsidRPr="00BA759C">
              <w:t>alue of increased wellbeing</w:t>
            </w:r>
            <w:r w:rsidR="0095779A">
              <w:t>:</w:t>
            </w:r>
            <w:r w:rsidR="00873641">
              <w:t xml:space="preserve"> </w:t>
            </w:r>
            <w:r w:rsidRPr="00BA759C">
              <w:rPr>
                <w:b/>
                <w:bCs/>
              </w:rPr>
              <w:t>$</w:t>
            </w:r>
            <w:r>
              <w:rPr>
                <w:b/>
                <w:bCs/>
              </w:rPr>
              <w:t xml:space="preserve">3,170 </w:t>
            </w:r>
            <w:r w:rsidRPr="00BA759C">
              <w:t>–</w:t>
            </w:r>
            <w:r>
              <w:t xml:space="preserve"> </w:t>
            </w:r>
            <w:r>
              <w:rPr>
                <w:b/>
                <w:bCs/>
              </w:rPr>
              <w:t xml:space="preserve">$20,777 </w:t>
            </w:r>
            <w:r w:rsidRPr="00BA759C">
              <w:t>per p</w:t>
            </w:r>
            <w:r>
              <w:t>articipant</w:t>
            </w:r>
            <w:r w:rsidRPr="00BA759C">
              <w:t xml:space="preserve"> </w:t>
            </w:r>
          </w:p>
        </w:tc>
        <w:tc>
          <w:tcPr>
            <w:tcW w:w="3798" w:type="dxa"/>
          </w:tcPr>
          <w:p w14:paraId="54D80EBC" w14:textId="26B6EB2D" w:rsidR="00481F1D" w:rsidRPr="00652B6B" w:rsidRDefault="00481F1D" w:rsidP="00481F1D">
            <w:pPr>
              <w:spacing w:after="120"/>
              <w:cnfStyle w:val="000000010000" w:firstRow="0" w:lastRow="0" w:firstColumn="0" w:lastColumn="0" w:oddVBand="0" w:evenVBand="0" w:oddHBand="0" w:evenHBand="1" w:firstRowFirstColumn="0" w:firstRowLastColumn="0" w:lastRowFirstColumn="0" w:lastRowLastColumn="0"/>
            </w:pPr>
            <w:r w:rsidRPr="00652B6B">
              <w:t xml:space="preserve">Participation in TtW increases </w:t>
            </w:r>
            <w:r w:rsidRPr="009F1529">
              <w:t>Personal Wellbeing Index</w:t>
            </w:r>
            <w:r w:rsidRPr="00652B6B">
              <w:t xml:space="preserve"> score by 5.5 percentage points over comparison group</w:t>
            </w:r>
            <w:r w:rsidR="00F400D0">
              <w:rPr>
                <w:rStyle w:val="FootnoteReference"/>
              </w:rPr>
              <w:footnoteReference w:id="106"/>
            </w:r>
          </w:p>
          <w:p w14:paraId="7FBA1610" w14:textId="20EB4356" w:rsidR="00481F1D" w:rsidRPr="00652B6B" w:rsidRDefault="00481F1D" w:rsidP="00481F1D">
            <w:pPr>
              <w:spacing w:after="120"/>
              <w:cnfStyle w:val="000000010000" w:firstRow="0" w:lastRow="0" w:firstColumn="0" w:lastColumn="0" w:oddVBand="0" w:evenVBand="0" w:oddHBand="0" w:evenHBand="1" w:firstRowFirstColumn="0" w:firstRowLastColumn="0" w:lastRowFirstColumn="0" w:lastRowLastColumn="0"/>
            </w:pPr>
            <w:r w:rsidRPr="00652B6B">
              <w:t xml:space="preserve">Value of increasing PWI by </w:t>
            </w:r>
            <w:r w:rsidR="00A15B40">
              <w:t>1</w:t>
            </w:r>
            <w:r w:rsidRPr="00652B6B">
              <w:t xml:space="preserve"> percentage point is $576</w:t>
            </w:r>
            <w:r w:rsidR="00F8391B">
              <w:t xml:space="preserve"> – </w:t>
            </w:r>
            <w:r w:rsidRPr="00652B6B">
              <w:t>$3,777 per participant assuming wellbeing</w:t>
            </w:r>
            <w:r w:rsidR="00AE563E">
              <w:t xml:space="preserve"> benefit is maintained for </w:t>
            </w:r>
            <w:r w:rsidR="00F8391B">
              <w:t>6</w:t>
            </w:r>
            <w:r w:rsidR="00AE563E">
              <w:t xml:space="preserve"> months</w:t>
            </w:r>
          </w:p>
          <w:p w14:paraId="5AB88D31" w14:textId="6A1EB67B" w:rsidR="00A60DBE" w:rsidRPr="00BA759C" w:rsidRDefault="00481F1D" w:rsidP="009251AF">
            <w:pPr>
              <w:spacing w:after="0"/>
              <w:cnfStyle w:val="000000010000" w:firstRow="0" w:lastRow="0" w:firstColumn="0" w:lastColumn="0" w:oddVBand="0" w:evenVBand="0" w:oddHBand="0" w:evenHBand="1" w:firstRowFirstColumn="0" w:firstRowLastColumn="0" w:lastRowFirstColumn="0" w:lastRowLastColumn="0"/>
            </w:pPr>
            <w:r w:rsidRPr="00652B6B">
              <w:t>Value of increased wellbeing = 5.5 x ($576 to $3,777) = $3,170 to $20,774 per participant</w:t>
            </w:r>
          </w:p>
        </w:tc>
        <w:tc>
          <w:tcPr>
            <w:tcW w:w="992" w:type="dxa"/>
          </w:tcPr>
          <w:p w14:paraId="750D70A2" w14:textId="77777777" w:rsidR="00A60DBE" w:rsidRPr="00BA759C" w:rsidRDefault="00A60DBE" w:rsidP="00560B7C">
            <w:pPr>
              <w:spacing w:before="240"/>
              <w:cnfStyle w:val="000000010000" w:firstRow="0" w:lastRow="0" w:firstColumn="0" w:lastColumn="0" w:oddVBand="0" w:evenVBand="0" w:oddHBand="0" w:evenHBand="1"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165E45FB" wp14:editId="39AF73B8">
                  <wp:extent cx="381000" cy="381000"/>
                  <wp:effectExtent l="0" t="0" r="0" b="0"/>
                  <wp:docPr id="305" name="Picture 305" descr="Icon for 'Direc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con for 'Direct meas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134" w:type="dxa"/>
          </w:tcPr>
          <w:p w14:paraId="1FA6DCE8" w14:textId="77777777" w:rsidR="00A60DBE" w:rsidRPr="00BA759C" w:rsidRDefault="00A60DBE" w:rsidP="00560B7C">
            <w:pPr>
              <w:spacing w:before="240"/>
              <w:cnfStyle w:val="000000010000" w:firstRow="0" w:lastRow="0" w:firstColumn="0" w:lastColumn="0" w:oddVBand="0" w:evenVBand="0" w:oddHBand="0" w:evenHBand="1"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1AF722E7" wp14:editId="1602AF38">
                  <wp:extent cx="571500" cy="161925"/>
                  <wp:effectExtent l="0" t="0" r="0" b="9525"/>
                  <wp:docPr id="306" name="Picture 306" descr="Icon for 'Acceptable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con for 'Acceptable quality'"/>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161925"/>
                          </a:xfrm>
                          <a:prstGeom prst="rect">
                            <a:avLst/>
                          </a:prstGeom>
                          <a:noFill/>
                          <a:ln>
                            <a:noFill/>
                          </a:ln>
                        </pic:spPr>
                      </pic:pic>
                    </a:graphicData>
                  </a:graphic>
                </wp:inline>
              </w:drawing>
            </w:r>
          </w:p>
        </w:tc>
        <w:tc>
          <w:tcPr>
            <w:tcW w:w="2350" w:type="dxa"/>
          </w:tcPr>
          <w:p w14:paraId="5F75730A" w14:textId="7C830697" w:rsidR="00A60DBE" w:rsidRPr="00BA759C" w:rsidRDefault="00A60DBE" w:rsidP="00D11E39">
            <w:pPr>
              <w:cnfStyle w:val="000000010000" w:firstRow="0" w:lastRow="0" w:firstColumn="0" w:lastColumn="0" w:oddVBand="0" w:evenVBand="0" w:oddHBand="0" w:evenHBand="1" w:firstRowFirstColumn="0" w:firstRowLastColumn="0" w:lastRowFirstColumn="0" w:lastRowLastColumn="0"/>
            </w:pPr>
            <w:r w:rsidRPr="00BA759C">
              <w:t>Survey of representative sample of participants and comparison group undertaken as part of the research for this evaluation</w:t>
            </w:r>
          </w:p>
          <w:p w14:paraId="37CB40C4" w14:textId="064EC312" w:rsidR="00A60DBE" w:rsidRPr="00BA759C" w:rsidRDefault="00A21B5A" w:rsidP="00D11E39">
            <w:pPr>
              <w:cnfStyle w:val="000000010000" w:firstRow="0" w:lastRow="0" w:firstColumn="0" w:lastColumn="0" w:oddVBand="0" w:evenVBand="0" w:oddHBand="0" w:evenHBand="1" w:firstRowFirstColumn="0" w:firstRowLastColumn="0" w:lastRowFirstColumn="0" w:lastRowLastColumn="0"/>
            </w:pPr>
            <w:r>
              <w:t>Various academic papers</w:t>
            </w:r>
          </w:p>
        </w:tc>
      </w:tr>
      <w:tr w:rsidR="002E122F" w:rsidRPr="0083156E" w14:paraId="5DA82B62" w14:textId="77777777" w:rsidTr="001431BC">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2554" w:type="dxa"/>
          </w:tcPr>
          <w:p w14:paraId="5B1DA7C1" w14:textId="77777777" w:rsidR="00A60DBE" w:rsidRPr="0083156E" w:rsidRDefault="00A60DBE" w:rsidP="00D11E39">
            <w:pPr>
              <w:rPr>
                <w:b w:val="0"/>
                <w:bCs/>
              </w:rPr>
            </w:pPr>
            <w:r>
              <w:rPr>
                <w:bCs/>
              </w:rPr>
              <w:t>Estimated</w:t>
            </w:r>
            <w:r w:rsidRPr="0083156E">
              <w:rPr>
                <w:bCs/>
              </w:rPr>
              <w:t xml:space="preserve"> monetary </w:t>
            </w:r>
            <w:r>
              <w:rPr>
                <w:bCs/>
              </w:rPr>
              <w:t>value of benefits</w:t>
            </w:r>
            <w:r w:rsidRPr="0083156E">
              <w:rPr>
                <w:bCs/>
              </w:rPr>
              <w:t xml:space="preserve"> per participant</w:t>
            </w:r>
            <w:r>
              <w:rPr>
                <w:bCs/>
              </w:rPr>
              <w:t>, 48 months</w:t>
            </w:r>
          </w:p>
        </w:tc>
        <w:tc>
          <w:tcPr>
            <w:tcW w:w="3004" w:type="dxa"/>
          </w:tcPr>
          <w:p w14:paraId="1BB96D5C" w14:textId="71703A00" w:rsidR="00A60DBE" w:rsidRPr="0083156E" w:rsidRDefault="00481F1D" w:rsidP="00D11E39">
            <w:pPr>
              <w:cnfStyle w:val="000000100000" w:firstRow="0" w:lastRow="0" w:firstColumn="0" w:lastColumn="0" w:oddVBand="0" w:evenVBand="0" w:oddHBand="1" w:evenHBand="0" w:firstRowFirstColumn="0" w:firstRowLastColumn="0" w:lastRowFirstColumn="0" w:lastRowLastColumn="0"/>
              <w:rPr>
                <w:b/>
                <w:bCs/>
              </w:rPr>
            </w:pPr>
            <w:r w:rsidRPr="00652B6B">
              <w:rPr>
                <w:b/>
                <w:bCs/>
              </w:rPr>
              <w:t xml:space="preserve">$3,457 </w:t>
            </w:r>
            <w:r>
              <w:rPr>
                <w:b/>
                <w:bCs/>
              </w:rPr>
              <w:t xml:space="preserve">to </w:t>
            </w:r>
            <w:r w:rsidRPr="00652B6B">
              <w:rPr>
                <w:b/>
                <w:bCs/>
              </w:rPr>
              <w:t>$21,064</w:t>
            </w:r>
          </w:p>
        </w:tc>
        <w:tc>
          <w:tcPr>
            <w:tcW w:w="3798" w:type="dxa"/>
          </w:tcPr>
          <w:p w14:paraId="33A51885" w14:textId="581B00F3" w:rsidR="00A60DBE" w:rsidRPr="0083156E" w:rsidRDefault="00F400D0" w:rsidP="00D11E39">
            <w:pPr>
              <w:cnfStyle w:val="000000100000" w:firstRow="0" w:lastRow="0" w:firstColumn="0" w:lastColumn="0" w:oddVBand="0" w:evenVBand="0" w:oddHBand="1" w:evenHBand="0" w:firstRowFirstColumn="0" w:firstRowLastColumn="0" w:lastRowFirstColumn="0" w:lastRowLastColumn="0"/>
              <w:rPr>
                <w:b/>
                <w:bCs/>
              </w:rPr>
            </w:pPr>
            <w:r>
              <w:rPr>
                <w:b/>
                <w:bCs/>
              </w:rPr>
              <w:t>Sum of benefits per participant</w:t>
            </w:r>
          </w:p>
        </w:tc>
        <w:tc>
          <w:tcPr>
            <w:tcW w:w="992" w:type="dxa"/>
          </w:tcPr>
          <w:p w14:paraId="5FAA85B3" w14:textId="20F87AD2" w:rsidR="00A60DBE" w:rsidRPr="0083156E" w:rsidRDefault="00F400D0" w:rsidP="00D11E39">
            <w:pPr>
              <w:cnfStyle w:val="000000100000" w:firstRow="0" w:lastRow="0" w:firstColumn="0" w:lastColumn="0" w:oddVBand="0" w:evenVBand="0" w:oddHBand="1" w:evenHBand="0" w:firstRowFirstColumn="0" w:firstRowLastColumn="0" w:lastRowFirstColumn="0" w:lastRowLastColumn="0"/>
              <w:rPr>
                <w:b/>
                <w:bCs/>
              </w:rPr>
            </w:pPr>
            <w:r>
              <w:rPr>
                <w:b/>
                <w:bCs/>
              </w:rPr>
              <w:t>NA</w:t>
            </w:r>
          </w:p>
        </w:tc>
        <w:tc>
          <w:tcPr>
            <w:tcW w:w="1134" w:type="dxa"/>
          </w:tcPr>
          <w:p w14:paraId="2BD806A2" w14:textId="680BA878" w:rsidR="00A60DBE" w:rsidRPr="0083156E" w:rsidRDefault="00F400D0" w:rsidP="00D11E39">
            <w:pPr>
              <w:cnfStyle w:val="000000100000" w:firstRow="0" w:lastRow="0" w:firstColumn="0" w:lastColumn="0" w:oddVBand="0" w:evenVBand="0" w:oddHBand="1" w:evenHBand="0" w:firstRowFirstColumn="0" w:firstRowLastColumn="0" w:lastRowFirstColumn="0" w:lastRowLastColumn="0"/>
              <w:rPr>
                <w:b/>
                <w:bCs/>
              </w:rPr>
            </w:pPr>
            <w:r>
              <w:rPr>
                <w:b/>
                <w:bCs/>
              </w:rPr>
              <w:t>NA</w:t>
            </w:r>
          </w:p>
        </w:tc>
        <w:tc>
          <w:tcPr>
            <w:tcW w:w="2350" w:type="dxa"/>
          </w:tcPr>
          <w:p w14:paraId="19835031" w14:textId="3E911C9A" w:rsidR="00A60DBE" w:rsidRPr="0083156E" w:rsidRDefault="00F400D0" w:rsidP="00D11E39">
            <w:pPr>
              <w:cnfStyle w:val="000000100000" w:firstRow="0" w:lastRow="0" w:firstColumn="0" w:lastColumn="0" w:oddVBand="0" w:evenVBand="0" w:oddHBand="1" w:evenHBand="0" w:firstRowFirstColumn="0" w:firstRowLastColumn="0" w:lastRowFirstColumn="0" w:lastRowLastColumn="0"/>
              <w:rPr>
                <w:b/>
                <w:bCs/>
              </w:rPr>
            </w:pPr>
            <w:r>
              <w:rPr>
                <w:b/>
                <w:bCs/>
              </w:rPr>
              <w:t>As above</w:t>
            </w:r>
          </w:p>
        </w:tc>
      </w:tr>
    </w:tbl>
    <w:p w14:paraId="17D0B0C6" w14:textId="6B65016F" w:rsidR="008216ED" w:rsidRDefault="008216ED" w:rsidP="00CD7319">
      <w:pPr>
        <w:pStyle w:val="Caption"/>
        <w:keepNext/>
      </w:pPr>
      <w:bookmarkStart w:id="3708" w:name="_Ref120183583"/>
      <w:bookmarkStart w:id="3709" w:name="_Toc132647793"/>
      <w:bookmarkStart w:id="3710" w:name="_Toc145877308"/>
      <w:r>
        <w:lastRenderedPageBreak/>
        <w:t xml:space="preserve">Table </w:t>
      </w:r>
      <w:r w:rsidR="00BE71D4">
        <w:fldChar w:fldCharType="begin"/>
      </w:r>
      <w:r w:rsidR="00BE71D4">
        <w:instrText xml:space="preserve"> SEQ Table \* ARABIC </w:instrText>
      </w:r>
      <w:r w:rsidR="00BE71D4">
        <w:fldChar w:fldCharType="separate"/>
      </w:r>
      <w:r w:rsidR="00180E14">
        <w:rPr>
          <w:noProof/>
        </w:rPr>
        <w:t>19</w:t>
      </w:r>
      <w:r w:rsidR="00BE71D4">
        <w:rPr>
          <w:noProof/>
        </w:rPr>
        <w:fldChar w:fldCharType="end"/>
      </w:r>
      <w:bookmarkEnd w:id="3708"/>
      <w:r>
        <w:t xml:space="preserve">: </w:t>
      </w:r>
      <w:r w:rsidRPr="00DA3377">
        <w:t>Summary of costs attributable to TtW, calculations and data sources</w:t>
      </w:r>
      <w:bookmarkEnd w:id="3709"/>
      <w:bookmarkEnd w:id="3710"/>
    </w:p>
    <w:tbl>
      <w:tblPr>
        <w:tblStyle w:val="TtWReportTableTemplate2"/>
        <w:tblW w:w="14858" w:type="dxa"/>
        <w:tblLook w:val="04A0" w:firstRow="1" w:lastRow="0" w:firstColumn="1" w:lastColumn="0" w:noHBand="0" w:noVBand="1"/>
      </w:tblPr>
      <w:tblGrid>
        <w:gridCol w:w="2345"/>
        <w:gridCol w:w="3029"/>
        <w:gridCol w:w="4949"/>
        <w:gridCol w:w="977"/>
        <w:gridCol w:w="1116"/>
        <w:gridCol w:w="2336"/>
        <w:gridCol w:w="106"/>
      </w:tblGrid>
      <w:tr w:rsidR="00F975E8" w:rsidRPr="00BA759C" w14:paraId="24C23C81" w14:textId="77777777" w:rsidTr="008C78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5D7A38"/>
            <w:vAlign w:val="center"/>
          </w:tcPr>
          <w:p w14:paraId="5511511D" w14:textId="0ADE20B3" w:rsidR="00A60DBE" w:rsidRPr="00BA759C" w:rsidRDefault="00A129BE" w:rsidP="009251AF">
            <w:pPr>
              <w:keepNext/>
              <w:keepLines/>
              <w:spacing w:after="0"/>
            </w:pPr>
            <w:r>
              <w:t>Estimated additional costs</w:t>
            </w:r>
          </w:p>
        </w:tc>
        <w:tc>
          <w:tcPr>
            <w:tcW w:w="0" w:type="dxa"/>
            <w:shd w:val="clear" w:color="auto" w:fill="5D7A38"/>
            <w:vAlign w:val="center"/>
          </w:tcPr>
          <w:p w14:paraId="14619796" w14:textId="77777777" w:rsidR="00A60DBE" w:rsidRPr="00BA759C" w:rsidRDefault="00A60DBE" w:rsidP="009251AF">
            <w:pPr>
              <w:keepNext/>
              <w:spacing w:after="0"/>
              <w:cnfStyle w:val="100000000000" w:firstRow="1" w:lastRow="0" w:firstColumn="0" w:lastColumn="0" w:oddVBand="0" w:evenVBand="0" w:oddHBand="0" w:evenHBand="0" w:firstRowFirstColumn="0" w:firstRowLastColumn="0" w:lastRowFirstColumn="0" w:lastRowLastColumn="0"/>
            </w:pPr>
            <w:r>
              <w:t>Total cost per participant</w:t>
            </w:r>
          </w:p>
        </w:tc>
        <w:tc>
          <w:tcPr>
            <w:tcW w:w="0" w:type="dxa"/>
            <w:shd w:val="clear" w:color="auto" w:fill="5D7A38"/>
            <w:vAlign w:val="center"/>
          </w:tcPr>
          <w:p w14:paraId="7F0104FE" w14:textId="77777777" w:rsidR="00A60DBE" w:rsidRPr="00BA759C" w:rsidRDefault="00A60DBE" w:rsidP="009251AF">
            <w:pPr>
              <w:keepNext/>
              <w:spacing w:after="0"/>
              <w:cnfStyle w:val="100000000000" w:firstRow="1" w:lastRow="0" w:firstColumn="0" w:lastColumn="0" w:oddVBand="0" w:evenVBand="0" w:oddHBand="0" w:evenHBand="0" w:firstRowFirstColumn="0" w:firstRowLastColumn="0" w:lastRowFirstColumn="0" w:lastRowLastColumn="0"/>
            </w:pPr>
            <w:r w:rsidRPr="00BA759C">
              <w:t xml:space="preserve">Calculation of the </w:t>
            </w:r>
            <w:r>
              <w:t>cost associated with providing TtW service to one participant over 4 years</w:t>
            </w:r>
            <w:r w:rsidRPr="00BA759C">
              <w:t xml:space="preserve"> </w:t>
            </w:r>
          </w:p>
        </w:tc>
        <w:tc>
          <w:tcPr>
            <w:tcW w:w="0" w:type="dxa"/>
            <w:shd w:val="clear" w:color="auto" w:fill="5D7A38"/>
            <w:vAlign w:val="center"/>
          </w:tcPr>
          <w:p w14:paraId="65298A9E" w14:textId="34AF16CF" w:rsidR="00A60DBE" w:rsidRPr="00BA759C" w:rsidRDefault="00A60DBE" w:rsidP="009251AF">
            <w:pPr>
              <w:spacing w:after="0"/>
              <w:cnfStyle w:val="100000000000" w:firstRow="1" w:lastRow="0" w:firstColumn="0" w:lastColumn="0" w:oddVBand="0" w:evenVBand="0" w:oddHBand="0" w:evenHBand="0" w:firstRowFirstColumn="0" w:firstRowLastColumn="0" w:lastRowFirstColumn="0" w:lastRowLastColumn="0"/>
            </w:pPr>
            <w:r>
              <w:t>Type of indicator</w:t>
            </w:r>
          </w:p>
        </w:tc>
        <w:tc>
          <w:tcPr>
            <w:tcW w:w="0" w:type="dxa"/>
            <w:shd w:val="clear" w:color="auto" w:fill="5D7A38"/>
            <w:vAlign w:val="center"/>
          </w:tcPr>
          <w:p w14:paraId="05B7C377" w14:textId="184F5B4E" w:rsidR="00A60DBE" w:rsidRPr="00BA759C" w:rsidRDefault="00A60DBE" w:rsidP="009251AF">
            <w:pPr>
              <w:spacing w:after="0"/>
              <w:cnfStyle w:val="100000000000" w:firstRow="1" w:lastRow="0" w:firstColumn="0" w:lastColumn="0" w:oddVBand="0" w:evenVBand="0" w:oddHBand="0" w:evenHBand="0" w:firstRowFirstColumn="0" w:firstRowLastColumn="0" w:lastRowFirstColumn="0" w:lastRowLastColumn="0"/>
            </w:pPr>
            <w:r>
              <w:t>Quality of data source</w:t>
            </w:r>
          </w:p>
        </w:tc>
        <w:tc>
          <w:tcPr>
            <w:tcW w:w="0" w:type="dxa"/>
            <w:gridSpan w:val="2"/>
            <w:shd w:val="clear" w:color="auto" w:fill="5D7A38"/>
            <w:vAlign w:val="center"/>
          </w:tcPr>
          <w:p w14:paraId="75D26D91" w14:textId="77777777" w:rsidR="00A60DBE" w:rsidRPr="00BA759C" w:rsidRDefault="00A60DBE" w:rsidP="009251AF">
            <w:pPr>
              <w:spacing w:after="0"/>
              <w:cnfStyle w:val="100000000000" w:firstRow="1" w:lastRow="0" w:firstColumn="0" w:lastColumn="0" w:oddVBand="0" w:evenVBand="0" w:oddHBand="0" w:evenHBand="0" w:firstRowFirstColumn="0" w:firstRowLastColumn="0" w:lastRowFirstColumn="0" w:lastRowLastColumn="0"/>
            </w:pPr>
            <w:r w:rsidRPr="00BA759C">
              <w:t>Source</w:t>
            </w:r>
          </w:p>
        </w:tc>
      </w:tr>
      <w:tr w:rsidR="00A60DBE" w:rsidRPr="00BA759C" w14:paraId="0828D3E4" w14:textId="77777777" w:rsidTr="00D11E39">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2362" w:type="dxa"/>
          </w:tcPr>
          <w:p w14:paraId="4A97D8D6" w14:textId="49A0D294" w:rsidR="00A60DBE" w:rsidRPr="00BA759C" w:rsidRDefault="00A60DBE" w:rsidP="00D11E39">
            <w:pPr>
              <w:keepNext/>
              <w:keepLines/>
            </w:pPr>
            <w:r w:rsidRPr="003C745E">
              <w:rPr>
                <w:bCs/>
              </w:rPr>
              <w:t xml:space="preserve">Expenditure by </w:t>
            </w:r>
            <w:r w:rsidRPr="009F1529">
              <w:rPr>
                <w:bCs/>
              </w:rPr>
              <w:t>DESE</w:t>
            </w:r>
            <w:r>
              <w:rPr>
                <w:bCs/>
              </w:rPr>
              <w:t xml:space="preserve">, </w:t>
            </w:r>
            <w:r w:rsidR="005A20D5">
              <w:t>a</w:t>
            </w:r>
            <w:r w:rsidRPr="00BA759C">
              <w:t xml:space="preserve">dditional unit cost for a TtW participant </w:t>
            </w:r>
          </w:p>
        </w:tc>
        <w:tc>
          <w:tcPr>
            <w:tcW w:w="3051" w:type="dxa"/>
          </w:tcPr>
          <w:p w14:paraId="3E665785" w14:textId="39BB5E31" w:rsidR="00A60DBE" w:rsidRPr="00BA759C" w:rsidRDefault="00A60DBE" w:rsidP="00D11E39">
            <w:pPr>
              <w:keepNext/>
              <w:cnfStyle w:val="000000100000" w:firstRow="0" w:lastRow="0" w:firstColumn="0" w:lastColumn="0" w:oddVBand="0" w:evenVBand="0" w:oddHBand="1" w:evenHBand="0" w:firstRowFirstColumn="0" w:firstRowLastColumn="0" w:lastRowFirstColumn="0" w:lastRowLastColumn="0"/>
              <w:rPr>
                <w:b/>
                <w:bCs/>
              </w:rPr>
            </w:pPr>
            <w:r w:rsidRPr="001F77D2">
              <w:t xml:space="preserve">Average additional cost associated with TtW servicing over </w:t>
            </w:r>
            <w:r w:rsidR="00406671">
              <w:t>12</w:t>
            </w:r>
            <w:r w:rsidR="00873641">
              <w:t> </w:t>
            </w:r>
            <w:r w:rsidR="00406671">
              <w:t>months</w:t>
            </w:r>
            <w:r w:rsidRPr="00824049">
              <w:t>:</w:t>
            </w:r>
            <w:r w:rsidRPr="00824049">
              <w:rPr>
                <w:b/>
                <w:bCs/>
              </w:rPr>
              <w:t xml:space="preserve"> </w:t>
            </w:r>
            <w:r w:rsidRPr="00406671">
              <w:rPr>
                <w:b/>
                <w:bCs/>
              </w:rPr>
              <w:t>$3,</w:t>
            </w:r>
            <w:r w:rsidR="00406671" w:rsidRPr="00406671">
              <w:rPr>
                <w:b/>
                <w:bCs/>
              </w:rPr>
              <w:t xml:space="preserve">242 </w:t>
            </w:r>
            <w:r w:rsidRPr="00406671">
              <w:t>per</w:t>
            </w:r>
            <w:r w:rsidRPr="001F77D2">
              <w:t xml:space="preserve"> participant</w:t>
            </w:r>
          </w:p>
        </w:tc>
        <w:tc>
          <w:tcPr>
            <w:tcW w:w="5001" w:type="dxa"/>
          </w:tcPr>
          <w:p w14:paraId="7738519F" w14:textId="77777777"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rsidRPr="00BA759C">
              <w:t xml:space="preserve">Average cost per participant </w:t>
            </w:r>
          </w:p>
          <w:p w14:paraId="46A02577" w14:textId="3D018C34" w:rsidR="00A60DBE" w:rsidRPr="00BA759C" w:rsidRDefault="00A60DBE" w:rsidP="00FF5DFD">
            <w:pPr>
              <w:pStyle w:val="ListParagraph"/>
              <w:numPr>
                <w:ilvl w:val="0"/>
                <w:numId w:val="16"/>
              </w:numPr>
              <w:spacing w:after="120" w:line="259" w:lineRule="auto"/>
              <w:ind w:left="0"/>
              <w:contextualSpacing w:val="0"/>
              <w:cnfStyle w:val="000000100000" w:firstRow="0" w:lastRow="0" w:firstColumn="0" w:lastColumn="0" w:oddVBand="0" w:evenVBand="0" w:oddHBand="1" w:evenHBand="0" w:firstRowFirstColumn="0" w:firstRowLastColumn="0" w:lastRowFirstColumn="0" w:lastRowLastColumn="0"/>
            </w:pPr>
            <w:r w:rsidRPr="00BA759C">
              <w:t xml:space="preserve">The </w:t>
            </w:r>
            <w:r w:rsidR="00873641">
              <w:t>f</w:t>
            </w:r>
            <w:r w:rsidRPr="00BA759C">
              <w:t>inal evaluation calculated the average program cost per participant over a 12</w:t>
            </w:r>
            <w:r w:rsidR="00873641">
              <w:t>-</w:t>
            </w:r>
            <w:r w:rsidRPr="00BA759C">
              <w:t>month period. This took into account the average time participants spent in either TtW or jobactive or outside employment services</w:t>
            </w:r>
          </w:p>
          <w:p w14:paraId="4DF51BEF" w14:textId="7F6C8DB0" w:rsidR="00A60DBE" w:rsidRPr="00BA759C" w:rsidRDefault="00A60DBE" w:rsidP="00FF5DFD">
            <w:pPr>
              <w:pStyle w:val="ListParagraph"/>
              <w:numPr>
                <w:ilvl w:val="0"/>
                <w:numId w:val="16"/>
              </w:numPr>
              <w:spacing w:after="120" w:line="259" w:lineRule="auto"/>
              <w:ind w:left="0"/>
              <w:contextualSpacing w:val="0"/>
              <w:cnfStyle w:val="000000100000" w:firstRow="0" w:lastRow="0" w:firstColumn="0" w:lastColumn="0" w:oddVBand="0" w:evenVBand="0" w:oddHBand="1" w:evenHBand="0" w:firstRowFirstColumn="0" w:firstRowLastColumn="0" w:lastRowFirstColumn="0" w:lastRowLastColumn="0"/>
            </w:pPr>
            <w:r w:rsidRPr="00BA759C">
              <w:t>Unit cost for a jobactive participant: $1,801. Unit cost for a TtW participant: $5,043. Average additional cost per participant over a 12</w:t>
            </w:r>
            <w:r w:rsidR="00873641">
              <w:t>-</w:t>
            </w:r>
            <w:r w:rsidRPr="00BA759C">
              <w:t>month period: $5,043</w:t>
            </w:r>
            <w:r w:rsidR="00873641">
              <w:t xml:space="preserve"> </w:t>
            </w:r>
            <w:r w:rsidRPr="00BA759C">
              <w:t>–</w:t>
            </w:r>
            <w:r w:rsidR="00873641">
              <w:t xml:space="preserve"> </w:t>
            </w:r>
            <w:r>
              <w:t>$</w:t>
            </w:r>
            <w:r w:rsidRPr="00BA759C">
              <w:t>1,801 = $3,242</w:t>
            </w:r>
          </w:p>
        </w:tc>
        <w:tc>
          <w:tcPr>
            <w:tcW w:w="977" w:type="dxa"/>
          </w:tcPr>
          <w:p w14:paraId="4F3D7E02" w14:textId="77777777" w:rsidR="00A60DBE" w:rsidRPr="00BA759C" w:rsidRDefault="00A60DBE" w:rsidP="00560B7C">
            <w:pPr>
              <w:spacing w:before="240"/>
              <w:cnfStyle w:val="000000100000" w:firstRow="0" w:lastRow="0" w:firstColumn="0" w:lastColumn="0" w:oddVBand="0" w:evenVBand="0" w:oddHBand="1" w:evenHBand="0"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0008ACC6" wp14:editId="67D8C899">
                  <wp:extent cx="381000" cy="381000"/>
                  <wp:effectExtent l="0" t="0" r="0" b="0"/>
                  <wp:docPr id="307" name="Picture 307" descr="Icon for 'Direc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con for 'Direct meas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116" w:type="dxa"/>
          </w:tcPr>
          <w:p w14:paraId="0517F8EF" w14:textId="77777777" w:rsidR="00A60DBE" w:rsidRPr="00BA759C" w:rsidRDefault="00A60DBE" w:rsidP="00560B7C">
            <w:pPr>
              <w:spacing w:before="240"/>
              <w:cnfStyle w:val="000000100000" w:firstRow="0" w:lastRow="0" w:firstColumn="0" w:lastColumn="0" w:oddVBand="0" w:evenVBand="0" w:oddHBand="1" w:evenHBand="0"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029476EB" wp14:editId="14A2D49D">
                  <wp:extent cx="571500" cy="161925"/>
                  <wp:effectExtent l="0" t="0" r="0" b="9525"/>
                  <wp:docPr id="308" name="Picture 308" descr="Icon for 'Acceptable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con for 'Acceptable quality'"/>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161925"/>
                          </a:xfrm>
                          <a:prstGeom prst="rect">
                            <a:avLst/>
                          </a:prstGeom>
                          <a:noFill/>
                          <a:ln>
                            <a:noFill/>
                          </a:ln>
                        </pic:spPr>
                      </pic:pic>
                    </a:graphicData>
                  </a:graphic>
                </wp:inline>
              </w:drawing>
            </w:r>
          </w:p>
        </w:tc>
        <w:tc>
          <w:tcPr>
            <w:tcW w:w="2351" w:type="dxa"/>
          </w:tcPr>
          <w:p w14:paraId="03B59303" w14:textId="3093EA35"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rsidRPr="00BA759C">
              <w:t xml:space="preserve">TtW Final </w:t>
            </w:r>
            <w:r w:rsidR="00873641">
              <w:t>E</w:t>
            </w:r>
            <w:r w:rsidRPr="00BA759C">
              <w:t xml:space="preserve">valuation </w:t>
            </w:r>
            <w:r w:rsidR="00873641">
              <w:t>R</w:t>
            </w:r>
            <w:r w:rsidRPr="00BA759C">
              <w:t xml:space="preserve">eport, </w:t>
            </w:r>
            <w:r w:rsidR="00873641">
              <w:t>T</w:t>
            </w:r>
            <w:r w:rsidRPr="00BA759C">
              <w:t>able 7.4</w:t>
            </w:r>
            <w:r>
              <w:t xml:space="preserve"> (</w:t>
            </w:r>
            <w:r w:rsidRPr="00C239FD">
              <w:rPr>
                <w:b/>
                <w:bCs/>
              </w:rPr>
              <w:t>DES</w:t>
            </w:r>
            <w:r w:rsidR="00873641" w:rsidRPr="00C239FD">
              <w:rPr>
                <w:b/>
                <w:bCs/>
              </w:rPr>
              <w:t>E</w:t>
            </w:r>
            <w:r w:rsidRPr="00C239FD">
              <w:rPr>
                <w:b/>
                <w:bCs/>
              </w:rPr>
              <w:t xml:space="preserve"> 2021</w:t>
            </w:r>
            <w:r>
              <w:t>)</w:t>
            </w:r>
          </w:p>
          <w:p w14:paraId="67D597AE" w14:textId="358CB019"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rsidRPr="00BA759C">
              <w:t>Departmental admin</w:t>
            </w:r>
            <w:r w:rsidR="00873641">
              <w:t>istrative</w:t>
            </w:r>
            <w:r w:rsidRPr="00BA759C">
              <w:t xml:space="preserve"> data</w:t>
            </w:r>
            <w:r w:rsidR="00F8391B">
              <w:t xml:space="preserve"> – </w:t>
            </w:r>
            <w:r w:rsidR="006150C6">
              <w:t>long-term</w:t>
            </w:r>
            <w:r w:rsidRPr="00BA759C">
              <w:t xml:space="preserve"> impact analysis undertaken for this evaluation</w:t>
            </w:r>
          </w:p>
        </w:tc>
      </w:tr>
      <w:tr w:rsidR="00A60DBE" w:rsidRPr="00BA759C" w14:paraId="55A0EE34" w14:textId="77777777" w:rsidTr="00D11E39">
        <w:trPr>
          <w:gridAfter w:val="1"/>
          <w:cnfStyle w:val="000000010000" w:firstRow="0" w:lastRow="0" w:firstColumn="0" w:lastColumn="0" w:oddVBand="0" w:evenVBand="0" w:oddHBand="0" w:evenHBand="1"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2362" w:type="dxa"/>
          </w:tcPr>
          <w:p w14:paraId="215597F7" w14:textId="77777777" w:rsidR="00A60DBE" w:rsidRPr="00BA759C" w:rsidRDefault="00A60DBE" w:rsidP="00D11E39">
            <w:r w:rsidRPr="003C745E">
              <w:rPr>
                <w:bCs/>
              </w:rPr>
              <w:t>Increased income support payments</w:t>
            </w:r>
            <w:r w:rsidRPr="00BA759C">
              <w:t xml:space="preserve"> associated with the small lock-in effect of TtW</w:t>
            </w:r>
          </w:p>
        </w:tc>
        <w:tc>
          <w:tcPr>
            <w:tcW w:w="3051" w:type="dxa"/>
          </w:tcPr>
          <w:p w14:paraId="6BB392CE" w14:textId="16B3822E" w:rsidR="00A60DBE" w:rsidRPr="00BA759C" w:rsidRDefault="00A60DBE" w:rsidP="00D11E39">
            <w:pPr>
              <w:cnfStyle w:val="000000010000" w:firstRow="0" w:lastRow="0" w:firstColumn="0" w:lastColumn="0" w:oddVBand="0" w:evenVBand="0" w:oddHBand="0" w:evenHBand="1" w:firstRowFirstColumn="0" w:firstRowLastColumn="0" w:lastRowFirstColumn="0" w:lastRowLastColumn="0"/>
            </w:pPr>
            <w:r w:rsidRPr="00BA759C">
              <w:t xml:space="preserve">Average per person cost associated with small lock-in effect of TtW </w:t>
            </w:r>
            <w:r w:rsidR="00406671">
              <w:t>12 months</w:t>
            </w:r>
            <w:r w:rsidRPr="00BA759C">
              <w:t xml:space="preserve"> from commencement</w:t>
            </w:r>
            <w:r w:rsidRPr="006B4C26">
              <w:t xml:space="preserve">: </w:t>
            </w:r>
            <w:r w:rsidRPr="006B4C26">
              <w:rPr>
                <w:b/>
                <w:bCs/>
              </w:rPr>
              <w:t>$</w:t>
            </w:r>
            <w:r w:rsidR="006B4C26">
              <w:rPr>
                <w:b/>
                <w:bCs/>
              </w:rPr>
              <w:t>281</w:t>
            </w:r>
            <w:r>
              <w:rPr>
                <w:b/>
                <w:bCs/>
              </w:rPr>
              <w:t xml:space="preserve"> </w:t>
            </w:r>
            <w:r w:rsidRPr="001F77D2">
              <w:t>per participant</w:t>
            </w:r>
          </w:p>
        </w:tc>
        <w:tc>
          <w:tcPr>
            <w:tcW w:w="5001" w:type="dxa"/>
          </w:tcPr>
          <w:p w14:paraId="6313CBE4" w14:textId="714C7570" w:rsidR="00A60DBE" w:rsidRPr="006B4C26" w:rsidRDefault="00A60DBE" w:rsidP="00D11E39">
            <w:pPr>
              <w:cnfStyle w:val="000000010000" w:firstRow="0" w:lastRow="0" w:firstColumn="0" w:lastColumn="0" w:oddVBand="0" w:evenVBand="0" w:oddHBand="0" w:evenHBand="1" w:firstRowFirstColumn="0" w:firstRowLastColumn="0" w:lastRowFirstColumn="0" w:lastRowLastColumn="0"/>
            </w:pPr>
            <w:r w:rsidRPr="00BA759C">
              <w:t xml:space="preserve">Average cost/person associated with increased income support </w:t>
            </w:r>
            <w:r w:rsidRPr="006B4C26">
              <w:t>payments due to the small lock-in effect of TtW</w:t>
            </w:r>
            <w:r w:rsidR="006B4C26" w:rsidRPr="006B4C26">
              <w:rPr>
                <w:rStyle w:val="FootnoteReference"/>
              </w:rPr>
              <w:footnoteReference w:id="107"/>
            </w:r>
          </w:p>
          <w:p w14:paraId="0981C8C4" w14:textId="1D423909" w:rsidR="00A60DBE" w:rsidRPr="006B4C26" w:rsidRDefault="00A60DBE" w:rsidP="00FF5DFD">
            <w:pPr>
              <w:pStyle w:val="ListParagraph"/>
              <w:numPr>
                <w:ilvl w:val="0"/>
                <w:numId w:val="16"/>
              </w:numPr>
              <w:spacing w:after="120" w:line="259" w:lineRule="auto"/>
              <w:ind w:left="11"/>
              <w:contextualSpacing w:val="0"/>
              <w:cnfStyle w:val="000000010000" w:firstRow="0" w:lastRow="0" w:firstColumn="0" w:lastColumn="0" w:oddVBand="0" w:evenVBand="0" w:oddHBand="0" w:evenHBand="1" w:firstRowFirstColumn="0" w:firstRowLastColumn="0" w:lastRowFirstColumn="0" w:lastRowLastColumn="0"/>
            </w:pPr>
            <w:r w:rsidRPr="006B4C26">
              <w:t xml:space="preserve">Calculated the percentage difference </w:t>
            </w:r>
            <w:r w:rsidR="006B4C26" w:rsidRPr="00CD7319">
              <w:t xml:space="preserve">between TtW and jobactive participants </w:t>
            </w:r>
            <w:r w:rsidRPr="006B4C26">
              <w:t xml:space="preserve">in the number of people off income support in any </w:t>
            </w:r>
            <w:r w:rsidR="006B4C26" w:rsidRPr="00CD7319">
              <w:t>month</w:t>
            </w:r>
          </w:p>
          <w:p w14:paraId="38758DB4" w14:textId="75EE2C52" w:rsidR="00A60DBE" w:rsidRPr="00BA759C" w:rsidRDefault="00A60DBE" w:rsidP="00FF5DFD">
            <w:pPr>
              <w:pStyle w:val="ListParagraph"/>
              <w:numPr>
                <w:ilvl w:val="0"/>
                <w:numId w:val="16"/>
              </w:numPr>
              <w:spacing w:after="120" w:line="259" w:lineRule="auto"/>
              <w:ind w:left="11"/>
              <w:contextualSpacing w:val="0"/>
              <w:cnfStyle w:val="000000010000" w:firstRow="0" w:lastRow="0" w:firstColumn="0" w:lastColumn="0" w:oddVBand="0" w:evenVBand="0" w:oddHBand="0" w:evenHBand="1" w:firstRowFirstColumn="0" w:firstRowLastColumn="0" w:lastRowFirstColumn="0" w:lastRowLastColumn="0"/>
            </w:pPr>
            <w:bookmarkStart w:id="3712" w:name="_Hlk122365990"/>
            <w:r w:rsidRPr="006B4C26">
              <w:t>Average per person cost associated with lock-in effect of TtW = [sum of all months in period of (difference between percentage of participants exiting income support in any month from TtW compared</w:t>
            </w:r>
            <w:r w:rsidRPr="00BA759C">
              <w:t xml:space="preserve"> to jobactive x the IS rate per </w:t>
            </w:r>
            <w:r>
              <w:t>month)]/total number of participants in sample</w:t>
            </w:r>
            <w:r w:rsidRPr="00BA759C">
              <w:t xml:space="preserve">. Average </w:t>
            </w:r>
            <w:r>
              <w:t>monthly</w:t>
            </w:r>
            <w:r w:rsidRPr="00BA759C">
              <w:t xml:space="preserve"> difference was determined in the </w:t>
            </w:r>
            <w:r w:rsidR="006150C6">
              <w:t>long-term</w:t>
            </w:r>
            <w:r w:rsidRPr="00BA759C">
              <w:t xml:space="preserve"> impact analysis. Average </w:t>
            </w:r>
            <w:r>
              <w:t>monthly</w:t>
            </w:r>
            <w:r w:rsidRPr="00BA759C">
              <w:t xml:space="preserve"> income support </w:t>
            </w:r>
            <w:r>
              <w:t>payment</w:t>
            </w:r>
            <w:r w:rsidRPr="00BA759C">
              <w:t xml:space="preserve"> = </w:t>
            </w:r>
            <w:r w:rsidRPr="00CA683F">
              <w:t>$1,118</w:t>
            </w:r>
          </w:p>
          <w:bookmarkEnd w:id="3712"/>
          <w:p w14:paraId="6563628C" w14:textId="68AC933B" w:rsidR="00A60DBE" w:rsidRPr="00481F1D" w:rsidRDefault="00A60DBE" w:rsidP="00FF5DFD">
            <w:pPr>
              <w:pStyle w:val="ListParagraph"/>
              <w:numPr>
                <w:ilvl w:val="0"/>
                <w:numId w:val="16"/>
              </w:numPr>
              <w:spacing w:after="120" w:line="259" w:lineRule="auto"/>
              <w:ind w:left="0"/>
              <w:contextualSpacing w:val="0"/>
              <w:cnfStyle w:val="000000010000" w:firstRow="0" w:lastRow="0" w:firstColumn="0" w:lastColumn="0" w:oddVBand="0" w:evenVBand="0" w:oddHBand="0" w:evenHBand="1" w:firstRowFirstColumn="0" w:firstRowLastColumn="0" w:lastRowFirstColumn="0" w:lastRowLastColumn="0"/>
            </w:pPr>
            <w:r w:rsidRPr="00BA759C">
              <w:lastRenderedPageBreak/>
              <w:t xml:space="preserve">Average per person cost associated with lock-in effect of </w:t>
            </w:r>
            <w:r w:rsidRPr="00481F1D">
              <w:t>TtW</w:t>
            </w:r>
            <w:r w:rsidR="003173DA">
              <w:t>,</w:t>
            </w:r>
            <w:r w:rsidRPr="00481F1D">
              <w:t xml:space="preserve"> </w:t>
            </w:r>
            <w:r w:rsidR="003173DA">
              <w:t>a</w:t>
            </w:r>
            <w:r w:rsidRPr="00481F1D">
              <w:t>t 48 months from commencement: $1,123</w:t>
            </w:r>
          </w:p>
          <w:p w14:paraId="30C873F2" w14:textId="7A562152" w:rsidR="006B4C26" w:rsidRPr="00481F1D" w:rsidRDefault="006B4C26" w:rsidP="009251AF">
            <w:pPr>
              <w:spacing w:after="0" w:line="259" w:lineRule="auto"/>
              <w:cnfStyle w:val="000000010000" w:firstRow="0" w:lastRow="0" w:firstColumn="0" w:lastColumn="0" w:oddVBand="0" w:evenVBand="0" w:oddHBand="0" w:evenHBand="1" w:firstRowFirstColumn="0" w:firstRowLastColumn="0" w:lastRowFirstColumn="0" w:lastRowLastColumn="0"/>
            </w:pPr>
            <w:r w:rsidRPr="00CD7319">
              <w:t xml:space="preserve">Additional cost per person </w:t>
            </w:r>
            <w:r w:rsidR="006045E6" w:rsidRPr="00CD7319">
              <w:t>over</w:t>
            </w:r>
            <w:r w:rsidRPr="00CD7319">
              <w:t xml:space="preserve"> 12 months = 1,123/4 = $281</w:t>
            </w:r>
          </w:p>
          <w:p w14:paraId="10C9F3BB" w14:textId="453D8D52" w:rsidR="006B4C26" w:rsidRPr="00BA759C" w:rsidRDefault="006B4C26" w:rsidP="009251AF">
            <w:pPr>
              <w:pStyle w:val="ListParagraph"/>
              <w:spacing w:after="120" w:line="259" w:lineRule="auto"/>
              <w:ind w:left="0"/>
              <w:contextualSpacing w:val="0"/>
              <w:cnfStyle w:val="000000010000" w:firstRow="0" w:lastRow="0" w:firstColumn="0" w:lastColumn="0" w:oddVBand="0" w:evenVBand="0" w:oddHBand="0" w:evenHBand="1" w:firstRowFirstColumn="0" w:firstRowLastColumn="0" w:lastRowFirstColumn="0" w:lastRowLastColumn="0"/>
            </w:pPr>
          </w:p>
        </w:tc>
        <w:tc>
          <w:tcPr>
            <w:tcW w:w="977" w:type="dxa"/>
          </w:tcPr>
          <w:p w14:paraId="2E980F65" w14:textId="77777777" w:rsidR="00A60DBE" w:rsidRPr="00BA759C" w:rsidRDefault="00A60DBE" w:rsidP="00560B7C">
            <w:pPr>
              <w:spacing w:before="240"/>
              <w:cnfStyle w:val="000000010000" w:firstRow="0" w:lastRow="0" w:firstColumn="0" w:lastColumn="0" w:oddVBand="0" w:evenVBand="0" w:oddHBand="0" w:evenHBand="1" w:firstRowFirstColumn="0" w:firstRowLastColumn="0" w:lastRowFirstColumn="0" w:lastRowLastColumn="0"/>
            </w:pPr>
            <w:r w:rsidRPr="00CE0A73">
              <w:rPr>
                <w:rFonts w:ascii="inherit" w:eastAsia="Times New Roman" w:hAnsi="inherit" w:cs="Arial"/>
                <w:noProof/>
                <w:color w:val="333333"/>
                <w:sz w:val="24"/>
                <w:szCs w:val="24"/>
                <w:lang w:eastAsia="en-AU"/>
              </w:rPr>
              <w:lastRenderedPageBreak/>
              <w:drawing>
                <wp:inline distT="0" distB="0" distL="0" distR="0" wp14:anchorId="45C34A34" wp14:editId="70027C16">
                  <wp:extent cx="381000" cy="381000"/>
                  <wp:effectExtent l="0" t="0" r="0" b="0"/>
                  <wp:docPr id="309" name="Picture 309" descr="Icon for 'Direc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con for 'Direct meas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116" w:type="dxa"/>
          </w:tcPr>
          <w:p w14:paraId="1A9373F4" w14:textId="77777777" w:rsidR="00A60DBE" w:rsidRPr="00BA759C" w:rsidRDefault="00A60DBE" w:rsidP="00560B7C">
            <w:pPr>
              <w:spacing w:before="240"/>
              <w:cnfStyle w:val="000000010000" w:firstRow="0" w:lastRow="0" w:firstColumn="0" w:lastColumn="0" w:oddVBand="0" w:evenVBand="0" w:oddHBand="0" w:evenHBand="1" w:firstRowFirstColumn="0" w:firstRowLastColumn="0" w:lastRowFirstColumn="0" w:lastRowLastColumn="0"/>
            </w:pPr>
            <w:r w:rsidRPr="00CE0A73">
              <w:rPr>
                <w:rFonts w:ascii="inherit" w:eastAsia="Times New Roman" w:hAnsi="inherit" w:cs="Arial"/>
                <w:noProof/>
                <w:color w:val="333333"/>
                <w:sz w:val="24"/>
                <w:szCs w:val="24"/>
                <w:lang w:eastAsia="en-AU"/>
              </w:rPr>
              <w:drawing>
                <wp:inline distT="0" distB="0" distL="0" distR="0" wp14:anchorId="2A5F57F9" wp14:editId="26BEA83A">
                  <wp:extent cx="571500" cy="161925"/>
                  <wp:effectExtent l="0" t="0" r="0" b="9525"/>
                  <wp:docPr id="310" name="Picture 310" descr="Icon for 'Acceptable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con for 'Acceptable quality'"/>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161925"/>
                          </a:xfrm>
                          <a:prstGeom prst="rect">
                            <a:avLst/>
                          </a:prstGeom>
                          <a:noFill/>
                          <a:ln>
                            <a:noFill/>
                          </a:ln>
                        </pic:spPr>
                      </pic:pic>
                    </a:graphicData>
                  </a:graphic>
                </wp:inline>
              </w:drawing>
            </w:r>
          </w:p>
        </w:tc>
        <w:tc>
          <w:tcPr>
            <w:tcW w:w="2351" w:type="dxa"/>
          </w:tcPr>
          <w:p w14:paraId="25D41E73" w14:textId="3F992336" w:rsidR="00A60DBE" w:rsidRPr="00BA759C" w:rsidRDefault="00A60DBE" w:rsidP="00D11E39">
            <w:pPr>
              <w:cnfStyle w:val="000000010000" w:firstRow="0" w:lastRow="0" w:firstColumn="0" w:lastColumn="0" w:oddVBand="0" w:evenVBand="0" w:oddHBand="0" w:evenHBand="1" w:firstRowFirstColumn="0" w:firstRowLastColumn="0" w:lastRowFirstColumn="0" w:lastRowLastColumn="0"/>
            </w:pPr>
            <w:r w:rsidRPr="00BA759C">
              <w:t>Departmental admin</w:t>
            </w:r>
            <w:r w:rsidR="00C43819">
              <w:t>istrative</w:t>
            </w:r>
            <w:r w:rsidRPr="00BA759C">
              <w:t xml:space="preserve"> data</w:t>
            </w:r>
            <w:r w:rsidR="00F8391B">
              <w:t xml:space="preserve"> – </w:t>
            </w:r>
            <w:r w:rsidR="006150C6">
              <w:t>long-term</w:t>
            </w:r>
            <w:r w:rsidRPr="00BA759C">
              <w:t xml:space="preserve"> impact analysis undertaken for this evaluation</w:t>
            </w:r>
          </w:p>
        </w:tc>
      </w:tr>
      <w:tr w:rsidR="00A60DBE" w:rsidRPr="00BA759C" w14:paraId="2F8FA4FB" w14:textId="77777777" w:rsidTr="009251AF">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0" w:type="dxa"/>
          </w:tcPr>
          <w:p w14:paraId="19DF2539" w14:textId="77777777" w:rsidR="00A60DBE" w:rsidRPr="00BA759C" w:rsidRDefault="00A60DBE" w:rsidP="00D11E39">
            <w:r w:rsidRPr="00BA759C">
              <w:t>Other monetary and non-monetary costs</w:t>
            </w:r>
          </w:p>
        </w:tc>
        <w:tc>
          <w:tcPr>
            <w:tcW w:w="0" w:type="dxa"/>
          </w:tcPr>
          <w:p w14:paraId="20A3B781" w14:textId="77777777"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rsidRPr="00BA759C">
              <w:t>Assumed similar for TtW and jobactive</w:t>
            </w:r>
          </w:p>
        </w:tc>
        <w:tc>
          <w:tcPr>
            <w:tcW w:w="0" w:type="dxa"/>
          </w:tcPr>
          <w:p w14:paraId="43C38164" w14:textId="77777777" w:rsidR="00A60DBE" w:rsidRPr="00BA759C" w:rsidRDefault="00A60DBE" w:rsidP="00CD7319">
            <w:pPr>
              <w:spacing w:after="120"/>
              <w:cnfStyle w:val="000000100000" w:firstRow="0" w:lastRow="0" w:firstColumn="0" w:lastColumn="0" w:oddVBand="0" w:evenVBand="0" w:oddHBand="1" w:evenHBand="0" w:firstRowFirstColumn="0" w:firstRowLastColumn="0" w:lastRowFirstColumn="0" w:lastRowLastColumn="0"/>
            </w:pPr>
            <w:r w:rsidRPr="00BA759C">
              <w:t>Participant costs, including transport and phone costs, and time</w:t>
            </w:r>
          </w:p>
          <w:p w14:paraId="3E47B5A4" w14:textId="77777777" w:rsidR="00A60DBE" w:rsidRPr="00BA759C" w:rsidRDefault="00A60DBE" w:rsidP="009251AF">
            <w:pPr>
              <w:spacing w:after="0"/>
              <w:cnfStyle w:val="000000100000" w:firstRow="0" w:lastRow="0" w:firstColumn="0" w:lastColumn="0" w:oddVBand="0" w:evenVBand="0" w:oddHBand="1" w:evenHBand="0" w:firstRowFirstColumn="0" w:firstRowLastColumn="0" w:lastRowFirstColumn="0" w:lastRowLastColumn="0"/>
            </w:pPr>
            <w:r w:rsidRPr="00BA759C">
              <w:t>Employer time</w:t>
            </w:r>
          </w:p>
        </w:tc>
        <w:tc>
          <w:tcPr>
            <w:tcW w:w="0" w:type="dxa"/>
          </w:tcPr>
          <w:p w14:paraId="60102606" w14:textId="1999DE24" w:rsidR="00A60DBE" w:rsidRDefault="00200F67" w:rsidP="00D11E39">
            <w:pPr>
              <w:cnfStyle w:val="000000100000" w:firstRow="0" w:lastRow="0" w:firstColumn="0" w:lastColumn="0" w:oddVBand="0" w:evenVBand="0" w:oddHBand="1" w:evenHBand="0" w:firstRowFirstColumn="0" w:firstRowLastColumn="0" w:lastRowFirstColumn="0" w:lastRowLastColumn="0"/>
            </w:pPr>
            <w:r>
              <w:t>NA</w:t>
            </w:r>
          </w:p>
        </w:tc>
        <w:tc>
          <w:tcPr>
            <w:tcW w:w="0" w:type="dxa"/>
          </w:tcPr>
          <w:p w14:paraId="668F9F07" w14:textId="78DF9261" w:rsidR="00A60DBE" w:rsidRDefault="00200F67" w:rsidP="00D11E39">
            <w:pPr>
              <w:cnfStyle w:val="000000100000" w:firstRow="0" w:lastRow="0" w:firstColumn="0" w:lastColumn="0" w:oddVBand="0" w:evenVBand="0" w:oddHBand="1" w:evenHBand="0" w:firstRowFirstColumn="0" w:firstRowLastColumn="0" w:lastRowFirstColumn="0" w:lastRowLastColumn="0"/>
            </w:pPr>
            <w:r>
              <w:t>NA</w:t>
            </w:r>
          </w:p>
        </w:tc>
        <w:tc>
          <w:tcPr>
            <w:tcW w:w="0" w:type="dxa"/>
            <w:gridSpan w:val="2"/>
          </w:tcPr>
          <w:p w14:paraId="2ED4AA22" w14:textId="77777777" w:rsidR="00A60DBE" w:rsidRPr="00BA759C" w:rsidRDefault="00A60DBE" w:rsidP="00D11E39">
            <w:pPr>
              <w:cnfStyle w:val="000000100000" w:firstRow="0" w:lastRow="0" w:firstColumn="0" w:lastColumn="0" w:oddVBand="0" w:evenVBand="0" w:oddHBand="1" w:evenHBand="0" w:firstRowFirstColumn="0" w:firstRowLastColumn="0" w:lastRowFirstColumn="0" w:lastRowLastColumn="0"/>
            </w:pPr>
            <w:r>
              <w:t>Not estimated</w:t>
            </w:r>
          </w:p>
        </w:tc>
      </w:tr>
      <w:tr w:rsidR="00A60DBE" w:rsidRPr="0083156E" w14:paraId="0566F53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Borders>
              <w:bottom w:val="single" w:sz="4" w:space="0" w:color="auto"/>
            </w:tcBorders>
          </w:tcPr>
          <w:p w14:paraId="34B907BA" w14:textId="64F353D6" w:rsidR="00A60DBE" w:rsidRPr="006045E6" w:rsidRDefault="00A60DBE" w:rsidP="00D11E39">
            <w:pPr>
              <w:rPr>
                <w:b w:val="0"/>
                <w:bCs/>
              </w:rPr>
            </w:pPr>
            <w:r w:rsidRPr="006045E6">
              <w:rPr>
                <w:bCs/>
              </w:rPr>
              <w:t xml:space="preserve">Estimated cost per participant, </w:t>
            </w:r>
            <w:r w:rsidR="00406671" w:rsidRPr="006045E6">
              <w:rPr>
                <w:bCs/>
              </w:rPr>
              <w:t>12 months</w:t>
            </w:r>
          </w:p>
        </w:tc>
        <w:tc>
          <w:tcPr>
            <w:tcW w:w="3051" w:type="dxa"/>
            <w:tcBorders>
              <w:bottom w:val="single" w:sz="4" w:space="0" w:color="auto"/>
            </w:tcBorders>
          </w:tcPr>
          <w:p w14:paraId="396A3C8B" w14:textId="65E426BD" w:rsidR="00A60DBE" w:rsidRPr="006045E6" w:rsidRDefault="00A60DBE" w:rsidP="00D11E39">
            <w:pPr>
              <w:cnfStyle w:val="000000010000" w:firstRow="0" w:lastRow="0" w:firstColumn="0" w:lastColumn="0" w:oddVBand="0" w:evenVBand="0" w:oddHBand="0" w:evenHBand="1" w:firstRowFirstColumn="0" w:firstRowLastColumn="0" w:lastRowFirstColumn="0" w:lastRowLastColumn="0"/>
              <w:rPr>
                <w:b/>
                <w:bCs/>
              </w:rPr>
            </w:pPr>
            <w:r w:rsidRPr="006045E6">
              <w:rPr>
                <w:b/>
                <w:bCs/>
              </w:rPr>
              <w:t>$</w:t>
            </w:r>
            <w:r w:rsidR="006045E6" w:rsidRPr="006045E6">
              <w:rPr>
                <w:b/>
                <w:bCs/>
              </w:rPr>
              <w:t>3,523</w:t>
            </w:r>
          </w:p>
        </w:tc>
        <w:tc>
          <w:tcPr>
            <w:tcW w:w="5001" w:type="dxa"/>
            <w:tcBorders>
              <w:bottom w:val="single" w:sz="4" w:space="0" w:color="auto"/>
            </w:tcBorders>
          </w:tcPr>
          <w:p w14:paraId="3BA16F65" w14:textId="45AE2013" w:rsidR="00A60DBE" w:rsidRPr="0083156E" w:rsidRDefault="00F400D0" w:rsidP="00D11E39">
            <w:pPr>
              <w:cnfStyle w:val="000000010000" w:firstRow="0" w:lastRow="0" w:firstColumn="0" w:lastColumn="0" w:oddVBand="0" w:evenVBand="0" w:oddHBand="0" w:evenHBand="1" w:firstRowFirstColumn="0" w:firstRowLastColumn="0" w:lastRowFirstColumn="0" w:lastRowLastColumn="0"/>
              <w:rPr>
                <w:b/>
                <w:bCs/>
              </w:rPr>
            </w:pPr>
            <w:r>
              <w:rPr>
                <w:b/>
                <w:bCs/>
              </w:rPr>
              <w:t>Sum of costs per participant</w:t>
            </w:r>
          </w:p>
        </w:tc>
        <w:tc>
          <w:tcPr>
            <w:tcW w:w="977" w:type="dxa"/>
            <w:tcBorders>
              <w:bottom w:val="single" w:sz="4" w:space="0" w:color="auto"/>
            </w:tcBorders>
          </w:tcPr>
          <w:p w14:paraId="3B3B59CC" w14:textId="67B15F62" w:rsidR="00A60DBE" w:rsidRPr="0083156E" w:rsidRDefault="00F400D0" w:rsidP="00D11E39">
            <w:pPr>
              <w:cnfStyle w:val="000000010000" w:firstRow="0" w:lastRow="0" w:firstColumn="0" w:lastColumn="0" w:oddVBand="0" w:evenVBand="0" w:oddHBand="0" w:evenHBand="1" w:firstRowFirstColumn="0" w:firstRowLastColumn="0" w:lastRowFirstColumn="0" w:lastRowLastColumn="0"/>
              <w:rPr>
                <w:b/>
                <w:bCs/>
              </w:rPr>
            </w:pPr>
            <w:r>
              <w:rPr>
                <w:b/>
                <w:bCs/>
              </w:rPr>
              <w:t>NA</w:t>
            </w:r>
          </w:p>
        </w:tc>
        <w:tc>
          <w:tcPr>
            <w:tcW w:w="1116" w:type="dxa"/>
            <w:tcBorders>
              <w:bottom w:val="single" w:sz="4" w:space="0" w:color="auto"/>
            </w:tcBorders>
          </w:tcPr>
          <w:p w14:paraId="6EF0B45C" w14:textId="7D47ACA0" w:rsidR="00A60DBE" w:rsidRPr="0083156E" w:rsidRDefault="00200F67" w:rsidP="00D11E39">
            <w:pPr>
              <w:cnfStyle w:val="000000010000" w:firstRow="0" w:lastRow="0" w:firstColumn="0" w:lastColumn="0" w:oddVBand="0" w:evenVBand="0" w:oddHBand="0" w:evenHBand="1" w:firstRowFirstColumn="0" w:firstRowLastColumn="0" w:lastRowFirstColumn="0" w:lastRowLastColumn="0"/>
              <w:rPr>
                <w:b/>
                <w:bCs/>
              </w:rPr>
            </w:pPr>
            <w:r>
              <w:rPr>
                <w:b/>
                <w:bCs/>
              </w:rPr>
              <w:t>NA</w:t>
            </w:r>
          </w:p>
        </w:tc>
        <w:tc>
          <w:tcPr>
            <w:tcW w:w="2351" w:type="dxa"/>
            <w:gridSpan w:val="2"/>
            <w:tcBorders>
              <w:bottom w:val="single" w:sz="4" w:space="0" w:color="auto"/>
            </w:tcBorders>
          </w:tcPr>
          <w:p w14:paraId="234411AE" w14:textId="18329286" w:rsidR="00A60DBE" w:rsidRPr="0083156E" w:rsidRDefault="00200F67" w:rsidP="00D11E39">
            <w:pPr>
              <w:cnfStyle w:val="000000010000" w:firstRow="0" w:lastRow="0" w:firstColumn="0" w:lastColumn="0" w:oddVBand="0" w:evenVBand="0" w:oddHBand="0" w:evenHBand="1" w:firstRowFirstColumn="0" w:firstRowLastColumn="0" w:lastRowFirstColumn="0" w:lastRowLastColumn="0"/>
              <w:rPr>
                <w:b/>
                <w:bCs/>
              </w:rPr>
            </w:pPr>
            <w:r>
              <w:rPr>
                <w:b/>
                <w:bCs/>
              </w:rPr>
              <w:t>As above</w:t>
            </w:r>
          </w:p>
        </w:tc>
      </w:tr>
      <w:bookmarkEnd w:id="3706"/>
    </w:tbl>
    <w:p w14:paraId="5D51C7C9" w14:textId="77777777" w:rsidR="008216ED" w:rsidRDefault="008216ED"/>
    <w:p w14:paraId="52BA312F" w14:textId="77777777" w:rsidR="006A695D" w:rsidRDefault="006A695D" w:rsidP="00A60DBE">
      <w:pPr>
        <w:sectPr w:rsidR="006A695D" w:rsidSect="007067EC">
          <w:pgSz w:w="16838" w:h="11906" w:orient="landscape"/>
          <w:pgMar w:top="1440" w:right="1560" w:bottom="1440" w:left="1440" w:header="0" w:footer="708" w:gutter="0"/>
          <w:cols w:space="708"/>
          <w:docGrid w:linePitch="360"/>
        </w:sectPr>
      </w:pPr>
    </w:p>
    <w:p w14:paraId="2203C009" w14:textId="729E4E22" w:rsidR="00D86F94" w:rsidRPr="0045010E" w:rsidRDefault="2BB9AF9D" w:rsidP="006E41FD">
      <w:pPr>
        <w:pStyle w:val="Heading2"/>
      </w:pPr>
      <w:bookmarkStart w:id="3713" w:name="_Toc103596401"/>
      <w:bookmarkStart w:id="3714" w:name="_Toc106711894"/>
      <w:bookmarkStart w:id="3715" w:name="_Toc132650512"/>
      <w:bookmarkStart w:id="3716" w:name="_Toc146033542"/>
      <w:bookmarkEnd w:id="3707"/>
      <w:r>
        <w:lastRenderedPageBreak/>
        <w:t>Valuing benefits associated with increased human capabilities and wellbeing</w:t>
      </w:r>
      <w:bookmarkStart w:id="3717" w:name="_Hlk100738828"/>
      <w:bookmarkEnd w:id="3713"/>
      <w:bookmarkEnd w:id="3714"/>
      <w:bookmarkEnd w:id="3715"/>
      <w:bookmarkEnd w:id="3716"/>
    </w:p>
    <w:p w14:paraId="6939A45D" w14:textId="70E8B438" w:rsidR="00D86F94" w:rsidRDefault="00D86F94">
      <w:bookmarkStart w:id="3718" w:name="_Hlk102041320"/>
      <w:bookmarkEnd w:id="3717"/>
      <w:r>
        <w:t xml:space="preserve">As </w:t>
      </w:r>
      <w:r w:rsidRPr="00D81F43">
        <w:t xml:space="preserve">discussed in </w:t>
      </w:r>
      <w:r w:rsidR="006045E6">
        <w:rPr>
          <w:b/>
          <w:bCs/>
        </w:rPr>
        <w:t>Chapter</w:t>
      </w:r>
      <w:r w:rsidR="006045E6" w:rsidRPr="00D81F43">
        <w:rPr>
          <w:b/>
          <w:bCs/>
        </w:rPr>
        <w:t xml:space="preserve"> </w:t>
      </w:r>
      <w:r w:rsidR="003A491D">
        <w:rPr>
          <w:b/>
          <w:bCs/>
        </w:rPr>
        <w:t>3</w:t>
      </w:r>
      <w:r w:rsidRPr="00D81F43">
        <w:t xml:space="preserve">, </w:t>
      </w:r>
      <w:r w:rsidR="00FB74C0" w:rsidRPr="00D81F43">
        <w:t>TtW</w:t>
      </w:r>
      <w:r w:rsidR="00FB74C0">
        <w:t xml:space="preserve"> led to an </w:t>
      </w:r>
      <w:r w:rsidR="002A40FE">
        <w:t xml:space="preserve">average </w:t>
      </w:r>
      <w:r w:rsidR="00FB74C0">
        <w:t>increase</w:t>
      </w:r>
      <w:r w:rsidR="002A40FE">
        <w:t xml:space="preserve"> in</w:t>
      </w:r>
      <w:r w:rsidR="00FB74C0">
        <w:t xml:space="preserve"> </w:t>
      </w:r>
      <w:r>
        <w:t>participants</w:t>
      </w:r>
      <w:r w:rsidR="00F8391B">
        <w:t>’</w:t>
      </w:r>
      <w:r>
        <w:t xml:space="preserve"> human capabilities</w:t>
      </w:r>
      <w:r w:rsidR="00FB74C0">
        <w:t xml:space="preserve"> relative to the comparison </w:t>
      </w:r>
      <w:r w:rsidR="00344D0E">
        <w:t>sample</w:t>
      </w:r>
      <w:r w:rsidR="00FB74C0">
        <w:t xml:space="preserve"> from jobactive</w:t>
      </w:r>
      <w:r>
        <w:t xml:space="preserve">, including </w:t>
      </w:r>
      <w:r w:rsidR="00FB74C0">
        <w:t xml:space="preserve">their </w:t>
      </w:r>
      <w:r>
        <w:t>confidence, motivation, resilience, mental health and sense of empowerment.</w:t>
      </w:r>
      <w:r w:rsidR="005828F0">
        <w:t xml:space="preserve"> TtW participants were also more likely to have higher self-assessed life satisfaction and wellbeing than </w:t>
      </w:r>
      <w:r w:rsidR="00344D0E">
        <w:t>jobactive participants</w:t>
      </w:r>
      <w:r w:rsidR="005828F0">
        <w:t>.</w:t>
      </w:r>
    </w:p>
    <w:p w14:paraId="77BB8F74" w14:textId="2892FD98" w:rsidR="005828F0" w:rsidRDefault="003837C4">
      <w:pPr>
        <w:rPr>
          <w:highlight w:val="yellow"/>
        </w:rPr>
      </w:pPr>
      <w:r>
        <w:t>R</w:t>
      </w:r>
      <w:r w:rsidR="005828F0">
        <w:t xml:space="preserve">esearch </w:t>
      </w:r>
      <w:r>
        <w:t>(</w:t>
      </w:r>
      <w:r w:rsidRPr="00D81F43">
        <w:t xml:space="preserve">presented in </w:t>
      </w:r>
      <w:r w:rsidRPr="004A440A">
        <w:rPr>
          <w:b/>
          <w:bCs/>
        </w:rPr>
        <w:t>Section</w:t>
      </w:r>
      <w:r w:rsidR="0061098D" w:rsidRPr="00D81F43">
        <w:rPr>
          <w:b/>
          <w:bCs/>
        </w:rPr>
        <w:t xml:space="preserve"> </w:t>
      </w:r>
      <w:r w:rsidR="00D81F43">
        <w:rPr>
          <w:b/>
          <w:bCs/>
        </w:rPr>
        <w:t>1.4</w:t>
      </w:r>
      <w:r w:rsidRPr="00D81F43">
        <w:t>)</w:t>
      </w:r>
      <w:r>
        <w:t xml:space="preserve"> </w:t>
      </w:r>
      <w:r w:rsidR="005828F0">
        <w:t xml:space="preserve">has demonstrated that human capability factors are linked to and influence wellbeing. For this reason, rather than attempting to value each of these different elements, which are interrelated and correlated, change in wellbeing </w:t>
      </w:r>
      <w:r>
        <w:t>is</w:t>
      </w:r>
      <w:r w:rsidR="005828F0">
        <w:t xml:space="preserve"> used as an overarching </w:t>
      </w:r>
      <w:r>
        <w:t>and composite indicator of the impact of TtW on the human capabilities of participants</w:t>
      </w:r>
      <w:r w:rsidR="005828F0">
        <w:t xml:space="preserve">. This decision </w:t>
      </w:r>
      <w:r>
        <w:t>i</w:t>
      </w:r>
      <w:r w:rsidR="005828F0">
        <w:t xml:space="preserve">s </w:t>
      </w:r>
      <w:r w:rsidR="00C67D2D">
        <w:t xml:space="preserve">in line with other research that attempts to value </w:t>
      </w:r>
      <w:r w:rsidR="005E30C6">
        <w:t>non-monetary benefits that impact wellbeing</w:t>
      </w:r>
      <w:r w:rsidR="00FF53D5">
        <w:t>; this</w:t>
      </w:r>
      <w:r w:rsidR="00C67D2D">
        <w:t xml:space="preserve"> is discussed </w:t>
      </w:r>
      <w:r w:rsidR="005E30C6">
        <w:t>below</w:t>
      </w:r>
      <w:r w:rsidR="009F03A0">
        <w:t xml:space="preserve"> (</w:t>
      </w:r>
      <w:r w:rsidR="009F03A0" w:rsidRPr="00CD7319">
        <w:rPr>
          <w:b/>
          <w:bCs/>
        </w:rPr>
        <w:t>Section 7.3.1</w:t>
      </w:r>
      <w:r w:rsidR="009F03A0">
        <w:t>)</w:t>
      </w:r>
      <w:r w:rsidR="005828F0">
        <w:t>.</w:t>
      </w:r>
    </w:p>
    <w:p w14:paraId="41E268D9" w14:textId="088382BC" w:rsidR="00D86F94" w:rsidRDefault="00D86F94" w:rsidP="009251AF">
      <w:pPr>
        <w:spacing w:after="0"/>
      </w:pPr>
      <w:r>
        <w:t xml:space="preserve">This section provides an overview of the debate around </w:t>
      </w:r>
      <w:r w:rsidR="003837C4">
        <w:t xml:space="preserve">using wellbeing </w:t>
      </w:r>
      <w:r>
        <w:t xml:space="preserve">and describes the methodology used in this analysis to place a monetary value on wellbeing. This includes: </w:t>
      </w:r>
    </w:p>
    <w:p w14:paraId="25DD233A" w14:textId="77777777" w:rsidR="00D86F94" w:rsidRDefault="00D86F94" w:rsidP="007F37E0">
      <w:pPr>
        <w:pStyle w:val="ListBullet"/>
      </w:pPr>
      <w:r>
        <w:t>discussing the appropriateness of and methodologies for valuing wellbeing</w:t>
      </w:r>
    </w:p>
    <w:p w14:paraId="2F9D2C1B" w14:textId="77777777" w:rsidR="00D86F94" w:rsidRDefault="00D86F94" w:rsidP="007F37E0">
      <w:pPr>
        <w:pStyle w:val="ListBullet"/>
      </w:pPr>
      <w:r>
        <w:t xml:space="preserve">establishing </w:t>
      </w:r>
      <w:r w:rsidRPr="006079C0">
        <w:t>the</w:t>
      </w:r>
      <w:r>
        <w:t xml:space="preserve"> impact of TtW on wellbeing</w:t>
      </w:r>
    </w:p>
    <w:p w14:paraId="3BB1DEF3" w14:textId="77777777" w:rsidR="00D86F94" w:rsidRDefault="00D86F94" w:rsidP="007F37E0">
      <w:pPr>
        <w:pStyle w:val="ListBullet"/>
      </w:pPr>
      <w:r>
        <w:t>calculating the value of changes in wellbeing</w:t>
      </w:r>
    </w:p>
    <w:p w14:paraId="31C2F3A2" w14:textId="77777777" w:rsidR="00D86F94" w:rsidRDefault="00D86F94" w:rsidP="007F37E0">
      <w:pPr>
        <w:pStyle w:val="ListBullet"/>
      </w:pPr>
      <w:r>
        <w:t>estimating the monetary value of changes in wellbeing resulting from participation in TtW per participant.</w:t>
      </w:r>
    </w:p>
    <w:p w14:paraId="1F096226" w14:textId="689A1686" w:rsidR="00D86F94" w:rsidRDefault="2BB9AF9D" w:rsidP="00200F67">
      <w:pPr>
        <w:pStyle w:val="Heading3"/>
        <w:ind w:left="0"/>
      </w:pPr>
      <w:bookmarkStart w:id="3719" w:name="_Toc103596402"/>
      <w:bookmarkStart w:id="3720" w:name="_Toc106711895"/>
      <w:bookmarkStart w:id="3721" w:name="_Toc132650513"/>
      <w:bookmarkStart w:id="3722" w:name="_Toc146033543"/>
      <w:r>
        <w:t>The appropriateness of and methodologies for valuing wellbeing</w:t>
      </w:r>
      <w:bookmarkEnd w:id="3719"/>
      <w:bookmarkEnd w:id="3720"/>
      <w:bookmarkEnd w:id="3721"/>
      <w:bookmarkEnd w:id="3722"/>
    </w:p>
    <w:bookmarkEnd w:id="3718"/>
    <w:p w14:paraId="46070C8B" w14:textId="4FEFB879" w:rsidR="00D86F94" w:rsidRPr="00D55A78" w:rsidRDefault="00023E59" w:rsidP="00023E59">
      <w:pPr>
        <w:pStyle w:val="Heading4"/>
        <w:numPr>
          <w:ilvl w:val="0"/>
          <w:numId w:val="0"/>
        </w:numPr>
        <w:ind w:left="864" w:hanging="864"/>
      </w:pPr>
      <w:r>
        <w:t>I</w:t>
      </w:r>
      <w:r w:rsidR="00D86F94">
        <w:t xml:space="preserve">nternational </w:t>
      </w:r>
      <w:r w:rsidR="00D86F94" w:rsidRPr="005E30C6">
        <w:t>measures</w:t>
      </w:r>
      <w:r w:rsidR="00D86F94">
        <w:t xml:space="preserve"> of wellbeing</w:t>
      </w:r>
    </w:p>
    <w:p w14:paraId="177907F1" w14:textId="0F6BC42A" w:rsidR="00D86F94" w:rsidRDefault="00D86F94" w:rsidP="009251AF">
      <w:pPr>
        <w:spacing w:after="0"/>
      </w:pPr>
      <w:r>
        <w:t>How to value wellbeing has been a focus of discussion by academics and policymakers for over 20</w:t>
      </w:r>
      <w:r w:rsidR="005C6202">
        <w:t> </w:t>
      </w:r>
      <w:r>
        <w:t xml:space="preserve">years. While a number of governments (including the </w:t>
      </w:r>
      <w:r w:rsidR="00706ED5">
        <w:t>New Zealand</w:t>
      </w:r>
      <w:r>
        <w:rPr>
          <w:rStyle w:val="FootnoteReference"/>
        </w:rPr>
        <w:footnoteReference w:id="108"/>
      </w:r>
      <w:r>
        <w:t xml:space="preserve"> and </w:t>
      </w:r>
      <w:r w:rsidR="005C6202">
        <w:t>New South Wales</w:t>
      </w:r>
      <w:r>
        <w:rPr>
          <w:rStyle w:val="FootnoteReference"/>
        </w:rPr>
        <w:footnoteReference w:id="109"/>
      </w:r>
      <w:r>
        <w:t xml:space="preserve"> governments) acknowledge the importance of valuing wellbeing</w:t>
      </w:r>
      <w:r w:rsidR="005C6202">
        <w:t>,</w:t>
      </w:r>
      <w:r>
        <w:t xml:space="preserve"> there is limited agreement on the ideal methodology either </w:t>
      </w:r>
      <w:r w:rsidR="00FA247F">
        <w:t xml:space="preserve">in </w:t>
      </w:r>
      <w:r>
        <w:t>the public sector or in academic research. Methods such as revealed preferences</w:t>
      </w:r>
      <w:r>
        <w:rPr>
          <w:rStyle w:val="FootnoteReference"/>
        </w:rPr>
        <w:footnoteReference w:id="110"/>
      </w:r>
      <w:r>
        <w:t xml:space="preserve"> and stated preferences</w:t>
      </w:r>
      <w:r>
        <w:rPr>
          <w:rStyle w:val="FootnoteReference"/>
        </w:rPr>
        <w:footnoteReference w:id="111"/>
      </w:r>
      <w:r>
        <w:t xml:space="preserve"> have been used to value changes in certain wellbeing outcomes, but the reliability of these methodologies to value changes in overall wellbeing has been questioned as they often lead to inflated values (see </w:t>
      </w:r>
      <w:r w:rsidRPr="001431BC">
        <w:rPr>
          <w:b/>
          <w:bCs/>
        </w:rPr>
        <w:t>Fujiwara 2013</w:t>
      </w:r>
      <w:r>
        <w:t xml:space="preserve">). The UK Treasury has produced a </w:t>
      </w:r>
      <w:r w:rsidR="005626C9">
        <w:t>w</w:t>
      </w:r>
      <w:r>
        <w:t>ellbeing discussion paper (</w:t>
      </w:r>
      <w:r w:rsidRPr="001431BC">
        <w:rPr>
          <w:b/>
          <w:bCs/>
        </w:rPr>
        <w:t>HM Treasury 2021a</w:t>
      </w:r>
      <w:r>
        <w:t xml:space="preserve">) and </w:t>
      </w:r>
      <w:r w:rsidR="005626C9">
        <w:t>s</w:t>
      </w:r>
      <w:r>
        <w:t xml:space="preserve">upplementary </w:t>
      </w:r>
      <w:r w:rsidR="005626C9">
        <w:t>g</w:t>
      </w:r>
      <w:r>
        <w:t>uidance (</w:t>
      </w:r>
      <w:r w:rsidRPr="001431BC">
        <w:rPr>
          <w:b/>
          <w:bCs/>
        </w:rPr>
        <w:t>HM Treasury 2021b</w:t>
      </w:r>
      <w:r>
        <w:t>)</w:t>
      </w:r>
      <w:r>
        <w:rPr>
          <w:rStyle w:val="FootnoteReference"/>
        </w:rPr>
        <w:t xml:space="preserve"> </w:t>
      </w:r>
      <w:r>
        <w:t xml:space="preserve">outlining </w:t>
      </w:r>
      <w:r w:rsidR="005626C9">
        <w:t>its</w:t>
      </w:r>
      <w:r>
        <w:t xml:space="preserve"> rationale and agreed methodology for evaluating wellbeing</w:t>
      </w:r>
      <w:r w:rsidR="005626C9">
        <w:t>,</w:t>
      </w:r>
      <w:r>
        <w:t xml:space="preserve"> which also includes a comprehensive review of approaches. Key approaches outlined in the discussion paper </w:t>
      </w:r>
      <w:r w:rsidR="005C6B94">
        <w:t>(</w:t>
      </w:r>
      <w:r w:rsidR="005C6B94" w:rsidRPr="001431BC">
        <w:rPr>
          <w:b/>
          <w:bCs/>
        </w:rPr>
        <w:t>HM Treasury 2021a</w:t>
      </w:r>
      <w:r w:rsidR="005C6B94">
        <w:t xml:space="preserve">) </w:t>
      </w:r>
      <w:r>
        <w:t>present opposing views:</w:t>
      </w:r>
    </w:p>
    <w:p w14:paraId="19325B0E" w14:textId="4AEC9D0C" w:rsidR="00D86F94" w:rsidRDefault="002B4967" w:rsidP="007F37E0">
      <w:pPr>
        <w:pStyle w:val="ListBullet"/>
      </w:pPr>
      <w:r>
        <w:lastRenderedPageBreak/>
        <w:t>a</w:t>
      </w:r>
      <w:r w:rsidR="00D86F94">
        <w:t>pproaches that argue against the monetisation of wellbeing, preferring to rely on the description of outcomes, or describing and using measures of specific outcomes where this is appropriate</w:t>
      </w:r>
      <w:r w:rsidR="005E30C6">
        <w:t xml:space="preserve"> (for example</w:t>
      </w:r>
      <w:r w:rsidR="00EA15BE">
        <w:t>,</w:t>
      </w:r>
      <w:r w:rsidR="005E30C6">
        <w:t xml:space="preserve"> improvements in mental health)</w:t>
      </w:r>
    </w:p>
    <w:p w14:paraId="3BDBEBE6" w14:textId="299864A6" w:rsidR="00D86F94" w:rsidRDefault="002B4967" w:rsidP="007F37E0">
      <w:pPr>
        <w:pStyle w:val="ListBullet"/>
      </w:pPr>
      <w:r>
        <w:t>a</w:t>
      </w:r>
      <w:r w:rsidR="00D86F94">
        <w:t xml:space="preserve">pproaches that translate a change in wellbeing or life satisfaction to a robust monetary value that can be used as part of a </w:t>
      </w:r>
      <w:r w:rsidR="00EA15BE">
        <w:t>s</w:t>
      </w:r>
      <w:r w:rsidR="00D86F94">
        <w:t xml:space="preserve">ocial </w:t>
      </w:r>
      <w:r w:rsidR="00EA15BE">
        <w:t>c</w:t>
      </w:r>
      <w:r w:rsidR="00D86F94">
        <w:t>ost</w:t>
      </w:r>
      <w:r w:rsidR="00EA15BE">
        <w:t>-b</w:t>
      </w:r>
      <w:r w:rsidR="00D86F94">
        <w:t xml:space="preserve">enefit </w:t>
      </w:r>
      <w:r w:rsidR="00EA15BE">
        <w:t>a</w:t>
      </w:r>
      <w:r w:rsidR="00D86F94">
        <w:t>nalysis.</w:t>
      </w:r>
    </w:p>
    <w:p w14:paraId="7EF598CA" w14:textId="7A5EF4AF" w:rsidR="00D86F94" w:rsidRDefault="00D86F94">
      <w:r>
        <w:t>The first set of approaches argue that wellbeing impacts cannot credibly be combined into a single measure that can be monetised, and instead should be described, quantified where possible, and communicated alongside the costs of policies to inform decision</w:t>
      </w:r>
      <w:r w:rsidR="0031701C">
        <w:t>-</w:t>
      </w:r>
      <w:r>
        <w:t>making. The research undertaken for this evaluation demonstrates the multidimensional nature of wellbeing, and the interrelationships between factors influencing wellbeing.</w:t>
      </w:r>
    </w:p>
    <w:p w14:paraId="444405B9" w14:textId="27DDCDE5" w:rsidR="0031701C" w:rsidRDefault="00D86F94">
      <w:r>
        <w:t>The second set of approaches all</w:t>
      </w:r>
      <w:r w:rsidR="0089036C">
        <w:t xml:space="preserve"> (</w:t>
      </w:r>
      <w:r w:rsidR="0089036C">
        <w:rPr>
          <w:b/>
          <w:bCs/>
        </w:rPr>
        <w:t>HM</w:t>
      </w:r>
      <w:r w:rsidR="0089036C" w:rsidRPr="001431BC">
        <w:rPr>
          <w:b/>
          <w:bCs/>
        </w:rPr>
        <w:t xml:space="preserve"> Treasury 2021a</w:t>
      </w:r>
      <w:r w:rsidR="0089036C">
        <w:t>)</w:t>
      </w:r>
      <w:r w:rsidR="0031701C">
        <w:t>:</w:t>
      </w:r>
    </w:p>
    <w:p w14:paraId="2EF36D1A" w14:textId="03308876" w:rsidR="00D86F94" w:rsidRDefault="0031701C" w:rsidP="00C239FD">
      <w:pPr>
        <w:pStyle w:val="Quote"/>
      </w:pPr>
      <w:r>
        <w:t xml:space="preserve">… </w:t>
      </w:r>
      <w:r w:rsidR="00D86F94">
        <w:t>assume that measures of life satisfaction and other subjective wellbeing measures are good proxies for an individual</w:t>
      </w:r>
      <w:r w:rsidR="00F8391B">
        <w:t>’</w:t>
      </w:r>
      <w:r w:rsidR="00D86F94">
        <w:t>s underlying utility. [noting] If policy change X leads to Y change in wellbeing, and Y change in wellbeing can be valued as $Z (through using an appropriate, evidence-based conversion value) then policy change X leads to a Y change in wellbeing valued at $Z.</w:t>
      </w:r>
    </w:p>
    <w:p w14:paraId="4BAD51B1" w14:textId="1950B257" w:rsidR="00D86F94" w:rsidRDefault="00D86F94" w:rsidP="009251AF">
      <w:pPr>
        <w:spacing w:after="0"/>
      </w:pPr>
      <w:r>
        <w:t xml:space="preserve">Under the assumption that subjective wellbeing is a good proxy for underlying utility, estimation of the value of changes to wellbeing attributable to a policy change or program requires </w:t>
      </w:r>
      <w:r w:rsidR="00F8391B">
        <w:t>3</w:t>
      </w:r>
      <w:r>
        <w:t xml:space="preserve"> steps (</w:t>
      </w:r>
      <w:r w:rsidR="00706ED5">
        <w:rPr>
          <w:b/>
          <w:bCs/>
        </w:rPr>
        <w:t>HM</w:t>
      </w:r>
      <w:r w:rsidR="00706ED5" w:rsidRPr="001431BC">
        <w:rPr>
          <w:b/>
          <w:bCs/>
        </w:rPr>
        <w:t xml:space="preserve"> </w:t>
      </w:r>
      <w:r w:rsidRPr="001431BC">
        <w:rPr>
          <w:b/>
          <w:bCs/>
        </w:rPr>
        <w:t>Treasury 2021a</w:t>
      </w:r>
      <w:r>
        <w:t xml:space="preserve">, </w:t>
      </w:r>
      <w:r w:rsidRPr="001431BC">
        <w:rPr>
          <w:b/>
          <w:bCs/>
        </w:rPr>
        <w:t>Australian Social Value Bank n.d</w:t>
      </w:r>
      <w:r w:rsidR="0089036C">
        <w:rPr>
          <w:b/>
          <w:bCs/>
        </w:rPr>
        <w:t>.</w:t>
      </w:r>
      <w:r w:rsidRPr="00020480">
        <w:t>):</w:t>
      </w:r>
    </w:p>
    <w:p w14:paraId="5323C592" w14:textId="0AF1F7A0" w:rsidR="00D86F94" w:rsidRDefault="002B4967" w:rsidP="007F37E0">
      <w:pPr>
        <w:pStyle w:val="ListBullet"/>
      </w:pPr>
      <w:r>
        <w:t>e</w:t>
      </w:r>
      <w:r w:rsidR="00D86F94">
        <w:t>vidence of robust causal wellbeing impacts</w:t>
      </w:r>
      <w:r w:rsidR="00F8391B">
        <w:t xml:space="preserve"> – </w:t>
      </w:r>
      <w:r w:rsidR="00D86F94">
        <w:t>establishing the change in subjective wellbeing attributable to the program (number of units change) (a)</w:t>
      </w:r>
    </w:p>
    <w:p w14:paraId="1E5F5CD0" w14:textId="6733206C" w:rsidR="00D86F94" w:rsidRDefault="002B4967" w:rsidP="007F37E0">
      <w:pPr>
        <w:pStyle w:val="ListBullet"/>
      </w:pPr>
      <w:r>
        <w:t>c</w:t>
      </w:r>
      <w:r w:rsidR="00D86F94">
        <w:t>alculating the monetary amount that an average (relevant) person would require to increase their subjective wellbeing by one unit (b)</w:t>
      </w:r>
    </w:p>
    <w:p w14:paraId="4B786B2F" w14:textId="709409EC" w:rsidR="00D86F94" w:rsidRPr="007C28A2" w:rsidRDefault="002B4967" w:rsidP="007F37E0">
      <w:pPr>
        <w:pStyle w:val="ListBullet"/>
      </w:pPr>
      <w:r>
        <w:t>c</w:t>
      </w:r>
      <w:r w:rsidR="00D86F94">
        <w:t>alculating the value of this change in wellbeing (a</w:t>
      </w:r>
      <w:r w:rsidR="006231CD">
        <w:t xml:space="preserve"> x </w:t>
      </w:r>
      <w:r w:rsidR="00D86F94">
        <w:t>b)</w:t>
      </w:r>
      <w:r w:rsidR="0089036C">
        <w:t>.</w:t>
      </w:r>
    </w:p>
    <w:p w14:paraId="65B4B8D2" w14:textId="77EFC82B" w:rsidR="00D86F94" w:rsidRDefault="00D86F94" w:rsidP="00D86F94">
      <w:r>
        <w:t>The UK Treasury (</w:t>
      </w:r>
      <w:r w:rsidRPr="001431BC">
        <w:rPr>
          <w:b/>
          <w:bCs/>
        </w:rPr>
        <w:t>2021a</w:t>
      </w:r>
      <w:r>
        <w:t>) discussion paper notes that while there are several ways to estimate wellbeing impacts, including through cross</w:t>
      </w:r>
      <w:r w:rsidR="0089036C">
        <w:t>-</w:t>
      </w:r>
      <w:r>
        <w:t xml:space="preserve">sectional regression and econometrics techniques, it recommends the use of ratified tools that directly quantify changes in </w:t>
      </w:r>
      <w:r w:rsidR="00F8391B">
        <w:t>‘</w:t>
      </w:r>
      <w:r>
        <w:t>life satisfaction</w:t>
      </w:r>
      <w:r w:rsidR="00F8391B">
        <w:t>’</w:t>
      </w:r>
      <w:r>
        <w:t xml:space="preserve"> or wellbeing where possible.</w:t>
      </w:r>
    </w:p>
    <w:p w14:paraId="61234CD1" w14:textId="77777777" w:rsidR="00D86F94" w:rsidRPr="00D55A78" w:rsidRDefault="00D86F94" w:rsidP="00023E59">
      <w:pPr>
        <w:pStyle w:val="Heading4"/>
        <w:numPr>
          <w:ilvl w:val="0"/>
          <w:numId w:val="0"/>
        </w:numPr>
        <w:ind w:left="864" w:hanging="864"/>
      </w:pPr>
      <w:r>
        <w:t xml:space="preserve">Measuring the wellbeing </w:t>
      </w:r>
      <w:r w:rsidRPr="005E30C6">
        <w:t>of</w:t>
      </w:r>
      <w:r>
        <w:t xml:space="preserve"> TtW participants</w:t>
      </w:r>
    </w:p>
    <w:p w14:paraId="2246E9C9" w14:textId="06ECEFEC" w:rsidR="00D86F94" w:rsidRDefault="005E30C6" w:rsidP="00D86F94">
      <w:r>
        <w:t>This</w:t>
      </w:r>
      <w:r w:rsidR="00D86F94">
        <w:t xml:space="preserve"> </w:t>
      </w:r>
      <w:r>
        <w:t>evaluation</w:t>
      </w:r>
      <w:r w:rsidR="00D86F94">
        <w:t xml:space="preserve"> acknowledges the </w:t>
      </w:r>
      <w:r w:rsidR="00C074FC">
        <w:t>validity</w:t>
      </w:r>
      <w:r w:rsidR="00D86F94">
        <w:t xml:space="preserve"> of the first set of approaches</w:t>
      </w:r>
      <w:r>
        <w:t>, and this has been</w:t>
      </w:r>
      <w:r w:rsidR="00D86F94">
        <w:t xml:space="preserve"> adopted as a default approach by this evaluation</w:t>
      </w:r>
      <w:r w:rsidR="006253C0">
        <w:t>. A</w:t>
      </w:r>
      <w:r w:rsidR="00D86F94">
        <w:t xml:space="preserve">nalysis </w:t>
      </w:r>
      <w:r w:rsidR="006253C0">
        <w:t xml:space="preserve">in this section, however, </w:t>
      </w:r>
      <w:r w:rsidR="00D86F94">
        <w:t xml:space="preserve">attempts to explore further the feasibility of expressing benefits and costs in monetary terms so they can be compared. </w:t>
      </w:r>
      <w:r w:rsidR="00E33573">
        <w:t xml:space="preserve">Research in this section </w:t>
      </w:r>
      <w:r w:rsidR="00D86F94">
        <w:t xml:space="preserve">therefore follows the lead of the UK Treasury and uses an approach fitting into the second set of approaches. The arguments emphasising difficulties with using a single measure clarify the need to additionally assess the different factors and describe how different groups may be affected differently, how context matters, and why wellbeing is high or low. </w:t>
      </w:r>
      <w:r w:rsidR="009F03A0">
        <w:rPr>
          <w:b/>
          <w:bCs/>
        </w:rPr>
        <w:t>Chapter</w:t>
      </w:r>
      <w:r w:rsidR="00F100F4">
        <w:rPr>
          <w:b/>
          <w:bCs/>
        </w:rPr>
        <w:t> </w:t>
      </w:r>
      <w:r w:rsidR="003A491D">
        <w:rPr>
          <w:b/>
          <w:bCs/>
        </w:rPr>
        <w:t>3</w:t>
      </w:r>
      <w:r w:rsidR="00916FF7">
        <w:t>,</w:t>
      </w:r>
      <w:r w:rsidR="00B92ACE" w:rsidRPr="00D81F43">
        <w:t xml:space="preserve"> </w:t>
      </w:r>
      <w:r w:rsidR="00D86F94" w:rsidRPr="00D81F43">
        <w:t>provides</w:t>
      </w:r>
      <w:r w:rsidR="00D86F94">
        <w:t xml:space="preserve"> this more nuanced and detailed analysis, while general outcomes are summarised in this </w:t>
      </w:r>
      <w:r w:rsidR="006253C0">
        <w:t>section</w:t>
      </w:r>
      <w:r w:rsidR="00D86F94">
        <w:t>.</w:t>
      </w:r>
    </w:p>
    <w:p w14:paraId="70FEE41F" w14:textId="5C45D80F" w:rsidR="00D86F94" w:rsidRDefault="00D86F94" w:rsidP="00D86F94">
      <w:r w:rsidRPr="00EB55B8">
        <w:t>The UK guidelines for valuing wellbeing (</w:t>
      </w:r>
      <w:r w:rsidRPr="001431BC">
        <w:rPr>
          <w:b/>
          <w:bCs/>
        </w:rPr>
        <w:t>HM Treasury 2021</w:t>
      </w:r>
      <w:r w:rsidR="00A15428" w:rsidRPr="001431BC">
        <w:rPr>
          <w:b/>
          <w:bCs/>
        </w:rPr>
        <w:t>b</w:t>
      </w:r>
      <w:r w:rsidRPr="00EB55B8">
        <w:t xml:space="preserve">) note that some factors are likely to directly increase wellbeing (for example, there is evidence that being employed is strongly </w:t>
      </w:r>
      <w:r w:rsidRPr="00EB55B8">
        <w:lastRenderedPageBreak/>
        <w:t>associated with higher levels of wellbeing, and someone who is employed and likes their job is likely to be happier still) while other factors can be interrelated in different ways. Some factors can be positively or negatively reinforcing</w:t>
      </w:r>
      <w:r w:rsidR="00773D34">
        <w:t>.</w:t>
      </w:r>
      <w:r w:rsidRPr="00EB55B8">
        <w:t xml:space="preserve"> </w:t>
      </w:r>
      <w:r w:rsidR="00773D34">
        <w:t>F</w:t>
      </w:r>
      <w:r w:rsidRPr="00EB55B8">
        <w:t>or example</w:t>
      </w:r>
      <w:r w:rsidR="000865CA">
        <w:t>,</w:t>
      </w:r>
      <w:r w:rsidRPr="00EB55B8">
        <w:t xml:space="preserve"> stronger networks can help someone find a job and being in work can support social connections and build confidence contributing to greater wellbeing</w:t>
      </w:r>
      <w:r w:rsidR="00EE2216">
        <w:t>;</w:t>
      </w:r>
      <w:r w:rsidRPr="00EB55B8">
        <w:t xml:space="preserve"> alternat</w:t>
      </w:r>
      <w:r w:rsidR="009E4B68">
        <w:t>iv</w:t>
      </w:r>
      <w:r w:rsidRPr="00EB55B8">
        <w:t>ely, poor mental health can decrease employability, which in turn increases isolation et</w:t>
      </w:r>
      <w:r w:rsidR="009F1529">
        <w:t xml:space="preserve"> </w:t>
      </w:r>
      <w:r w:rsidRPr="00EB55B8">
        <w:t>c</w:t>
      </w:r>
      <w:r w:rsidR="009F1529">
        <w:t>etera</w:t>
      </w:r>
      <w:r w:rsidRPr="00EB55B8">
        <w:t xml:space="preserve">, further </w:t>
      </w:r>
      <w:r w:rsidR="009F1529">
        <w:t>reducing</w:t>
      </w:r>
      <w:r w:rsidR="009F1529" w:rsidRPr="00EB55B8">
        <w:t xml:space="preserve"> </w:t>
      </w:r>
      <w:r w:rsidRPr="00EB55B8">
        <w:t>wellbeing. Positive and negative wellbeing factors can also neutralise each other</w:t>
      </w:r>
      <w:r w:rsidR="00557478">
        <w:t xml:space="preserve"> –</w:t>
      </w:r>
      <w:r w:rsidRPr="00EB55B8">
        <w:t xml:space="preserve"> for example, lack of success in finding work can negatively impact on confidence, while having someone to talk to and feeling listened to around this </w:t>
      </w:r>
      <w:r w:rsidR="000865CA">
        <w:t>situation</w:t>
      </w:r>
      <w:r w:rsidR="000865CA" w:rsidRPr="00EB55B8">
        <w:t xml:space="preserve"> </w:t>
      </w:r>
      <w:r w:rsidRPr="00EB55B8">
        <w:t>can build resilience.</w:t>
      </w:r>
      <w:r>
        <w:t xml:space="preserve"> This supports the use of an overarching subjective wellbeing indicator to value changes that affect a range of factors (rather than attempting to value factors individually).</w:t>
      </w:r>
      <w:r w:rsidR="006253C0">
        <w:t xml:space="preserve"> </w:t>
      </w:r>
      <w:r w:rsidR="000865CA">
        <w:t>T</w:t>
      </w:r>
      <w:r>
        <w:t xml:space="preserve">o value the </w:t>
      </w:r>
      <w:r w:rsidR="006253C0">
        <w:t xml:space="preserve">human capability </w:t>
      </w:r>
      <w:r>
        <w:t>benefits associated with TtW overall</w:t>
      </w:r>
      <w:r w:rsidR="00315EBB">
        <w:t>,</w:t>
      </w:r>
      <w:r>
        <w:t xml:space="preserve"> this research therefore uses wellbeing as an overarching and composite indicator of the impact of TtW.</w:t>
      </w:r>
    </w:p>
    <w:p w14:paraId="5A0FC1DE" w14:textId="64B916B4" w:rsidR="00D86F94" w:rsidRDefault="2BB9AF9D" w:rsidP="00200F67">
      <w:pPr>
        <w:pStyle w:val="Heading3"/>
        <w:ind w:left="0"/>
      </w:pPr>
      <w:bookmarkStart w:id="3723" w:name="_Toc103596403"/>
      <w:bookmarkStart w:id="3724" w:name="_Toc106711896"/>
      <w:bookmarkStart w:id="3725" w:name="_Toc132650514"/>
      <w:bookmarkStart w:id="3726" w:name="_Toc146033544"/>
      <w:bookmarkStart w:id="3727" w:name="_Hlk100738842"/>
      <w:r>
        <w:t>Establishing the impact of TtW on wellbeing</w:t>
      </w:r>
      <w:bookmarkEnd w:id="3723"/>
      <w:bookmarkEnd w:id="3724"/>
      <w:bookmarkEnd w:id="3725"/>
      <w:bookmarkEnd w:id="3726"/>
    </w:p>
    <w:bookmarkEnd w:id="3727"/>
    <w:p w14:paraId="298D4DD9" w14:textId="0FFD50DD" w:rsidR="00D86F94" w:rsidRDefault="00D86F94" w:rsidP="00D86F94">
      <w:r>
        <w:t xml:space="preserve">Changes in wellbeing that can be attributed to TtW were established through the 2021 TtW </w:t>
      </w:r>
      <w:r w:rsidR="00A86EEA">
        <w:t>p</w:t>
      </w:r>
      <w:r>
        <w:t xml:space="preserve">articipant </w:t>
      </w:r>
      <w:r w:rsidR="00A86EEA">
        <w:t>s</w:t>
      </w:r>
      <w:r>
        <w:t>urve</w:t>
      </w:r>
      <w:r w:rsidR="00E125C5">
        <w:t>y</w:t>
      </w:r>
      <w:r w:rsidR="006253C0">
        <w:t xml:space="preserve"> using a recognised tool (the Personal Wellbeing Index (PWI) (</w:t>
      </w:r>
      <w:r w:rsidR="006253C0" w:rsidRPr="00437FFC">
        <w:rPr>
          <w:b/>
          <w:bCs/>
        </w:rPr>
        <w:t>International Wellbeing Group</w:t>
      </w:r>
      <w:r w:rsidR="00BA693D">
        <w:rPr>
          <w:b/>
          <w:bCs/>
        </w:rPr>
        <w:t xml:space="preserve"> </w:t>
      </w:r>
      <w:r w:rsidR="006253C0" w:rsidRPr="00437FFC">
        <w:rPr>
          <w:b/>
          <w:bCs/>
        </w:rPr>
        <w:t>2013</w:t>
      </w:r>
      <w:r w:rsidR="006253C0">
        <w:t>)</w:t>
      </w:r>
      <w:r w:rsidR="00F100F4">
        <w:t>)</w:t>
      </w:r>
      <w:r w:rsidR="006253C0">
        <w:t xml:space="preserve"> discussed in </w:t>
      </w:r>
      <w:r w:rsidR="006253C0" w:rsidRPr="00D81F43">
        <w:t xml:space="preserve">detail in </w:t>
      </w:r>
      <w:r w:rsidR="006253C0" w:rsidRPr="004A440A">
        <w:rPr>
          <w:b/>
          <w:bCs/>
        </w:rPr>
        <w:t xml:space="preserve">Section </w:t>
      </w:r>
      <w:r w:rsidR="00DA41D1" w:rsidRPr="00D81F43">
        <w:rPr>
          <w:b/>
          <w:bCs/>
        </w:rPr>
        <w:t>2.</w:t>
      </w:r>
      <w:r w:rsidR="00DA48C6">
        <w:rPr>
          <w:b/>
          <w:bCs/>
        </w:rPr>
        <w:t>4.</w:t>
      </w:r>
      <w:r w:rsidR="00DA41D1" w:rsidRPr="00D81F43">
        <w:rPr>
          <w:b/>
          <w:bCs/>
        </w:rPr>
        <w:t>2</w:t>
      </w:r>
      <w:r w:rsidR="00773D34">
        <w:t>.</w:t>
      </w:r>
    </w:p>
    <w:p w14:paraId="6728C8F4" w14:textId="44DF0765" w:rsidR="00C70649" w:rsidRDefault="00D86F94" w:rsidP="00C70649">
      <w:r w:rsidRPr="00022A4C">
        <w:t xml:space="preserve">Overall, TtW participants in the </w:t>
      </w:r>
      <w:r w:rsidR="00DA41D1" w:rsidRPr="00022A4C">
        <w:t>p</w:t>
      </w:r>
      <w:r w:rsidRPr="00022A4C">
        <w:t xml:space="preserve">articipant </w:t>
      </w:r>
      <w:r w:rsidR="00DA41D1" w:rsidRPr="00022A4C">
        <w:t>s</w:t>
      </w:r>
      <w:r w:rsidRPr="00022A4C">
        <w:t xml:space="preserve">urvey had an average </w:t>
      </w:r>
      <w:r w:rsidR="00DA48C6">
        <w:t>PWI</w:t>
      </w:r>
      <w:r w:rsidRPr="00022A4C">
        <w:t xml:space="preserve"> of 71.1 out of 100. The comparison group scored an average o</w:t>
      </w:r>
      <w:r w:rsidR="00DA48C6">
        <w:t>f</w:t>
      </w:r>
      <w:r w:rsidRPr="00022A4C">
        <w:t xml:space="preserve"> 65.6. </w:t>
      </w:r>
      <w:r w:rsidR="00C70649" w:rsidRPr="00022A4C">
        <w:t xml:space="preserve">An improvement in subjective wellbeing of 5.5 points can be attributed to participation in TtW. </w:t>
      </w:r>
      <w:r w:rsidR="00AE563E" w:rsidRPr="00022A4C">
        <w:t>This data was collected at a point in time</w:t>
      </w:r>
      <w:r w:rsidR="00022A4C" w:rsidRPr="00CD7319">
        <w:t>, but i</w:t>
      </w:r>
      <w:r w:rsidR="00C70649" w:rsidRPr="00022A4C">
        <w:t xml:space="preserve">t is assumed that the </w:t>
      </w:r>
      <w:r w:rsidR="00AE563E" w:rsidRPr="00022A4C">
        <w:t xml:space="preserve">increase in </w:t>
      </w:r>
      <w:r w:rsidR="00C70649" w:rsidRPr="00022A4C">
        <w:t>wellbeing attributable to TtW remains relevant for 6 months.</w:t>
      </w:r>
      <w:r w:rsidR="00200F67">
        <w:t xml:space="preserve"> As noted previously, </w:t>
      </w:r>
      <w:r w:rsidR="00D31FF0">
        <w:t>this finding also assumes there was no selection bias between these 2 groups</w:t>
      </w:r>
      <w:r w:rsidR="00200F67">
        <w:t xml:space="preserve">, as discussed in </w:t>
      </w:r>
      <w:r w:rsidR="00200F67" w:rsidRPr="00200F67">
        <w:rPr>
          <w:b/>
          <w:bCs/>
        </w:rPr>
        <w:t>Section 2.4</w:t>
      </w:r>
      <w:r w:rsidR="00200F67">
        <w:t>.</w:t>
      </w:r>
    </w:p>
    <w:p w14:paraId="37FA7A36" w14:textId="77777777" w:rsidR="00D86F94" w:rsidRDefault="2BB9AF9D" w:rsidP="00200F67">
      <w:pPr>
        <w:pStyle w:val="Heading3"/>
        <w:ind w:left="0"/>
      </w:pPr>
      <w:bookmarkStart w:id="3728" w:name="_Toc106711897"/>
      <w:bookmarkStart w:id="3729" w:name="_Toc132650515"/>
      <w:bookmarkStart w:id="3730" w:name="_Toc146033545"/>
      <w:bookmarkStart w:id="3731" w:name="_Hlk100738851"/>
      <w:r>
        <w:t>Calculating the value of changes in wellbeing</w:t>
      </w:r>
      <w:bookmarkEnd w:id="3728"/>
      <w:bookmarkEnd w:id="3729"/>
      <w:bookmarkEnd w:id="3730"/>
    </w:p>
    <w:p w14:paraId="1F2F2E7B" w14:textId="2BD132AC" w:rsidR="00D86F94" w:rsidRDefault="00D86F94" w:rsidP="00D86F94">
      <w:bookmarkStart w:id="3732" w:name="_Hlk105425913"/>
      <w:bookmarkEnd w:id="3731"/>
      <w:r>
        <w:t xml:space="preserve">As noted above, different measurement techniques and contexts result in different values being calculated for the monetary value of changes in wellbeing. </w:t>
      </w:r>
      <w:r w:rsidR="00C70649" w:rsidRPr="00C70649">
        <w:t>The benefit of an additional unit of wellbeing to an individual has also been shown to depend on their original level of wellbeing</w:t>
      </w:r>
      <w:r w:rsidR="00C70649">
        <w:t xml:space="preserve">, and the direction in which the wellbeing is moving (a loss in wellbeing has been shown to have a higher </w:t>
      </w:r>
      <w:r w:rsidR="00F8391B">
        <w:t>‘</w:t>
      </w:r>
      <w:r w:rsidR="00C70649">
        <w:t>cost</w:t>
      </w:r>
      <w:r w:rsidR="00F8391B">
        <w:t>’</w:t>
      </w:r>
      <w:r w:rsidR="00C70649">
        <w:t xml:space="preserve"> than the value of the same size increase in wellbeing)</w:t>
      </w:r>
      <w:r w:rsidR="00C70649" w:rsidRPr="00C70649">
        <w:t xml:space="preserve">. </w:t>
      </w:r>
      <w:r w:rsidR="00B73504" w:rsidRPr="00C70649">
        <w:t>To</w:t>
      </w:r>
      <w:r w:rsidR="00C70649" w:rsidRPr="00C70649">
        <w:t xml:space="preserve"> estimate the value of the change in wellbeing, this research undertook a literature review to </w:t>
      </w:r>
      <w:r w:rsidR="006A3295" w:rsidRPr="00C70649">
        <w:t>identif</w:t>
      </w:r>
      <w:r w:rsidR="006A3295">
        <w:t>y</w:t>
      </w:r>
      <w:r w:rsidR="006A3295" w:rsidRPr="00C70649">
        <w:t xml:space="preserve"> </w:t>
      </w:r>
      <w:r w:rsidR="00C70649" w:rsidRPr="00C70649">
        <w:t>recent studies that attempt to value changes in wellbeing</w:t>
      </w:r>
      <w:r w:rsidR="00E125C5">
        <w:t xml:space="preserve"> (</w:t>
      </w:r>
      <w:r w:rsidR="00E125C5" w:rsidRPr="00D81F43">
        <w:t xml:space="preserve">summarised in </w:t>
      </w:r>
      <w:r w:rsidR="00E125C5" w:rsidRPr="004A440A">
        <w:rPr>
          <w:b/>
          <w:bCs/>
        </w:rPr>
        <w:t xml:space="preserve">Appendix </w:t>
      </w:r>
      <w:r w:rsidR="00D81F43" w:rsidRPr="00D81F43">
        <w:rPr>
          <w:b/>
          <w:bCs/>
        </w:rPr>
        <w:t>A5.2</w:t>
      </w:r>
      <w:r w:rsidR="00E125C5" w:rsidRPr="00D81F43">
        <w:t>)</w:t>
      </w:r>
      <w:r w:rsidR="00C70649" w:rsidRPr="00D81F43">
        <w:t>, and</w:t>
      </w:r>
      <w:r w:rsidR="00C70649">
        <w:t xml:space="preserve"> these values were used to determine a range in the value of wellbeing changes</w:t>
      </w:r>
      <w:r w:rsidR="00C70649" w:rsidRPr="00D81F43">
        <w:t>.</w:t>
      </w:r>
      <w:r w:rsidRPr="00D81F43">
        <w:t xml:space="preserve"> </w:t>
      </w:r>
      <w:r w:rsidR="004416CF" w:rsidRPr="004416CF">
        <w:rPr>
          <w:b/>
          <w:bCs/>
        </w:rPr>
        <w:fldChar w:fldCharType="begin"/>
      </w:r>
      <w:r w:rsidR="004416CF" w:rsidRPr="004416CF">
        <w:rPr>
          <w:b/>
          <w:bCs/>
        </w:rPr>
        <w:instrText xml:space="preserve"> REF _Ref136530690 \h </w:instrText>
      </w:r>
      <w:r w:rsidR="004416CF">
        <w:rPr>
          <w:b/>
          <w:bCs/>
        </w:rPr>
        <w:instrText xml:space="preserve"> \* MERGEFORMAT </w:instrText>
      </w:r>
      <w:r w:rsidR="004416CF" w:rsidRPr="004416CF">
        <w:rPr>
          <w:b/>
          <w:bCs/>
        </w:rPr>
      </w:r>
      <w:r w:rsidR="004416CF" w:rsidRPr="004416CF">
        <w:rPr>
          <w:b/>
          <w:bCs/>
        </w:rPr>
        <w:fldChar w:fldCharType="separate"/>
      </w:r>
      <w:r w:rsidR="00180E14" w:rsidRPr="00180E14">
        <w:rPr>
          <w:b/>
          <w:bCs/>
        </w:rPr>
        <w:t xml:space="preserve">Table </w:t>
      </w:r>
      <w:r w:rsidR="00180E14" w:rsidRPr="00180E14">
        <w:rPr>
          <w:b/>
          <w:bCs/>
          <w:noProof/>
        </w:rPr>
        <w:t>20</w:t>
      </w:r>
      <w:r w:rsidR="004416CF" w:rsidRPr="004416CF">
        <w:rPr>
          <w:b/>
          <w:bCs/>
        </w:rPr>
        <w:fldChar w:fldCharType="end"/>
      </w:r>
      <w:r w:rsidR="004416CF">
        <w:t xml:space="preserve"> </w:t>
      </w:r>
      <w:r w:rsidRPr="00D81F43">
        <w:t>presents</w:t>
      </w:r>
      <w:r>
        <w:t xml:space="preserve"> a summary of values </w:t>
      </w:r>
      <w:r w:rsidR="00C70649">
        <w:t>identified</w:t>
      </w:r>
      <w:r>
        <w:t xml:space="preserve"> from these sources.</w:t>
      </w:r>
    </w:p>
    <w:p w14:paraId="4AA2D3B3" w14:textId="7BB06C42" w:rsidR="00D86F94" w:rsidRDefault="00D86F94" w:rsidP="00633F11">
      <w:pPr>
        <w:pStyle w:val="Caption"/>
        <w:keepNext/>
        <w:keepLines/>
      </w:pPr>
      <w:bookmarkStart w:id="3733" w:name="_Ref136530690"/>
      <w:bookmarkStart w:id="3734" w:name="_Toc132647795"/>
      <w:bookmarkStart w:id="3735" w:name="_Ref136530673"/>
      <w:bookmarkStart w:id="3736" w:name="_Toc145877309"/>
      <w:r>
        <w:lastRenderedPageBreak/>
        <w:t xml:space="preserve">Table </w:t>
      </w:r>
      <w:r>
        <w:fldChar w:fldCharType="begin"/>
      </w:r>
      <w:r>
        <w:instrText>SEQ Table \* ARABIC</w:instrText>
      </w:r>
      <w:r>
        <w:fldChar w:fldCharType="separate"/>
      </w:r>
      <w:r w:rsidR="00180E14">
        <w:rPr>
          <w:noProof/>
        </w:rPr>
        <w:t>20</w:t>
      </w:r>
      <w:r>
        <w:fldChar w:fldCharType="end"/>
      </w:r>
      <w:bookmarkEnd w:id="3733"/>
      <w:r>
        <w:t>: Values ascribed to a one</w:t>
      </w:r>
      <w:r w:rsidR="00F8391B">
        <w:t>-</w:t>
      </w:r>
      <w:r>
        <w:t>point change in wellbeing</w:t>
      </w:r>
      <w:r w:rsidR="000F47D4">
        <w:t xml:space="preserve"> (10</w:t>
      </w:r>
      <w:r w:rsidR="003806B3">
        <w:t>-</w:t>
      </w:r>
      <w:r w:rsidR="000F47D4">
        <w:t>point scale)</w:t>
      </w:r>
      <w:bookmarkEnd w:id="3734"/>
      <w:bookmarkEnd w:id="3735"/>
      <w:bookmarkEnd w:id="3736"/>
    </w:p>
    <w:tbl>
      <w:tblPr>
        <w:tblStyle w:val="GridTable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5902"/>
      </w:tblGrid>
      <w:tr w:rsidR="00D86F94" w:rsidRPr="0096560E" w14:paraId="4900280C" w14:textId="77777777" w:rsidTr="000466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5D7A38"/>
          </w:tcPr>
          <w:p w14:paraId="63A065C6" w14:textId="77777777" w:rsidR="00D86F94" w:rsidRPr="00C239FD" w:rsidRDefault="00D86F94" w:rsidP="009251AF">
            <w:pPr>
              <w:keepNext/>
              <w:keepLines/>
              <w:spacing w:after="0"/>
              <w:rPr>
                <w:sz w:val="20"/>
                <w:szCs w:val="20"/>
              </w:rPr>
            </w:pPr>
            <w:r w:rsidRPr="00C239FD">
              <w:rPr>
                <w:sz w:val="20"/>
                <w:szCs w:val="20"/>
              </w:rPr>
              <w:t>Author</w:t>
            </w:r>
          </w:p>
        </w:tc>
        <w:tc>
          <w:tcPr>
            <w:tcW w:w="5902" w:type="dxa"/>
            <w:tcBorders>
              <w:top w:val="none" w:sz="0" w:space="0" w:color="auto"/>
              <w:left w:val="none" w:sz="0" w:space="0" w:color="auto"/>
              <w:bottom w:val="none" w:sz="0" w:space="0" w:color="auto"/>
              <w:right w:val="none" w:sz="0" w:space="0" w:color="auto"/>
            </w:tcBorders>
            <w:shd w:val="clear" w:color="auto" w:fill="5D7A38"/>
          </w:tcPr>
          <w:p w14:paraId="1B6D3E6A" w14:textId="4B92C5CA" w:rsidR="00D86F94" w:rsidRPr="00C239FD" w:rsidRDefault="00D86F94" w:rsidP="0088479A">
            <w:pPr>
              <w:keepNext/>
              <w:keepLines/>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39FD">
              <w:rPr>
                <w:sz w:val="20"/>
                <w:szCs w:val="20"/>
              </w:rPr>
              <w:t>Value associated with a one</w:t>
            </w:r>
            <w:r w:rsidR="00F8391B" w:rsidRPr="00C239FD">
              <w:rPr>
                <w:sz w:val="20"/>
                <w:szCs w:val="20"/>
              </w:rPr>
              <w:t>-</w:t>
            </w:r>
            <w:r w:rsidRPr="00C239FD">
              <w:rPr>
                <w:sz w:val="20"/>
                <w:szCs w:val="20"/>
              </w:rPr>
              <w:t>point change in wellbeing (10</w:t>
            </w:r>
            <w:r w:rsidR="00F8391B" w:rsidRPr="00C239FD">
              <w:rPr>
                <w:sz w:val="20"/>
                <w:szCs w:val="20"/>
              </w:rPr>
              <w:t>-</w:t>
            </w:r>
            <w:r w:rsidRPr="00C239FD">
              <w:rPr>
                <w:sz w:val="20"/>
                <w:szCs w:val="20"/>
              </w:rPr>
              <w:t>point scale, 2020 dollars)</w:t>
            </w:r>
            <w:r w:rsidRPr="00C239FD">
              <w:rPr>
                <w:sz w:val="20"/>
                <w:szCs w:val="20"/>
                <w:vertAlign w:val="superscript"/>
              </w:rPr>
              <w:t>a</w:t>
            </w:r>
          </w:p>
        </w:tc>
      </w:tr>
      <w:tr w:rsidR="00D86F94" w:rsidRPr="0096560E" w14:paraId="4CBD182B" w14:textId="77777777" w:rsidTr="00884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0D2F66" w14:textId="77777777" w:rsidR="00D86F94" w:rsidRPr="0096560E" w:rsidRDefault="00D86F94" w:rsidP="0088479A">
            <w:pPr>
              <w:keepNext/>
              <w:keepLines/>
              <w:spacing w:before="60" w:after="60"/>
              <w:rPr>
                <w:b w:val="0"/>
                <w:sz w:val="20"/>
                <w:szCs w:val="20"/>
              </w:rPr>
            </w:pPr>
            <w:r w:rsidRPr="0096560E">
              <w:rPr>
                <w:sz w:val="20"/>
                <w:szCs w:val="20"/>
              </w:rPr>
              <w:t>UK Treasury (2021a)</w:t>
            </w:r>
          </w:p>
        </w:tc>
        <w:tc>
          <w:tcPr>
            <w:tcW w:w="5902" w:type="dxa"/>
          </w:tcPr>
          <w:p w14:paraId="62E02A21" w14:textId="77777777" w:rsidR="00D86F94" w:rsidRPr="0096560E" w:rsidRDefault="00D86F94" w:rsidP="0088479A">
            <w:pPr>
              <w:keepNext/>
              <w:keepLines/>
              <w:spacing w:before="60" w:after="60"/>
              <w:ind w:right="1599"/>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bCs/>
                <w:sz w:val="20"/>
                <w:szCs w:val="20"/>
              </w:rPr>
              <w:t>$5,764</w:t>
            </w:r>
            <w:r w:rsidRPr="0096560E">
              <w:rPr>
                <w:sz w:val="20"/>
                <w:szCs w:val="20"/>
              </w:rPr>
              <w:t xml:space="preserve">/person/6 months </w:t>
            </w:r>
          </w:p>
        </w:tc>
      </w:tr>
      <w:tr w:rsidR="00D86F94" w:rsidRPr="0096560E" w14:paraId="258B5CB9" w14:textId="77777777" w:rsidTr="0088479A">
        <w:tc>
          <w:tcPr>
            <w:cnfStyle w:val="001000000000" w:firstRow="0" w:lastRow="0" w:firstColumn="1" w:lastColumn="0" w:oddVBand="0" w:evenVBand="0" w:oddHBand="0" w:evenHBand="0" w:firstRowFirstColumn="0" w:firstRowLastColumn="0" w:lastRowFirstColumn="0" w:lastRowLastColumn="0"/>
            <w:tcW w:w="0" w:type="auto"/>
          </w:tcPr>
          <w:p w14:paraId="0D54FDD8" w14:textId="10404744" w:rsidR="00D86F94" w:rsidRPr="0096560E" w:rsidRDefault="00D86F94" w:rsidP="0088479A">
            <w:pPr>
              <w:keepNext/>
              <w:keepLines/>
              <w:spacing w:before="60" w:after="60"/>
              <w:rPr>
                <w:b w:val="0"/>
                <w:sz w:val="20"/>
                <w:szCs w:val="20"/>
              </w:rPr>
            </w:pPr>
            <w:r w:rsidRPr="0096560E">
              <w:rPr>
                <w:sz w:val="20"/>
                <w:szCs w:val="20"/>
              </w:rPr>
              <w:t>Stanley et al (2021)</w:t>
            </w:r>
          </w:p>
        </w:tc>
        <w:tc>
          <w:tcPr>
            <w:tcW w:w="5902" w:type="dxa"/>
          </w:tcPr>
          <w:p w14:paraId="109B013E" w14:textId="77777777" w:rsidR="00D86F94" w:rsidRPr="0096560E" w:rsidRDefault="00D86F94" w:rsidP="0088479A">
            <w:pPr>
              <w:keepNext/>
              <w:keepLines/>
              <w:spacing w:before="60" w:after="60"/>
              <w:ind w:right="1599"/>
              <w:jc w:val="right"/>
              <w:cnfStyle w:val="000000000000" w:firstRow="0" w:lastRow="0" w:firstColumn="0" w:lastColumn="0" w:oddVBand="0" w:evenVBand="0" w:oddHBand="0" w:evenHBand="0" w:firstRowFirstColumn="0" w:firstRowLastColumn="0" w:lastRowFirstColumn="0" w:lastRowLastColumn="0"/>
              <w:rPr>
                <w:sz w:val="20"/>
                <w:szCs w:val="20"/>
              </w:rPr>
            </w:pPr>
            <w:r w:rsidRPr="0096560E">
              <w:rPr>
                <w:sz w:val="20"/>
                <w:szCs w:val="20"/>
              </w:rPr>
              <w:t xml:space="preserve">$28,623/person/6 months </w:t>
            </w:r>
          </w:p>
        </w:tc>
      </w:tr>
      <w:tr w:rsidR="00D86F94" w:rsidRPr="0096560E" w14:paraId="3DD93744" w14:textId="77777777" w:rsidTr="00884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70FDB2" w14:textId="09081EE9" w:rsidR="00D86F94" w:rsidRPr="0096560E" w:rsidRDefault="00D86F94" w:rsidP="0088479A">
            <w:pPr>
              <w:keepNext/>
              <w:keepLines/>
              <w:spacing w:before="60" w:after="60"/>
              <w:rPr>
                <w:b w:val="0"/>
                <w:sz w:val="20"/>
                <w:szCs w:val="20"/>
              </w:rPr>
            </w:pPr>
            <w:r w:rsidRPr="0096560E">
              <w:rPr>
                <w:sz w:val="20"/>
                <w:szCs w:val="20"/>
              </w:rPr>
              <w:t>Cummins et</w:t>
            </w:r>
            <w:r w:rsidR="003806B3" w:rsidRPr="0096560E">
              <w:rPr>
                <w:sz w:val="20"/>
                <w:szCs w:val="20"/>
              </w:rPr>
              <w:t xml:space="preserve"> </w:t>
            </w:r>
            <w:r w:rsidRPr="0096560E">
              <w:rPr>
                <w:sz w:val="20"/>
                <w:szCs w:val="20"/>
              </w:rPr>
              <w:t>a</w:t>
            </w:r>
            <w:r w:rsidR="003806B3" w:rsidRPr="0096560E">
              <w:rPr>
                <w:sz w:val="20"/>
                <w:szCs w:val="20"/>
              </w:rPr>
              <w:t>l</w:t>
            </w:r>
            <w:r w:rsidRPr="0096560E">
              <w:rPr>
                <w:sz w:val="20"/>
                <w:szCs w:val="20"/>
              </w:rPr>
              <w:t xml:space="preserve"> (2021)</w:t>
            </w:r>
          </w:p>
        </w:tc>
        <w:tc>
          <w:tcPr>
            <w:tcW w:w="5902" w:type="dxa"/>
          </w:tcPr>
          <w:p w14:paraId="7FC1835B" w14:textId="17968F23" w:rsidR="00D86F94" w:rsidRPr="0096560E" w:rsidRDefault="00D86F94" w:rsidP="0088479A">
            <w:pPr>
              <w:keepNext/>
              <w:keepLines/>
              <w:spacing w:before="60" w:after="60"/>
              <w:ind w:right="1599"/>
              <w:jc w:val="right"/>
              <w:cnfStyle w:val="000000100000" w:firstRow="0" w:lastRow="0" w:firstColumn="0" w:lastColumn="0" w:oddVBand="0" w:evenVBand="0" w:oddHBand="1" w:evenHBand="0" w:firstRowFirstColumn="0" w:firstRowLastColumn="0" w:lastRowFirstColumn="0" w:lastRowLastColumn="0"/>
              <w:rPr>
                <w:sz w:val="20"/>
                <w:szCs w:val="20"/>
              </w:rPr>
            </w:pPr>
            <w:r w:rsidRPr="0096560E">
              <w:rPr>
                <w:sz w:val="20"/>
                <w:szCs w:val="20"/>
              </w:rPr>
              <w:t>$36,590/person</w:t>
            </w:r>
            <w:r w:rsidRPr="0096560E">
              <w:rPr>
                <w:sz w:val="20"/>
                <w:szCs w:val="20"/>
                <w:vertAlign w:val="superscript"/>
              </w:rPr>
              <w:t>b</w:t>
            </w:r>
            <w:r w:rsidRPr="0096560E">
              <w:rPr>
                <w:sz w:val="20"/>
                <w:szCs w:val="20"/>
              </w:rPr>
              <w:t xml:space="preserve"> </w:t>
            </w:r>
          </w:p>
        </w:tc>
      </w:tr>
      <w:tr w:rsidR="00D86F94" w:rsidRPr="0096560E" w14:paraId="548298B0" w14:textId="77777777" w:rsidTr="0088479A">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5129F342" w14:textId="7B1CFA23" w:rsidR="00D86F94" w:rsidRPr="0096560E" w:rsidRDefault="00D86F94" w:rsidP="0088479A">
            <w:pPr>
              <w:keepNext/>
              <w:keepLines/>
              <w:spacing w:before="60" w:after="60"/>
              <w:rPr>
                <w:b w:val="0"/>
                <w:sz w:val="20"/>
                <w:szCs w:val="20"/>
              </w:rPr>
            </w:pPr>
            <w:r w:rsidRPr="0096560E">
              <w:rPr>
                <w:sz w:val="20"/>
                <w:szCs w:val="20"/>
              </w:rPr>
              <w:t>Biddle et al (2020)</w:t>
            </w:r>
          </w:p>
        </w:tc>
        <w:tc>
          <w:tcPr>
            <w:tcW w:w="5902" w:type="dxa"/>
            <w:tcBorders>
              <w:bottom w:val="single" w:sz="4" w:space="0" w:color="auto"/>
            </w:tcBorders>
          </w:tcPr>
          <w:p w14:paraId="516616B9" w14:textId="77777777" w:rsidR="00D86F94" w:rsidRPr="0096560E" w:rsidRDefault="00D86F94" w:rsidP="0088479A">
            <w:pPr>
              <w:keepNext/>
              <w:keepLines/>
              <w:spacing w:before="60" w:after="60"/>
              <w:ind w:right="1599"/>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bCs/>
                <w:sz w:val="20"/>
                <w:szCs w:val="20"/>
              </w:rPr>
              <w:t>$37,765</w:t>
            </w:r>
            <w:r w:rsidRPr="0096560E">
              <w:rPr>
                <w:sz w:val="20"/>
                <w:szCs w:val="20"/>
              </w:rPr>
              <w:t xml:space="preserve">/person/6 months </w:t>
            </w:r>
          </w:p>
        </w:tc>
      </w:tr>
    </w:tbl>
    <w:p w14:paraId="31287DD7" w14:textId="77777777" w:rsidR="00D86F94" w:rsidRDefault="00D86F94" w:rsidP="00C239FD">
      <w:pPr>
        <w:pStyle w:val="SourceandNotes"/>
        <w:keepNext/>
        <w:spacing w:before="0"/>
      </w:pPr>
      <w:r>
        <w:t xml:space="preserve">Notes: </w:t>
      </w:r>
    </w:p>
    <w:p w14:paraId="79707C24" w14:textId="5FDB30EC" w:rsidR="00D86F94" w:rsidRDefault="00D86F94" w:rsidP="009251AF">
      <w:pPr>
        <w:pStyle w:val="SourceandNotes"/>
      </w:pPr>
      <w:r w:rsidRPr="009251AF">
        <w:t>a</w:t>
      </w:r>
      <w:r>
        <w:t xml:space="preserve"> All amounts were converted to 2020 dollars. To convert to 202</w:t>
      </w:r>
      <w:r w:rsidR="002B4967">
        <w:t>0</w:t>
      </w:r>
      <w:r>
        <w:t xml:space="preserve"> dollars: $ amount x end period CPI/initial period CPI. </w:t>
      </w:r>
      <w:r w:rsidR="005926C5">
        <w:t>D</w:t>
      </w:r>
      <w:r>
        <w:t xml:space="preserve">ata sourced from </w:t>
      </w:r>
      <w:hyperlink r:id="rId75" w:history="1">
        <w:r w:rsidRPr="00C239FD">
          <w:rPr>
            <w:rStyle w:val="Hyperlink"/>
            <w:rFonts w:eastAsiaTheme="majorEastAsia"/>
          </w:rPr>
          <w:t xml:space="preserve">Consumer </w:t>
        </w:r>
        <w:r w:rsidR="005926C5" w:rsidRPr="00C239FD">
          <w:rPr>
            <w:rStyle w:val="Hyperlink"/>
            <w:rFonts w:eastAsiaTheme="majorEastAsia"/>
          </w:rPr>
          <w:t>P</w:t>
        </w:r>
        <w:r w:rsidRPr="00C239FD">
          <w:rPr>
            <w:rStyle w:val="Hyperlink"/>
            <w:rFonts w:eastAsiaTheme="majorEastAsia"/>
          </w:rPr>
          <w:t xml:space="preserve">rice </w:t>
        </w:r>
        <w:r w:rsidR="005926C5" w:rsidRPr="00C239FD">
          <w:rPr>
            <w:rStyle w:val="Hyperlink"/>
            <w:rFonts w:eastAsiaTheme="majorEastAsia"/>
          </w:rPr>
          <w:t>I</w:t>
        </w:r>
        <w:r w:rsidRPr="00C239FD">
          <w:rPr>
            <w:rStyle w:val="Hyperlink"/>
            <w:rFonts w:eastAsiaTheme="majorEastAsia"/>
          </w:rPr>
          <w:t>ndex (CPI) rates | Australian Taxation Office (ato.gov.au)</w:t>
        </w:r>
      </w:hyperlink>
      <w:r>
        <w:t>. Annual CPI calculated as average over the 4 periods.</w:t>
      </w:r>
    </w:p>
    <w:p w14:paraId="6B576584" w14:textId="77777777" w:rsidR="00D86F94" w:rsidRDefault="00D86F94" w:rsidP="009251AF">
      <w:pPr>
        <w:pStyle w:val="SourceandNotes"/>
      </w:pPr>
      <w:r w:rsidRPr="009251AF">
        <w:t>b</w:t>
      </w:r>
      <w:r>
        <w:t xml:space="preserve"> Transposing the percentage point change into a 10-point scale for equivalence.</w:t>
      </w:r>
    </w:p>
    <w:p w14:paraId="12DE5D49" w14:textId="275316A8" w:rsidR="00D86F94" w:rsidRDefault="00D86F94" w:rsidP="00D86F94">
      <w:bookmarkStart w:id="3737" w:name="_Hlk100738863"/>
      <w:r>
        <w:t xml:space="preserve">This research presents the value of wellbeing as a range, taking into account the highest and lowest values for </w:t>
      </w:r>
      <w:r w:rsidR="00022A4C">
        <w:t xml:space="preserve">changes in </w:t>
      </w:r>
      <w:r>
        <w:t>wellbeing identified in the literature.</w:t>
      </w:r>
    </w:p>
    <w:p w14:paraId="77AD7562" w14:textId="60B4290E" w:rsidR="00D86F94" w:rsidRDefault="2BB9AF9D" w:rsidP="00200F67">
      <w:pPr>
        <w:pStyle w:val="Heading3"/>
        <w:ind w:left="0"/>
      </w:pPr>
      <w:bookmarkStart w:id="3738" w:name="_Toc106711898"/>
      <w:bookmarkStart w:id="3739" w:name="_Toc132650516"/>
      <w:bookmarkStart w:id="3740" w:name="_Toc146033546"/>
      <w:bookmarkStart w:id="3741" w:name="_Toc103596404"/>
      <w:bookmarkEnd w:id="3732"/>
      <w:r>
        <w:t xml:space="preserve">Estimating the monetary value of changes in wellbeing </w:t>
      </w:r>
      <w:r w:rsidR="269514BA">
        <w:t>attributable to TtW</w:t>
      </w:r>
      <w:bookmarkEnd w:id="3738"/>
      <w:bookmarkEnd w:id="3739"/>
      <w:bookmarkEnd w:id="3740"/>
      <w:r w:rsidR="269514BA">
        <w:t xml:space="preserve"> </w:t>
      </w:r>
      <w:bookmarkEnd w:id="3741"/>
    </w:p>
    <w:bookmarkEnd w:id="3737"/>
    <w:p w14:paraId="547D35D3" w14:textId="15111AC1" w:rsidR="00D86F94" w:rsidRDefault="00D86F94" w:rsidP="00D86F94">
      <w:r>
        <w:t>Using the PWI results from the 202</w:t>
      </w:r>
      <w:r w:rsidR="002B4967">
        <w:t>1</w:t>
      </w:r>
      <w:r>
        <w:t xml:space="preserve"> TtW </w:t>
      </w:r>
      <w:r w:rsidR="00A86EEA">
        <w:t>p</w:t>
      </w:r>
      <w:r>
        <w:t xml:space="preserve">articipant </w:t>
      </w:r>
      <w:r w:rsidR="00A86EEA">
        <w:t>s</w:t>
      </w:r>
      <w:r>
        <w:t>urvey and the methodology presented above, the value of improved wellbeing</w:t>
      </w:r>
      <w:r w:rsidR="00200F67">
        <w:t xml:space="preserve"> that may be</w:t>
      </w:r>
      <w:r>
        <w:t xml:space="preserve"> attributable to TtW was estimated to be </w:t>
      </w:r>
      <w:r w:rsidR="00533E2C">
        <w:t xml:space="preserve">between </w:t>
      </w:r>
      <w:r w:rsidR="00533E2C" w:rsidRPr="005F4A1E">
        <w:t>$</w:t>
      </w:r>
      <w:r w:rsidR="00533E2C">
        <w:t xml:space="preserve">3,170 </w:t>
      </w:r>
      <w:r w:rsidR="0047313F">
        <w:t>and</w:t>
      </w:r>
      <w:r w:rsidR="00533E2C">
        <w:t xml:space="preserve"> $20,774</w:t>
      </w:r>
      <w:r w:rsidR="00533E2C" w:rsidRPr="005F4A1E">
        <w:t xml:space="preserve"> </w:t>
      </w:r>
      <w:r>
        <w:t xml:space="preserve">per TtW participant, as </w:t>
      </w:r>
      <w:r w:rsidRPr="00D81F43">
        <w:t>outlined in</w:t>
      </w:r>
      <w:r w:rsidR="004416CF">
        <w:t xml:space="preserve"> </w:t>
      </w:r>
      <w:r w:rsidR="004416CF" w:rsidRPr="004416CF">
        <w:rPr>
          <w:b/>
          <w:bCs/>
        </w:rPr>
        <w:fldChar w:fldCharType="begin"/>
      </w:r>
      <w:r w:rsidR="004416CF" w:rsidRPr="004416CF">
        <w:rPr>
          <w:b/>
          <w:bCs/>
        </w:rPr>
        <w:instrText xml:space="preserve"> REF _Ref136530808 \h </w:instrText>
      </w:r>
      <w:r w:rsidR="004416CF">
        <w:rPr>
          <w:b/>
          <w:bCs/>
        </w:rPr>
        <w:instrText xml:space="preserve"> \* MERGEFORMAT </w:instrText>
      </w:r>
      <w:r w:rsidR="004416CF" w:rsidRPr="004416CF">
        <w:rPr>
          <w:b/>
          <w:bCs/>
        </w:rPr>
      </w:r>
      <w:r w:rsidR="004416CF" w:rsidRPr="004416CF">
        <w:rPr>
          <w:b/>
          <w:bCs/>
        </w:rPr>
        <w:fldChar w:fldCharType="separate"/>
      </w:r>
      <w:r w:rsidR="00180E14" w:rsidRPr="00180E14">
        <w:rPr>
          <w:b/>
          <w:bCs/>
        </w:rPr>
        <w:t xml:space="preserve">Table </w:t>
      </w:r>
      <w:r w:rsidR="00180E14" w:rsidRPr="00180E14">
        <w:rPr>
          <w:b/>
          <w:bCs/>
          <w:noProof/>
        </w:rPr>
        <w:t>21</w:t>
      </w:r>
      <w:r w:rsidR="004416CF" w:rsidRPr="004416CF">
        <w:rPr>
          <w:b/>
          <w:bCs/>
        </w:rPr>
        <w:fldChar w:fldCharType="end"/>
      </w:r>
      <w:r w:rsidR="004416CF">
        <w:t>.</w:t>
      </w:r>
    </w:p>
    <w:p w14:paraId="6286B7FE" w14:textId="215F0AB5" w:rsidR="00D86F94" w:rsidRDefault="00D86F94" w:rsidP="00D86F94">
      <w:pPr>
        <w:pStyle w:val="Caption"/>
        <w:keepNext/>
      </w:pPr>
      <w:bookmarkStart w:id="3742" w:name="_Ref136530808"/>
      <w:bookmarkStart w:id="3743" w:name="_Toc132647796"/>
      <w:bookmarkStart w:id="3744" w:name="_Toc145877310"/>
      <w:r>
        <w:t xml:space="preserve">Table </w:t>
      </w:r>
      <w:r>
        <w:fldChar w:fldCharType="begin"/>
      </w:r>
      <w:r>
        <w:instrText>SEQ Table \* ARABIC</w:instrText>
      </w:r>
      <w:r>
        <w:fldChar w:fldCharType="separate"/>
      </w:r>
      <w:r w:rsidR="00180E14">
        <w:rPr>
          <w:noProof/>
        </w:rPr>
        <w:t>21</w:t>
      </w:r>
      <w:r>
        <w:fldChar w:fldCharType="end"/>
      </w:r>
      <w:bookmarkEnd w:id="3742"/>
      <w:r>
        <w:t>: Estimated value of improved wellbeing attributed to TtW, per person</w:t>
      </w:r>
      <w:bookmarkEnd w:id="3743"/>
      <w:bookmarkEnd w:id="3744"/>
    </w:p>
    <w:tbl>
      <w:tblPr>
        <w:tblStyle w:val="GridTable4"/>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2268"/>
      </w:tblGrid>
      <w:tr w:rsidR="000C16FD" w:rsidRPr="0096560E" w14:paraId="7947174B" w14:textId="77777777" w:rsidTr="00046630">
        <w:trPr>
          <w:cnfStyle w:val="100000000000" w:firstRow="1" w:lastRow="0" w:firstColumn="0" w:lastColumn="0" w:oddVBand="0" w:evenVBand="0" w:oddHBand="0" w:evenHBand="0" w:firstRowFirstColumn="0" w:firstRowLastColumn="0" w:lastRowFirstColumn="0" w:lastRowLastColumn="0"/>
          <w:trHeight w:val="516"/>
          <w:tblHeader/>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5D7A38"/>
            <w:vAlign w:val="center"/>
          </w:tcPr>
          <w:p w14:paraId="6EE293A1" w14:textId="6E68A546" w:rsidR="003B3C7E" w:rsidRPr="00C239FD" w:rsidRDefault="003B3C7E" w:rsidP="009251AF">
            <w:pPr>
              <w:keepNext/>
              <w:spacing w:after="0"/>
              <w:rPr>
                <w:sz w:val="20"/>
                <w:szCs w:val="20"/>
              </w:rPr>
            </w:pPr>
            <w:r w:rsidRPr="00C239FD">
              <w:rPr>
                <w:sz w:val="20"/>
                <w:szCs w:val="20"/>
              </w:rPr>
              <w:t>Attribute</w:t>
            </w:r>
          </w:p>
        </w:tc>
        <w:tc>
          <w:tcPr>
            <w:tcW w:w="2268" w:type="dxa"/>
            <w:tcBorders>
              <w:top w:val="none" w:sz="0" w:space="0" w:color="auto"/>
              <w:left w:val="none" w:sz="0" w:space="0" w:color="auto"/>
              <w:bottom w:val="none" w:sz="0" w:space="0" w:color="auto"/>
              <w:right w:val="none" w:sz="0" w:space="0" w:color="auto"/>
            </w:tcBorders>
            <w:shd w:val="clear" w:color="auto" w:fill="5D7A38"/>
            <w:vAlign w:val="center"/>
          </w:tcPr>
          <w:p w14:paraId="0546696C" w14:textId="59A36AEA" w:rsidR="003B3C7E" w:rsidRPr="00C239FD" w:rsidRDefault="003B3C7E" w:rsidP="0088479A">
            <w:pPr>
              <w:keepNext/>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39FD">
              <w:rPr>
                <w:sz w:val="20"/>
                <w:szCs w:val="20"/>
              </w:rPr>
              <w:t>Value</w:t>
            </w:r>
          </w:p>
        </w:tc>
      </w:tr>
      <w:tr w:rsidR="000C16FD" w:rsidRPr="0096560E" w14:paraId="0C9D0702" w14:textId="77777777" w:rsidTr="008847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45" w:type="dxa"/>
            <w:vAlign w:val="center"/>
          </w:tcPr>
          <w:p w14:paraId="654D6B08" w14:textId="77777777" w:rsidR="00D86F94" w:rsidRPr="0096560E" w:rsidRDefault="00D86F94" w:rsidP="009251AF">
            <w:pPr>
              <w:keepNext/>
              <w:spacing w:after="0"/>
              <w:rPr>
                <w:sz w:val="20"/>
                <w:szCs w:val="20"/>
              </w:rPr>
            </w:pPr>
            <w:r w:rsidRPr="0096560E">
              <w:rPr>
                <w:sz w:val="20"/>
                <w:szCs w:val="20"/>
              </w:rPr>
              <w:t>TtW PWI</w:t>
            </w:r>
          </w:p>
        </w:tc>
        <w:tc>
          <w:tcPr>
            <w:tcW w:w="2268" w:type="dxa"/>
            <w:vAlign w:val="center"/>
          </w:tcPr>
          <w:p w14:paraId="660FF0FD" w14:textId="1BA32908" w:rsidR="00D86F94" w:rsidRPr="0096560E" w:rsidRDefault="00D86F94" w:rsidP="0088479A">
            <w:pPr>
              <w:keepNext/>
              <w:spacing w:after="0"/>
              <w:ind w:right="635"/>
              <w:jc w:val="right"/>
              <w:cnfStyle w:val="000000100000" w:firstRow="0" w:lastRow="0" w:firstColumn="0" w:lastColumn="0" w:oddVBand="0" w:evenVBand="0" w:oddHBand="1" w:evenHBand="0" w:firstRowFirstColumn="0" w:firstRowLastColumn="0" w:lastRowFirstColumn="0" w:lastRowLastColumn="0"/>
              <w:rPr>
                <w:b/>
                <w:sz w:val="20"/>
                <w:szCs w:val="20"/>
              </w:rPr>
            </w:pPr>
            <w:r w:rsidRPr="0096560E">
              <w:rPr>
                <w:sz w:val="20"/>
                <w:szCs w:val="20"/>
              </w:rPr>
              <w:t>71.1</w:t>
            </w:r>
            <w:r w:rsidR="003B3C7E" w:rsidRPr="0096560E">
              <w:rPr>
                <w:sz w:val="20"/>
                <w:szCs w:val="20"/>
              </w:rPr>
              <w:t xml:space="preserve"> points</w:t>
            </w:r>
          </w:p>
        </w:tc>
      </w:tr>
      <w:tr w:rsidR="00164FB2" w:rsidRPr="0096560E" w14:paraId="6A88829C" w14:textId="77777777" w:rsidTr="0088479A">
        <w:trPr>
          <w:trHeight w:val="397"/>
        </w:trPr>
        <w:tc>
          <w:tcPr>
            <w:cnfStyle w:val="001000000000" w:firstRow="0" w:lastRow="0" w:firstColumn="1" w:lastColumn="0" w:oddVBand="0" w:evenVBand="0" w:oddHBand="0" w:evenHBand="0" w:firstRowFirstColumn="0" w:firstRowLastColumn="0" w:lastRowFirstColumn="0" w:lastRowLastColumn="0"/>
            <w:tcW w:w="6345" w:type="dxa"/>
            <w:vAlign w:val="center"/>
            <w:hideMark/>
          </w:tcPr>
          <w:p w14:paraId="7F229D2E" w14:textId="77777777" w:rsidR="00D86F94" w:rsidRPr="0096560E" w:rsidRDefault="00D86F94" w:rsidP="009251AF">
            <w:pPr>
              <w:keepNext/>
              <w:spacing w:after="0"/>
              <w:rPr>
                <w:sz w:val="20"/>
                <w:szCs w:val="20"/>
              </w:rPr>
            </w:pPr>
            <w:r w:rsidRPr="0096560E">
              <w:rPr>
                <w:sz w:val="20"/>
                <w:szCs w:val="20"/>
              </w:rPr>
              <w:t>Comparison group PWI (jobactive participants)</w:t>
            </w:r>
          </w:p>
        </w:tc>
        <w:tc>
          <w:tcPr>
            <w:tcW w:w="2268" w:type="dxa"/>
            <w:vAlign w:val="center"/>
            <w:hideMark/>
          </w:tcPr>
          <w:p w14:paraId="6DF4FC86" w14:textId="1D7CAE94" w:rsidR="00D86F94" w:rsidRPr="0096560E" w:rsidRDefault="00D86F94" w:rsidP="0088479A">
            <w:pPr>
              <w:keepNext/>
              <w:spacing w:after="0"/>
              <w:ind w:right="635"/>
              <w:jc w:val="right"/>
              <w:cnfStyle w:val="000000000000" w:firstRow="0" w:lastRow="0" w:firstColumn="0" w:lastColumn="0" w:oddVBand="0" w:evenVBand="0" w:oddHBand="0" w:evenHBand="0" w:firstRowFirstColumn="0" w:firstRowLastColumn="0" w:lastRowFirstColumn="0" w:lastRowLastColumn="0"/>
              <w:rPr>
                <w:sz w:val="20"/>
                <w:szCs w:val="20"/>
              </w:rPr>
            </w:pPr>
            <w:r w:rsidRPr="0096560E">
              <w:rPr>
                <w:sz w:val="20"/>
                <w:szCs w:val="20"/>
              </w:rPr>
              <w:t>65.6</w:t>
            </w:r>
            <w:r w:rsidR="003B3C7E" w:rsidRPr="0096560E">
              <w:rPr>
                <w:sz w:val="20"/>
                <w:szCs w:val="20"/>
              </w:rPr>
              <w:t xml:space="preserve"> points</w:t>
            </w:r>
          </w:p>
        </w:tc>
      </w:tr>
      <w:tr w:rsidR="000C16FD" w:rsidRPr="0096560E" w14:paraId="54DA1F66" w14:textId="77777777" w:rsidTr="008847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45" w:type="dxa"/>
            <w:vAlign w:val="center"/>
            <w:hideMark/>
          </w:tcPr>
          <w:p w14:paraId="12078419" w14:textId="491EBA2A" w:rsidR="00D86F94" w:rsidRPr="0096560E" w:rsidRDefault="00D86F94" w:rsidP="009251AF">
            <w:pPr>
              <w:spacing w:after="0"/>
              <w:rPr>
                <w:sz w:val="20"/>
                <w:szCs w:val="20"/>
              </w:rPr>
            </w:pPr>
            <w:r w:rsidRPr="0096560E">
              <w:rPr>
                <w:sz w:val="20"/>
                <w:szCs w:val="20"/>
              </w:rPr>
              <w:t>The impact of TtW on participants</w:t>
            </w:r>
            <w:r w:rsidR="00F8391B" w:rsidRPr="0096560E">
              <w:rPr>
                <w:sz w:val="20"/>
                <w:szCs w:val="20"/>
              </w:rPr>
              <w:t>’</w:t>
            </w:r>
            <w:r w:rsidRPr="0096560E">
              <w:rPr>
                <w:sz w:val="20"/>
                <w:szCs w:val="20"/>
              </w:rPr>
              <w:t xml:space="preserve"> subjective wellbeing</w:t>
            </w:r>
            <w:r w:rsidR="00706ED5" w:rsidRPr="0096560E">
              <w:rPr>
                <w:sz w:val="20"/>
                <w:szCs w:val="20"/>
              </w:rPr>
              <w:t xml:space="preserve"> </w:t>
            </w:r>
            <w:r w:rsidR="002B4967" w:rsidRPr="0096560E">
              <w:rPr>
                <w:sz w:val="20"/>
                <w:szCs w:val="20"/>
              </w:rPr>
              <w:t>(</w:t>
            </w:r>
            <w:r w:rsidR="00706ED5" w:rsidRPr="0096560E">
              <w:rPr>
                <w:sz w:val="20"/>
                <w:szCs w:val="20"/>
              </w:rPr>
              <w:t>SWB)</w:t>
            </w:r>
          </w:p>
          <w:p w14:paraId="14A6C7FD" w14:textId="1047ECE1" w:rsidR="00D86F94" w:rsidRPr="0096560E" w:rsidRDefault="00D86F94" w:rsidP="009251AF">
            <w:pPr>
              <w:spacing w:after="0"/>
              <w:rPr>
                <w:sz w:val="20"/>
                <w:szCs w:val="20"/>
              </w:rPr>
            </w:pPr>
            <w:r w:rsidRPr="0096560E">
              <w:rPr>
                <w:sz w:val="20"/>
                <w:szCs w:val="20"/>
              </w:rPr>
              <w:t>(TtW PWI – comparison group PWI) = per person wellbeing impact</w:t>
            </w:r>
          </w:p>
        </w:tc>
        <w:tc>
          <w:tcPr>
            <w:tcW w:w="2268" w:type="dxa"/>
            <w:vAlign w:val="center"/>
            <w:hideMark/>
          </w:tcPr>
          <w:p w14:paraId="5D530455" w14:textId="77777777" w:rsidR="00D86F94" w:rsidRPr="0096560E" w:rsidRDefault="00D86F94" w:rsidP="0088479A">
            <w:pPr>
              <w:spacing w:after="0"/>
              <w:ind w:right="635"/>
              <w:jc w:val="right"/>
              <w:cnfStyle w:val="000000100000" w:firstRow="0" w:lastRow="0" w:firstColumn="0" w:lastColumn="0" w:oddVBand="0" w:evenVBand="0" w:oddHBand="1" w:evenHBand="0" w:firstRowFirstColumn="0" w:firstRowLastColumn="0" w:lastRowFirstColumn="0" w:lastRowLastColumn="0"/>
              <w:rPr>
                <w:sz w:val="20"/>
                <w:szCs w:val="20"/>
              </w:rPr>
            </w:pPr>
            <w:r w:rsidRPr="0096560E">
              <w:rPr>
                <w:sz w:val="20"/>
                <w:szCs w:val="20"/>
              </w:rPr>
              <w:t>5.5 points</w:t>
            </w:r>
          </w:p>
        </w:tc>
      </w:tr>
      <w:tr w:rsidR="00164FB2" w:rsidRPr="0096560E" w14:paraId="5ABDA928" w14:textId="77777777" w:rsidTr="0088479A">
        <w:trPr>
          <w:trHeight w:val="397"/>
        </w:trPr>
        <w:tc>
          <w:tcPr>
            <w:cnfStyle w:val="001000000000" w:firstRow="0" w:lastRow="0" w:firstColumn="1" w:lastColumn="0" w:oddVBand="0" w:evenVBand="0" w:oddHBand="0" w:evenHBand="0" w:firstRowFirstColumn="0" w:firstRowLastColumn="0" w:lastRowFirstColumn="0" w:lastRowLastColumn="0"/>
            <w:tcW w:w="6345" w:type="dxa"/>
            <w:vAlign w:val="center"/>
            <w:hideMark/>
          </w:tcPr>
          <w:p w14:paraId="4EF362D2" w14:textId="02E75A28" w:rsidR="00D86F94" w:rsidRPr="0096560E" w:rsidRDefault="00D86F94" w:rsidP="009251AF">
            <w:pPr>
              <w:spacing w:after="0"/>
              <w:rPr>
                <w:sz w:val="20"/>
                <w:szCs w:val="20"/>
              </w:rPr>
            </w:pPr>
            <w:r w:rsidRPr="0096560E">
              <w:rPr>
                <w:sz w:val="20"/>
                <w:szCs w:val="20"/>
              </w:rPr>
              <w:t xml:space="preserve">Value of increasing SWB by </w:t>
            </w:r>
            <w:r w:rsidR="00A15B40" w:rsidRPr="0096560E">
              <w:rPr>
                <w:sz w:val="20"/>
                <w:szCs w:val="20"/>
              </w:rPr>
              <w:t xml:space="preserve">1 </w:t>
            </w:r>
            <w:r w:rsidRPr="0096560E">
              <w:rPr>
                <w:sz w:val="20"/>
                <w:szCs w:val="20"/>
              </w:rPr>
              <w:t>percentage point (100</w:t>
            </w:r>
            <w:r w:rsidR="00A15B40" w:rsidRPr="0096560E">
              <w:rPr>
                <w:sz w:val="20"/>
                <w:szCs w:val="20"/>
              </w:rPr>
              <w:t>-</w:t>
            </w:r>
            <w:r w:rsidRPr="0096560E">
              <w:rPr>
                <w:sz w:val="20"/>
                <w:szCs w:val="20"/>
              </w:rPr>
              <w:t>point scale)</w:t>
            </w:r>
            <w:r w:rsidR="00F8391B" w:rsidRPr="0096560E">
              <w:rPr>
                <w:sz w:val="20"/>
                <w:szCs w:val="20"/>
              </w:rPr>
              <w:t xml:space="preserve"> – </w:t>
            </w:r>
            <w:r w:rsidRPr="0096560E">
              <w:rPr>
                <w:sz w:val="20"/>
                <w:szCs w:val="20"/>
              </w:rPr>
              <w:t>range</w:t>
            </w:r>
          </w:p>
        </w:tc>
        <w:tc>
          <w:tcPr>
            <w:tcW w:w="2268" w:type="dxa"/>
            <w:vAlign w:val="center"/>
            <w:hideMark/>
          </w:tcPr>
          <w:p w14:paraId="6A22F92A" w14:textId="007A71DF" w:rsidR="00D86F94" w:rsidRPr="0096560E" w:rsidRDefault="00D86F94" w:rsidP="0088479A">
            <w:pPr>
              <w:spacing w:after="0"/>
              <w:ind w:right="635"/>
              <w:jc w:val="right"/>
              <w:cnfStyle w:val="000000000000" w:firstRow="0" w:lastRow="0" w:firstColumn="0" w:lastColumn="0" w:oddVBand="0" w:evenVBand="0" w:oddHBand="0" w:evenHBand="0" w:firstRowFirstColumn="0" w:firstRowLastColumn="0" w:lastRowFirstColumn="0" w:lastRowLastColumn="0"/>
              <w:rPr>
                <w:sz w:val="20"/>
                <w:szCs w:val="20"/>
              </w:rPr>
            </w:pPr>
            <w:r w:rsidRPr="0096560E">
              <w:rPr>
                <w:sz w:val="20"/>
                <w:szCs w:val="20"/>
              </w:rPr>
              <w:t>$576</w:t>
            </w:r>
            <w:r w:rsidR="00F8391B" w:rsidRPr="0096560E">
              <w:rPr>
                <w:sz w:val="20"/>
                <w:szCs w:val="20"/>
              </w:rPr>
              <w:t xml:space="preserve"> – </w:t>
            </w:r>
            <w:r w:rsidRPr="0096560E">
              <w:rPr>
                <w:sz w:val="20"/>
                <w:szCs w:val="20"/>
              </w:rPr>
              <w:t xml:space="preserve">$3,777 </w:t>
            </w:r>
          </w:p>
        </w:tc>
      </w:tr>
      <w:tr w:rsidR="00F74DEF" w:rsidRPr="0096560E" w14:paraId="5A084546" w14:textId="77777777" w:rsidTr="008847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45" w:type="dxa"/>
            <w:tcBorders>
              <w:bottom w:val="single" w:sz="4" w:space="0" w:color="auto"/>
            </w:tcBorders>
            <w:vAlign w:val="center"/>
            <w:hideMark/>
          </w:tcPr>
          <w:p w14:paraId="390F48C3" w14:textId="77777777" w:rsidR="00D86F94" w:rsidRPr="0096560E" w:rsidRDefault="00D86F94" w:rsidP="009251AF">
            <w:pPr>
              <w:spacing w:after="0"/>
              <w:rPr>
                <w:b w:val="0"/>
                <w:sz w:val="20"/>
                <w:szCs w:val="20"/>
              </w:rPr>
            </w:pPr>
            <w:r w:rsidRPr="0096560E">
              <w:rPr>
                <w:sz w:val="20"/>
                <w:szCs w:val="20"/>
              </w:rPr>
              <w:t>Value of increased wellbeing attributable to TtW per participant</w:t>
            </w:r>
          </w:p>
          <w:p w14:paraId="1A672387" w14:textId="77777777" w:rsidR="00D86F94" w:rsidRPr="0096560E" w:rsidRDefault="00D86F94" w:rsidP="009251AF">
            <w:pPr>
              <w:spacing w:after="0"/>
              <w:rPr>
                <w:sz w:val="20"/>
                <w:szCs w:val="20"/>
              </w:rPr>
            </w:pPr>
            <w:r w:rsidRPr="0096560E">
              <w:rPr>
                <w:sz w:val="20"/>
                <w:szCs w:val="20"/>
              </w:rPr>
              <w:t>5.5 x ($576 or $3,777) = $3,170 to $20,774</w:t>
            </w:r>
          </w:p>
        </w:tc>
        <w:tc>
          <w:tcPr>
            <w:tcW w:w="2268" w:type="dxa"/>
            <w:tcBorders>
              <w:bottom w:val="single" w:sz="4" w:space="0" w:color="auto"/>
            </w:tcBorders>
            <w:vAlign w:val="center"/>
            <w:hideMark/>
          </w:tcPr>
          <w:p w14:paraId="01CABED9" w14:textId="77777777" w:rsidR="00D86F94" w:rsidRPr="0096560E" w:rsidRDefault="00D86F94" w:rsidP="0088479A">
            <w:pPr>
              <w:spacing w:after="0"/>
              <w:ind w:right="635"/>
              <w:jc w:val="right"/>
              <w:cnfStyle w:val="000000100000" w:firstRow="0" w:lastRow="0" w:firstColumn="0" w:lastColumn="0" w:oddVBand="0" w:evenVBand="0" w:oddHBand="1" w:evenHBand="0" w:firstRowFirstColumn="0" w:firstRowLastColumn="0" w:lastRowFirstColumn="0" w:lastRowLastColumn="0"/>
              <w:rPr>
                <w:sz w:val="20"/>
                <w:szCs w:val="20"/>
              </w:rPr>
            </w:pPr>
            <w:r w:rsidRPr="0096560E">
              <w:rPr>
                <w:sz w:val="20"/>
                <w:szCs w:val="20"/>
              </w:rPr>
              <w:t xml:space="preserve">$3,170 – $20,774 </w:t>
            </w:r>
          </w:p>
        </w:tc>
      </w:tr>
    </w:tbl>
    <w:p w14:paraId="0A56825A" w14:textId="0CEB48A9" w:rsidR="00D86F94" w:rsidRPr="00C239FD" w:rsidRDefault="00D86F94" w:rsidP="00D86F94">
      <w:pPr>
        <w:pStyle w:val="Source"/>
        <w:rPr>
          <w:rFonts w:ascii="Calibri" w:eastAsia="Times New Roman" w:hAnsi="Calibri" w:cs="Calibri"/>
          <w:color w:val="000000"/>
          <w:sz w:val="16"/>
          <w:szCs w:val="20"/>
          <w:lang w:eastAsia="en-AU"/>
        </w:rPr>
      </w:pPr>
      <w:bookmarkStart w:id="3745" w:name="_Hlk100738870"/>
      <w:r w:rsidRPr="00C239FD">
        <w:rPr>
          <w:rFonts w:ascii="Calibri" w:eastAsia="Times New Roman" w:hAnsi="Calibri" w:cs="Calibri"/>
          <w:color w:val="000000"/>
          <w:sz w:val="16"/>
          <w:szCs w:val="20"/>
          <w:lang w:eastAsia="en-AU"/>
        </w:rPr>
        <w:t xml:space="preserve">Source: </w:t>
      </w:r>
      <w:r w:rsidR="00450959">
        <w:rPr>
          <w:rFonts w:ascii="Calibri" w:eastAsia="Times New Roman" w:hAnsi="Calibri" w:cs="Calibri"/>
          <w:color w:val="000000"/>
          <w:sz w:val="16"/>
          <w:szCs w:val="20"/>
          <w:lang w:eastAsia="en-AU"/>
        </w:rPr>
        <w:t>P</w:t>
      </w:r>
      <w:r w:rsidRPr="00C239FD">
        <w:rPr>
          <w:rFonts w:ascii="Calibri" w:eastAsia="Times New Roman" w:hAnsi="Calibri" w:cs="Calibri"/>
          <w:color w:val="000000"/>
          <w:sz w:val="16"/>
          <w:szCs w:val="20"/>
          <w:lang w:eastAsia="en-AU"/>
        </w:rPr>
        <w:t xml:space="preserve">articipant </w:t>
      </w:r>
      <w:r w:rsidR="00450959" w:rsidRPr="00C239FD">
        <w:rPr>
          <w:rFonts w:ascii="Calibri" w:eastAsia="Times New Roman" w:hAnsi="Calibri" w:cs="Calibri"/>
          <w:color w:val="000000"/>
          <w:sz w:val="16"/>
          <w:szCs w:val="20"/>
          <w:lang w:eastAsia="en-AU"/>
        </w:rPr>
        <w:t>s</w:t>
      </w:r>
      <w:r w:rsidRPr="00C239FD">
        <w:rPr>
          <w:rFonts w:ascii="Calibri" w:eastAsia="Times New Roman" w:hAnsi="Calibri" w:cs="Calibri"/>
          <w:color w:val="000000"/>
          <w:sz w:val="16"/>
          <w:szCs w:val="20"/>
          <w:lang w:eastAsia="en-AU"/>
        </w:rPr>
        <w:t>urvey</w:t>
      </w:r>
      <w:r w:rsidR="00450959">
        <w:rPr>
          <w:rFonts w:ascii="Calibri" w:eastAsia="Times New Roman" w:hAnsi="Calibri" w:cs="Calibri"/>
          <w:color w:val="000000"/>
          <w:sz w:val="16"/>
          <w:szCs w:val="20"/>
          <w:lang w:eastAsia="en-AU"/>
        </w:rPr>
        <w:t xml:space="preserve"> 2021</w:t>
      </w:r>
      <w:r w:rsidR="00450959" w:rsidRPr="00C239FD">
        <w:rPr>
          <w:rFonts w:ascii="Calibri" w:eastAsia="Times New Roman" w:hAnsi="Calibri" w:cs="Calibri"/>
          <w:color w:val="000000"/>
          <w:sz w:val="16"/>
          <w:szCs w:val="20"/>
          <w:lang w:eastAsia="en-AU"/>
        </w:rPr>
        <w:t>;</w:t>
      </w:r>
      <w:r w:rsidRPr="00C239FD">
        <w:rPr>
          <w:rFonts w:ascii="Calibri" w:eastAsia="Times New Roman" w:hAnsi="Calibri" w:cs="Calibri"/>
          <w:color w:val="000000"/>
          <w:sz w:val="16"/>
          <w:szCs w:val="20"/>
          <w:lang w:eastAsia="en-AU"/>
        </w:rPr>
        <w:t xml:space="preserve"> UK Treasury (2021a), Biddle et al (2020)</w:t>
      </w:r>
    </w:p>
    <w:p w14:paraId="00948B58" w14:textId="682344A3" w:rsidR="000F47D4" w:rsidRDefault="7A395434" w:rsidP="006E41FD">
      <w:pPr>
        <w:pStyle w:val="Heading2"/>
      </w:pPr>
      <w:bookmarkStart w:id="3746" w:name="_Toc103596405"/>
      <w:bookmarkStart w:id="3747" w:name="_Toc106711899"/>
      <w:bookmarkStart w:id="3748" w:name="_Toc132650517"/>
      <w:bookmarkStart w:id="3749" w:name="_Toc146033547"/>
      <w:bookmarkEnd w:id="3745"/>
      <w:r>
        <w:t>Valuing savings associated with reduced offending</w:t>
      </w:r>
      <w:bookmarkEnd w:id="3746"/>
      <w:bookmarkEnd w:id="3747"/>
      <w:bookmarkEnd w:id="3748"/>
      <w:bookmarkEnd w:id="3749"/>
    </w:p>
    <w:p w14:paraId="5DB2509C" w14:textId="231438C0" w:rsidR="000F47D4" w:rsidRPr="00DB740F" w:rsidRDefault="000F47D4" w:rsidP="000F47D4">
      <w:pPr>
        <w:rPr>
          <w:strike/>
        </w:rPr>
      </w:pPr>
      <w:r>
        <w:t xml:space="preserve">The TtW program has been shown to have led to </w:t>
      </w:r>
      <w:r w:rsidR="00B73504">
        <w:t>fewer</w:t>
      </w:r>
      <w:r>
        <w:t xml:space="preserve"> young people being incarcerated, and lower reoffending rates of participants (</w:t>
      </w:r>
      <w:r w:rsidRPr="00D81F43">
        <w:t xml:space="preserve">see </w:t>
      </w:r>
      <w:r w:rsidR="007638D2">
        <w:rPr>
          <w:b/>
          <w:bCs/>
        </w:rPr>
        <w:t>Chapter</w:t>
      </w:r>
      <w:r w:rsidR="007638D2" w:rsidRPr="004A440A">
        <w:rPr>
          <w:b/>
          <w:bCs/>
        </w:rPr>
        <w:t xml:space="preserve"> </w:t>
      </w:r>
      <w:r w:rsidR="003A491D">
        <w:rPr>
          <w:b/>
          <w:bCs/>
        </w:rPr>
        <w:t>4</w:t>
      </w:r>
      <w:r w:rsidRPr="00D81F43">
        <w:t>)</w:t>
      </w:r>
      <w:r>
        <w:t xml:space="preserve"> compared to the comparison group</w:t>
      </w:r>
      <w:r w:rsidRPr="003D24B0">
        <w:t>.</w:t>
      </w:r>
      <w:r>
        <w:rPr>
          <w:b/>
          <w:bCs/>
        </w:rPr>
        <w:t xml:space="preserve"> </w:t>
      </w:r>
      <w:r>
        <w:t>This</w:t>
      </w:r>
      <w:r w:rsidRPr="00347E82">
        <w:t xml:space="preserve"> will </w:t>
      </w:r>
      <w:r>
        <w:t xml:space="preserve">lead to direct savings in the criminal justice system through </w:t>
      </w:r>
      <w:r w:rsidR="001C08D8">
        <w:t>fewer</w:t>
      </w:r>
      <w:r>
        <w:t xml:space="preserve"> people spending time in prison, and reduced </w:t>
      </w:r>
      <w:r w:rsidRPr="00347E82">
        <w:t>costs associated with policing, court</w:t>
      </w:r>
      <w:r>
        <w:t xml:space="preserve"> and</w:t>
      </w:r>
      <w:r w:rsidRPr="00347E82">
        <w:t xml:space="preserve"> legal aid, </w:t>
      </w:r>
      <w:r>
        <w:t xml:space="preserve">as well as reduced </w:t>
      </w:r>
      <w:r w:rsidRPr="00347E82">
        <w:t>harm to victims and criminal damage</w:t>
      </w:r>
      <w:r>
        <w:t>. There are also likely to be strong benefits to the individuals who were supported to stay out of contact with the criminal justice system.</w:t>
      </w:r>
      <w:r w:rsidR="00022A4C">
        <w:t xml:space="preserve"> </w:t>
      </w:r>
      <w:r w:rsidR="006A3295">
        <w:t>T</w:t>
      </w:r>
      <w:r w:rsidR="00022A4C">
        <w:t xml:space="preserve">o </w:t>
      </w:r>
      <w:r w:rsidR="00B65D3D">
        <w:t>more reliably estimate the value of the benefit over 12 months, the benefit has been va</w:t>
      </w:r>
      <w:r w:rsidR="00022A4C" w:rsidRPr="00022A4C">
        <w:t>lued over 4 years, then divided by 4</w:t>
      </w:r>
      <w:r w:rsidR="00B65D3D">
        <w:t>.</w:t>
      </w:r>
    </w:p>
    <w:p w14:paraId="1CCB5FDE" w14:textId="42F6E005" w:rsidR="000F47D4" w:rsidRPr="00347E82" w:rsidRDefault="000F47D4" w:rsidP="000F47D4">
      <w:r>
        <w:t xml:space="preserve">The analysis was limited to the </w:t>
      </w:r>
      <w:r w:rsidRPr="00C239FD">
        <w:rPr>
          <w:b/>
          <w:bCs/>
        </w:rPr>
        <w:t>direct</w:t>
      </w:r>
      <w:r>
        <w:t xml:space="preserve"> cost savings associated with reduced incarceration rates. It is not possible to reliably apportion the reduced cost of policing expended on youth from the criminal justice system (</w:t>
      </w:r>
      <w:r w:rsidRPr="001D461A">
        <w:rPr>
          <w:b/>
        </w:rPr>
        <w:t>Bratanova et al 2014</w:t>
      </w:r>
      <w:r>
        <w:t xml:space="preserve">), and similarly difficult to estimate the reduced cost of court </w:t>
      </w:r>
      <w:r>
        <w:lastRenderedPageBreak/>
        <w:t xml:space="preserve">and legal aid services, or the value of reduced </w:t>
      </w:r>
      <w:r w:rsidRPr="00347E82">
        <w:t xml:space="preserve">harm to victims and </w:t>
      </w:r>
      <w:r>
        <w:t xml:space="preserve">reduced </w:t>
      </w:r>
      <w:r w:rsidRPr="00347E82">
        <w:t>criminal damage</w:t>
      </w:r>
      <w:r>
        <w:t xml:space="preserve"> associated with youth justice in any reliable manner. Th</w:t>
      </w:r>
      <w:r w:rsidRPr="00347E82">
        <w:t xml:space="preserve">ese </w:t>
      </w:r>
      <w:r>
        <w:t xml:space="preserve">benefits </w:t>
      </w:r>
      <w:r w:rsidRPr="00347E82">
        <w:t>have not been included in this analysis</w:t>
      </w:r>
      <w:r>
        <w:t xml:space="preserve"> but should be noted as additional </w:t>
      </w:r>
      <w:r w:rsidR="00FB74C0">
        <w:t>benefits</w:t>
      </w:r>
      <w:r w:rsidRPr="00347E82">
        <w:t>.</w:t>
      </w:r>
      <w:r w:rsidR="00605AC8">
        <w:t xml:space="preserve"> The value attached to reducing contact with the criminal justice system is therefore an underestimate.</w:t>
      </w:r>
    </w:p>
    <w:p w14:paraId="41299BDE" w14:textId="3B2B7C24" w:rsidR="000F47D4" w:rsidRPr="001B3509" w:rsidRDefault="000F47D4" w:rsidP="000F47D4">
      <w:r>
        <w:t>It is also likely that reduced</w:t>
      </w:r>
      <w:r w:rsidRPr="001B3509">
        <w:t xml:space="preserve"> contact with the criminal justice system</w:t>
      </w:r>
      <w:r>
        <w:t xml:space="preserve"> will have a positive i</w:t>
      </w:r>
      <w:r w:rsidRPr="001B3509">
        <w:t xml:space="preserve">mpact on </w:t>
      </w:r>
      <w:r>
        <w:t xml:space="preserve">the wellbeing and human capabilities of </w:t>
      </w:r>
      <w:r w:rsidRPr="001B3509">
        <w:t>participants</w:t>
      </w:r>
      <w:r>
        <w:t>. This is a complex relationship, as improved confidence, resilience, employability and connection are likely involved in reducing contact with the criminal justice system, and reduced contact with the criminal justice system is likely to further enhance these human capabilities and overall wellbeing. It</w:t>
      </w:r>
      <w:r w:rsidRPr="001B3509">
        <w:t xml:space="preserve"> is </w:t>
      </w:r>
      <w:r>
        <w:t xml:space="preserve">therefore </w:t>
      </w:r>
      <w:r w:rsidRPr="001B3509">
        <w:t xml:space="preserve">assumed </w:t>
      </w:r>
      <w:r>
        <w:t>that the positive impact of reduced contact with the criminal justice system will influence overall wellbeing, and any change in wellbeing will be captured in the wellbeing analysis.</w:t>
      </w:r>
    </w:p>
    <w:p w14:paraId="744D73C7" w14:textId="77777777" w:rsidR="000F47D4" w:rsidRDefault="000F47D4" w:rsidP="009251AF">
      <w:pPr>
        <w:spacing w:after="0"/>
      </w:pPr>
      <w:r>
        <w:t>To estimate the savings associated with reduced offending attributable to TtW we:</w:t>
      </w:r>
    </w:p>
    <w:p w14:paraId="5A5F9B38" w14:textId="6CF3ED41" w:rsidR="000F47D4" w:rsidRDefault="002B4967" w:rsidP="007F37E0">
      <w:pPr>
        <w:pStyle w:val="ListBullet"/>
      </w:pPr>
      <w:r>
        <w:t>d</w:t>
      </w:r>
      <w:r w:rsidR="000F47D4">
        <w:t xml:space="preserve">etermined the number of nights of incarceration that were avoided due to TtW participation </w:t>
      </w:r>
    </w:p>
    <w:p w14:paraId="20D28BFC" w14:textId="64E1C102" w:rsidR="000F47D4" w:rsidRDefault="002B4967" w:rsidP="007F37E0">
      <w:pPr>
        <w:pStyle w:val="ListBullet"/>
      </w:pPr>
      <w:r>
        <w:t>e</w:t>
      </w:r>
      <w:r w:rsidR="000F47D4">
        <w:t>stimated the cost per person per night for incarceration</w:t>
      </w:r>
    </w:p>
    <w:p w14:paraId="485117D1" w14:textId="43B6673B" w:rsidR="000F47D4" w:rsidRDefault="002B4967" w:rsidP="007F37E0">
      <w:pPr>
        <w:pStyle w:val="ListBullet"/>
      </w:pPr>
      <w:r>
        <w:t>e</w:t>
      </w:r>
      <w:r w:rsidR="000F47D4">
        <w:t xml:space="preserve">stimated the total amount saved from reduced incarceration </w:t>
      </w:r>
    </w:p>
    <w:p w14:paraId="6A0B7B86" w14:textId="47A325CA" w:rsidR="000F47D4" w:rsidRDefault="002B4967" w:rsidP="007F37E0">
      <w:pPr>
        <w:pStyle w:val="ListBullet"/>
      </w:pPr>
      <w:r>
        <w:t>c</w:t>
      </w:r>
      <w:r w:rsidR="000F47D4">
        <w:t>alculated the savings per TtW participant.</w:t>
      </w:r>
    </w:p>
    <w:p w14:paraId="558EB246" w14:textId="4F6215E5" w:rsidR="000F47D4" w:rsidRDefault="7A395434" w:rsidP="00200F67">
      <w:pPr>
        <w:pStyle w:val="Heading3"/>
        <w:ind w:left="0"/>
      </w:pPr>
      <w:bookmarkStart w:id="3750" w:name="_Toc103596406"/>
      <w:bookmarkStart w:id="3751" w:name="_Toc106711900"/>
      <w:bookmarkStart w:id="3752" w:name="_Toc132650518"/>
      <w:bookmarkStart w:id="3753" w:name="_Toc146033548"/>
      <w:r>
        <w:t>Nights of incarceration that were avoided due to TtW participation</w:t>
      </w:r>
      <w:bookmarkEnd w:id="3750"/>
      <w:bookmarkEnd w:id="3751"/>
      <w:bookmarkEnd w:id="3752"/>
      <w:bookmarkEnd w:id="3753"/>
    </w:p>
    <w:p w14:paraId="5E5A052A" w14:textId="2A97DEC5" w:rsidR="000F47D4" w:rsidRDefault="000F47D4" w:rsidP="000F47D4">
      <w:r>
        <w:t>In order to calculate the number of nights of incarceration that were avoided through participation in TtW, the matched sample</w:t>
      </w:r>
      <w:r w:rsidR="00703324">
        <w:t>s o</w:t>
      </w:r>
      <w:r w:rsidR="001E63F2">
        <w:t>f</w:t>
      </w:r>
      <w:r w:rsidR="00703324">
        <w:t xml:space="preserve"> participants f</w:t>
      </w:r>
      <w:r w:rsidR="002B4967">
        <w:t>ro</w:t>
      </w:r>
      <w:r w:rsidR="00703324">
        <w:t xml:space="preserve">m </w:t>
      </w:r>
      <w:r>
        <w:t xml:space="preserve">TtW and </w:t>
      </w:r>
      <w:r w:rsidR="00703324">
        <w:t>the comparison group</w:t>
      </w:r>
      <w:r>
        <w:t xml:space="preserve"> who were referred between 1 April 2016 and 31 March 2017 </w:t>
      </w:r>
      <w:r w:rsidR="00910572">
        <w:t>were</w:t>
      </w:r>
      <w:r w:rsidR="00D33BB7">
        <w:t xml:space="preserve"> </w:t>
      </w:r>
      <w:r w:rsidR="00D05E65" w:rsidRPr="00D81F43">
        <w:t>utilised</w:t>
      </w:r>
      <w:r w:rsidRPr="00D81F43">
        <w:t xml:space="preserve"> (see </w:t>
      </w:r>
      <w:r w:rsidRPr="004A440A">
        <w:rPr>
          <w:b/>
          <w:bCs/>
        </w:rPr>
        <w:t xml:space="preserve">Section </w:t>
      </w:r>
      <w:r w:rsidR="00114C2A" w:rsidRPr="00D81F43">
        <w:rPr>
          <w:b/>
          <w:bCs/>
        </w:rPr>
        <w:t>2.</w:t>
      </w:r>
      <w:r w:rsidR="000052A9">
        <w:rPr>
          <w:b/>
          <w:bCs/>
        </w:rPr>
        <w:t>4.3</w:t>
      </w:r>
      <w:r w:rsidR="00114C2A" w:rsidRPr="00D81F43">
        <w:t xml:space="preserve"> </w:t>
      </w:r>
      <w:r w:rsidRPr="00D81F43">
        <w:t>for</w:t>
      </w:r>
      <w:r>
        <w:t xml:space="preserve"> details about this population), followed from commencement for 48 months. The department</w:t>
      </w:r>
      <w:r w:rsidR="00F8391B">
        <w:t>’</w:t>
      </w:r>
      <w:r>
        <w:t>s administrative data was used to establish the number of episodes of incarceration and the average length of time (days) spent in prison.</w:t>
      </w:r>
      <w:r w:rsidR="00200F67">
        <w:t xml:space="preserve"> This assumes that the impact o</w:t>
      </w:r>
      <w:r w:rsidR="00D31FF0">
        <w:t>f</w:t>
      </w:r>
      <w:r w:rsidR="00200F67">
        <w:t xml:space="preserve"> incarceration rates is a result of the program and not of unmeasured differences between the TtW and comparison group</w:t>
      </w:r>
      <w:r w:rsidR="006621C9">
        <w:t>s</w:t>
      </w:r>
      <w:r w:rsidR="00200F67">
        <w:t>.</w:t>
      </w:r>
    </w:p>
    <w:p w14:paraId="3E84FF04" w14:textId="0E4651BD" w:rsidR="000F47D4" w:rsidRPr="00992D8A" w:rsidRDefault="000F47D4" w:rsidP="00023E59">
      <w:pPr>
        <w:pStyle w:val="Heading4"/>
        <w:numPr>
          <w:ilvl w:val="0"/>
          <w:numId w:val="0"/>
        </w:numPr>
        <w:ind w:left="864" w:hanging="864"/>
      </w:pPr>
      <w:r w:rsidRPr="00992D8A">
        <w:t>The number of episodes of incarceration</w:t>
      </w:r>
    </w:p>
    <w:p w14:paraId="724C747D" w14:textId="17C43055" w:rsidR="000F47D4" w:rsidRDefault="000F47D4" w:rsidP="000F47D4">
      <w:bookmarkStart w:id="3754" w:name="_Hlk108531872"/>
      <w:r>
        <w:t xml:space="preserve">TtW participants </w:t>
      </w:r>
      <w:r w:rsidR="0060263C">
        <w:t>were</w:t>
      </w:r>
      <w:r>
        <w:t xml:space="preserve"> less </w:t>
      </w:r>
      <w:r w:rsidR="0060263C">
        <w:t>likely to experience</w:t>
      </w:r>
      <w:r>
        <w:t xml:space="preserve"> incarceration than participants</w:t>
      </w:r>
      <w:r w:rsidR="004C30B1">
        <w:t xml:space="preserve"> from the comparison group</w:t>
      </w:r>
      <w:r>
        <w:t xml:space="preserve"> </w:t>
      </w:r>
      <w:r w:rsidR="00A2041A">
        <w:t xml:space="preserve">(421 </w:t>
      </w:r>
      <w:r w:rsidR="00B55045">
        <w:t>versus</w:t>
      </w:r>
      <w:r w:rsidR="00A2041A">
        <w:t xml:space="preserve"> 516</w:t>
      </w:r>
      <w:r w:rsidR="00A2041A" w:rsidRPr="00D81F43">
        <w:t xml:space="preserve">) </w:t>
      </w:r>
      <w:r w:rsidRPr="00D81F43">
        <w:t>(</w:t>
      </w:r>
      <w:r w:rsidR="004416CF" w:rsidRPr="004416CF">
        <w:rPr>
          <w:b/>
          <w:bCs/>
        </w:rPr>
        <w:fldChar w:fldCharType="begin"/>
      </w:r>
      <w:r w:rsidR="004416CF" w:rsidRPr="004416CF">
        <w:rPr>
          <w:b/>
          <w:bCs/>
        </w:rPr>
        <w:instrText xml:space="preserve"> REF _Ref136530763 \h </w:instrText>
      </w:r>
      <w:r w:rsidR="004416CF">
        <w:rPr>
          <w:b/>
          <w:bCs/>
        </w:rPr>
        <w:instrText xml:space="preserve"> \* MERGEFORMAT </w:instrText>
      </w:r>
      <w:r w:rsidR="004416CF" w:rsidRPr="004416CF">
        <w:rPr>
          <w:b/>
          <w:bCs/>
        </w:rPr>
      </w:r>
      <w:r w:rsidR="004416CF" w:rsidRPr="004416CF">
        <w:rPr>
          <w:b/>
          <w:bCs/>
        </w:rPr>
        <w:fldChar w:fldCharType="separate"/>
      </w:r>
      <w:r w:rsidR="00180E14" w:rsidRPr="00180E14">
        <w:rPr>
          <w:b/>
          <w:bCs/>
        </w:rPr>
        <w:t xml:space="preserve">Table </w:t>
      </w:r>
      <w:r w:rsidR="00180E14" w:rsidRPr="00180E14">
        <w:rPr>
          <w:b/>
          <w:bCs/>
          <w:noProof/>
        </w:rPr>
        <w:t>22</w:t>
      </w:r>
      <w:r w:rsidR="004416CF" w:rsidRPr="004416CF">
        <w:rPr>
          <w:b/>
          <w:bCs/>
        </w:rPr>
        <w:fldChar w:fldCharType="end"/>
      </w:r>
      <w:r w:rsidRPr="00D81F43">
        <w:t>).</w:t>
      </w:r>
      <w:r>
        <w:t xml:space="preserve"> </w:t>
      </w:r>
      <w:r w:rsidR="00A2041A">
        <w:t xml:space="preserve">There were also </w:t>
      </w:r>
      <w:r w:rsidR="00A4079D">
        <w:t xml:space="preserve">fewer </w:t>
      </w:r>
      <w:r w:rsidR="004E4369">
        <w:t>total episodes of incarceration in the TtW sample (760) compared to the comparison group (1</w:t>
      </w:r>
      <w:r w:rsidR="00A4079D">
        <w:t>,</w:t>
      </w:r>
      <w:r w:rsidR="004E4369">
        <w:t xml:space="preserve">025). </w:t>
      </w:r>
      <w:r w:rsidR="0003072C">
        <w:t xml:space="preserve">These results are used to estimate the number of incarcerations that </w:t>
      </w:r>
      <w:r w:rsidR="00683D1C">
        <w:t xml:space="preserve">were avoided due to TtW program activities. </w:t>
      </w:r>
      <w:r w:rsidR="000634F4">
        <w:t xml:space="preserve">It is </w:t>
      </w:r>
      <w:r w:rsidR="0003072C">
        <w:t>estimated</w:t>
      </w:r>
      <w:r w:rsidR="000634F4">
        <w:t xml:space="preserve"> that </w:t>
      </w:r>
      <w:r w:rsidR="0003072C">
        <w:t xml:space="preserve">in the absence of TtW program interventions, </w:t>
      </w:r>
      <w:r w:rsidR="00511A0E">
        <w:t xml:space="preserve">from the sample of </w:t>
      </w:r>
      <w:r w:rsidR="00552632">
        <w:t>8</w:t>
      </w:r>
      <w:r w:rsidR="00B55045">
        <w:t>,</w:t>
      </w:r>
      <w:r w:rsidR="00552632">
        <w:t xml:space="preserve">361 participants, </w:t>
      </w:r>
      <w:r w:rsidR="0003072C">
        <w:t>a total of 1</w:t>
      </w:r>
      <w:r w:rsidR="00B55045">
        <w:t>,</w:t>
      </w:r>
      <w:r w:rsidR="0003072C">
        <w:t xml:space="preserve">025 incarcerations would have occurred, </w:t>
      </w:r>
      <w:r w:rsidR="004072B7">
        <w:t xml:space="preserve">compared to the 760 incarcerations that </w:t>
      </w:r>
      <w:r w:rsidR="00552632">
        <w:t xml:space="preserve">did </w:t>
      </w:r>
      <w:r w:rsidR="0039133E">
        <w:t>occur</w:t>
      </w:r>
      <w:r w:rsidR="00913458">
        <w:t xml:space="preserve">. It is </w:t>
      </w:r>
      <w:r w:rsidR="0039133E">
        <w:t>therefore</w:t>
      </w:r>
      <w:r w:rsidR="00552632">
        <w:t xml:space="preserve"> </w:t>
      </w:r>
      <w:r w:rsidR="00913458">
        <w:t>assumed that</w:t>
      </w:r>
      <w:r w:rsidR="0039133E">
        <w:t>,</w:t>
      </w:r>
      <w:r w:rsidR="00913458">
        <w:t xml:space="preserve"> </w:t>
      </w:r>
      <w:r w:rsidR="0039133E">
        <w:t>for the 8</w:t>
      </w:r>
      <w:r w:rsidR="00B55045">
        <w:t>,</w:t>
      </w:r>
      <w:r w:rsidR="0039133E">
        <w:t xml:space="preserve">361 participants, </w:t>
      </w:r>
      <w:r w:rsidR="00552632">
        <w:t xml:space="preserve">265 incarcerations were avoided </w:t>
      </w:r>
      <w:r w:rsidR="0039133E">
        <w:t xml:space="preserve">due to </w:t>
      </w:r>
      <w:r w:rsidR="00913458">
        <w:t xml:space="preserve">the </w:t>
      </w:r>
      <w:r w:rsidR="004072B7">
        <w:t>TtW program</w:t>
      </w:r>
      <w:r w:rsidR="002B4967">
        <w:t xml:space="preserve"> over a 4</w:t>
      </w:r>
      <w:r w:rsidR="00A4079D">
        <w:t>-</w:t>
      </w:r>
      <w:r w:rsidR="002B4967">
        <w:t>year period</w:t>
      </w:r>
      <w:r>
        <w:t>.</w:t>
      </w:r>
    </w:p>
    <w:p w14:paraId="7A1DDA37" w14:textId="225FEDA0" w:rsidR="000F47D4" w:rsidRDefault="000F47D4" w:rsidP="000F47D4">
      <w:pPr>
        <w:pStyle w:val="Caption"/>
        <w:keepNext/>
      </w:pPr>
      <w:bookmarkStart w:id="3755" w:name="_Ref136530763"/>
      <w:bookmarkStart w:id="3756" w:name="_Toc132647797"/>
      <w:bookmarkStart w:id="3757" w:name="_Toc145877311"/>
      <w:bookmarkEnd w:id="3754"/>
      <w:r>
        <w:lastRenderedPageBreak/>
        <w:t xml:space="preserve">Table </w:t>
      </w:r>
      <w:r>
        <w:fldChar w:fldCharType="begin"/>
      </w:r>
      <w:r>
        <w:instrText>SEQ Table \* ARABIC</w:instrText>
      </w:r>
      <w:r>
        <w:fldChar w:fldCharType="separate"/>
      </w:r>
      <w:r w:rsidR="00180E14">
        <w:rPr>
          <w:noProof/>
        </w:rPr>
        <w:t>22</w:t>
      </w:r>
      <w:r>
        <w:fldChar w:fldCharType="end"/>
      </w:r>
      <w:bookmarkEnd w:id="3755"/>
      <w:r>
        <w:t>: Incarceration (number of individuals and episodes)</w:t>
      </w:r>
      <w:r w:rsidR="0079745D">
        <w:t>, by program</w:t>
      </w:r>
      <w:bookmarkEnd w:id="3756"/>
      <w:bookmarkEnd w:id="3757"/>
    </w:p>
    <w:tbl>
      <w:tblPr>
        <w:tblStyle w:val="TtWReportTableTemplate2"/>
        <w:tblW w:w="8555" w:type="dxa"/>
        <w:tblLook w:val="04A0" w:firstRow="1" w:lastRow="0" w:firstColumn="1" w:lastColumn="0" w:noHBand="0" w:noVBand="1"/>
      </w:tblPr>
      <w:tblGrid>
        <w:gridCol w:w="1280"/>
        <w:gridCol w:w="2288"/>
        <w:gridCol w:w="2393"/>
        <w:gridCol w:w="2594"/>
      </w:tblGrid>
      <w:tr w:rsidR="009251AF" w:rsidRPr="00BD612E" w14:paraId="66263066" w14:textId="77777777" w:rsidTr="0004663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80" w:type="dxa"/>
            <w:shd w:val="clear" w:color="auto" w:fill="5D7A38"/>
            <w:noWrap/>
            <w:vAlign w:val="center"/>
            <w:hideMark/>
          </w:tcPr>
          <w:p w14:paraId="66496517" w14:textId="77777777" w:rsidR="00D97BCA" w:rsidRPr="00BD612E" w:rsidRDefault="00D97BCA" w:rsidP="0088479A">
            <w:pPr>
              <w:keepNext/>
              <w:spacing w:after="0"/>
              <w:rPr>
                <w:sz w:val="22"/>
              </w:rPr>
            </w:pPr>
            <w:r>
              <w:t>Program</w:t>
            </w:r>
          </w:p>
        </w:tc>
        <w:tc>
          <w:tcPr>
            <w:tcW w:w="2288" w:type="dxa"/>
            <w:shd w:val="clear" w:color="auto" w:fill="5D7A38"/>
            <w:vAlign w:val="center"/>
          </w:tcPr>
          <w:p w14:paraId="79CAF1C0" w14:textId="77777777" w:rsidR="00D97BCA" w:rsidRDefault="00D97BCA" w:rsidP="009251AF">
            <w:pPr>
              <w:keepNext/>
              <w:spacing w:after="0"/>
              <w:jc w:val="right"/>
              <w:cnfStyle w:val="100000000000" w:firstRow="1" w:lastRow="0" w:firstColumn="0" w:lastColumn="0" w:oddVBand="0" w:evenVBand="0" w:oddHBand="0" w:evenHBand="0" w:firstRowFirstColumn="0" w:firstRowLastColumn="0" w:lastRowFirstColumn="0" w:lastRowLastColumn="0"/>
              <w:rPr>
                <w:b w:val="0"/>
              </w:rPr>
            </w:pPr>
            <w:r>
              <w:t>Number of participants</w:t>
            </w:r>
          </w:p>
          <w:p w14:paraId="21430C04" w14:textId="79A94E4E" w:rsidR="00D97BCA" w:rsidRPr="00BD612E" w:rsidRDefault="00D97BCA" w:rsidP="009251AF">
            <w:pPr>
              <w:keepNext/>
              <w:spacing w:after="0"/>
              <w:jc w:val="right"/>
              <w:cnfStyle w:val="100000000000" w:firstRow="1" w:lastRow="0" w:firstColumn="0" w:lastColumn="0" w:oddVBand="0" w:evenVBand="0" w:oddHBand="0" w:evenHBand="0" w:firstRowFirstColumn="0" w:firstRowLastColumn="0" w:lastRowFirstColumn="0" w:lastRowLastColumn="0"/>
              <w:rPr>
                <w:b w:val="0"/>
              </w:rPr>
            </w:pPr>
            <w:r>
              <w:t>#</w:t>
            </w:r>
          </w:p>
        </w:tc>
        <w:tc>
          <w:tcPr>
            <w:tcW w:w="2393" w:type="dxa"/>
            <w:shd w:val="clear" w:color="auto" w:fill="5D7A38"/>
            <w:vAlign w:val="center"/>
          </w:tcPr>
          <w:p w14:paraId="1D504E29" w14:textId="77777777" w:rsidR="00D97BCA" w:rsidRDefault="00D97BCA" w:rsidP="009251AF">
            <w:pPr>
              <w:keepNext/>
              <w:spacing w:after="0"/>
              <w:jc w:val="right"/>
              <w:cnfStyle w:val="100000000000" w:firstRow="1" w:lastRow="0" w:firstColumn="0" w:lastColumn="0" w:oddVBand="0" w:evenVBand="0" w:oddHBand="0" w:evenHBand="0" w:firstRowFirstColumn="0" w:firstRowLastColumn="0" w:lastRowFirstColumn="0" w:lastRowLastColumn="0"/>
              <w:rPr>
                <w:b w:val="0"/>
              </w:rPr>
            </w:pPr>
            <w:r>
              <w:t>Number of participants</w:t>
            </w:r>
          </w:p>
          <w:p w14:paraId="28B81FF7" w14:textId="2CD342FA" w:rsidR="00D97BCA" w:rsidRPr="00BD612E" w:rsidRDefault="00D97BCA" w:rsidP="009251AF">
            <w:pPr>
              <w:keepNext/>
              <w:spacing w:after="0"/>
              <w:jc w:val="right"/>
              <w:cnfStyle w:val="100000000000" w:firstRow="1" w:lastRow="0" w:firstColumn="0" w:lastColumn="0" w:oddVBand="0" w:evenVBand="0" w:oddHBand="0" w:evenHBand="0" w:firstRowFirstColumn="0" w:firstRowLastColumn="0" w:lastRowFirstColumn="0" w:lastRowLastColumn="0"/>
            </w:pPr>
            <w:r>
              <w:t>%</w:t>
            </w:r>
          </w:p>
        </w:tc>
        <w:tc>
          <w:tcPr>
            <w:tcW w:w="2594" w:type="dxa"/>
            <w:shd w:val="clear" w:color="auto" w:fill="5D7A38"/>
            <w:noWrap/>
            <w:vAlign w:val="center"/>
            <w:hideMark/>
          </w:tcPr>
          <w:p w14:paraId="328CBDBB" w14:textId="77777777" w:rsidR="00D97BCA" w:rsidRDefault="00D97BCA" w:rsidP="009251AF">
            <w:pPr>
              <w:keepNext/>
              <w:spacing w:after="0"/>
              <w:jc w:val="right"/>
              <w:cnfStyle w:val="100000000000" w:firstRow="1" w:lastRow="0" w:firstColumn="0" w:lastColumn="0" w:oddVBand="0" w:evenVBand="0" w:oddHBand="0" w:evenHBand="0" w:firstRowFirstColumn="0" w:firstRowLastColumn="0" w:lastRowFirstColumn="0" w:lastRowLastColumn="0"/>
              <w:rPr>
                <w:b w:val="0"/>
              </w:rPr>
            </w:pPr>
            <w:r w:rsidRPr="00BD612E">
              <w:t>Episodes</w:t>
            </w:r>
            <w:r>
              <w:t xml:space="preserve"> of incarceration</w:t>
            </w:r>
          </w:p>
          <w:p w14:paraId="3ED7F661" w14:textId="5C578639" w:rsidR="00D97BCA" w:rsidRPr="00BD612E" w:rsidRDefault="00D97BCA" w:rsidP="009251AF">
            <w:pPr>
              <w:keepNext/>
              <w:spacing w:after="0"/>
              <w:jc w:val="right"/>
              <w:cnfStyle w:val="100000000000" w:firstRow="1" w:lastRow="0" w:firstColumn="0" w:lastColumn="0" w:oddVBand="0" w:evenVBand="0" w:oddHBand="0" w:evenHBand="0" w:firstRowFirstColumn="0" w:firstRowLastColumn="0" w:lastRowFirstColumn="0" w:lastRowLastColumn="0"/>
              <w:rPr>
                <w:b w:val="0"/>
              </w:rPr>
            </w:pPr>
            <w:r>
              <w:t>#</w:t>
            </w:r>
          </w:p>
        </w:tc>
      </w:tr>
      <w:tr w:rsidR="00D97BCA" w14:paraId="52AD2791" w14:textId="77777777" w:rsidTr="009251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355342AE" w14:textId="459CD4D2" w:rsidR="00D97BCA" w:rsidRDefault="00410D67" w:rsidP="0088479A">
            <w:pPr>
              <w:keepNext/>
              <w:spacing w:after="0"/>
            </w:pPr>
            <w:r>
              <w:t>Comparison group</w:t>
            </w:r>
          </w:p>
        </w:tc>
        <w:tc>
          <w:tcPr>
            <w:tcW w:w="0" w:type="dxa"/>
            <w:vAlign w:val="center"/>
          </w:tcPr>
          <w:p w14:paraId="5631ED31" w14:textId="77777777" w:rsidR="00D97BCA" w:rsidRDefault="00D97BCA" w:rsidP="009251AF">
            <w:pPr>
              <w:keepNext/>
              <w:spacing w:after="0"/>
              <w:jc w:val="right"/>
              <w:cnfStyle w:val="000000100000" w:firstRow="0" w:lastRow="0" w:firstColumn="0" w:lastColumn="0" w:oddVBand="0" w:evenVBand="0" w:oddHBand="1" w:evenHBand="0" w:firstRowFirstColumn="0" w:firstRowLastColumn="0" w:lastRowFirstColumn="0" w:lastRowLastColumn="0"/>
            </w:pPr>
            <w:r>
              <w:t>516</w:t>
            </w:r>
          </w:p>
        </w:tc>
        <w:tc>
          <w:tcPr>
            <w:tcW w:w="0" w:type="dxa"/>
            <w:vAlign w:val="center"/>
          </w:tcPr>
          <w:p w14:paraId="546564CA" w14:textId="5F1F0D20" w:rsidR="00D97BCA" w:rsidRDefault="002B4967" w:rsidP="009251AF">
            <w:pPr>
              <w:keepNext/>
              <w:spacing w:after="0"/>
              <w:jc w:val="right"/>
              <w:cnfStyle w:val="000000100000" w:firstRow="0" w:lastRow="0" w:firstColumn="0" w:lastColumn="0" w:oddVBand="0" w:evenVBand="0" w:oddHBand="1" w:evenHBand="0" w:firstRowFirstColumn="0" w:firstRowLastColumn="0" w:lastRowFirstColumn="0" w:lastRowLastColumn="0"/>
            </w:pPr>
            <w:r>
              <w:t>6.2</w:t>
            </w:r>
          </w:p>
        </w:tc>
        <w:tc>
          <w:tcPr>
            <w:tcW w:w="0" w:type="dxa"/>
            <w:noWrap/>
            <w:vAlign w:val="center"/>
            <w:hideMark/>
          </w:tcPr>
          <w:p w14:paraId="50D87A1D" w14:textId="54999FC7" w:rsidR="00D97BCA" w:rsidRDefault="00D97BCA" w:rsidP="009251AF">
            <w:pPr>
              <w:keepNext/>
              <w:spacing w:after="0"/>
              <w:jc w:val="right"/>
              <w:cnfStyle w:val="000000100000" w:firstRow="0" w:lastRow="0" w:firstColumn="0" w:lastColumn="0" w:oddVBand="0" w:evenVBand="0" w:oddHBand="1" w:evenHBand="0" w:firstRowFirstColumn="0" w:firstRowLastColumn="0" w:lastRowFirstColumn="0" w:lastRowLastColumn="0"/>
            </w:pPr>
            <w:r>
              <w:t>1</w:t>
            </w:r>
            <w:r w:rsidR="00B64632">
              <w:t>,</w:t>
            </w:r>
            <w:r>
              <w:t>025</w:t>
            </w:r>
          </w:p>
        </w:tc>
      </w:tr>
      <w:tr w:rsidR="00D97BCA" w14:paraId="7B269C65" w14:textId="77777777" w:rsidTr="009251A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57D3D65E" w14:textId="77777777" w:rsidR="00D97BCA" w:rsidRDefault="00D97BCA" w:rsidP="0088479A">
            <w:pPr>
              <w:keepNext/>
              <w:spacing w:after="0"/>
            </w:pPr>
            <w:r>
              <w:t>TtW</w:t>
            </w:r>
          </w:p>
        </w:tc>
        <w:tc>
          <w:tcPr>
            <w:tcW w:w="0" w:type="dxa"/>
            <w:vAlign w:val="center"/>
          </w:tcPr>
          <w:p w14:paraId="74D3B52D" w14:textId="77777777" w:rsidR="00D97BCA" w:rsidRDefault="00D97BCA" w:rsidP="009251AF">
            <w:pPr>
              <w:keepNext/>
              <w:spacing w:after="0"/>
              <w:jc w:val="right"/>
              <w:cnfStyle w:val="000000010000" w:firstRow="0" w:lastRow="0" w:firstColumn="0" w:lastColumn="0" w:oddVBand="0" w:evenVBand="0" w:oddHBand="0" w:evenHBand="1" w:firstRowFirstColumn="0" w:firstRowLastColumn="0" w:lastRowFirstColumn="0" w:lastRowLastColumn="0"/>
            </w:pPr>
            <w:r>
              <w:t>421</w:t>
            </w:r>
          </w:p>
        </w:tc>
        <w:tc>
          <w:tcPr>
            <w:tcW w:w="0" w:type="dxa"/>
            <w:vAlign w:val="center"/>
          </w:tcPr>
          <w:p w14:paraId="78DA882A" w14:textId="454761FC" w:rsidR="00D97BCA" w:rsidRDefault="002B4967" w:rsidP="009251AF">
            <w:pPr>
              <w:keepNext/>
              <w:spacing w:after="0"/>
              <w:jc w:val="right"/>
              <w:cnfStyle w:val="000000010000" w:firstRow="0" w:lastRow="0" w:firstColumn="0" w:lastColumn="0" w:oddVBand="0" w:evenVBand="0" w:oddHBand="0" w:evenHBand="1" w:firstRowFirstColumn="0" w:firstRowLastColumn="0" w:lastRowFirstColumn="0" w:lastRowLastColumn="0"/>
            </w:pPr>
            <w:r>
              <w:t>5</w:t>
            </w:r>
          </w:p>
        </w:tc>
        <w:tc>
          <w:tcPr>
            <w:tcW w:w="0" w:type="dxa"/>
            <w:noWrap/>
            <w:vAlign w:val="center"/>
            <w:hideMark/>
          </w:tcPr>
          <w:p w14:paraId="72A6A72B" w14:textId="77777777" w:rsidR="00D97BCA" w:rsidRDefault="00D97BCA" w:rsidP="009251AF">
            <w:pPr>
              <w:keepNext/>
              <w:spacing w:after="0"/>
              <w:jc w:val="right"/>
              <w:cnfStyle w:val="000000010000" w:firstRow="0" w:lastRow="0" w:firstColumn="0" w:lastColumn="0" w:oddVBand="0" w:evenVBand="0" w:oddHBand="0" w:evenHBand="1" w:firstRowFirstColumn="0" w:firstRowLastColumn="0" w:lastRowFirstColumn="0" w:lastRowLastColumn="0"/>
            </w:pPr>
            <w:r>
              <w:t>760</w:t>
            </w:r>
          </w:p>
        </w:tc>
      </w:tr>
      <w:tr w:rsidR="00D97BCA" w14:paraId="57FE6217" w14:textId="77777777" w:rsidTr="009251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34AD57E" w14:textId="77777777" w:rsidR="00D97BCA" w:rsidRDefault="00D97BCA" w:rsidP="0088479A">
            <w:pPr>
              <w:keepNext/>
              <w:spacing w:after="0"/>
            </w:pPr>
            <w:r>
              <w:t>Difference</w:t>
            </w:r>
          </w:p>
        </w:tc>
        <w:tc>
          <w:tcPr>
            <w:tcW w:w="0" w:type="dxa"/>
            <w:vAlign w:val="center"/>
          </w:tcPr>
          <w:p w14:paraId="38ECED8F" w14:textId="77777777" w:rsidR="00D97BCA" w:rsidRDefault="00D97BCA" w:rsidP="009251AF">
            <w:pPr>
              <w:keepNext/>
              <w:spacing w:after="0"/>
              <w:jc w:val="right"/>
              <w:cnfStyle w:val="000000100000" w:firstRow="0" w:lastRow="0" w:firstColumn="0" w:lastColumn="0" w:oddVBand="0" w:evenVBand="0" w:oddHBand="1" w:evenHBand="0" w:firstRowFirstColumn="0" w:firstRowLastColumn="0" w:lastRowFirstColumn="0" w:lastRowLastColumn="0"/>
            </w:pPr>
            <w:r>
              <w:t>95</w:t>
            </w:r>
          </w:p>
        </w:tc>
        <w:tc>
          <w:tcPr>
            <w:tcW w:w="0" w:type="dxa"/>
            <w:vAlign w:val="center"/>
          </w:tcPr>
          <w:p w14:paraId="746255EC" w14:textId="77777777" w:rsidR="00D97BCA" w:rsidRDefault="00D97BCA" w:rsidP="009251AF">
            <w:pPr>
              <w:keepNext/>
              <w:spacing w:after="0"/>
              <w:jc w:val="right"/>
              <w:cnfStyle w:val="000000100000" w:firstRow="0" w:lastRow="0" w:firstColumn="0" w:lastColumn="0" w:oddVBand="0" w:evenVBand="0" w:oddHBand="1" w:evenHBand="0" w:firstRowFirstColumn="0" w:firstRowLastColumn="0" w:lastRowFirstColumn="0" w:lastRowLastColumn="0"/>
            </w:pPr>
            <w:r>
              <w:t>1.2</w:t>
            </w:r>
          </w:p>
        </w:tc>
        <w:tc>
          <w:tcPr>
            <w:tcW w:w="0" w:type="dxa"/>
            <w:noWrap/>
            <w:vAlign w:val="center"/>
          </w:tcPr>
          <w:p w14:paraId="7B8729CE" w14:textId="77777777" w:rsidR="00D97BCA" w:rsidRDefault="00D97BCA" w:rsidP="009251AF">
            <w:pPr>
              <w:keepNext/>
              <w:spacing w:after="0"/>
              <w:jc w:val="right"/>
              <w:cnfStyle w:val="000000100000" w:firstRow="0" w:lastRow="0" w:firstColumn="0" w:lastColumn="0" w:oddVBand="0" w:evenVBand="0" w:oddHBand="1" w:evenHBand="0" w:firstRowFirstColumn="0" w:firstRowLastColumn="0" w:lastRowFirstColumn="0" w:lastRowLastColumn="0"/>
            </w:pPr>
            <w:r>
              <w:t>265</w:t>
            </w:r>
          </w:p>
        </w:tc>
      </w:tr>
    </w:tbl>
    <w:p w14:paraId="376A353F" w14:textId="767D1956" w:rsidR="00700D57" w:rsidRPr="00437DC9" w:rsidRDefault="00700D57" w:rsidP="00700D57">
      <w:pPr>
        <w:pStyle w:val="SourceandNotes"/>
      </w:pPr>
      <w:r w:rsidRPr="005E0ED0">
        <w:t xml:space="preserve">Source: The </w:t>
      </w:r>
      <w:r w:rsidRPr="00437DC9">
        <w:t>department</w:t>
      </w:r>
      <w:r w:rsidR="00F8391B">
        <w:t>’</w:t>
      </w:r>
      <w:r w:rsidRPr="00437DC9">
        <w:t>s administrative data</w:t>
      </w:r>
    </w:p>
    <w:p w14:paraId="5505E6DE" w14:textId="559A4286" w:rsidR="000F47D4" w:rsidRDefault="000F47D4" w:rsidP="000F47D4">
      <w:pPr>
        <w:pStyle w:val="SourceandNotes"/>
      </w:pPr>
      <w:r>
        <w:t>Base: Matched sample: TtW (n=</w:t>
      </w:r>
      <w:r w:rsidR="0054194B">
        <w:t>8,361</w:t>
      </w:r>
      <w:r>
        <w:t>) and jobactive (n=8</w:t>
      </w:r>
      <w:r w:rsidR="00B64632">
        <w:t>,</w:t>
      </w:r>
      <w:r>
        <w:t>361)</w:t>
      </w:r>
    </w:p>
    <w:p w14:paraId="5E76BCAC" w14:textId="300C6A72" w:rsidR="000F47D4" w:rsidRDefault="000F47D4" w:rsidP="000F47D4">
      <w:pPr>
        <w:pStyle w:val="SourceandNotes"/>
      </w:pPr>
      <w:r>
        <w:t>Note: Incarceration within 48 months from participant</w:t>
      </w:r>
      <w:r w:rsidR="00F8391B">
        <w:t>’</w:t>
      </w:r>
      <w:r>
        <w:t>s commencement date</w:t>
      </w:r>
    </w:p>
    <w:p w14:paraId="34AAEDD7" w14:textId="77777777" w:rsidR="000F47D4" w:rsidRPr="00992D8A" w:rsidRDefault="000F47D4" w:rsidP="00023E59">
      <w:pPr>
        <w:pStyle w:val="Heading4"/>
        <w:numPr>
          <w:ilvl w:val="0"/>
          <w:numId w:val="0"/>
        </w:numPr>
        <w:ind w:left="864" w:hanging="864"/>
      </w:pPr>
      <w:r w:rsidRPr="00992D8A">
        <w:t xml:space="preserve">Average </w:t>
      </w:r>
      <w:r w:rsidRPr="007334AD">
        <w:t>length</w:t>
      </w:r>
      <w:r w:rsidRPr="00992D8A">
        <w:t xml:space="preserve"> of time (days) spent in prison</w:t>
      </w:r>
    </w:p>
    <w:p w14:paraId="1C732374" w14:textId="675C7260" w:rsidR="000F47D4" w:rsidRDefault="000F47D4" w:rsidP="000F47D4">
      <w:r>
        <w:t>The department</w:t>
      </w:r>
      <w:r w:rsidR="00F8391B">
        <w:t>’</w:t>
      </w:r>
      <w:r>
        <w:t xml:space="preserve">s administrative income support data was again used to estimate the average duration of each prison stay. The average number of prison days for both TtW and </w:t>
      </w:r>
      <w:r w:rsidR="00026B9B">
        <w:t xml:space="preserve">comparison group </w:t>
      </w:r>
      <w:r>
        <w:t>participants was almost identical: TtW 142.2 days</w:t>
      </w:r>
      <w:r w:rsidR="00026B9B">
        <w:t xml:space="preserve"> </w:t>
      </w:r>
      <w:r w:rsidR="00B55045">
        <w:t>versus</w:t>
      </w:r>
      <w:r w:rsidR="00026B9B">
        <w:t xml:space="preserve"> comparison group </w:t>
      </w:r>
      <w:r>
        <w:t>142.0 days.</w:t>
      </w:r>
    </w:p>
    <w:p w14:paraId="0823E486" w14:textId="77777777" w:rsidR="000F47D4" w:rsidRDefault="000F47D4" w:rsidP="000F47D4">
      <w:r>
        <w:t>An average duration of 142 incarceration days was used in our calculations of cost savings from reduced incarceration.</w:t>
      </w:r>
    </w:p>
    <w:p w14:paraId="640291D0" w14:textId="2D3C6C1D" w:rsidR="000F47D4" w:rsidRDefault="252CF76C" w:rsidP="003F5770">
      <w:pPr>
        <w:pStyle w:val="Heading3"/>
        <w:ind w:left="0"/>
      </w:pPr>
      <w:bookmarkStart w:id="3758" w:name="_Toc103596407"/>
      <w:bookmarkStart w:id="3759" w:name="_Toc106711901"/>
      <w:bookmarkStart w:id="3760" w:name="_Toc132650519"/>
      <w:bookmarkStart w:id="3761" w:name="_Toc146033549"/>
      <w:r>
        <w:t>C</w:t>
      </w:r>
      <w:r w:rsidR="7A395434">
        <w:t xml:space="preserve">ost per person per night </w:t>
      </w:r>
      <w:r w:rsidR="7C9E5CF8">
        <w:t xml:space="preserve">of </w:t>
      </w:r>
      <w:r w:rsidR="7A395434">
        <w:t>incarceration</w:t>
      </w:r>
      <w:bookmarkEnd w:id="3758"/>
      <w:bookmarkEnd w:id="3759"/>
      <w:bookmarkEnd w:id="3760"/>
      <w:bookmarkEnd w:id="3761"/>
    </w:p>
    <w:p w14:paraId="730AB133" w14:textId="72A6810F" w:rsidR="000F47D4" w:rsidRPr="006414AA" w:rsidRDefault="000F47D4" w:rsidP="000F47D4">
      <w:r>
        <w:t>The Productivity Commission</w:t>
      </w:r>
      <w:r w:rsidR="00F8391B">
        <w:t>’</w:t>
      </w:r>
      <w:r>
        <w:t xml:space="preserve">s Report on Government Services </w:t>
      </w:r>
      <w:bookmarkStart w:id="3762" w:name="_Hlk105426288"/>
      <w:r w:rsidR="00D30697">
        <w:t>(</w:t>
      </w:r>
      <w:r w:rsidR="000F5A37">
        <w:rPr>
          <w:b/>
          <w:bCs/>
        </w:rPr>
        <w:t>Productivity Commission</w:t>
      </w:r>
      <w:r w:rsidR="00533E2C">
        <w:rPr>
          <w:b/>
          <w:bCs/>
        </w:rPr>
        <w:t xml:space="preserve"> 2017 </w:t>
      </w:r>
      <w:r w:rsidR="00514A97">
        <w:rPr>
          <w:b/>
          <w:bCs/>
        </w:rPr>
        <w:t>to</w:t>
      </w:r>
      <w:r w:rsidR="00533E2C">
        <w:rPr>
          <w:b/>
          <w:bCs/>
        </w:rPr>
        <w:t xml:space="preserve"> 2022</w:t>
      </w:r>
      <w:r w:rsidR="00D30697">
        <w:t>)</w:t>
      </w:r>
      <w:r w:rsidR="00533E2C">
        <w:t xml:space="preserve"> </w:t>
      </w:r>
      <w:bookmarkEnd w:id="3762"/>
      <w:r>
        <w:t>provides data on the cost of corrective services for both adults and youth</w:t>
      </w:r>
      <w:r w:rsidR="00D30697">
        <w:t xml:space="preserve">. </w:t>
      </w:r>
      <w:r>
        <w:t xml:space="preserve">Daily rates are significantly </w:t>
      </w:r>
      <w:r w:rsidR="009F1529">
        <w:t xml:space="preserve">higher </w:t>
      </w:r>
      <w:r>
        <w:t>in youth detention</w:t>
      </w:r>
      <w:r w:rsidR="00D30697">
        <w:t xml:space="preserve"> (average daily rate between 2016 </w:t>
      </w:r>
      <w:r w:rsidR="00737C98">
        <w:t>and</w:t>
      </w:r>
      <w:r w:rsidR="00D30697">
        <w:t xml:space="preserve"> 2021 </w:t>
      </w:r>
      <w:r w:rsidR="005E79A2">
        <w:t xml:space="preserve">was </w:t>
      </w:r>
      <w:r w:rsidR="00D30697">
        <w:t>$1,835/person/day)</w:t>
      </w:r>
      <w:r>
        <w:t xml:space="preserve">. Departmental administrative data demonstrated that the majority of participants incarcerated from both TtW and jobactive were over 18 </w:t>
      </w:r>
      <w:r w:rsidR="005E79A2">
        <w:t xml:space="preserve">years </w:t>
      </w:r>
      <w:r>
        <w:t>at the time of commencement. To simplify this analysis, and ensure overclaiming</w:t>
      </w:r>
      <w:r w:rsidR="007552E0">
        <w:t xml:space="preserve"> was avoided</w:t>
      </w:r>
      <w:r>
        <w:t>, the average adult</w:t>
      </w:r>
      <w:r w:rsidRPr="006414AA">
        <w:t xml:space="preserve"> net real operating expenditure</w:t>
      </w:r>
      <w:r w:rsidR="00D30697">
        <w:t xml:space="preserve"> for adult prisoners</w:t>
      </w:r>
      <w:r w:rsidRPr="006414AA">
        <w:t xml:space="preserve"> </w:t>
      </w:r>
      <w:r w:rsidR="00D30697">
        <w:t>of $254.84/person/day (average 2016</w:t>
      </w:r>
      <w:r w:rsidR="00CD0E1C">
        <w:t>–</w:t>
      </w:r>
      <w:r w:rsidR="00D30697">
        <w:t xml:space="preserve">17 </w:t>
      </w:r>
      <w:r w:rsidR="00CD0E1C">
        <w:t>to</w:t>
      </w:r>
      <w:r w:rsidR="00D30697">
        <w:t xml:space="preserve"> 2020</w:t>
      </w:r>
      <w:r w:rsidR="00CD0E1C">
        <w:t>–</w:t>
      </w:r>
      <w:r w:rsidR="00D30697">
        <w:t>21)</w:t>
      </w:r>
      <w:r>
        <w:t xml:space="preserve"> is used. </w:t>
      </w:r>
      <w:r w:rsidRPr="00524C2B">
        <w:rPr>
          <w:rFonts w:cstheme="minorHAnsi"/>
        </w:rPr>
        <w:t>Real net operating expenditure</w:t>
      </w:r>
      <w:r>
        <w:t xml:space="preserve"> does not include capital costs – i.e., the</w:t>
      </w:r>
      <w:r w:rsidR="00BF21CD">
        <w:t xml:space="preserve"> additional</w:t>
      </w:r>
      <w:r>
        <w:t xml:space="preserve"> cost associated with housing and servicing a prisoner for one day</w:t>
      </w:r>
      <w:r w:rsidR="00D30697">
        <w:t>.</w:t>
      </w:r>
    </w:p>
    <w:p w14:paraId="7C3CDB66" w14:textId="4BA726DC" w:rsidR="000F47D4" w:rsidRDefault="252CF76C" w:rsidP="003F5770">
      <w:pPr>
        <w:pStyle w:val="Heading3"/>
        <w:ind w:left="0"/>
      </w:pPr>
      <w:bookmarkStart w:id="3763" w:name="_Toc103596408"/>
      <w:bookmarkStart w:id="3764" w:name="_Toc106711902"/>
      <w:bookmarkStart w:id="3765" w:name="_Toc132650520"/>
      <w:bookmarkStart w:id="3766" w:name="_Toc146033550"/>
      <w:r>
        <w:t>T</w:t>
      </w:r>
      <w:r w:rsidR="7A395434">
        <w:t xml:space="preserve">otal </w:t>
      </w:r>
      <w:r>
        <w:t>value of savings from</w:t>
      </w:r>
      <w:r w:rsidR="7A395434">
        <w:t xml:space="preserve"> </w:t>
      </w:r>
      <w:r w:rsidR="00F8391B">
        <w:t>‘</w:t>
      </w:r>
      <w:r w:rsidR="7A395434">
        <w:t>avoided</w:t>
      </w:r>
      <w:r w:rsidR="00F8391B">
        <w:t>’</w:t>
      </w:r>
      <w:r w:rsidR="7A395434">
        <w:t xml:space="preserve"> incarceration</w:t>
      </w:r>
      <w:bookmarkEnd w:id="3763"/>
      <w:bookmarkEnd w:id="3764"/>
      <w:bookmarkEnd w:id="3765"/>
      <w:bookmarkEnd w:id="3766"/>
    </w:p>
    <w:p w14:paraId="45B9CB38" w14:textId="036BC6C9" w:rsidR="000F47D4" w:rsidRDefault="000F47D4" w:rsidP="000F47D4">
      <w:r>
        <w:t>The estimated saving from reduced incarceration attributable to TtW is $</w:t>
      </w:r>
      <w:r w:rsidRPr="008E4375">
        <w:t>1,147</w:t>
      </w:r>
      <w:r>
        <w:t xml:space="preserve"> per TtW participant, as </w:t>
      </w:r>
      <w:r w:rsidRPr="00D81F43">
        <w:t xml:space="preserve">outlined in </w:t>
      </w:r>
      <w:r w:rsidR="004416CF" w:rsidRPr="004416CF">
        <w:rPr>
          <w:b/>
          <w:bCs/>
        </w:rPr>
        <w:fldChar w:fldCharType="begin"/>
      </w:r>
      <w:r w:rsidR="004416CF" w:rsidRPr="004416CF">
        <w:rPr>
          <w:b/>
          <w:bCs/>
        </w:rPr>
        <w:instrText xml:space="preserve"> REF _Ref136530854 \h </w:instrText>
      </w:r>
      <w:r w:rsidR="004416CF">
        <w:rPr>
          <w:b/>
          <w:bCs/>
        </w:rPr>
        <w:instrText xml:space="preserve"> \* MERGEFORMAT </w:instrText>
      </w:r>
      <w:r w:rsidR="004416CF" w:rsidRPr="004416CF">
        <w:rPr>
          <w:b/>
          <w:bCs/>
        </w:rPr>
      </w:r>
      <w:r w:rsidR="004416CF" w:rsidRPr="004416CF">
        <w:rPr>
          <w:b/>
          <w:bCs/>
        </w:rPr>
        <w:fldChar w:fldCharType="separate"/>
      </w:r>
      <w:r w:rsidR="00180E14" w:rsidRPr="00180E14">
        <w:rPr>
          <w:b/>
          <w:bCs/>
        </w:rPr>
        <w:t xml:space="preserve">Table </w:t>
      </w:r>
      <w:r w:rsidR="00180E14" w:rsidRPr="00180E14">
        <w:rPr>
          <w:b/>
          <w:bCs/>
          <w:noProof/>
        </w:rPr>
        <w:t>23</w:t>
      </w:r>
      <w:r w:rsidR="004416CF" w:rsidRPr="004416CF">
        <w:rPr>
          <w:b/>
          <w:bCs/>
        </w:rPr>
        <w:fldChar w:fldCharType="end"/>
      </w:r>
      <w:r w:rsidR="004416CF">
        <w:t>.</w:t>
      </w:r>
    </w:p>
    <w:p w14:paraId="03B6043B" w14:textId="4926D426" w:rsidR="000F47D4" w:rsidRDefault="000F47D4" w:rsidP="000F47D4">
      <w:pPr>
        <w:pStyle w:val="Caption"/>
        <w:keepNext/>
      </w:pPr>
      <w:bookmarkStart w:id="3767" w:name="_Ref136530854"/>
      <w:bookmarkStart w:id="3768" w:name="_Toc132647798"/>
      <w:bookmarkStart w:id="3769" w:name="_Toc145877312"/>
      <w:r>
        <w:t xml:space="preserve">Table </w:t>
      </w:r>
      <w:r>
        <w:fldChar w:fldCharType="begin"/>
      </w:r>
      <w:r>
        <w:instrText>SEQ Table \* ARABIC</w:instrText>
      </w:r>
      <w:r>
        <w:fldChar w:fldCharType="separate"/>
      </w:r>
      <w:r w:rsidR="00180E14">
        <w:rPr>
          <w:noProof/>
        </w:rPr>
        <w:t>23</w:t>
      </w:r>
      <w:r>
        <w:fldChar w:fldCharType="end"/>
      </w:r>
      <w:bookmarkEnd w:id="3767"/>
      <w:r>
        <w:t xml:space="preserve">: </w:t>
      </w:r>
      <w:r w:rsidRPr="001E468E">
        <w:t>Estimated cost saving</w:t>
      </w:r>
      <w:r>
        <w:t>s</w:t>
      </w:r>
      <w:r w:rsidRPr="001E468E">
        <w:t xml:space="preserve"> due to reduced incarceration attributed to TtW, per person</w:t>
      </w:r>
      <w:bookmarkEnd w:id="3768"/>
      <w:bookmarkEnd w:id="3769"/>
    </w:p>
    <w:tbl>
      <w:tblPr>
        <w:tblStyle w:val="GridTable4"/>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4"/>
        <w:gridCol w:w="3497"/>
      </w:tblGrid>
      <w:tr w:rsidR="003B3C7E" w:rsidRPr="0096560E" w14:paraId="7905AA54" w14:textId="77777777" w:rsidTr="00C239FD">
        <w:trPr>
          <w:cnfStyle w:val="100000000000" w:firstRow="1" w:lastRow="0" w:firstColumn="0" w:lastColumn="0" w:oddVBand="0" w:evenVBand="0" w:oddHBand="0" w:evenHBand="0" w:firstRowFirstColumn="0" w:firstRowLastColumn="0" w:lastRowFirstColumn="0" w:lastRowLastColumn="0"/>
          <w:trHeight w:val="433"/>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5D7A38"/>
          </w:tcPr>
          <w:p w14:paraId="47410CBB" w14:textId="4CD214E4" w:rsidR="003B3C7E" w:rsidRPr="00C239FD" w:rsidRDefault="003B3C7E" w:rsidP="009251AF">
            <w:pPr>
              <w:keepNext/>
              <w:spacing w:after="0"/>
              <w:rPr>
                <w:sz w:val="20"/>
                <w:szCs w:val="20"/>
              </w:rPr>
            </w:pPr>
            <w:r w:rsidRPr="00C239FD">
              <w:rPr>
                <w:sz w:val="20"/>
                <w:szCs w:val="20"/>
              </w:rPr>
              <w:t>Attribute</w:t>
            </w:r>
          </w:p>
        </w:tc>
        <w:tc>
          <w:tcPr>
            <w:tcW w:w="0" w:type="dxa"/>
            <w:shd w:val="clear" w:color="auto" w:fill="5D7A38"/>
          </w:tcPr>
          <w:p w14:paraId="25924FA1" w14:textId="46B70161" w:rsidR="003B3C7E" w:rsidRPr="00C239FD" w:rsidRDefault="003B3C7E" w:rsidP="009251AF">
            <w:pPr>
              <w:keepNext/>
              <w:spacing w:after="0"/>
              <w:jc w:val="right"/>
              <w:cnfStyle w:val="100000000000" w:firstRow="1" w:lastRow="0" w:firstColumn="0" w:lastColumn="0" w:oddVBand="0" w:evenVBand="0" w:oddHBand="0" w:evenHBand="0" w:firstRowFirstColumn="0" w:firstRowLastColumn="0" w:lastRowFirstColumn="0" w:lastRowLastColumn="0"/>
              <w:rPr>
                <w:sz w:val="20"/>
                <w:szCs w:val="20"/>
              </w:rPr>
            </w:pPr>
            <w:r w:rsidRPr="00C239FD">
              <w:rPr>
                <w:sz w:val="20"/>
                <w:szCs w:val="20"/>
              </w:rPr>
              <w:t>Value</w:t>
            </w:r>
          </w:p>
        </w:tc>
      </w:tr>
      <w:tr w:rsidR="000F47D4" w:rsidRPr="0096560E" w14:paraId="2E4A58A8" w14:textId="77777777" w:rsidTr="009251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vAlign w:val="center"/>
          </w:tcPr>
          <w:p w14:paraId="78CCF996" w14:textId="77777777" w:rsidR="000F47D4" w:rsidRPr="0096560E" w:rsidRDefault="000F47D4" w:rsidP="009251AF">
            <w:pPr>
              <w:keepNext/>
              <w:spacing w:after="0"/>
              <w:rPr>
                <w:sz w:val="20"/>
                <w:szCs w:val="20"/>
              </w:rPr>
            </w:pPr>
            <w:r w:rsidRPr="0096560E">
              <w:rPr>
                <w:sz w:val="20"/>
                <w:szCs w:val="20"/>
              </w:rPr>
              <w:t>TtW participants in matched sample</w:t>
            </w:r>
          </w:p>
        </w:tc>
        <w:tc>
          <w:tcPr>
            <w:tcW w:w="0" w:type="dxa"/>
            <w:vAlign w:val="center"/>
          </w:tcPr>
          <w:p w14:paraId="6A8FEB7F" w14:textId="5FFF906D" w:rsidR="000F47D4" w:rsidRPr="0096560E" w:rsidRDefault="000F47D4" w:rsidP="009251AF">
            <w:pPr>
              <w:keepNext/>
              <w:spacing w:after="0"/>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96560E">
              <w:rPr>
                <w:sz w:val="20"/>
                <w:szCs w:val="20"/>
              </w:rPr>
              <w:t>8</w:t>
            </w:r>
            <w:r w:rsidR="00CD0E1C" w:rsidRPr="0096560E">
              <w:rPr>
                <w:sz w:val="20"/>
                <w:szCs w:val="20"/>
              </w:rPr>
              <w:t>,</w:t>
            </w:r>
            <w:r w:rsidRPr="0096560E">
              <w:rPr>
                <w:sz w:val="20"/>
                <w:szCs w:val="20"/>
              </w:rPr>
              <w:t>361</w:t>
            </w:r>
            <w:r w:rsidR="003B3C7E" w:rsidRPr="0096560E">
              <w:rPr>
                <w:sz w:val="20"/>
                <w:szCs w:val="20"/>
              </w:rPr>
              <w:t xml:space="preserve"> participants</w:t>
            </w:r>
            <w:r w:rsidRPr="0096560E">
              <w:rPr>
                <w:sz w:val="20"/>
                <w:szCs w:val="20"/>
              </w:rPr>
              <w:t xml:space="preserve"> </w:t>
            </w:r>
          </w:p>
        </w:tc>
      </w:tr>
      <w:tr w:rsidR="000F47D4" w:rsidRPr="0096560E" w14:paraId="304194A6" w14:textId="77777777" w:rsidTr="009251AF">
        <w:trPr>
          <w:trHeight w:val="397"/>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537DF9F" w14:textId="77777777" w:rsidR="000F47D4" w:rsidRPr="0096560E" w:rsidRDefault="000F47D4" w:rsidP="009251AF">
            <w:pPr>
              <w:spacing w:after="0"/>
              <w:rPr>
                <w:b w:val="0"/>
                <w:bCs w:val="0"/>
                <w:sz w:val="20"/>
                <w:szCs w:val="20"/>
              </w:rPr>
            </w:pPr>
            <w:r w:rsidRPr="0096560E">
              <w:rPr>
                <w:sz w:val="20"/>
                <w:szCs w:val="20"/>
              </w:rPr>
              <w:t>Reduction in number of incarceration episodes attributable to TtW for TtW participants in matched sample</w:t>
            </w:r>
          </w:p>
          <w:p w14:paraId="18A4D0A3" w14:textId="5BD59D31" w:rsidR="000F47D4" w:rsidRPr="0096560E" w:rsidRDefault="000F47D4" w:rsidP="009251AF">
            <w:pPr>
              <w:spacing w:after="0"/>
              <w:rPr>
                <w:sz w:val="20"/>
                <w:szCs w:val="20"/>
              </w:rPr>
            </w:pPr>
            <w:r w:rsidRPr="0096560E">
              <w:rPr>
                <w:sz w:val="20"/>
                <w:szCs w:val="20"/>
              </w:rPr>
              <w:t>=</w:t>
            </w:r>
            <w:r w:rsidR="0079745D" w:rsidRPr="0096560E">
              <w:rPr>
                <w:sz w:val="20"/>
                <w:szCs w:val="20"/>
              </w:rPr>
              <w:t xml:space="preserve"> </w:t>
            </w:r>
            <w:r w:rsidRPr="0096560E">
              <w:rPr>
                <w:sz w:val="20"/>
                <w:szCs w:val="20"/>
              </w:rPr>
              <w:t xml:space="preserve">(TtW number of incarceration episodes minus </w:t>
            </w:r>
            <w:r w:rsidR="00A4451F" w:rsidRPr="0096560E">
              <w:rPr>
                <w:sz w:val="20"/>
                <w:szCs w:val="20"/>
              </w:rPr>
              <w:t xml:space="preserve">comparison group </w:t>
            </w:r>
            <w:r w:rsidRPr="0096560E">
              <w:rPr>
                <w:sz w:val="20"/>
                <w:szCs w:val="20"/>
              </w:rPr>
              <w:t>number of incarceration episodes)</w:t>
            </w:r>
          </w:p>
        </w:tc>
        <w:tc>
          <w:tcPr>
            <w:tcW w:w="0" w:type="dxa"/>
            <w:vAlign w:val="center"/>
            <w:hideMark/>
          </w:tcPr>
          <w:p w14:paraId="05E4A95A" w14:textId="7104F406" w:rsidR="000F47D4" w:rsidRPr="0096560E" w:rsidRDefault="000F47D4" w:rsidP="009251AF">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6560E">
              <w:rPr>
                <w:sz w:val="20"/>
                <w:szCs w:val="20"/>
              </w:rPr>
              <w:t>265</w:t>
            </w:r>
            <w:r w:rsidR="003B3C7E" w:rsidRPr="0096560E">
              <w:rPr>
                <w:sz w:val="20"/>
                <w:szCs w:val="20"/>
              </w:rPr>
              <w:t xml:space="preserve"> </w:t>
            </w:r>
            <w:r w:rsidR="007338AB" w:rsidRPr="0096560E">
              <w:rPr>
                <w:sz w:val="20"/>
                <w:szCs w:val="20"/>
              </w:rPr>
              <w:t>fewer</w:t>
            </w:r>
            <w:r w:rsidR="003B3C7E" w:rsidRPr="0096560E">
              <w:rPr>
                <w:sz w:val="20"/>
                <w:szCs w:val="20"/>
              </w:rPr>
              <w:t xml:space="preserve"> episodes</w:t>
            </w:r>
          </w:p>
        </w:tc>
      </w:tr>
      <w:tr w:rsidR="000F47D4" w:rsidRPr="0096560E" w14:paraId="702D540A" w14:textId="77777777" w:rsidTr="009251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vAlign w:val="center"/>
          </w:tcPr>
          <w:p w14:paraId="5EF06B8F" w14:textId="77777777" w:rsidR="000F47D4" w:rsidRPr="0096560E" w:rsidRDefault="000F47D4" w:rsidP="009251AF">
            <w:pPr>
              <w:spacing w:after="0"/>
              <w:rPr>
                <w:sz w:val="20"/>
                <w:szCs w:val="20"/>
              </w:rPr>
            </w:pPr>
            <w:r w:rsidRPr="0096560E">
              <w:rPr>
                <w:sz w:val="20"/>
                <w:szCs w:val="20"/>
              </w:rPr>
              <w:t>Average number of days in prison per incarceration</w:t>
            </w:r>
          </w:p>
        </w:tc>
        <w:tc>
          <w:tcPr>
            <w:tcW w:w="0" w:type="dxa"/>
            <w:vAlign w:val="center"/>
          </w:tcPr>
          <w:p w14:paraId="485B4330" w14:textId="011C1FF3" w:rsidR="000F47D4" w:rsidRPr="0096560E" w:rsidRDefault="000F47D4" w:rsidP="009251AF">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6560E">
              <w:rPr>
                <w:sz w:val="20"/>
                <w:szCs w:val="20"/>
              </w:rPr>
              <w:t>142</w:t>
            </w:r>
            <w:r w:rsidR="003B3C7E" w:rsidRPr="0096560E">
              <w:rPr>
                <w:sz w:val="20"/>
                <w:szCs w:val="20"/>
              </w:rPr>
              <w:t xml:space="preserve"> days</w:t>
            </w:r>
          </w:p>
        </w:tc>
      </w:tr>
      <w:tr w:rsidR="000F47D4" w:rsidRPr="0096560E" w14:paraId="5DB91876" w14:textId="77777777" w:rsidTr="009251AF">
        <w:trPr>
          <w:trHeight w:val="397"/>
        </w:trPr>
        <w:tc>
          <w:tcPr>
            <w:cnfStyle w:val="001000000000" w:firstRow="0" w:lastRow="0" w:firstColumn="1" w:lastColumn="0" w:oddVBand="0" w:evenVBand="0" w:oddHBand="0" w:evenHBand="0" w:firstRowFirstColumn="0" w:firstRowLastColumn="0" w:lastRowFirstColumn="0" w:lastRowLastColumn="0"/>
            <w:tcW w:w="0" w:type="dxa"/>
            <w:vAlign w:val="center"/>
          </w:tcPr>
          <w:p w14:paraId="15FDE80A" w14:textId="6612739A" w:rsidR="000F47D4" w:rsidRPr="0096560E" w:rsidRDefault="000F47D4" w:rsidP="009251AF">
            <w:pPr>
              <w:spacing w:after="0"/>
              <w:rPr>
                <w:sz w:val="20"/>
                <w:szCs w:val="20"/>
              </w:rPr>
            </w:pPr>
            <w:r w:rsidRPr="0096560E">
              <w:rPr>
                <w:sz w:val="20"/>
                <w:szCs w:val="20"/>
              </w:rPr>
              <w:t>Cost of imprisonment</w:t>
            </w:r>
          </w:p>
        </w:tc>
        <w:tc>
          <w:tcPr>
            <w:tcW w:w="0" w:type="dxa"/>
            <w:vAlign w:val="center"/>
          </w:tcPr>
          <w:p w14:paraId="48BB8A65" w14:textId="29458A5B" w:rsidR="000F47D4" w:rsidRPr="0096560E" w:rsidRDefault="003B3C7E" w:rsidP="009251AF">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6560E">
              <w:rPr>
                <w:sz w:val="20"/>
                <w:szCs w:val="20"/>
              </w:rPr>
              <w:t>$</w:t>
            </w:r>
            <w:r w:rsidR="000F47D4" w:rsidRPr="0096560E">
              <w:rPr>
                <w:sz w:val="20"/>
                <w:szCs w:val="20"/>
              </w:rPr>
              <w:t>254.84</w:t>
            </w:r>
            <w:r w:rsidRPr="0096560E">
              <w:rPr>
                <w:sz w:val="20"/>
                <w:szCs w:val="20"/>
              </w:rPr>
              <w:t>/day</w:t>
            </w:r>
          </w:p>
        </w:tc>
      </w:tr>
      <w:tr w:rsidR="000F47D4" w:rsidRPr="0096560E" w14:paraId="5BDACED7" w14:textId="77777777" w:rsidTr="00C239F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0EC438E" w14:textId="7B13ABE9" w:rsidR="000F47D4" w:rsidRPr="0096560E" w:rsidRDefault="000F47D4" w:rsidP="009251AF">
            <w:pPr>
              <w:spacing w:after="0"/>
              <w:rPr>
                <w:b w:val="0"/>
                <w:bCs w:val="0"/>
                <w:sz w:val="20"/>
                <w:szCs w:val="20"/>
              </w:rPr>
            </w:pPr>
            <w:r w:rsidRPr="0096560E">
              <w:rPr>
                <w:sz w:val="20"/>
                <w:szCs w:val="20"/>
              </w:rPr>
              <w:lastRenderedPageBreak/>
              <w:t>Total cost savings from reduced imprisonment (# incarceration episodes</w:t>
            </w:r>
            <w:r w:rsidR="007338AB" w:rsidRPr="0096560E">
              <w:rPr>
                <w:sz w:val="20"/>
                <w:szCs w:val="20"/>
              </w:rPr>
              <w:t xml:space="preserve"> </w:t>
            </w:r>
            <w:r w:rsidR="006231CD" w:rsidRPr="0096560E">
              <w:rPr>
                <w:sz w:val="20"/>
                <w:szCs w:val="20"/>
              </w:rPr>
              <w:t xml:space="preserve">x </w:t>
            </w:r>
            <w:r w:rsidRPr="0096560E">
              <w:rPr>
                <w:sz w:val="20"/>
                <w:szCs w:val="20"/>
              </w:rPr>
              <w:t xml:space="preserve"> #</w:t>
            </w:r>
            <w:r w:rsidR="00133474" w:rsidRPr="0096560E">
              <w:rPr>
                <w:sz w:val="20"/>
                <w:szCs w:val="20"/>
              </w:rPr>
              <w:t> </w:t>
            </w:r>
            <w:r w:rsidRPr="0096560E">
              <w:rPr>
                <w:sz w:val="20"/>
                <w:szCs w:val="20"/>
              </w:rPr>
              <w:t>days per episode</w:t>
            </w:r>
            <w:r w:rsidR="007338AB" w:rsidRPr="0096560E">
              <w:rPr>
                <w:sz w:val="20"/>
                <w:szCs w:val="20"/>
              </w:rPr>
              <w:t xml:space="preserve"> </w:t>
            </w:r>
            <w:r w:rsidR="006231CD" w:rsidRPr="0096560E">
              <w:rPr>
                <w:sz w:val="20"/>
                <w:szCs w:val="20"/>
              </w:rPr>
              <w:t>x</w:t>
            </w:r>
            <w:r w:rsidR="007338AB" w:rsidRPr="0096560E">
              <w:rPr>
                <w:sz w:val="20"/>
                <w:szCs w:val="20"/>
              </w:rPr>
              <w:t xml:space="preserve"> </w:t>
            </w:r>
            <w:r w:rsidRPr="0096560E">
              <w:rPr>
                <w:sz w:val="20"/>
                <w:szCs w:val="20"/>
              </w:rPr>
              <w:t>$/day)</w:t>
            </w:r>
          </w:p>
          <w:p w14:paraId="22E86C83" w14:textId="494C64D4" w:rsidR="000F47D4" w:rsidRPr="0096560E" w:rsidRDefault="000F47D4" w:rsidP="009251AF">
            <w:pPr>
              <w:spacing w:after="0"/>
              <w:rPr>
                <w:sz w:val="20"/>
                <w:szCs w:val="20"/>
              </w:rPr>
            </w:pPr>
            <w:r w:rsidRPr="0096560E">
              <w:rPr>
                <w:sz w:val="20"/>
                <w:szCs w:val="20"/>
              </w:rPr>
              <w:t>=</w:t>
            </w:r>
            <w:r w:rsidR="0079745D" w:rsidRPr="0096560E">
              <w:rPr>
                <w:sz w:val="20"/>
                <w:szCs w:val="20"/>
              </w:rPr>
              <w:t xml:space="preserve"> </w:t>
            </w:r>
            <w:r w:rsidRPr="0096560E">
              <w:rPr>
                <w:sz w:val="20"/>
                <w:szCs w:val="20"/>
              </w:rPr>
              <w:t>(265 x 142 x 254.84)</w:t>
            </w:r>
          </w:p>
        </w:tc>
        <w:tc>
          <w:tcPr>
            <w:tcW w:w="0" w:type="dxa"/>
            <w:vAlign w:val="center"/>
            <w:hideMark/>
          </w:tcPr>
          <w:p w14:paraId="4997B3D5" w14:textId="77777777" w:rsidR="000F47D4" w:rsidRPr="0096560E" w:rsidRDefault="000F47D4" w:rsidP="009251AF">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6560E">
              <w:rPr>
                <w:sz w:val="20"/>
                <w:szCs w:val="20"/>
              </w:rPr>
              <w:t>$9,589,629</w:t>
            </w:r>
          </w:p>
        </w:tc>
      </w:tr>
      <w:tr w:rsidR="000F47D4" w:rsidRPr="0096560E" w14:paraId="00EF4ABA" w14:textId="77777777" w:rsidTr="009251AF">
        <w:trPr>
          <w:trHeight w:val="397"/>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vAlign w:val="center"/>
            <w:hideMark/>
          </w:tcPr>
          <w:p w14:paraId="743DED7C" w14:textId="77777777" w:rsidR="000F47D4" w:rsidRPr="0096560E" w:rsidRDefault="000F47D4" w:rsidP="009251AF">
            <w:pPr>
              <w:spacing w:after="0"/>
              <w:rPr>
                <w:b w:val="0"/>
                <w:bCs w:val="0"/>
                <w:sz w:val="20"/>
                <w:szCs w:val="20"/>
              </w:rPr>
            </w:pPr>
            <w:r w:rsidRPr="0096560E">
              <w:rPr>
                <w:sz w:val="20"/>
                <w:szCs w:val="20"/>
              </w:rPr>
              <w:t>Cost savings associated with reduced incarceration, per TtW participant in matched sample</w:t>
            </w:r>
          </w:p>
          <w:p w14:paraId="06CCB705" w14:textId="751F1B6C" w:rsidR="000F47D4" w:rsidRPr="0096560E" w:rsidRDefault="000F47D4" w:rsidP="009251AF">
            <w:pPr>
              <w:spacing w:after="0"/>
              <w:rPr>
                <w:sz w:val="20"/>
                <w:szCs w:val="20"/>
              </w:rPr>
            </w:pPr>
            <w:r w:rsidRPr="0096560E">
              <w:rPr>
                <w:sz w:val="20"/>
                <w:szCs w:val="20"/>
              </w:rPr>
              <w:t>=</w:t>
            </w:r>
            <w:r w:rsidR="00873E8D" w:rsidRPr="0096560E">
              <w:rPr>
                <w:sz w:val="20"/>
                <w:szCs w:val="20"/>
              </w:rPr>
              <w:t xml:space="preserve"> </w:t>
            </w:r>
            <w:r w:rsidRPr="0096560E">
              <w:rPr>
                <w:sz w:val="20"/>
                <w:szCs w:val="20"/>
              </w:rPr>
              <w:t>(# incarcerations x days in prison x daily cost of imprisonment)/total population</w:t>
            </w:r>
          </w:p>
          <w:p w14:paraId="7695EFCA" w14:textId="473E939F" w:rsidR="000F47D4" w:rsidRPr="0096560E" w:rsidRDefault="000F47D4" w:rsidP="009251AF">
            <w:pPr>
              <w:spacing w:after="0"/>
              <w:rPr>
                <w:sz w:val="20"/>
                <w:szCs w:val="20"/>
              </w:rPr>
            </w:pPr>
            <w:r w:rsidRPr="0096560E">
              <w:rPr>
                <w:sz w:val="20"/>
                <w:szCs w:val="20"/>
              </w:rPr>
              <w:t>=</w:t>
            </w:r>
            <w:r w:rsidR="0079745D" w:rsidRPr="0096560E">
              <w:rPr>
                <w:sz w:val="20"/>
                <w:szCs w:val="20"/>
              </w:rPr>
              <w:t xml:space="preserve"> </w:t>
            </w:r>
            <w:r w:rsidRPr="0096560E">
              <w:rPr>
                <w:sz w:val="20"/>
                <w:szCs w:val="20"/>
              </w:rPr>
              <w:t>$9,589,629/8</w:t>
            </w:r>
            <w:r w:rsidR="00F3581E" w:rsidRPr="0096560E">
              <w:rPr>
                <w:sz w:val="20"/>
                <w:szCs w:val="20"/>
              </w:rPr>
              <w:t>,</w:t>
            </w:r>
            <w:r w:rsidRPr="0096560E">
              <w:rPr>
                <w:sz w:val="20"/>
                <w:szCs w:val="20"/>
              </w:rPr>
              <w:t>361</w:t>
            </w:r>
          </w:p>
        </w:tc>
        <w:tc>
          <w:tcPr>
            <w:tcW w:w="0" w:type="dxa"/>
            <w:tcBorders>
              <w:bottom w:val="single" w:sz="4" w:space="0" w:color="auto"/>
            </w:tcBorders>
            <w:shd w:val="clear" w:color="auto" w:fill="auto"/>
            <w:vAlign w:val="center"/>
            <w:hideMark/>
          </w:tcPr>
          <w:p w14:paraId="711D0254" w14:textId="3CB7067A" w:rsidR="000F47D4" w:rsidRPr="0096560E" w:rsidRDefault="000F47D4" w:rsidP="009251AF">
            <w:pPr>
              <w:spacing w:after="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96560E">
              <w:rPr>
                <w:b/>
                <w:bCs/>
                <w:sz w:val="20"/>
                <w:szCs w:val="20"/>
              </w:rPr>
              <w:t>$1,147</w:t>
            </w:r>
            <w:r w:rsidR="003B3C7E" w:rsidRPr="0096560E">
              <w:rPr>
                <w:b/>
                <w:bCs/>
                <w:sz w:val="20"/>
                <w:szCs w:val="20"/>
              </w:rPr>
              <w:t xml:space="preserve"> per participant</w:t>
            </w:r>
            <w:r w:rsidR="00B65D3D" w:rsidRPr="0096560E">
              <w:rPr>
                <w:b/>
                <w:bCs/>
                <w:sz w:val="20"/>
                <w:szCs w:val="20"/>
              </w:rPr>
              <w:t xml:space="preserve"> over 4 years, or $287 per participant over 12</w:t>
            </w:r>
            <w:r w:rsidR="00F3581E" w:rsidRPr="0096560E">
              <w:rPr>
                <w:b/>
                <w:bCs/>
                <w:sz w:val="20"/>
                <w:szCs w:val="20"/>
              </w:rPr>
              <w:t> </w:t>
            </w:r>
            <w:r w:rsidR="00B65D3D" w:rsidRPr="0096560E">
              <w:rPr>
                <w:b/>
                <w:bCs/>
                <w:sz w:val="20"/>
                <w:szCs w:val="20"/>
              </w:rPr>
              <w:t>months</w:t>
            </w:r>
          </w:p>
        </w:tc>
      </w:tr>
    </w:tbl>
    <w:p w14:paraId="77127EEF" w14:textId="176FAF80" w:rsidR="000F47D4" w:rsidRPr="00450959" w:rsidRDefault="000F47D4" w:rsidP="00C239FD">
      <w:pPr>
        <w:pStyle w:val="Source"/>
      </w:pPr>
      <w:r w:rsidRPr="00450959">
        <w:rPr>
          <w:rFonts w:ascii="Calibri" w:eastAsia="Times New Roman" w:hAnsi="Calibri" w:cs="Calibri"/>
          <w:color w:val="000000"/>
          <w:sz w:val="16"/>
          <w:szCs w:val="20"/>
          <w:lang w:eastAsia="en-AU"/>
        </w:rPr>
        <w:t xml:space="preserve">Source: </w:t>
      </w:r>
      <w:r w:rsidR="00450959">
        <w:rPr>
          <w:rFonts w:ascii="Calibri" w:eastAsia="Times New Roman" w:hAnsi="Calibri" w:cs="Calibri"/>
          <w:color w:val="000000"/>
          <w:sz w:val="16"/>
          <w:szCs w:val="20"/>
          <w:lang w:eastAsia="en-AU"/>
        </w:rPr>
        <w:t>The d</w:t>
      </w:r>
      <w:r w:rsidRPr="00450959">
        <w:rPr>
          <w:rFonts w:ascii="Calibri" w:eastAsia="Times New Roman" w:hAnsi="Calibri" w:cs="Calibri"/>
          <w:color w:val="000000"/>
          <w:sz w:val="16"/>
          <w:szCs w:val="20"/>
          <w:lang w:eastAsia="en-AU"/>
        </w:rPr>
        <w:t>epartment</w:t>
      </w:r>
      <w:r w:rsidR="00450959">
        <w:rPr>
          <w:rFonts w:ascii="Calibri" w:eastAsia="Times New Roman" w:hAnsi="Calibri" w:cs="Calibri"/>
          <w:color w:val="000000"/>
          <w:sz w:val="16"/>
          <w:szCs w:val="20"/>
          <w:lang w:eastAsia="en-AU"/>
        </w:rPr>
        <w:t>’s</w:t>
      </w:r>
      <w:r w:rsidRPr="00450959">
        <w:rPr>
          <w:rFonts w:ascii="Calibri" w:eastAsia="Times New Roman" w:hAnsi="Calibri" w:cs="Calibri"/>
          <w:color w:val="000000"/>
          <w:sz w:val="16"/>
          <w:szCs w:val="20"/>
          <w:lang w:eastAsia="en-AU"/>
        </w:rPr>
        <w:t xml:space="preserve"> administrative data</w:t>
      </w:r>
      <w:r w:rsidR="00450959" w:rsidRPr="00450959">
        <w:rPr>
          <w:rFonts w:ascii="Calibri" w:eastAsia="Times New Roman" w:hAnsi="Calibri" w:cs="Calibri"/>
          <w:color w:val="000000"/>
          <w:sz w:val="16"/>
          <w:szCs w:val="20"/>
          <w:lang w:eastAsia="en-AU"/>
        </w:rPr>
        <w:t>;</w:t>
      </w:r>
      <w:r w:rsidRPr="00450959">
        <w:rPr>
          <w:rFonts w:ascii="Calibri" w:eastAsia="Times New Roman" w:hAnsi="Calibri" w:cs="Calibri"/>
          <w:color w:val="000000"/>
          <w:sz w:val="16"/>
          <w:szCs w:val="20"/>
          <w:lang w:eastAsia="en-AU"/>
        </w:rPr>
        <w:t xml:space="preserve"> P</w:t>
      </w:r>
      <w:r w:rsidR="00706ED5" w:rsidRPr="00450959">
        <w:rPr>
          <w:rFonts w:ascii="Calibri" w:eastAsia="Times New Roman" w:hAnsi="Calibri" w:cs="Calibri"/>
          <w:color w:val="000000"/>
          <w:sz w:val="16"/>
          <w:szCs w:val="20"/>
          <w:lang w:eastAsia="en-AU"/>
        </w:rPr>
        <w:t xml:space="preserve">roductivity Commission </w:t>
      </w:r>
      <w:r w:rsidRPr="00450959">
        <w:rPr>
          <w:rFonts w:ascii="Calibri" w:eastAsia="Times New Roman" w:hAnsi="Calibri" w:cs="Calibri"/>
          <w:color w:val="000000"/>
          <w:sz w:val="16"/>
          <w:szCs w:val="20"/>
          <w:lang w:eastAsia="en-AU"/>
        </w:rPr>
        <w:t xml:space="preserve">(various dates) Report on Government Services </w:t>
      </w:r>
    </w:p>
    <w:p w14:paraId="3572D4B3" w14:textId="3ABA7F46" w:rsidR="00DA06B5" w:rsidRDefault="252CF76C" w:rsidP="00F975E8">
      <w:pPr>
        <w:pStyle w:val="Heading2"/>
      </w:pPr>
      <w:bookmarkStart w:id="3770" w:name="_Toc103596409"/>
      <w:bookmarkStart w:id="3771" w:name="_Toc106711903"/>
      <w:bookmarkStart w:id="3772" w:name="_Toc132650521"/>
      <w:bookmarkStart w:id="3773" w:name="_Toc146033551"/>
      <w:r>
        <w:t>Calculating the cost of servicing one participant in TtW</w:t>
      </w:r>
      <w:bookmarkStart w:id="3774" w:name="_Hlk100738919"/>
      <w:bookmarkEnd w:id="3770"/>
      <w:bookmarkEnd w:id="3771"/>
      <w:bookmarkEnd w:id="3772"/>
      <w:bookmarkEnd w:id="3773"/>
    </w:p>
    <w:bookmarkEnd w:id="3774"/>
    <w:p w14:paraId="1D6A30EA" w14:textId="13A49A74" w:rsidR="00DA06B5" w:rsidRDefault="00DA06B5" w:rsidP="00DA06B5">
      <w:r>
        <w:t xml:space="preserve">The </w:t>
      </w:r>
      <w:r w:rsidR="00F3581E">
        <w:t>f</w:t>
      </w:r>
      <w:r>
        <w:t>inal evaluation calculated the average program cost per participant over a 12</w:t>
      </w:r>
      <w:r w:rsidR="008E1868">
        <w:t>-</w:t>
      </w:r>
      <w:r>
        <w:t xml:space="preserve">month period in 2021 dollars. This took into account the average time participants spent in either TtW </w:t>
      </w:r>
      <w:r w:rsidR="00F3581E">
        <w:t>or</w:t>
      </w:r>
      <w:r>
        <w:t xml:space="preserve"> jobactive or outside employment services. The unit cost for a jobactive participant was calculated as $1,801/participant, and for TtW was $5,043/participant. The additional cost per participant is therefore $3,242 for a 12-month period</w:t>
      </w:r>
      <w:r w:rsidR="00BA693D">
        <w:t xml:space="preserve"> (</w:t>
      </w:r>
      <w:r>
        <w:t>2021 dollars).</w:t>
      </w:r>
    </w:p>
    <w:p w14:paraId="08EDD64C" w14:textId="47B6E0B0" w:rsidR="00DA06B5" w:rsidRDefault="252CF76C" w:rsidP="00F975E8">
      <w:pPr>
        <w:pStyle w:val="Heading2"/>
      </w:pPr>
      <w:bookmarkStart w:id="3775" w:name="_Toc120273767"/>
      <w:bookmarkStart w:id="3776" w:name="_Toc120273768"/>
      <w:bookmarkStart w:id="3777" w:name="_Toc103596410"/>
      <w:bookmarkStart w:id="3778" w:name="_Toc106711904"/>
      <w:bookmarkStart w:id="3779" w:name="_Toc132650522"/>
      <w:bookmarkStart w:id="3780" w:name="_Toc146033552"/>
      <w:bookmarkEnd w:id="3775"/>
      <w:bookmarkEnd w:id="3776"/>
      <w:r>
        <w:t xml:space="preserve">Calculating the average cost/person associated with additional </w:t>
      </w:r>
      <w:r w:rsidR="000D023D">
        <w:t>income support</w:t>
      </w:r>
      <w:r>
        <w:t xml:space="preserve"> payments</w:t>
      </w:r>
      <w:bookmarkStart w:id="3781" w:name="_Hlk100738955"/>
      <w:bookmarkEnd w:id="3777"/>
      <w:bookmarkEnd w:id="3778"/>
      <w:bookmarkEnd w:id="3779"/>
      <w:bookmarkEnd w:id="3780"/>
    </w:p>
    <w:bookmarkEnd w:id="3781"/>
    <w:p w14:paraId="5E234C56" w14:textId="3D3D2772" w:rsidR="00DA06B5" w:rsidRDefault="00DA06B5" w:rsidP="00DA06B5">
      <w:r>
        <w:t xml:space="preserve">The </w:t>
      </w:r>
      <w:r w:rsidR="006150C6">
        <w:t>long-term</w:t>
      </w:r>
      <w:r>
        <w:t xml:space="preserve"> impact analysis found that </w:t>
      </w:r>
      <w:r w:rsidRPr="00D3438F">
        <w:t xml:space="preserve">for the first 24 months from commencement, slightly </w:t>
      </w:r>
      <w:r w:rsidR="00BC75B2">
        <w:t xml:space="preserve">fewer </w:t>
      </w:r>
      <w:r w:rsidRPr="00D3438F">
        <w:t>TtW participants exited income support than the comparison group</w:t>
      </w:r>
      <w:r>
        <w:t xml:space="preserve"> in each month, leading to higher government expenditure on income support payments. This equalised at 25 months, with slightly more TtW participants exiting income support in any month after this time.</w:t>
      </w:r>
    </w:p>
    <w:p w14:paraId="273EE242" w14:textId="7C6C9062" w:rsidR="00DA06B5" w:rsidRDefault="00DA06B5" w:rsidP="00DA06B5">
      <w:r>
        <w:t xml:space="preserve">Participants could be receiving one of a number of income support types, which could change over time, with different fortnightly payments (depending on age, partner, children, living at home). Income support recipients can also be receiving other supplementary payments including the Energy </w:t>
      </w:r>
      <w:r w:rsidR="000D023D">
        <w:t>S</w:t>
      </w:r>
      <w:r>
        <w:t>upplement, Rent Assistance, and Pharmaceutical Allowance. Participants may also be receiving income support at less than 100%, and this rate may change over time.</w:t>
      </w:r>
    </w:p>
    <w:p w14:paraId="327ABE57" w14:textId="7AF9B458" w:rsidR="00DA06B5" w:rsidRDefault="00DA06B5" w:rsidP="00DA06B5">
      <w:r>
        <w:t xml:space="preserve">For simplicity, and to ensure that the cost of the lock-in effect was not undervalued, it </w:t>
      </w:r>
      <w:r w:rsidR="00BC75B2">
        <w:t>wa</w:t>
      </w:r>
      <w:r>
        <w:t xml:space="preserve">s assumed that everyone </w:t>
      </w:r>
      <w:r w:rsidR="00BC75B2">
        <w:t>wa</w:t>
      </w:r>
      <w:r>
        <w:t>s on a rate of 100%</w:t>
      </w:r>
      <w:r w:rsidR="002B4312">
        <w:t xml:space="preserve"> income support</w:t>
      </w:r>
      <w:r>
        <w:t>. In 2022 approximately 75% of TtW participants were on Youth Allowance and 25% were on JobSeeker (</w:t>
      </w:r>
      <w:r w:rsidR="00D81F43" w:rsidRPr="004A440A">
        <w:rPr>
          <w:b/>
          <w:bCs/>
        </w:rPr>
        <w:t>d</w:t>
      </w:r>
      <w:r w:rsidRPr="004A440A">
        <w:rPr>
          <w:b/>
          <w:bCs/>
        </w:rPr>
        <w:t xml:space="preserve">epartmental </w:t>
      </w:r>
      <w:r w:rsidR="00D81F43" w:rsidRPr="004A440A">
        <w:rPr>
          <w:b/>
          <w:bCs/>
        </w:rPr>
        <w:t>a</w:t>
      </w:r>
      <w:r w:rsidRPr="004A440A">
        <w:rPr>
          <w:b/>
          <w:bCs/>
        </w:rPr>
        <w:t>dministrative data</w:t>
      </w:r>
      <w:r>
        <w:t xml:space="preserve">), so this distribution of allowance types is used in this analysis. </w:t>
      </w:r>
    </w:p>
    <w:p w14:paraId="22AEA3A8" w14:textId="1FB18270" w:rsidR="00044C74" w:rsidRPr="00044C74" w:rsidRDefault="00044C74" w:rsidP="00044C74">
      <w:r w:rsidRPr="00044C74">
        <w:t>The average total income support payment (direct and supplementary) received by participants was $549</w:t>
      </w:r>
      <w:r>
        <w:t xml:space="preserve"> per fortnight</w:t>
      </w:r>
      <w:r w:rsidR="00814C6F">
        <w:t xml:space="preserve"> (calculated using data from </w:t>
      </w:r>
      <w:r w:rsidR="00814C6F" w:rsidRPr="00720DA4">
        <w:rPr>
          <w:b/>
          <w:bCs/>
        </w:rPr>
        <w:t>Aust</w:t>
      </w:r>
      <w:r w:rsidR="00210088">
        <w:rPr>
          <w:b/>
          <w:bCs/>
        </w:rPr>
        <w:t>ralian</w:t>
      </w:r>
      <w:r w:rsidR="00814C6F" w:rsidRPr="00720DA4">
        <w:rPr>
          <w:b/>
          <w:bCs/>
        </w:rPr>
        <w:t xml:space="preserve"> Gov</w:t>
      </w:r>
      <w:r w:rsidR="00210088">
        <w:rPr>
          <w:b/>
          <w:bCs/>
        </w:rPr>
        <w:t>ernment</w:t>
      </w:r>
      <w:r w:rsidR="00814C6F" w:rsidRPr="00720DA4">
        <w:rPr>
          <w:b/>
          <w:bCs/>
        </w:rPr>
        <w:t xml:space="preserve"> 2022</w:t>
      </w:r>
      <w:r w:rsidR="00814C6F">
        <w:rPr>
          <w:b/>
          <w:bCs/>
        </w:rPr>
        <w:t xml:space="preserve"> </w:t>
      </w:r>
      <w:r w:rsidR="00814C6F" w:rsidRPr="00814C6F">
        <w:t>and</w:t>
      </w:r>
      <w:r w:rsidR="00814C6F">
        <w:rPr>
          <w:b/>
          <w:bCs/>
        </w:rPr>
        <w:t xml:space="preserve"> </w:t>
      </w:r>
      <w:r w:rsidR="00814C6F" w:rsidRPr="003D24B0">
        <w:rPr>
          <w:b/>
          <w:bCs/>
        </w:rPr>
        <w:t>ACOSS 2021</w:t>
      </w:r>
      <w:r w:rsidR="00814C6F" w:rsidRPr="00C239FD">
        <w:t>)</w:t>
      </w:r>
      <w:r w:rsidR="00814C6F">
        <w:t>.</w:t>
      </w:r>
    </w:p>
    <w:p w14:paraId="5192BB28" w14:textId="4CCF12C8" w:rsidR="00DA06B5" w:rsidRDefault="00814C6F" w:rsidP="00DA06B5">
      <w:r>
        <w:t xml:space="preserve">Actual </w:t>
      </w:r>
      <w:r w:rsidR="002B4967">
        <w:t>emp</w:t>
      </w:r>
      <w:r w:rsidR="00B65D3D">
        <w:t>l</w:t>
      </w:r>
      <w:r w:rsidR="002B4967">
        <w:t xml:space="preserve">oyment-related </w:t>
      </w:r>
      <w:r>
        <w:t>exits from income support were used to calculate the a</w:t>
      </w:r>
      <w:r w:rsidR="00DA06B5" w:rsidRPr="003D5A59">
        <w:t xml:space="preserve">verage per </w:t>
      </w:r>
      <w:r w:rsidR="00DA06B5">
        <w:t>participant</w:t>
      </w:r>
      <w:r w:rsidR="00DA06B5" w:rsidRPr="003D5A59">
        <w:t xml:space="preserve"> cost associated with </w:t>
      </w:r>
      <w:r w:rsidR="00044C74">
        <w:t xml:space="preserve">the </w:t>
      </w:r>
      <w:r w:rsidR="00DA06B5" w:rsidRPr="003D5A59">
        <w:t>lock-in effect of TtW</w:t>
      </w:r>
      <w:r w:rsidR="00B65D3D">
        <w:t xml:space="preserve"> over 4 years, then this was divided by 4 to provide a more realistic estimate of the cost for 12 months</w:t>
      </w:r>
      <w:r>
        <w:t>.</w:t>
      </w:r>
      <w:r w:rsidR="00DA06B5" w:rsidRPr="003D5A59">
        <w:t xml:space="preserve"> </w:t>
      </w:r>
      <w:r w:rsidR="00DA06B5">
        <w:t xml:space="preserve">Average </w:t>
      </w:r>
      <w:r w:rsidR="00DA06B5" w:rsidRPr="00E91A35">
        <w:t xml:space="preserve">additional income support </w:t>
      </w:r>
      <w:r w:rsidR="00DA06B5" w:rsidRPr="00E91A35">
        <w:lastRenderedPageBreak/>
        <w:t>payments per participant</w:t>
      </w:r>
      <w:r w:rsidR="00DA06B5">
        <w:t xml:space="preserve"> </w:t>
      </w:r>
      <w:r w:rsidR="00DA06B5" w:rsidRPr="00E91A35">
        <w:t>associated with lock-in effect of TtW</w:t>
      </w:r>
      <w:r w:rsidR="00DA06B5">
        <w:t xml:space="preserve"> over 48 months was </w:t>
      </w:r>
      <w:r>
        <w:t xml:space="preserve">calculated as </w:t>
      </w:r>
      <w:r w:rsidRPr="00814C6F">
        <w:t>$1,123</w:t>
      </w:r>
      <w:r w:rsidR="004967EA">
        <w:t>,</w:t>
      </w:r>
      <w:r>
        <w:rPr>
          <w:rStyle w:val="FootnoteReference"/>
        </w:rPr>
        <w:footnoteReference w:id="112"/>
      </w:r>
      <w:r w:rsidR="00B65D3D">
        <w:t xml:space="preserve"> </w:t>
      </w:r>
      <w:bookmarkStart w:id="3782" w:name="_Hlk122366096"/>
      <w:r w:rsidR="00B65D3D">
        <w:t>or $281 per person over 12 months</w:t>
      </w:r>
      <w:bookmarkEnd w:id="3782"/>
      <w:r w:rsidR="00DA06B5">
        <w:t>.</w:t>
      </w:r>
    </w:p>
    <w:p w14:paraId="516E8D6D" w14:textId="116F5732" w:rsidR="0032595B" w:rsidRDefault="3FDAF2BC" w:rsidP="00F975E8">
      <w:pPr>
        <w:pStyle w:val="Heading2"/>
      </w:pPr>
      <w:bookmarkStart w:id="3783" w:name="_Toc120273770"/>
      <w:bookmarkStart w:id="3784" w:name="_Toc132650523"/>
      <w:bookmarkStart w:id="3785" w:name="_Toc146033553"/>
      <w:bookmarkEnd w:id="3783"/>
      <w:r>
        <w:t xml:space="preserve">Estimating the </w:t>
      </w:r>
      <w:r w:rsidR="004967EA" w:rsidRPr="009F1529">
        <w:t>c</w:t>
      </w:r>
      <w:r w:rsidR="00B65D3D" w:rsidRPr="009F1529">
        <w:t xml:space="preserve">ost </w:t>
      </w:r>
      <w:r w:rsidRPr="009F1529">
        <w:t xml:space="preserve">: </w:t>
      </w:r>
      <w:r w:rsidR="004967EA" w:rsidRPr="009F1529">
        <w:t>b</w:t>
      </w:r>
      <w:r w:rsidR="00B65D3D" w:rsidRPr="009F1529">
        <w:t>enefit</w:t>
      </w:r>
      <w:r w:rsidR="00B65D3D">
        <w:t xml:space="preserve"> </w:t>
      </w:r>
      <w:r w:rsidR="004967EA">
        <w:t>r</w:t>
      </w:r>
      <w:r>
        <w:t>atio</w:t>
      </w:r>
      <w:bookmarkEnd w:id="3784"/>
      <w:bookmarkEnd w:id="3785"/>
    </w:p>
    <w:p w14:paraId="19345E8D" w14:textId="28A57C1D" w:rsidR="0032595B" w:rsidRPr="006079C0" w:rsidRDefault="0032595B" w:rsidP="0032595B">
      <w:r>
        <w:t xml:space="preserve">Summarising the above findings for the value of costs and benefits that could be monetised, it is estimated </w:t>
      </w:r>
      <w:r w:rsidR="007E7CEC">
        <w:t xml:space="preserve">that </w:t>
      </w:r>
      <w:r>
        <w:t>every dollar spent on TtW has a social value of between $</w:t>
      </w:r>
      <w:r w:rsidR="007E7CEC">
        <w:t>1</w:t>
      </w:r>
      <w:r>
        <w:t xml:space="preserve"> and $</w:t>
      </w:r>
      <w:r w:rsidR="007E7CEC">
        <w:t>6</w:t>
      </w:r>
      <w:r w:rsidR="00B65D3D">
        <w:t xml:space="preserve"> over a 12</w:t>
      </w:r>
      <w:r w:rsidR="00A70557">
        <w:t>-</w:t>
      </w:r>
      <w:r w:rsidR="00B65D3D">
        <w:t>month period,</w:t>
      </w:r>
      <w:r>
        <w:t xml:space="preserve"> as presented in</w:t>
      </w:r>
      <w:r w:rsidR="00B65D3D">
        <w:rPr>
          <w:b/>
          <w:bCs/>
        </w:rPr>
        <w:t xml:space="preserve"> </w:t>
      </w:r>
      <w:r w:rsidR="00B65D3D" w:rsidRPr="00CD7319">
        <w:rPr>
          <w:b/>
          <w:bCs/>
        </w:rPr>
        <w:fldChar w:fldCharType="begin"/>
      </w:r>
      <w:r w:rsidR="00B65D3D" w:rsidRPr="007E7CEC">
        <w:rPr>
          <w:b/>
          <w:bCs/>
        </w:rPr>
        <w:instrText xml:space="preserve"> REF _Ref120197786 \h </w:instrText>
      </w:r>
      <w:r w:rsidR="00B65D3D" w:rsidRPr="00CD7319">
        <w:rPr>
          <w:b/>
          <w:bCs/>
        </w:rPr>
        <w:instrText xml:space="preserve"> \* MERGEFORMAT </w:instrText>
      </w:r>
      <w:r w:rsidR="00B65D3D" w:rsidRPr="00CD7319">
        <w:rPr>
          <w:b/>
          <w:bCs/>
        </w:rPr>
      </w:r>
      <w:r w:rsidR="00B65D3D" w:rsidRPr="00CD7319">
        <w:rPr>
          <w:b/>
          <w:bCs/>
        </w:rPr>
        <w:fldChar w:fldCharType="separate"/>
      </w:r>
      <w:r w:rsidR="00180E14" w:rsidRPr="00180E14">
        <w:rPr>
          <w:b/>
          <w:bCs/>
        </w:rPr>
        <w:t xml:space="preserve">Table </w:t>
      </w:r>
      <w:r w:rsidR="00180E14" w:rsidRPr="00180E14">
        <w:rPr>
          <w:b/>
          <w:bCs/>
          <w:noProof/>
        </w:rPr>
        <w:t>24</w:t>
      </w:r>
      <w:r w:rsidR="00B65D3D" w:rsidRPr="00CD7319">
        <w:rPr>
          <w:b/>
          <w:bCs/>
        </w:rPr>
        <w:fldChar w:fldCharType="end"/>
      </w:r>
      <w:r w:rsidRPr="00D81F43">
        <w:t>.</w:t>
      </w:r>
      <w:r w:rsidRPr="00CE51A4">
        <w:t xml:space="preserve"> This</w:t>
      </w:r>
      <w:r>
        <w:t xml:space="preserve"> does not include the value of non-monetised benefits, so the overall </w:t>
      </w:r>
      <w:r w:rsidR="007E7CEC">
        <w:t>cost : benefit</w:t>
      </w:r>
      <w:r>
        <w:t xml:space="preserve"> ratio is an underestimate, and should only be used in the context of the broader report.</w:t>
      </w:r>
    </w:p>
    <w:p w14:paraId="091BF36F" w14:textId="5A4D7A3A" w:rsidR="0032595B" w:rsidRDefault="0032595B" w:rsidP="0032595B">
      <w:pPr>
        <w:pStyle w:val="Caption"/>
        <w:keepNext/>
      </w:pPr>
      <w:bookmarkStart w:id="3786" w:name="_Ref120197786"/>
      <w:bookmarkStart w:id="3787" w:name="_Toc132647799"/>
      <w:bookmarkStart w:id="3788" w:name="_Toc145877313"/>
      <w:r>
        <w:t xml:space="preserve">Table </w:t>
      </w:r>
      <w:r>
        <w:fldChar w:fldCharType="begin"/>
      </w:r>
      <w:r>
        <w:instrText>SEQ Table \* ARABIC</w:instrText>
      </w:r>
      <w:r>
        <w:fldChar w:fldCharType="separate"/>
      </w:r>
      <w:r w:rsidR="00180E14">
        <w:rPr>
          <w:noProof/>
        </w:rPr>
        <w:t>24</w:t>
      </w:r>
      <w:r>
        <w:fldChar w:fldCharType="end"/>
      </w:r>
      <w:bookmarkEnd w:id="3786"/>
      <w:r>
        <w:t xml:space="preserve">: </w:t>
      </w:r>
      <w:r w:rsidR="00B65D3D">
        <w:t xml:space="preserve">Cost : </w:t>
      </w:r>
      <w:r w:rsidR="00A70557">
        <w:t>b</w:t>
      </w:r>
      <w:r w:rsidR="00B65D3D">
        <w:t>enefit</w:t>
      </w:r>
      <w:r>
        <w:t xml:space="preserve"> </w:t>
      </w:r>
      <w:r w:rsidR="005E161E">
        <w:t>r</w:t>
      </w:r>
      <w:r>
        <w:t>atio for the TtW program</w:t>
      </w:r>
      <w:bookmarkEnd w:id="3787"/>
      <w:bookmarkEnd w:id="3788"/>
    </w:p>
    <w:tbl>
      <w:tblPr>
        <w:tblStyle w:val="TtWReportTableTemplate2"/>
        <w:tblW w:w="9026" w:type="dxa"/>
        <w:tblLook w:val="04A0" w:firstRow="1" w:lastRow="0" w:firstColumn="1" w:lastColumn="0" w:noHBand="0" w:noVBand="1"/>
      </w:tblPr>
      <w:tblGrid>
        <w:gridCol w:w="2284"/>
        <w:gridCol w:w="2634"/>
        <w:gridCol w:w="2054"/>
        <w:gridCol w:w="2054"/>
      </w:tblGrid>
      <w:tr w:rsidR="00C8219A" w:rsidRPr="00450959" w14:paraId="42F307F9" w14:textId="77777777" w:rsidTr="00C821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84" w:type="dxa"/>
            <w:tcBorders>
              <w:bottom w:val="nil"/>
            </w:tcBorders>
            <w:shd w:val="clear" w:color="auto" w:fill="5D7A38"/>
          </w:tcPr>
          <w:p w14:paraId="5B23492D" w14:textId="40D60000" w:rsidR="00C8219A" w:rsidRPr="00C239FD" w:rsidRDefault="00C8219A" w:rsidP="00A245F6">
            <w:pPr>
              <w:keepNext/>
              <w:rPr>
                <w:sz w:val="18"/>
                <w:szCs w:val="18"/>
              </w:rPr>
            </w:pPr>
            <w:r w:rsidRPr="00C239FD">
              <w:rPr>
                <w:sz w:val="18"/>
                <w:szCs w:val="18"/>
              </w:rPr>
              <w:t xml:space="preserve">Benefit or </w:t>
            </w:r>
            <w:r w:rsidR="00A70557" w:rsidRPr="00C239FD">
              <w:rPr>
                <w:sz w:val="18"/>
                <w:szCs w:val="18"/>
              </w:rPr>
              <w:t>c</w:t>
            </w:r>
            <w:r w:rsidRPr="00C239FD">
              <w:rPr>
                <w:sz w:val="18"/>
                <w:szCs w:val="18"/>
              </w:rPr>
              <w:t xml:space="preserve">ost </w:t>
            </w:r>
            <w:r w:rsidR="00A70557" w:rsidRPr="00C239FD">
              <w:rPr>
                <w:sz w:val="18"/>
                <w:szCs w:val="18"/>
              </w:rPr>
              <w:t>i</w:t>
            </w:r>
            <w:r w:rsidRPr="00C239FD">
              <w:rPr>
                <w:sz w:val="18"/>
                <w:szCs w:val="18"/>
              </w:rPr>
              <w:t>tem</w:t>
            </w:r>
          </w:p>
        </w:tc>
        <w:tc>
          <w:tcPr>
            <w:tcW w:w="2634" w:type="dxa"/>
            <w:tcBorders>
              <w:bottom w:val="nil"/>
            </w:tcBorders>
            <w:shd w:val="clear" w:color="auto" w:fill="5D7A38"/>
          </w:tcPr>
          <w:p w14:paraId="73BB26ED" w14:textId="77777777" w:rsidR="00C8219A" w:rsidRPr="00C239FD" w:rsidRDefault="00C8219A" w:rsidP="00A245F6">
            <w:pPr>
              <w:keepNext/>
              <w:cnfStyle w:val="100000000000" w:firstRow="1" w:lastRow="0" w:firstColumn="0" w:lastColumn="0" w:oddVBand="0" w:evenVBand="0" w:oddHBand="0" w:evenHBand="0" w:firstRowFirstColumn="0" w:firstRowLastColumn="0" w:lastRowFirstColumn="0" w:lastRowLastColumn="0"/>
              <w:rPr>
                <w:sz w:val="18"/>
                <w:szCs w:val="18"/>
              </w:rPr>
            </w:pPr>
            <w:r w:rsidRPr="00C239FD">
              <w:rPr>
                <w:sz w:val="18"/>
                <w:szCs w:val="18"/>
              </w:rPr>
              <w:t>Measure</w:t>
            </w:r>
          </w:p>
        </w:tc>
        <w:tc>
          <w:tcPr>
            <w:tcW w:w="2054" w:type="dxa"/>
            <w:tcBorders>
              <w:bottom w:val="nil"/>
            </w:tcBorders>
            <w:shd w:val="clear" w:color="auto" w:fill="5D7A38"/>
          </w:tcPr>
          <w:p w14:paraId="6DD13B4B" w14:textId="77777777" w:rsidR="00C8219A" w:rsidRPr="00C239FD" w:rsidRDefault="00C8219A" w:rsidP="00A245F6">
            <w:pPr>
              <w:keepNext/>
              <w:cnfStyle w:val="100000000000" w:firstRow="1" w:lastRow="0" w:firstColumn="0" w:lastColumn="0" w:oddVBand="0" w:evenVBand="0" w:oddHBand="0" w:evenHBand="0" w:firstRowFirstColumn="0" w:firstRowLastColumn="0" w:lastRowFirstColumn="0" w:lastRowLastColumn="0"/>
              <w:rPr>
                <w:bCs/>
                <w:sz w:val="18"/>
                <w:szCs w:val="18"/>
              </w:rPr>
            </w:pPr>
            <w:r w:rsidRPr="00C239FD">
              <w:rPr>
                <w:bCs/>
                <w:sz w:val="18"/>
                <w:szCs w:val="18"/>
              </w:rPr>
              <w:t>Value of cost</w:t>
            </w:r>
          </w:p>
        </w:tc>
        <w:tc>
          <w:tcPr>
            <w:tcW w:w="2054" w:type="dxa"/>
            <w:tcBorders>
              <w:bottom w:val="nil"/>
            </w:tcBorders>
            <w:shd w:val="clear" w:color="auto" w:fill="5D7A38"/>
          </w:tcPr>
          <w:p w14:paraId="0EDCAD5A" w14:textId="77777777" w:rsidR="00C8219A" w:rsidRPr="00C239FD" w:rsidRDefault="00C8219A" w:rsidP="00A245F6">
            <w:pPr>
              <w:keepNext/>
              <w:cnfStyle w:val="100000000000" w:firstRow="1" w:lastRow="0" w:firstColumn="0" w:lastColumn="0" w:oddVBand="0" w:evenVBand="0" w:oddHBand="0" w:evenHBand="0" w:firstRowFirstColumn="0" w:firstRowLastColumn="0" w:lastRowFirstColumn="0" w:lastRowLastColumn="0"/>
              <w:rPr>
                <w:bCs/>
                <w:sz w:val="18"/>
                <w:szCs w:val="18"/>
              </w:rPr>
            </w:pPr>
            <w:r w:rsidRPr="00C239FD">
              <w:rPr>
                <w:bCs/>
                <w:sz w:val="18"/>
                <w:szCs w:val="18"/>
              </w:rPr>
              <w:t>Value of benefit</w:t>
            </w:r>
          </w:p>
        </w:tc>
      </w:tr>
      <w:tr w:rsidR="00C8219A" w:rsidRPr="00450959" w14:paraId="3654D07F" w14:textId="77777777" w:rsidTr="00C82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bottom w:val="single" w:sz="4" w:space="0" w:color="auto"/>
            </w:tcBorders>
          </w:tcPr>
          <w:p w14:paraId="0085B0BB" w14:textId="77777777" w:rsidR="00C8219A" w:rsidRPr="00C239FD" w:rsidRDefault="00C8219A" w:rsidP="00A245F6">
            <w:pPr>
              <w:keepNext/>
              <w:rPr>
                <w:sz w:val="18"/>
                <w:szCs w:val="18"/>
              </w:rPr>
            </w:pPr>
            <w:r w:rsidRPr="00C239FD">
              <w:rPr>
                <w:sz w:val="18"/>
                <w:szCs w:val="18"/>
              </w:rPr>
              <w:t xml:space="preserve">Reduced contact with the criminal justice system </w:t>
            </w:r>
          </w:p>
        </w:tc>
        <w:tc>
          <w:tcPr>
            <w:tcW w:w="2634" w:type="dxa"/>
            <w:tcBorders>
              <w:bottom w:val="single" w:sz="4" w:space="0" w:color="auto"/>
            </w:tcBorders>
          </w:tcPr>
          <w:p w14:paraId="23D99E2C" w14:textId="77777777" w:rsidR="00C8219A" w:rsidRPr="00C239FD" w:rsidRDefault="00C8219A" w:rsidP="00A245F6">
            <w:pPr>
              <w:keepNext/>
              <w:cnfStyle w:val="000000100000" w:firstRow="0" w:lastRow="0" w:firstColumn="0" w:lastColumn="0" w:oddVBand="0" w:evenVBand="0" w:oddHBand="1" w:evenHBand="0" w:firstRowFirstColumn="0" w:firstRowLastColumn="0" w:lastRowFirstColumn="0" w:lastRowLastColumn="0"/>
              <w:rPr>
                <w:sz w:val="18"/>
                <w:szCs w:val="18"/>
              </w:rPr>
            </w:pPr>
            <w:r w:rsidRPr="00C239FD">
              <w:rPr>
                <w:sz w:val="18"/>
                <w:szCs w:val="18"/>
              </w:rPr>
              <w:t>Average direct savings over 12 months associated with reduced incarceration (this is an underestimate as it does not include costs associated with policing, court and legal aid, or the value of reduced harm to victims and criminal damage)</w:t>
            </w:r>
          </w:p>
        </w:tc>
        <w:tc>
          <w:tcPr>
            <w:tcW w:w="2054" w:type="dxa"/>
            <w:tcBorders>
              <w:bottom w:val="single" w:sz="4" w:space="0" w:color="auto"/>
            </w:tcBorders>
          </w:tcPr>
          <w:p w14:paraId="6E95C637" w14:textId="77777777" w:rsidR="00C8219A" w:rsidRPr="00C239FD" w:rsidRDefault="00C8219A" w:rsidP="00A245F6">
            <w:pPr>
              <w:keepNext/>
              <w:cnfStyle w:val="000000100000" w:firstRow="0" w:lastRow="0" w:firstColumn="0" w:lastColumn="0" w:oddVBand="0" w:evenVBand="0" w:oddHBand="1" w:evenHBand="0" w:firstRowFirstColumn="0" w:firstRowLastColumn="0" w:lastRowFirstColumn="0" w:lastRowLastColumn="0"/>
              <w:rPr>
                <w:b/>
                <w:sz w:val="18"/>
                <w:szCs w:val="18"/>
              </w:rPr>
            </w:pPr>
          </w:p>
        </w:tc>
        <w:tc>
          <w:tcPr>
            <w:tcW w:w="2054" w:type="dxa"/>
            <w:tcBorders>
              <w:bottom w:val="single" w:sz="4" w:space="0" w:color="auto"/>
            </w:tcBorders>
          </w:tcPr>
          <w:p w14:paraId="02E21539" w14:textId="77777777" w:rsidR="00C8219A" w:rsidRPr="00C239FD" w:rsidRDefault="00C8219A" w:rsidP="00A245F6">
            <w:pPr>
              <w:keepNext/>
              <w:cnfStyle w:val="000000100000" w:firstRow="0" w:lastRow="0" w:firstColumn="0" w:lastColumn="0" w:oddVBand="0" w:evenVBand="0" w:oddHBand="1" w:evenHBand="0" w:firstRowFirstColumn="0" w:firstRowLastColumn="0" w:lastRowFirstColumn="0" w:lastRowLastColumn="0"/>
              <w:rPr>
                <w:b/>
                <w:sz w:val="18"/>
                <w:szCs w:val="18"/>
              </w:rPr>
            </w:pPr>
            <w:r w:rsidRPr="00C239FD">
              <w:rPr>
                <w:b/>
                <w:sz w:val="18"/>
                <w:szCs w:val="18"/>
              </w:rPr>
              <w:t xml:space="preserve">$287 </w:t>
            </w:r>
            <w:r w:rsidRPr="00C239FD">
              <w:rPr>
                <w:sz w:val="18"/>
                <w:szCs w:val="18"/>
              </w:rPr>
              <w:t>per participant</w:t>
            </w:r>
          </w:p>
        </w:tc>
      </w:tr>
      <w:tr w:rsidR="00C8219A" w:rsidRPr="00450959" w14:paraId="25000C1B" w14:textId="77777777" w:rsidTr="00C821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bottom w:val="single" w:sz="4" w:space="0" w:color="auto"/>
            </w:tcBorders>
          </w:tcPr>
          <w:p w14:paraId="6ECF7918" w14:textId="77777777" w:rsidR="00C8219A" w:rsidRPr="00C239FD" w:rsidRDefault="00C8219A" w:rsidP="00A245F6">
            <w:pPr>
              <w:rPr>
                <w:sz w:val="18"/>
                <w:szCs w:val="18"/>
              </w:rPr>
            </w:pPr>
            <w:r w:rsidRPr="00C239FD">
              <w:rPr>
                <w:sz w:val="18"/>
                <w:szCs w:val="18"/>
              </w:rPr>
              <w:t xml:space="preserve">Increased personal wellbeing </w:t>
            </w:r>
          </w:p>
        </w:tc>
        <w:tc>
          <w:tcPr>
            <w:tcW w:w="2634" w:type="dxa"/>
            <w:tcBorders>
              <w:top w:val="single" w:sz="4" w:space="0" w:color="auto"/>
              <w:bottom w:val="single" w:sz="4" w:space="0" w:color="auto"/>
            </w:tcBorders>
          </w:tcPr>
          <w:p w14:paraId="28658036" w14:textId="6CCAD75D"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sz w:val="18"/>
                <w:szCs w:val="18"/>
              </w:rPr>
            </w:pPr>
            <w:r w:rsidRPr="00C239FD">
              <w:rPr>
                <w:sz w:val="18"/>
                <w:szCs w:val="18"/>
              </w:rPr>
              <w:t xml:space="preserve">Average value of increased wellbeing (assuming improved wellbeing effect lasts </w:t>
            </w:r>
            <w:r w:rsidR="00F8391B" w:rsidRPr="00C239FD">
              <w:rPr>
                <w:sz w:val="18"/>
                <w:szCs w:val="18"/>
              </w:rPr>
              <w:t>6</w:t>
            </w:r>
            <w:r w:rsidRPr="00C239FD">
              <w:rPr>
                <w:sz w:val="18"/>
                <w:szCs w:val="18"/>
              </w:rPr>
              <w:t xml:space="preserve"> months)</w:t>
            </w:r>
          </w:p>
        </w:tc>
        <w:tc>
          <w:tcPr>
            <w:tcW w:w="2054" w:type="dxa"/>
            <w:tcBorders>
              <w:top w:val="single" w:sz="4" w:space="0" w:color="auto"/>
              <w:bottom w:val="single" w:sz="4" w:space="0" w:color="auto"/>
            </w:tcBorders>
          </w:tcPr>
          <w:p w14:paraId="58F46012" w14:textId="77777777"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b/>
                <w:bCs/>
                <w:sz w:val="18"/>
                <w:szCs w:val="18"/>
              </w:rPr>
            </w:pPr>
          </w:p>
        </w:tc>
        <w:tc>
          <w:tcPr>
            <w:tcW w:w="2054" w:type="dxa"/>
            <w:tcBorders>
              <w:top w:val="single" w:sz="4" w:space="0" w:color="auto"/>
              <w:bottom w:val="single" w:sz="4" w:space="0" w:color="auto"/>
            </w:tcBorders>
          </w:tcPr>
          <w:p w14:paraId="3216852E" w14:textId="3CB5030C"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b/>
                <w:bCs/>
                <w:sz w:val="18"/>
                <w:szCs w:val="18"/>
              </w:rPr>
            </w:pPr>
            <w:r w:rsidRPr="00C239FD">
              <w:rPr>
                <w:b/>
                <w:bCs/>
                <w:sz w:val="18"/>
                <w:szCs w:val="18"/>
              </w:rPr>
              <w:t>$3,170</w:t>
            </w:r>
            <w:r w:rsidR="00F8391B" w:rsidRPr="00C239FD">
              <w:rPr>
                <w:b/>
                <w:bCs/>
                <w:sz w:val="18"/>
                <w:szCs w:val="18"/>
              </w:rPr>
              <w:t xml:space="preserve"> </w:t>
            </w:r>
            <w:r w:rsidR="005E161E" w:rsidRPr="00C239FD">
              <w:rPr>
                <w:b/>
                <w:bCs/>
                <w:sz w:val="18"/>
                <w:szCs w:val="18"/>
              </w:rPr>
              <w:t>to</w:t>
            </w:r>
            <w:r w:rsidR="00F8391B" w:rsidRPr="00C239FD">
              <w:rPr>
                <w:b/>
                <w:bCs/>
                <w:sz w:val="18"/>
                <w:szCs w:val="18"/>
              </w:rPr>
              <w:t xml:space="preserve"> </w:t>
            </w:r>
            <w:r w:rsidRPr="00C239FD">
              <w:rPr>
                <w:b/>
                <w:bCs/>
                <w:sz w:val="18"/>
                <w:szCs w:val="18"/>
              </w:rPr>
              <w:t xml:space="preserve">$20,777 </w:t>
            </w:r>
            <w:r w:rsidRPr="00C239FD">
              <w:rPr>
                <w:sz w:val="18"/>
                <w:szCs w:val="18"/>
              </w:rPr>
              <w:t>per participant</w:t>
            </w:r>
          </w:p>
        </w:tc>
      </w:tr>
      <w:tr w:rsidR="00C8219A" w:rsidRPr="00450959" w14:paraId="0651A0AA" w14:textId="77777777" w:rsidTr="00C82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bottom w:val="single" w:sz="4" w:space="0" w:color="auto"/>
            </w:tcBorders>
            <w:shd w:val="clear" w:color="auto" w:fill="D9D9D9"/>
          </w:tcPr>
          <w:p w14:paraId="0DDD2BD9" w14:textId="77777777" w:rsidR="00C8219A" w:rsidRPr="00C239FD" w:rsidRDefault="00C8219A" w:rsidP="00A245F6">
            <w:pPr>
              <w:rPr>
                <w:sz w:val="18"/>
                <w:szCs w:val="18"/>
              </w:rPr>
            </w:pPr>
            <w:r w:rsidRPr="00C239FD">
              <w:rPr>
                <w:sz w:val="18"/>
                <w:szCs w:val="18"/>
              </w:rPr>
              <w:t>Total monetary value of benefits per participant</w:t>
            </w:r>
          </w:p>
        </w:tc>
        <w:tc>
          <w:tcPr>
            <w:tcW w:w="2634" w:type="dxa"/>
            <w:tcBorders>
              <w:top w:val="single" w:sz="4" w:space="0" w:color="auto"/>
              <w:bottom w:val="single" w:sz="4" w:space="0" w:color="auto"/>
            </w:tcBorders>
            <w:shd w:val="clear" w:color="auto" w:fill="D9D9D9"/>
          </w:tcPr>
          <w:p w14:paraId="78E7D49B" w14:textId="77777777" w:rsidR="00C8219A" w:rsidRPr="00C239FD" w:rsidRDefault="00C8219A" w:rsidP="00A245F6">
            <w:pPr>
              <w:cnfStyle w:val="000000100000" w:firstRow="0" w:lastRow="0" w:firstColumn="0" w:lastColumn="0" w:oddVBand="0" w:evenVBand="0" w:oddHBand="1" w:evenHBand="0" w:firstRowFirstColumn="0" w:firstRowLastColumn="0" w:lastRowFirstColumn="0" w:lastRowLastColumn="0"/>
              <w:rPr>
                <w:sz w:val="18"/>
                <w:szCs w:val="18"/>
              </w:rPr>
            </w:pPr>
          </w:p>
        </w:tc>
        <w:tc>
          <w:tcPr>
            <w:tcW w:w="2054" w:type="dxa"/>
            <w:tcBorders>
              <w:top w:val="single" w:sz="4" w:space="0" w:color="auto"/>
              <w:bottom w:val="single" w:sz="4" w:space="0" w:color="auto"/>
            </w:tcBorders>
            <w:shd w:val="clear" w:color="auto" w:fill="D9D9D9"/>
          </w:tcPr>
          <w:p w14:paraId="70D44806" w14:textId="77777777" w:rsidR="00C8219A" w:rsidRPr="00C239FD" w:rsidRDefault="00C8219A" w:rsidP="00A245F6">
            <w:pPr>
              <w:cnfStyle w:val="000000100000" w:firstRow="0" w:lastRow="0" w:firstColumn="0" w:lastColumn="0" w:oddVBand="0" w:evenVBand="0" w:oddHBand="1" w:evenHBand="0" w:firstRowFirstColumn="0" w:firstRowLastColumn="0" w:lastRowFirstColumn="0" w:lastRowLastColumn="0"/>
              <w:rPr>
                <w:b/>
                <w:bCs/>
                <w:sz w:val="18"/>
                <w:szCs w:val="18"/>
              </w:rPr>
            </w:pPr>
          </w:p>
        </w:tc>
        <w:tc>
          <w:tcPr>
            <w:tcW w:w="2054" w:type="dxa"/>
            <w:tcBorders>
              <w:top w:val="single" w:sz="4" w:space="0" w:color="auto"/>
              <w:bottom w:val="single" w:sz="4" w:space="0" w:color="auto"/>
            </w:tcBorders>
            <w:shd w:val="clear" w:color="auto" w:fill="D9D9D9"/>
          </w:tcPr>
          <w:p w14:paraId="1ADC08FD" w14:textId="0742AB5F" w:rsidR="00C8219A" w:rsidRPr="00C239FD" w:rsidRDefault="00C8219A" w:rsidP="00A245F6">
            <w:pPr>
              <w:cnfStyle w:val="000000100000" w:firstRow="0" w:lastRow="0" w:firstColumn="0" w:lastColumn="0" w:oddVBand="0" w:evenVBand="0" w:oddHBand="1" w:evenHBand="0" w:firstRowFirstColumn="0" w:firstRowLastColumn="0" w:lastRowFirstColumn="0" w:lastRowLastColumn="0"/>
              <w:rPr>
                <w:b/>
                <w:bCs/>
                <w:sz w:val="18"/>
                <w:szCs w:val="18"/>
              </w:rPr>
            </w:pPr>
            <w:r w:rsidRPr="00C239FD">
              <w:rPr>
                <w:b/>
                <w:bCs/>
                <w:sz w:val="18"/>
                <w:szCs w:val="18"/>
              </w:rPr>
              <w:t>$</w:t>
            </w:r>
            <w:r w:rsidR="003F5770" w:rsidRPr="00C239FD">
              <w:rPr>
                <w:b/>
                <w:bCs/>
                <w:sz w:val="18"/>
                <w:szCs w:val="18"/>
              </w:rPr>
              <w:t>3,457</w:t>
            </w:r>
            <w:r w:rsidR="00F8391B" w:rsidRPr="00C239FD">
              <w:rPr>
                <w:b/>
                <w:bCs/>
                <w:sz w:val="18"/>
                <w:szCs w:val="18"/>
              </w:rPr>
              <w:t xml:space="preserve"> </w:t>
            </w:r>
            <w:r w:rsidR="005E161E" w:rsidRPr="00C239FD">
              <w:rPr>
                <w:b/>
                <w:bCs/>
                <w:sz w:val="18"/>
                <w:szCs w:val="18"/>
              </w:rPr>
              <w:t>to</w:t>
            </w:r>
            <w:r w:rsidR="00F8391B" w:rsidRPr="00C239FD">
              <w:rPr>
                <w:b/>
                <w:bCs/>
                <w:sz w:val="18"/>
                <w:szCs w:val="18"/>
              </w:rPr>
              <w:t xml:space="preserve"> </w:t>
            </w:r>
            <w:r w:rsidRPr="00C239FD">
              <w:rPr>
                <w:b/>
                <w:bCs/>
                <w:sz w:val="18"/>
                <w:szCs w:val="18"/>
              </w:rPr>
              <w:t xml:space="preserve">$21,924 </w:t>
            </w:r>
            <w:r w:rsidRPr="00C239FD">
              <w:rPr>
                <w:sz w:val="18"/>
                <w:szCs w:val="18"/>
              </w:rPr>
              <w:t>per participant</w:t>
            </w:r>
          </w:p>
        </w:tc>
      </w:tr>
      <w:tr w:rsidR="00C8219A" w:rsidRPr="00450959" w14:paraId="527A47AD" w14:textId="77777777" w:rsidTr="00C821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bottom w:val="single" w:sz="4" w:space="0" w:color="auto"/>
            </w:tcBorders>
          </w:tcPr>
          <w:p w14:paraId="048D4991" w14:textId="71804EF0" w:rsidR="00C8219A" w:rsidRPr="00C239FD" w:rsidRDefault="00C8219A" w:rsidP="00A245F6">
            <w:pPr>
              <w:rPr>
                <w:sz w:val="18"/>
                <w:szCs w:val="18"/>
              </w:rPr>
            </w:pPr>
            <w:r w:rsidRPr="00C239FD">
              <w:rPr>
                <w:sz w:val="18"/>
                <w:szCs w:val="18"/>
              </w:rPr>
              <w:t>Expenditure by DESE</w:t>
            </w:r>
            <w:r w:rsidR="004E570B" w:rsidRPr="00C239FD">
              <w:rPr>
                <w:sz w:val="18"/>
                <w:szCs w:val="18"/>
              </w:rPr>
              <w:t>:</w:t>
            </w:r>
            <w:r w:rsidRPr="00C239FD">
              <w:rPr>
                <w:sz w:val="18"/>
                <w:szCs w:val="18"/>
              </w:rPr>
              <w:t xml:space="preserve"> </w:t>
            </w:r>
            <w:r w:rsidR="004E570B" w:rsidRPr="00C239FD">
              <w:rPr>
                <w:sz w:val="18"/>
                <w:szCs w:val="18"/>
              </w:rPr>
              <w:t>a</w:t>
            </w:r>
            <w:r w:rsidRPr="00C239FD">
              <w:rPr>
                <w:sz w:val="18"/>
                <w:szCs w:val="18"/>
              </w:rPr>
              <w:t xml:space="preserve">dditional unit cost for a TtW participant </w:t>
            </w:r>
          </w:p>
        </w:tc>
        <w:tc>
          <w:tcPr>
            <w:tcW w:w="2634" w:type="dxa"/>
            <w:tcBorders>
              <w:top w:val="single" w:sz="4" w:space="0" w:color="auto"/>
              <w:bottom w:val="single" w:sz="4" w:space="0" w:color="auto"/>
            </w:tcBorders>
          </w:tcPr>
          <w:p w14:paraId="3B4BEECE" w14:textId="77777777"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b/>
                <w:bCs/>
                <w:sz w:val="18"/>
                <w:szCs w:val="18"/>
              </w:rPr>
            </w:pPr>
            <w:r w:rsidRPr="00C239FD">
              <w:rPr>
                <w:sz w:val="18"/>
                <w:szCs w:val="18"/>
              </w:rPr>
              <w:t>Average additional cost associated with TtW servicing over 12 months</w:t>
            </w:r>
          </w:p>
        </w:tc>
        <w:tc>
          <w:tcPr>
            <w:tcW w:w="2054" w:type="dxa"/>
            <w:tcBorders>
              <w:top w:val="single" w:sz="4" w:space="0" w:color="auto"/>
              <w:bottom w:val="single" w:sz="4" w:space="0" w:color="auto"/>
            </w:tcBorders>
          </w:tcPr>
          <w:p w14:paraId="6B153857" w14:textId="297A1203"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b/>
                <w:bCs/>
                <w:sz w:val="18"/>
                <w:szCs w:val="18"/>
              </w:rPr>
            </w:pPr>
            <w:r w:rsidRPr="00C239FD">
              <w:rPr>
                <w:b/>
                <w:bCs/>
                <w:sz w:val="18"/>
                <w:szCs w:val="18"/>
              </w:rPr>
              <w:t xml:space="preserve">$3,242 </w:t>
            </w:r>
            <w:r w:rsidRPr="00C239FD">
              <w:rPr>
                <w:sz w:val="18"/>
                <w:szCs w:val="18"/>
              </w:rPr>
              <w:t>per participant</w:t>
            </w:r>
          </w:p>
        </w:tc>
        <w:tc>
          <w:tcPr>
            <w:tcW w:w="2054" w:type="dxa"/>
            <w:tcBorders>
              <w:top w:val="single" w:sz="4" w:space="0" w:color="auto"/>
              <w:bottom w:val="single" w:sz="4" w:space="0" w:color="auto"/>
            </w:tcBorders>
          </w:tcPr>
          <w:p w14:paraId="281F43D7" w14:textId="77777777"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b/>
                <w:bCs/>
                <w:sz w:val="18"/>
                <w:szCs w:val="18"/>
              </w:rPr>
            </w:pPr>
          </w:p>
        </w:tc>
      </w:tr>
      <w:tr w:rsidR="00C8219A" w:rsidRPr="00450959" w14:paraId="52E0CA95" w14:textId="77777777" w:rsidTr="00C82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bottom w:val="single" w:sz="4" w:space="0" w:color="auto"/>
            </w:tcBorders>
          </w:tcPr>
          <w:p w14:paraId="381C9702" w14:textId="77777777" w:rsidR="00C8219A" w:rsidRPr="00C239FD" w:rsidRDefault="00C8219A" w:rsidP="00A245F6">
            <w:pPr>
              <w:rPr>
                <w:sz w:val="18"/>
                <w:szCs w:val="18"/>
              </w:rPr>
            </w:pPr>
            <w:r w:rsidRPr="00C239FD">
              <w:rPr>
                <w:sz w:val="18"/>
                <w:szCs w:val="18"/>
              </w:rPr>
              <w:t>Increased income support payments associated with the small lock-in effect of TtW</w:t>
            </w:r>
          </w:p>
        </w:tc>
        <w:tc>
          <w:tcPr>
            <w:tcW w:w="2634" w:type="dxa"/>
            <w:tcBorders>
              <w:top w:val="single" w:sz="4" w:space="0" w:color="auto"/>
              <w:bottom w:val="single" w:sz="4" w:space="0" w:color="auto"/>
            </w:tcBorders>
          </w:tcPr>
          <w:p w14:paraId="3BD9F56E" w14:textId="77777777" w:rsidR="00C8219A" w:rsidRPr="00C239FD" w:rsidRDefault="00C8219A" w:rsidP="00A245F6">
            <w:pPr>
              <w:cnfStyle w:val="000000100000" w:firstRow="0" w:lastRow="0" w:firstColumn="0" w:lastColumn="0" w:oddVBand="0" w:evenVBand="0" w:oddHBand="1" w:evenHBand="0" w:firstRowFirstColumn="0" w:firstRowLastColumn="0" w:lastRowFirstColumn="0" w:lastRowLastColumn="0"/>
              <w:rPr>
                <w:sz w:val="18"/>
                <w:szCs w:val="18"/>
              </w:rPr>
            </w:pPr>
            <w:r w:rsidRPr="00C239FD">
              <w:rPr>
                <w:sz w:val="18"/>
                <w:szCs w:val="18"/>
              </w:rPr>
              <w:t>Average per person cost associated with small lock-in effect of TtW over 12 months</w:t>
            </w:r>
          </w:p>
        </w:tc>
        <w:tc>
          <w:tcPr>
            <w:tcW w:w="2054" w:type="dxa"/>
            <w:tcBorders>
              <w:top w:val="single" w:sz="4" w:space="0" w:color="auto"/>
              <w:bottom w:val="single" w:sz="4" w:space="0" w:color="auto"/>
            </w:tcBorders>
          </w:tcPr>
          <w:p w14:paraId="33A93E4D" w14:textId="4614DD49" w:rsidR="00C8219A" w:rsidRPr="00C239FD" w:rsidRDefault="00C8219A" w:rsidP="00A245F6">
            <w:pPr>
              <w:cnfStyle w:val="000000100000" w:firstRow="0" w:lastRow="0" w:firstColumn="0" w:lastColumn="0" w:oddVBand="0" w:evenVBand="0" w:oddHBand="1" w:evenHBand="0" w:firstRowFirstColumn="0" w:firstRowLastColumn="0" w:lastRowFirstColumn="0" w:lastRowLastColumn="0"/>
              <w:rPr>
                <w:b/>
                <w:bCs/>
                <w:sz w:val="18"/>
                <w:szCs w:val="18"/>
              </w:rPr>
            </w:pPr>
            <w:r w:rsidRPr="00C239FD">
              <w:rPr>
                <w:b/>
                <w:bCs/>
                <w:sz w:val="18"/>
                <w:szCs w:val="18"/>
              </w:rPr>
              <w:t xml:space="preserve">$281 </w:t>
            </w:r>
            <w:r w:rsidRPr="00C239FD">
              <w:rPr>
                <w:sz w:val="18"/>
                <w:szCs w:val="18"/>
              </w:rPr>
              <w:t>per participant</w:t>
            </w:r>
          </w:p>
        </w:tc>
        <w:tc>
          <w:tcPr>
            <w:tcW w:w="2054" w:type="dxa"/>
            <w:tcBorders>
              <w:top w:val="single" w:sz="4" w:space="0" w:color="auto"/>
              <w:bottom w:val="single" w:sz="4" w:space="0" w:color="auto"/>
            </w:tcBorders>
          </w:tcPr>
          <w:p w14:paraId="7EC7D26E" w14:textId="77777777" w:rsidR="00C8219A" w:rsidRPr="00C239FD" w:rsidRDefault="00C8219A" w:rsidP="00A245F6">
            <w:pPr>
              <w:cnfStyle w:val="000000100000" w:firstRow="0" w:lastRow="0" w:firstColumn="0" w:lastColumn="0" w:oddVBand="0" w:evenVBand="0" w:oddHBand="1" w:evenHBand="0" w:firstRowFirstColumn="0" w:firstRowLastColumn="0" w:lastRowFirstColumn="0" w:lastRowLastColumn="0"/>
              <w:rPr>
                <w:b/>
                <w:bCs/>
                <w:sz w:val="18"/>
                <w:szCs w:val="18"/>
              </w:rPr>
            </w:pPr>
          </w:p>
        </w:tc>
      </w:tr>
      <w:tr w:rsidR="00C8219A" w:rsidRPr="00450959" w14:paraId="405C3C0D" w14:textId="77777777" w:rsidTr="000052A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4" w:space="0" w:color="auto"/>
              <w:bottom w:val="single" w:sz="12" w:space="0" w:color="auto"/>
            </w:tcBorders>
            <w:shd w:val="clear" w:color="auto" w:fill="auto"/>
          </w:tcPr>
          <w:p w14:paraId="14C8A374" w14:textId="77777777" w:rsidR="00C8219A" w:rsidRPr="00C239FD" w:rsidRDefault="00C8219A" w:rsidP="00A245F6">
            <w:pPr>
              <w:rPr>
                <w:sz w:val="18"/>
                <w:szCs w:val="18"/>
              </w:rPr>
            </w:pPr>
            <w:r w:rsidRPr="00C239FD">
              <w:rPr>
                <w:sz w:val="18"/>
                <w:szCs w:val="18"/>
              </w:rPr>
              <w:t>Total cost per participant</w:t>
            </w:r>
          </w:p>
        </w:tc>
        <w:tc>
          <w:tcPr>
            <w:tcW w:w="2634" w:type="dxa"/>
            <w:tcBorders>
              <w:top w:val="single" w:sz="4" w:space="0" w:color="auto"/>
              <w:bottom w:val="single" w:sz="12" w:space="0" w:color="auto"/>
            </w:tcBorders>
            <w:shd w:val="clear" w:color="auto" w:fill="auto"/>
          </w:tcPr>
          <w:p w14:paraId="70334D23" w14:textId="77777777"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sz w:val="18"/>
                <w:szCs w:val="18"/>
              </w:rPr>
            </w:pPr>
          </w:p>
        </w:tc>
        <w:tc>
          <w:tcPr>
            <w:tcW w:w="2054" w:type="dxa"/>
            <w:tcBorders>
              <w:top w:val="single" w:sz="4" w:space="0" w:color="auto"/>
              <w:bottom w:val="single" w:sz="12" w:space="0" w:color="auto"/>
            </w:tcBorders>
            <w:shd w:val="clear" w:color="auto" w:fill="auto"/>
          </w:tcPr>
          <w:p w14:paraId="7B233A29" w14:textId="464810AA"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b/>
                <w:bCs/>
                <w:sz w:val="18"/>
                <w:szCs w:val="18"/>
              </w:rPr>
            </w:pPr>
            <w:r w:rsidRPr="00C239FD">
              <w:rPr>
                <w:b/>
                <w:bCs/>
                <w:sz w:val="18"/>
                <w:szCs w:val="18"/>
              </w:rPr>
              <w:t>$</w:t>
            </w:r>
            <w:r w:rsidR="003F5770" w:rsidRPr="00C239FD">
              <w:rPr>
                <w:b/>
                <w:bCs/>
                <w:sz w:val="18"/>
                <w:szCs w:val="18"/>
              </w:rPr>
              <w:t>3,523</w:t>
            </w:r>
          </w:p>
        </w:tc>
        <w:tc>
          <w:tcPr>
            <w:tcW w:w="2054" w:type="dxa"/>
            <w:tcBorders>
              <w:top w:val="single" w:sz="4" w:space="0" w:color="auto"/>
              <w:bottom w:val="single" w:sz="12" w:space="0" w:color="auto"/>
            </w:tcBorders>
            <w:shd w:val="clear" w:color="auto" w:fill="auto"/>
          </w:tcPr>
          <w:p w14:paraId="117B403E" w14:textId="77777777" w:rsidR="00C8219A" w:rsidRPr="00C239FD" w:rsidRDefault="00C8219A" w:rsidP="00A245F6">
            <w:pPr>
              <w:cnfStyle w:val="000000010000" w:firstRow="0" w:lastRow="0" w:firstColumn="0" w:lastColumn="0" w:oddVBand="0" w:evenVBand="0" w:oddHBand="0" w:evenHBand="1" w:firstRowFirstColumn="0" w:firstRowLastColumn="0" w:lastRowFirstColumn="0" w:lastRowLastColumn="0"/>
              <w:rPr>
                <w:b/>
                <w:bCs/>
                <w:sz w:val="18"/>
                <w:szCs w:val="18"/>
              </w:rPr>
            </w:pPr>
          </w:p>
        </w:tc>
      </w:tr>
      <w:tr w:rsidR="00C8219A" w:rsidRPr="00450959" w14:paraId="79E68F82" w14:textId="77777777" w:rsidTr="00C82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top w:val="single" w:sz="12" w:space="0" w:color="auto"/>
              <w:bottom w:val="single" w:sz="4" w:space="0" w:color="1E3D6B"/>
            </w:tcBorders>
          </w:tcPr>
          <w:p w14:paraId="2D789B09" w14:textId="79D2213E" w:rsidR="00C8219A" w:rsidRPr="00C239FD" w:rsidRDefault="00C8219A" w:rsidP="00A245F6">
            <w:pPr>
              <w:rPr>
                <w:b w:val="0"/>
                <w:bCs/>
                <w:sz w:val="18"/>
                <w:szCs w:val="18"/>
              </w:rPr>
            </w:pPr>
            <w:r w:rsidRPr="00C239FD">
              <w:rPr>
                <w:bCs/>
                <w:sz w:val="18"/>
                <w:szCs w:val="18"/>
              </w:rPr>
              <w:t xml:space="preserve">Cost : </w:t>
            </w:r>
            <w:r w:rsidR="004E570B" w:rsidRPr="00C239FD">
              <w:rPr>
                <w:bCs/>
                <w:sz w:val="18"/>
                <w:szCs w:val="18"/>
              </w:rPr>
              <w:t>b</w:t>
            </w:r>
            <w:r w:rsidRPr="00C239FD">
              <w:rPr>
                <w:bCs/>
                <w:sz w:val="18"/>
                <w:szCs w:val="18"/>
              </w:rPr>
              <w:t xml:space="preserve">enefit </w:t>
            </w:r>
            <w:r w:rsidR="004E570B" w:rsidRPr="00C239FD">
              <w:rPr>
                <w:bCs/>
                <w:sz w:val="18"/>
                <w:szCs w:val="18"/>
              </w:rPr>
              <w:t>r</w:t>
            </w:r>
            <w:r w:rsidRPr="00C239FD">
              <w:rPr>
                <w:bCs/>
                <w:sz w:val="18"/>
                <w:szCs w:val="18"/>
              </w:rPr>
              <w:t>atio</w:t>
            </w:r>
          </w:p>
        </w:tc>
        <w:tc>
          <w:tcPr>
            <w:tcW w:w="2634" w:type="dxa"/>
            <w:tcBorders>
              <w:top w:val="single" w:sz="12" w:space="0" w:color="auto"/>
              <w:bottom w:val="single" w:sz="4" w:space="0" w:color="1E3D6B"/>
            </w:tcBorders>
          </w:tcPr>
          <w:p w14:paraId="06E079B8" w14:textId="77777777" w:rsidR="00C8219A" w:rsidRPr="00C239FD" w:rsidRDefault="00C8219A" w:rsidP="00A245F6">
            <w:pPr>
              <w:cnfStyle w:val="000000100000" w:firstRow="0" w:lastRow="0" w:firstColumn="0" w:lastColumn="0" w:oddVBand="0" w:evenVBand="0" w:oddHBand="1" w:evenHBand="0" w:firstRowFirstColumn="0" w:firstRowLastColumn="0" w:lastRowFirstColumn="0" w:lastRowLastColumn="0"/>
              <w:rPr>
                <w:b/>
                <w:bCs/>
                <w:sz w:val="18"/>
                <w:szCs w:val="18"/>
              </w:rPr>
            </w:pPr>
          </w:p>
        </w:tc>
        <w:tc>
          <w:tcPr>
            <w:tcW w:w="2054" w:type="dxa"/>
            <w:tcBorders>
              <w:top w:val="single" w:sz="12" w:space="0" w:color="auto"/>
              <w:bottom w:val="single" w:sz="4" w:space="0" w:color="1E3D6B"/>
            </w:tcBorders>
          </w:tcPr>
          <w:p w14:paraId="6CAA4C53" w14:textId="77777777" w:rsidR="00C8219A" w:rsidRPr="00C239FD" w:rsidDel="00B73504" w:rsidRDefault="00C8219A" w:rsidP="00A245F6">
            <w:pPr>
              <w:cnfStyle w:val="000000100000" w:firstRow="0" w:lastRow="0" w:firstColumn="0" w:lastColumn="0" w:oddVBand="0" w:evenVBand="0" w:oddHBand="1" w:evenHBand="0" w:firstRowFirstColumn="0" w:firstRowLastColumn="0" w:lastRowFirstColumn="0" w:lastRowLastColumn="0"/>
              <w:rPr>
                <w:b/>
                <w:bCs/>
                <w:sz w:val="18"/>
                <w:szCs w:val="18"/>
              </w:rPr>
            </w:pPr>
            <w:r w:rsidRPr="00C239FD">
              <w:rPr>
                <w:b/>
                <w:bCs/>
                <w:sz w:val="18"/>
                <w:szCs w:val="18"/>
              </w:rPr>
              <w:t>1</w:t>
            </w:r>
          </w:p>
        </w:tc>
        <w:tc>
          <w:tcPr>
            <w:tcW w:w="2054" w:type="dxa"/>
            <w:tcBorders>
              <w:top w:val="single" w:sz="12" w:space="0" w:color="auto"/>
              <w:bottom w:val="single" w:sz="4" w:space="0" w:color="1E3D6B"/>
            </w:tcBorders>
          </w:tcPr>
          <w:p w14:paraId="5C3F0D1A" w14:textId="0D524C4D" w:rsidR="00C8219A" w:rsidRPr="00C239FD" w:rsidRDefault="00C8219A" w:rsidP="00A245F6">
            <w:pPr>
              <w:cnfStyle w:val="000000100000" w:firstRow="0" w:lastRow="0" w:firstColumn="0" w:lastColumn="0" w:oddVBand="0" w:evenVBand="0" w:oddHBand="1" w:evenHBand="0" w:firstRowFirstColumn="0" w:firstRowLastColumn="0" w:lastRowFirstColumn="0" w:lastRowLastColumn="0"/>
              <w:rPr>
                <w:b/>
                <w:bCs/>
                <w:sz w:val="18"/>
                <w:szCs w:val="18"/>
              </w:rPr>
            </w:pPr>
            <w:r w:rsidRPr="00C239FD">
              <w:rPr>
                <w:b/>
                <w:bCs/>
                <w:sz w:val="18"/>
                <w:szCs w:val="18"/>
              </w:rPr>
              <w:t xml:space="preserve">1 </w:t>
            </w:r>
            <w:r w:rsidR="004E570B" w:rsidRPr="00C239FD">
              <w:rPr>
                <w:b/>
                <w:bCs/>
                <w:sz w:val="18"/>
                <w:szCs w:val="18"/>
              </w:rPr>
              <w:t>to</w:t>
            </w:r>
            <w:r w:rsidRPr="00C239FD">
              <w:rPr>
                <w:b/>
                <w:bCs/>
                <w:sz w:val="18"/>
                <w:szCs w:val="18"/>
              </w:rPr>
              <w:t xml:space="preserve"> 6</w:t>
            </w:r>
          </w:p>
        </w:tc>
      </w:tr>
    </w:tbl>
    <w:p w14:paraId="3C0BF7A0" w14:textId="77777777" w:rsidR="0032595B" w:rsidRPr="006079C0" w:rsidRDefault="0032595B" w:rsidP="00C239FD">
      <w:pPr>
        <w:pStyle w:val="SourceandNotes"/>
      </w:pPr>
      <w:r>
        <w:t xml:space="preserve">Source: </w:t>
      </w:r>
      <w:r w:rsidRPr="00450959">
        <w:t>Summary</w:t>
      </w:r>
      <w:r>
        <w:t xml:space="preserve"> of above analysis</w:t>
      </w:r>
    </w:p>
    <w:p w14:paraId="0779B0C0" w14:textId="0DC8D959" w:rsidR="00D617CB" w:rsidRDefault="57369EAD" w:rsidP="00F975E8">
      <w:pPr>
        <w:pStyle w:val="Heading2"/>
      </w:pPr>
      <w:bookmarkStart w:id="3789" w:name="_Toc132650524"/>
      <w:bookmarkStart w:id="3790" w:name="_Toc146033554"/>
      <w:r>
        <w:lastRenderedPageBreak/>
        <w:t>Conclusion</w:t>
      </w:r>
      <w:bookmarkEnd w:id="3789"/>
      <w:bookmarkEnd w:id="3790"/>
    </w:p>
    <w:p w14:paraId="3F740501" w14:textId="77E5CCA3" w:rsidR="00504455" w:rsidRDefault="002C0F20" w:rsidP="00C4508A">
      <w:pPr>
        <w:keepLines/>
      </w:pPr>
      <w:r>
        <w:t>Wh</w:t>
      </w:r>
      <w:r w:rsidR="00433E07">
        <w:t>ile</w:t>
      </w:r>
      <w:r>
        <w:t xml:space="preserve"> not providing a definitive </w:t>
      </w:r>
      <w:r w:rsidR="00433E07">
        <w:t xml:space="preserve">answer to the question </w:t>
      </w:r>
      <w:r w:rsidR="00DD7FC9">
        <w:t xml:space="preserve">of </w:t>
      </w:r>
      <w:r w:rsidR="00433E07">
        <w:t xml:space="preserve">whether the TtW program offers value for money, undertaking a structured analysis of </w:t>
      </w:r>
      <w:r w:rsidR="0015526F">
        <w:t xml:space="preserve">the TtW program that collates the </w:t>
      </w:r>
      <w:r w:rsidR="007E7CEC">
        <w:t xml:space="preserve">additional </w:t>
      </w:r>
      <w:r w:rsidR="00ED0F96">
        <w:t xml:space="preserve">social and economic </w:t>
      </w:r>
      <w:r w:rsidR="00313D26">
        <w:t xml:space="preserve">benefits and costs associated with the program </w:t>
      </w:r>
      <w:r w:rsidR="007E7CEC">
        <w:t xml:space="preserve">(relative to jobactive) </w:t>
      </w:r>
      <w:r w:rsidR="00313D26">
        <w:t xml:space="preserve">and </w:t>
      </w:r>
      <w:r w:rsidR="0015526F">
        <w:t>attempts to value both the monetary and non-monetary elements</w:t>
      </w:r>
      <w:r w:rsidR="00433E07">
        <w:t xml:space="preserve"> </w:t>
      </w:r>
      <w:r w:rsidR="00313D26">
        <w:t xml:space="preserve">provides useful </w:t>
      </w:r>
      <w:r w:rsidR="00DD7FC9">
        <w:t xml:space="preserve">information for policymakers </w:t>
      </w:r>
      <w:r w:rsidR="00ED0F96">
        <w:t>and researchers</w:t>
      </w:r>
      <w:r w:rsidR="00DD7FC9">
        <w:t>.</w:t>
      </w:r>
    </w:p>
    <w:p w14:paraId="37C71A63" w14:textId="420A2669" w:rsidR="00EB4323" w:rsidRPr="00457B2B" w:rsidRDefault="00DC1DD9" w:rsidP="000E32A2">
      <w:r>
        <w:t>T</w:t>
      </w:r>
      <w:r w:rsidR="00217FFC">
        <w:t xml:space="preserve">his </w:t>
      </w:r>
      <w:r w:rsidR="009A7EA2">
        <w:t xml:space="preserve">analysis </w:t>
      </w:r>
      <w:r w:rsidR="00634F93">
        <w:t>i</w:t>
      </w:r>
      <w:r w:rsidR="0034275C">
        <w:t xml:space="preserve">dentified possible methods for </w:t>
      </w:r>
      <w:r w:rsidR="00CD47CC">
        <w:t>valuing costs and benefits associated with pre-employment programs</w:t>
      </w:r>
      <w:r w:rsidR="009A7EA2">
        <w:t xml:space="preserve"> which could inform future evaluations</w:t>
      </w:r>
      <w:r w:rsidR="00217FFC">
        <w:t xml:space="preserve">. </w:t>
      </w:r>
      <w:r w:rsidR="00AC3F72">
        <w:t xml:space="preserve">The findings also </w:t>
      </w:r>
      <w:r w:rsidR="00217FFC">
        <w:t>provid</w:t>
      </w:r>
      <w:r w:rsidR="00AC3F72">
        <w:t>e</w:t>
      </w:r>
      <w:r w:rsidR="004863E5">
        <w:t xml:space="preserve"> some clarity regarding the </w:t>
      </w:r>
      <w:r w:rsidR="006600E2">
        <w:t xml:space="preserve">relative </w:t>
      </w:r>
      <w:r w:rsidR="004863E5">
        <w:t xml:space="preserve">magnitude </w:t>
      </w:r>
      <w:r w:rsidR="006600E2">
        <w:t>of costs and benefits associated with the program</w:t>
      </w:r>
      <w:r w:rsidR="00AC3F72">
        <w:t>. Most importantly, the analysis d</w:t>
      </w:r>
      <w:r w:rsidR="00EB4323" w:rsidRPr="00457B2B">
        <w:t xml:space="preserve">emonstrated that the value placed on </w:t>
      </w:r>
      <w:r w:rsidR="009B143E">
        <w:t xml:space="preserve">changes in </w:t>
      </w:r>
      <w:r w:rsidR="00EB4323" w:rsidRPr="00457B2B">
        <w:t>wellbeing is a determining factor in the analysis of whether TtW offers value for money.</w:t>
      </w:r>
      <w:r w:rsidR="00EB4323">
        <w:t xml:space="preserve"> Further research </w:t>
      </w:r>
      <w:r w:rsidR="00242D86">
        <w:t>is therefore warranted into how changes in human capabilities and wellbeing</w:t>
      </w:r>
      <w:r w:rsidR="009E265B">
        <w:t xml:space="preserve"> attributable to a program, particularly over the longer term, </w:t>
      </w:r>
      <w:r w:rsidR="009114AE">
        <w:t>can be</w:t>
      </w:r>
      <w:r w:rsidR="00242D86">
        <w:t xml:space="preserve"> measured and valued</w:t>
      </w:r>
      <w:r w:rsidR="007370DD">
        <w:t>.</w:t>
      </w:r>
    </w:p>
    <w:p w14:paraId="14E5E946" w14:textId="77777777" w:rsidR="00733BD5" w:rsidRPr="001431BC" w:rsidRDefault="00733BD5" w:rsidP="001431BC">
      <w:pPr>
        <w:sectPr w:rsidR="00733BD5" w:rsidRPr="001431BC" w:rsidSect="007F40D6">
          <w:headerReference w:type="default" r:id="rId76"/>
          <w:pgSz w:w="11906" w:h="16838"/>
          <w:pgMar w:top="1560" w:right="1440" w:bottom="1440" w:left="1440" w:header="0" w:footer="708" w:gutter="0"/>
          <w:cols w:space="708"/>
          <w:docGrid w:linePitch="360"/>
        </w:sectPr>
      </w:pPr>
    </w:p>
    <w:p w14:paraId="103C592C" w14:textId="05BB8D36" w:rsidR="00AB0B5D" w:rsidRDefault="00BD0157" w:rsidP="003F5770">
      <w:pPr>
        <w:pStyle w:val="Heading1"/>
      </w:pPr>
      <w:bookmarkStart w:id="3791" w:name="_Toc109823562"/>
      <w:bookmarkStart w:id="3792" w:name="_Toc109920060"/>
      <w:bookmarkStart w:id="3793" w:name="_Toc110250871"/>
      <w:bookmarkStart w:id="3794" w:name="_Toc110252912"/>
      <w:bookmarkStart w:id="3795" w:name="_Toc110266294"/>
      <w:bookmarkStart w:id="3796" w:name="_Toc110412546"/>
      <w:bookmarkStart w:id="3797" w:name="_Toc109823563"/>
      <w:bookmarkStart w:id="3798" w:name="_Toc109920061"/>
      <w:bookmarkStart w:id="3799" w:name="_Toc110250872"/>
      <w:bookmarkStart w:id="3800" w:name="_Toc110252913"/>
      <w:bookmarkStart w:id="3801" w:name="_Toc110266295"/>
      <w:bookmarkStart w:id="3802" w:name="_Toc110412547"/>
      <w:bookmarkStart w:id="3803" w:name="_Toc109823564"/>
      <w:bookmarkStart w:id="3804" w:name="_Toc109920062"/>
      <w:bookmarkStart w:id="3805" w:name="_Toc110250873"/>
      <w:bookmarkStart w:id="3806" w:name="_Toc110252914"/>
      <w:bookmarkStart w:id="3807" w:name="_Toc110266296"/>
      <w:bookmarkStart w:id="3808" w:name="_Toc110412548"/>
      <w:bookmarkStart w:id="3809" w:name="_Toc109823565"/>
      <w:bookmarkStart w:id="3810" w:name="_Toc109920063"/>
      <w:bookmarkStart w:id="3811" w:name="_Toc110250874"/>
      <w:bookmarkStart w:id="3812" w:name="_Toc110252915"/>
      <w:bookmarkStart w:id="3813" w:name="_Toc110266297"/>
      <w:bookmarkStart w:id="3814" w:name="_Toc110412549"/>
      <w:bookmarkStart w:id="3815" w:name="_Toc109823566"/>
      <w:bookmarkStart w:id="3816" w:name="_Toc109920064"/>
      <w:bookmarkStart w:id="3817" w:name="_Toc110250875"/>
      <w:bookmarkStart w:id="3818" w:name="_Toc110252916"/>
      <w:bookmarkStart w:id="3819" w:name="_Toc110266298"/>
      <w:bookmarkStart w:id="3820" w:name="_Toc110412550"/>
      <w:bookmarkStart w:id="3821" w:name="_Toc109823567"/>
      <w:bookmarkStart w:id="3822" w:name="_Toc109920065"/>
      <w:bookmarkStart w:id="3823" w:name="_Toc110250876"/>
      <w:bookmarkStart w:id="3824" w:name="_Toc110252917"/>
      <w:bookmarkStart w:id="3825" w:name="_Toc110266299"/>
      <w:bookmarkStart w:id="3826" w:name="_Toc110412551"/>
      <w:bookmarkStart w:id="3827" w:name="_Toc109823654"/>
      <w:bookmarkStart w:id="3828" w:name="_Toc109920152"/>
      <w:bookmarkStart w:id="3829" w:name="_Toc110250963"/>
      <w:bookmarkStart w:id="3830" w:name="_Toc110253004"/>
      <w:bookmarkStart w:id="3831" w:name="_Toc110266386"/>
      <w:bookmarkStart w:id="3832" w:name="_Toc110412638"/>
      <w:bookmarkStart w:id="3833" w:name="_Toc109823706"/>
      <w:bookmarkStart w:id="3834" w:name="_Toc109920204"/>
      <w:bookmarkStart w:id="3835" w:name="_Toc110251015"/>
      <w:bookmarkStart w:id="3836" w:name="_Toc110253056"/>
      <w:bookmarkStart w:id="3837" w:name="_Toc110266438"/>
      <w:bookmarkStart w:id="3838" w:name="_Toc110412690"/>
      <w:bookmarkStart w:id="3839" w:name="_Toc109823707"/>
      <w:bookmarkStart w:id="3840" w:name="_Toc109920205"/>
      <w:bookmarkStart w:id="3841" w:name="_Toc110251016"/>
      <w:bookmarkStart w:id="3842" w:name="_Toc110253057"/>
      <w:bookmarkStart w:id="3843" w:name="_Toc110266439"/>
      <w:bookmarkStart w:id="3844" w:name="_Toc110412691"/>
      <w:bookmarkStart w:id="3845" w:name="_Toc109823736"/>
      <w:bookmarkStart w:id="3846" w:name="_Toc109920234"/>
      <w:bookmarkStart w:id="3847" w:name="_Toc110251045"/>
      <w:bookmarkStart w:id="3848" w:name="_Toc110253086"/>
      <w:bookmarkStart w:id="3849" w:name="_Toc110266468"/>
      <w:bookmarkStart w:id="3850" w:name="_Toc110412720"/>
      <w:bookmarkStart w:id="3851" w:name="_Toc109823763"/>
      <w:bookmarkStart w:id="3852" w:name="_Toc109920261"/>
      <w:bookmarkStart w:id="3853" w:name="_Toc110251072"/>
      <w:bookmarkStart w:id="3854" w:name="_Toc110253113"/>
      <w:bookmarkStart w:id="3855" w:name="_Toc110266495"/>
      <w:bookmarkStart w:id="3856" w:name="_Toc110412747"/>
      <w:bookmarkStart w:id="3857" w:name="_Toc132650525"/>
      <w:bookmarkStart w:id="3858" w:name="_Toc146033555"/>
      <w:bookmarkStart w:id="3859" w:name="_Toc106711906"/>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r>
        <w:lastRenderedPageBreak/>
        <w:t>–</w:t>
      </w:r>
      <w:r w:rsidR="003F5770">
        <w:t xml:space="preserve"> </w:t>
      </w:r>
      <w:r w:rsidR="00D92A62">
        <w:t>Conclusion</w:t>
      </w:r>
      <w:bookmarkEnd w:id="3857"/>
      <w:bookmarkEnd w:id="3858"/>
    </w:p>
    <w:p w14:paraId="6DEF6695" w14:textId="00C90D2A" w:rsidR="002C14D0" w:rsidRDefault="002C14D0" w:rsidP="001F2C82">
      <w:r w:rsidRPr="002C14D0">
        <w:t>Moving from education to work is a key phase in young people</w:t>
      </w:r>
      <w:r w:rsidR="00F8391B">
        <w:t>’</w:t>
      </w:r>
      <w:r w:rsidRPr="002C14D0">
        <w:t>s lives and is undertaken during a period when young people are experiencing rapid physical, biological and psychological changes</w:t>
      </w:r>
      <w:r w:rsidR="004A2EDD">
        <w:t>,</w:t>
      </w:r>
      <w:r w:rsidRPr="002C14D0">
        <w:t xml:space="preserve"> as well as changes in their social and economic circumstances as they move into adulthood</w:t>
      </w:r>
      <w:r w:rsidR="004A2EDD">
        <w:t>.</w:t>
      </w:r>
      <w:r w:rsidRPr="002C14D0">
        <w:t xml:space="preserve"> A young person</w:t>
      </w:r>
      <w:r w:rsidR="00F8391B">
        <w:t>’</w:t>
      </w:r>
      <w:r w:rsidRPr="002C14D0">
        <w:t>s experience during this time can influence their work choices and opportunities for a productive future working life, and their mental health and general wellbeing.</w:t>
      </w:r>
    </w:p>
    <w:p w14:paraId="39DE0F9A" w14:textId="3C0ABD8B" w:rsidR="001F2C82" w:rsidRDefault="001F2C82" w:rsidP="001F2C82">
      <w:r>
        <w:t xml:space="preserve">The TtW cohort are a particularly vulnerable group of young people who face </w:t>
      </w:r>
      <w:r w:rsidR="0076711F">
        <w:t xml:space="preserve">both vocational and non-vocational </w:t>
      </w:r>
      <w:r>
        <w:t xml:space="preserve">barriers to this transition from school to work. </w:t>
      </w:r>
      <w:r w:rsidR="00614609">
        <w:t xml:space="preserve">TtW uses a capability approach to support young people at risk of </w:t>
      </w:r>
      <w:r w:rsidR="006150C6">
        <w:t>long-term</w:t>
      </w:r>
      <w:r w:rsidR="00614609">
        <w:t xml:space="preserve"> unemployment to build the skills and attitude they need to transition from school to </w:t>
      </w:r>
      <w:r w:rsidR="00614609" w:rsidRPr="002E048D">
        <w:t xml:space="preserve">work. </w:t>
      </w:r>
      <w:r w:rsidR="00D51634" w:rsidRPr="002E048D">
        <w:t xml:space="preserve">This is in line with </w:t>
      </w:r>
      <w:r w:rsidR="002E048D" w:rsidRPr="002E048D">
        <w:t>broader evidence that</w:t>
      </w:r>
      <w:r w:rsidR="00614609" w:rsidRPr="002E048D">
        <w:t xml:space="preserve"> </w:t>
      </w:r>
      <w:r w:rsidR="00BB6A63" w:rsidRPr="001431BC">
        <w:t>a capability</w:t>
      </w:r>
      <w:r w:rsidR="007B17D8">
        <w:t>-</w:t>
      </w:r>
      <w:r w:rsidR="00BB6A63" w:rsidRPr="001431BC">
        <w:t>building approach is a key element of the success of services</w:t>
      </w:r>
      <w:r w:rsidR="00D06CBD">
        <w:t xml:space="preserve"> </w:t>
      </w:r>
      <w:r w:rsidR="00BB6A63" w:rsidRPr="001431BC">
        <w:t>for disadvantaged young people.</w:t>
      </w:r>
    </w:p>
    <w:p w14:paraId="5D91DE35" w14:textId="03163EF4" w:rsidR="00954CE5" w:rsidRDefault="00C539F0" w:rsidP="002306B4">
      <w:r>
        <w:t xml:space="preserve">While </w:t>
      </w:r>
      <w:r w:rsidR="002E048D">
        <w:t xml:space="preserve">this </w:t>
      </w:r>
      <w:r w:rsidR="000A2D2D">
        <w:t xml:space="preserve">evaluation </w:t>
      </w:r>
      <w:r w:rsidR="002E048D">
        <w:t xml:space="preserve">found </w:t>
      </w:r>
      <w:r>
        <w:t xml:space="preserve">no evidence that </w:t>
      </w:r>
      <w:r w:rsidR="00ED037B">
        <w:t xml:space="preserve">participation in TtW leads to greater engagement in employment </w:t>
      </w:r>
      <w:r w:rsidR="00145B6A">
        <w:t xml:space="preserve">for disadvantaged </w:t>
      </w:r>
      <w:r w:rsidR="00D92A62">
        <w:t>young people</w:t>
      </w:r>
      <w:r w:rsidR="00145B6A">
        <w:t xml:space="preserve"> </w:t>
      </w:r>
      <w:r w:rsidR="0064375A">
        <w:t>in the medium</w:t>
      </w:r>
      <w:r w:rsidR="00CF290B">
        <w:t xml:space="preserve"> </w:t>
      </w:r>
      <w:r w:rsidR="0064375A">
        <w:t>term (</w:t>
      </w:r>
      <w:r w:rsidR="00514A97">
        <w:t>3 to 4</w:t>
      </w:r>
      <w:r w:rsidR="0064375A">
        <w:t xml:space="preserve"> years)</w:t>
      </w:r>
      <w:r w:rsidR="001E074B">
        <w:t xml:space="preserve"> </w:t>
      </w:r>
      <w:r w:rsidR="00ED037B">
        <w:t xml:space="preserve">than </w:t>
      </w:r>
      <w:r w:rsidR="00145B6A">
        <w:t>participation in mainstream employment</w:t>
      </w:r>
      <w:r w:rsidR="0064375A">
        <w:t xml:space="preserve"> services</w:t>
      </w:r>
      <w:r w:rsidR="00145B6A">
        <w:t xml:space="preserve">, this </w:t>
      </w:r>
      <w:r w:rsidR="00484359">
        <w:t>does not mean that the program is not effective</w:t>
      </w:r>
      <w:r w:rsidR="00CF290B">
        <w:t>;</w:t>
      </w:r>
      <w:r w:rsidR="00484359">
        <w:t xml:space="preserve"> rather it provides more evidence that it takes </w:t>
      </w:r>
      <w:r w:rsidR="00542E61">
        <w:t xml:space="preserve">time </w:t>
      </w:r>
      <w:r w:rsidR="00484359">
        <w:t xml:space="preserve">for </w:t>
      </w:r>
      <w:r w:rsidR="00D92A62">
        <w:t>young people</w:t>
      </w:r>
      <w:r w:rsidR="006A059F">
        <w:t xml:space="preserve"> </w:t>
      </w:r>
      <w:r w:rsidR="00542E61">
        <w:t xml:space="preserve">experiencing barriers to employment to </w:t>
      </w:r>
      <w:r w:rsidR="00954CE5">
        <w:t xml:space="preserve">build the skills and personal </w:t>
      </w:r>
      <w:r w:rsidR="00CC5F4F">
        <w:t>capabilities</w:t>
      </w:r>
      <w:r w:rsidR="00AC2684">
        <w:t xml:space="preserve"> they need to move into </w:t>
      </w:r>
      <w:r w:rsidR="00EA0E05">
        <w:t>sustainable work</w:t>
      </w:r>
      <w:r w:rsidR="00542E61">
        <w:t>.</w:t>
      </w:r>
    </w:p>
    <w:p w14:paraId="14C9974E" w14:textId="0779B584" w:rsidR="009467BA" w:rsidRDefault="000A5480" w:rsidP="009467BA">
      <w:r>
        <w:t xml:space="preserve">There is strong evidence that </w:t>
      </w:r>
      <w:r w:rsidR="00F6035C">
        <w:t xml:space="preserve">the TtW program has a positive impact </w:t>
      </w:r>
      <w:r w:rsidR="00205495">
        <w:t>for</w:t>
      </w:r>
      <w:r w:rsidR="00F6035C">
        <w:t xml:space="preserve"> </w:t>
      </w:r>
      <w:r w:rsidR="00C826D7">
        <w:t xml:space="preserve">participants, </w:t>
      </w:r>
      <w:r w:rsidR="00F6035C">
        <w:t>building human capabilities and increasing the wellbeing of most participants, and that these human capabilities are fundamental to participants</w:t>
      </w:r>
      <w:r w:rsidR="00F8391B">
        <w:t>’</w:t>
      </w:r>
      <w:r w:rsidR="00F6035C">
        <w:t xml:space="preserve"> engagement with </w:t>
      </w:r>
      <w:r w:rsidR="004A00FE">
        <w:t>employment services, education and employment</w:t>
      </w:r>
      <w:r w:rsidR="00F6035C">
        <w:t>.</w:t>
      </w:r>
      <w:r>
        <w:t xml:space="preserve"> </w:t>
      </w:r>
      <w:r w:rsidR="009467BA">
        <w:t xml:space="preserve">It appears that while TtW plays a small role in the lives of some participants, for many it offers support and mentoring from adults that they have not found elsewhere, and this was an important element </w:t>
      </w:r>
      <w:r w:rsidR="00501028">
        <w:t>in</w:t>
      </w:r>
      <w:r w:rsidR="009467BA">
        <w:t xml:space="preserve"> building confidence and a sense of empowerment.</w:t>
      </w:r>
    </w:p>
    <w:p w14:paraId="10C7272D" w14:textId="63353623" w:rsidR="00FF74BF" w:rsidRDefault="00AA056C" w:rsidP="006E6813">
      <w:r>
        <w:t xml:space="preserve">TtW had a </w:t>
      </w:r>
      <w:r w:rsidR="00A76DEC">
        <w:t>significant</w:t>
      </w:r>
      <w:r>
        <w:t xml:space="preserve"> impact</w:t>
      </w:r>
      <w:r w:rsidR="007B6001">
        <w:rPr>
          <w:rStyle w:val="FootnoteReference"/>
        </w:rPr>
        <w:footnoteReference w:id="113"/>
      </w:r>
      <w:r>
        <w:t xml:space="preserve"> </w:t>
      </w:r>
      <w:r w:rsidR="00915842">
        <w:t xml:space="preserve">on </w:t>
      </w:r>
      <w:r w:rsidR="00FF74BF">
        <w:t>participants</w:t>
      </w:r>
      <w:r w:rsidR="00F8391B">
        <w:t>’</w:t>
      </w:r>
      <w:r w:rsidR="00FF74BF">
        <w:t xml:space="preserve"> self-confidence</w:t>
      </w:r>
      <w:r w:rsidR="007D7A0B">
        <w:t xml:space="preserve"> and </w:t>
      </w:r>
      <w:r w:rsidR="00FF74BF">
        <w:t xml:space="preserve">understanding of what they wanted to do in the future, </w:t>
      </w:r>
      <w:r w:rsidR="00915842">
        <w:t>their</w:t>
      </w:r>
      <w:r w:rsidR="007D7A0B">
        <w:t xml:space="preserve"> </w:t>
      </w:r>
      <w:r w:rsidR="00FF74BF">
        <w:t xml:space="preserve">motivation to work towards their goals, </w:t>
      </w:r>
      <w:r w:rsidR="007D7A0B">
        <w:t xml:space="preserve">and </w:t>
      </w:r>
      <w:r w:rsidR="00FF74BF">
        <w:t>their resilience and ability to keep trying and not give up</w:t>
      </w:r>
      <w:r w:rsidR="007D7A0B">
        <w:t xml:space="preserve">. </w:t>
      </w:r>
      <w:r w:rsidR="00AD7416">
        <w:t xml:space="preserve">It </w:t>
      </w:r>
      <w:r w:rsidR="00915842">
        <w:t xml:space="preserve">appears to </w:t>
      </w:r>
      <w:r w:rsidR="00361B27">
        <w:t xml:space="preserve">have been more effective at </w:t>
      </w:r>
      <w:r w:rsidR="00AD7416">
        <w:t>support</w:t>
      </w:r>
      <w:r w:rsidR="00361B27">
        <w:t>ing</w:t>
      </w:r>
      <w:r w:rsidR="00225D80">
        <w:t xml:space="preserve"> </w:t>
      </w:r>
      <w:r w:rsidR="00FF74BF">
        <w:t xml:space="preserve">access to the support and services </w:t>
      </w:r>
      <w:r w:rsidR="00AD7416">
        <w:t>participants</w:t>
      </w:r>
      <w:r w:rsidR="00FF74BF">
        <w:t xml:space="preserve"> need</w:t>
      </w:r>
      <w:r w:rsidR="00915842">
        <w:t>ed</w:t>
      </w:r>
      <w:r w:rsidR="00361B27">
        <w:t xml:space="preserve">, </w:t>
      </w:r>
      <w:r w:rsidR="006E6813">
        <w:t xml:space="preserve">and led to higher levels of </w:t>
      </w:r>
      <w:r w:rsidR="00361B27">
        <w:t>mental health</w:t>
      </w:r>
      <w:r w:rsidR="006E6813">
        <w:t xml:space="preserve">, overall </w:t>
      </w:r>
      <w:r w:rsidR="00FF74BF">
        <w:t>life satisfaction and personal wellbeing</w:t>
      </w:r>
      <w:r w:rsidR="00515548">
        <w:t xml:space="preserve"> than the mainstream service</w:t>
      </w:r>
      <w:r w:rsidR="00EE2560">
        <w:t xml:space="preserve"> for this cohort o</w:t>
      </w:r>
      <w:r w:rsidR="00501028">
        <w:t>f</w:t>
      </w:r>
      <w:r w:rsidR="00EE2560">
        <w:t xml:space="preserve"> young people</w:t>
      </w:r>
      <w:r w:rsidR="00FF74BF">
        <w:t xml:space="preserve">. </w:t>
      </w:r>
      <w:r w:rsidR="009A3B3A">
        <w:t xml:space="preserve">TtW </w:t>
      </w:r>
      <w:r w:rsidR="005674AF">
        <w:t xml:space="preserve">also has a greater impact on reducing reoffending </w:t>
      </w:r>
      <w:r w:rsidR="00983CD2">
        <w:t xml:space="preserve">for young people </w:t>
      </w:r>
      <w:r w:rsidR="00175F2D">
        <w:t>and</w:t>
      </w:r>
      <w:r w:rsidR="00515548">
        <w:t xml:space="preserve"> was </w:t>
      </w:r>
      <w:r w:rsidR="005674AF">
        <w:t xml:space="preserve">more effective at supporting </w:t>
      </w:r>
      <w:r w:rsidR="005674AF">
        <w:rPr>
          <w:bCs/>
        </w:rPr>
        <w:t>Aboriginal and/or Torres Strait Islander participants</w:t>
      </w:r>
      <w:r w:rsidR="005674AF">
        <w:t xml:space="preserve"> to avoid contact with the criminal justice system than the mainstream service.</w:t>
      </w:r>
    </w:p>
    <w:p w14:paraId="673374F5" w14:textId="53FBF2B5" w:rsidR="00514A97" w:rsidRDefault="00983CD2">
      <w:r w:rsidRPr="007E5A1F">
        <w:t>These outcomes demonstrate that</w:t>
      </w:r>
      <w:r w:rsidR="00340A58" w:rsidRPr="007E5A1F">
        <w:t xml:space="preserve"> the TtW model effectively services young people who are at r</w:t>
      </w:r>
      <w:r w:rsidR="000522D5" w:rsidRPr="007E5A1F">
        <w:t>i</w:t>
      </w:r>
      <w:r w:rsidR="00340A58" w:rsidRPr="007E5A1F">
        <w:t xml:space="preserve">sk of </w:t>
      </w:r>
      <w:r w:rsidR="006150C6">
        <w:t>long-term</w:t>
      </w:r>
      <w:r w:rsidR="00340A58" w:rsidRPr="007E5A1F">
        <w:t xml:space="preserve"> employme</w:t>
      </w:r>
      <w:r w:rsidR="00343545" w:rsidRPr="001431BC">
        <w:t>nt</w:t>
      </w:r>
      <w:r w:rsidR="005A7D47" w:rsidRPr="007E5A1F">
        <w:t xml:space="preserve">, securing </w:t>
      </w:r>
      <w:r w:rsidR="0092139C" w:rsidRPr="007E5A1F">
        <w:t>strong engagement from participants</w:t>
      </w:r>
      <w:r w:rsidR="001C13F2" w:rsidRPr="001431BC">
        <w:t xml:space="preserve"> and leading to</w:t>
      </w:r>
      <w:r w:rsidR="00343545" w:rsidRPr="001431BC">
        <w:t xml:space="preserve"> improved work readin</w:t>
      </w:r>
      <w:r w:rsidR="00636B54" w:rsidRPr="001431BC">
        <w:t>ess</w:t>
      </w:r>
      <w:r w:rsidR="007E5A1F" w:rsidRPr="001431BC">
        <w:t>,</w:t>
      </w:r>
      <w:r w:rsidR="00343545" w:rsidRPr="001431BC">
        <w:t xml:space="preserve"> </w:t>
      </w:r>
      <w:r w:rsidR="001D5A0E" w:rsidRPr="001431BC">
        <w:t xml:space="preserve">human capability and </w:t>
      </w:r>
      <w:r w:rsidR="007E5A1F" w:rsidRPr="001431BC">
        <w:t>wellbeing for most participants</w:t>
      </w:r>
      <w:r w:rsidR="00514A97">
        <w:t>.</w:t>
      </w:r>
    </w:p>
    <w:p w14:paraId="1E1868EC" w14:textId="1878A3E0" w:rsidR="00514A97" w:rsidRDefault="00514A97">
      <w:pPr>
        <w:sectPr w:rsidR="00514A97" w:rsidSect="00C4508A">
          <w:pgSz w:w="11906" w:h="16838"/>
          <w:pgMar w:top="1418" w:right="1440" w:bottom="1440" w:left="1440" w:header="0" w:footer="708" w:gutter="0"/>
          <w:cols w:space="708"/>
          <w:docGrid w:linePitch="360"/>
        </w:sectPr>
      </w:pPr>
    </w:p>
    <w:p w14:paraId="6FCE7F0D" w14:textId="357625FA" w:rsidR="004D27E6" w:rsidRPr="00494575" w:rsidRDefault="002C223A" w:rsidP="009251AF">
      <w:pPr>
        <w:pStyle w:val="Heading1"/>
        <w:numPr>
          <w:ilvl w:val="0"/>
          <w:numId w:val="0"/>
        </w:numPr>
      </w:pPr>
      <w:bookmarkStart w:id="3860" w:name="_Toc132209636"/>
      <w:bookmarkStart w:id="3861" w:name="_Toc132209801"/>
      <w:bookmarkStart w:id="3862" w:name="_Toc132209966"/>
      <w:bookmarkStart w:id="3863" w:name="_Toc132650526"/>
      <w:bookmarkStart w:id="3864" w:name="_Toc146033556"/>
      <w:bookmarkEnd w:id="3859"/>
      <w:bookmarkEnd w:id="3860"/>
      <w:bookmarkEnd w:id="3861"/>
      <w:bookmarkEnd w:id="3862"/>
      <w:r>
        <w:lastRenderedPageBreak/>
        <w:t>References</w:t>
      </w:r>
      <w:bookmarkEnd w:id="3863"/>
      <w:bookmarkEnd w:id="3864"/>
    </w:p>
    <w:p w14:paraId="7385A40F" w14:textId="0B76CF01" w:rsidR="002570EF" w:rsidRDefault="002570EF" w:rsidP="002570EF">
      <w:r>
        <w:t>Albaek K, Asplund R, Erling B, Lindahl L, von Simson K and V</w:t>
      </w:r>
      <w:r w:rsidR="00470F4A">
        <w:t>a</w:t>
      </w:r>
      <w:r>
        <w:t>nhala P (</w:t>
      </w:r>
      <w:r w:rsidRPr="002C223A">
        <w:t>2015</w:t>
      </w:r>
      <w:r w:rsidR="002C223A" w:rsidRPr="00CD7319">
        <w:t>)</w:t>
      </w:r>
      <w:r w:rsidR="00532CF9">
        <w:t>.</w:t>
      </w:r>
      <w:r w:rsidRPr="00CD7319">
        <w:t xml:space="preserve"> </w:t>
      </w:r>
      <w:hyperlink r:id="rId77" w:history="1">
        <w:r w:rsidRPr="00C239FD">
          <w:rPr>
            <w:rStyle w:val="Hyperlink"/>
          </w:rPr>
          <w:t xml:space="preserve">Youth unemployment and inactivity: </w:t>
        </w:r>
        <w:r w:rsidR="00107FE8">
          <w:rPr>
            <w:rStyle w:val="Hyperlink"/>
          </w:rPr>
          <w:t>a</w:t>
        </w:r>
        <w:r w:rsidRPr="00C239FD">
          <w:rPr>
            <w:rStyle w:val="Hyperlink"/>
          </w:rPr>
          <w:t xml:space="preserve"> comparison of school‐to‐work transitions and labour market outcomes in four Nordic countries</w:t>
        </w:r>
      </w:hyperlink>
      <w:r w:rsidRPr="00312816">
        <w:t>,</w:t>
      </w:r>
      <w:r>
        <w:t xml:space="preserve"> Nordic Council of Ministers</w:t>
      </w:r>
      <w:r w:rsidR="001469F4">
        <w:t>.</w:t>
      </w:r>
    </w:p>
    <w:p w14:paraId="6D815A09" w14:textId="568B5687" w:rsidR="002570EF" w:rsidRDefault="002570EF" w:rsidP="002570EF">
      <w:r>
        <w:t xml:space="preserve">Anand P, Hunter G, Carter I, Dowding K, Guala F </w:t>
      </w:r>
      <w:r w:rsidR="00254BD8">
        <w:t>and</w:t>
      </w:r>
      <w:r>
        <w:t xml:space="preserve"> van Hees M (</w:t>
      </w:r>
      <w:r w:rsidR="00997CE9">
        <w:t>2019</w:t>
      </w:r>
      <w:r>
        <w:t>)</w:t>
      </w:r>
      <w:r w:rsidR="001B075D">
        <w:t>.</w:t>
      </w:r>
      <w:r>
        <w:t xml:space="preserve"> </w:t>
      </w:r>
      <w:r w:rsidRPr="002A4286">
        <w:t xml:space="preserve">The </w:t>
      </w:r>
      <w:r w:rsidR="00385FB0">
        <w:t>d</w:t>
      </w:r>
      <w:r w:rsidRPr="002A4286">
        <w:t xml:space="preserve">evelopment of </w:t>
      </w:r>
      <w:r w:rsidR="00385FB0">
        <w:t>c</w:t>
      </w:r>
      <w:r w:rsidRPr="002A4286">
        <w:t xml:space="preserve">apability </w:t>
      </w:r>
      <w:r w:rsidR="00385FB0">
        <w:t>i</w:t>
      </w:r>
      <w:r w:rsidRPr="002A4286">
        <w:t>ndicators</w:t>
      </w:r>
      <w:r>
        <w:t xml:space="preserve">. </w:t>
      </w:r>
      <w:r w:rsidRPr="002A4286">
        <w:rPr>
          <w:i/>
          <w:iCs/>
        </w:rPr>
        <w:t>Journal of Human Development and Capabilities</w:t>
      </w:r>
      <w:r>
        <w:t xml:space="preserve"> 10(1)</w:t>
      </w:r>
      <w:r w:rsidR="00312816">
        <w:t>:</w:t>
      </w:r>
      <w:r>
        <w:t>125</w:t>
      </w:r>
      <w:r w:rsidR="00385FB0">
        <w:t>–</w:t>
      </w:r>
      <w:r>
        <w:t>152.</w:t>
      </w:r>
    </w:p>
    <w:p w14:paraId="1667FB84" w14:textId="2AC38E89" w:rsidR="002570EF" w:rsidRDefault="002570EF" w:rsidP="002570EF">
      <w:r>
        <w:t>Anlezark A (2011)</w:t>
      </w:r>
      <w:r w:rsidR="00417815">
        <w:t>.</w:t>
      </w:r>
      <w:r>
        <w:t xml:space="preserve"> </w:t>
      </w:r>
      <w:hyperlink r:id="rId78" w:history="1">
        <w:r w:rsidRPr="00C239FD">
          <w:rPr>
            <w:rStyle w:val="Hyperlink"/>
          </w:rPr>
          <w:t xml:space="preserve">At </w:t>
        </w:r>
        <w:r w:rsidR="00B85123">
          <w:rPr>
            <w:rStyle w:val="Hyperlink"/>
          </w:rPr>
          <w:t>r</w:t>
        </w:r>
        <w:r w:rsidRPr="00C239FD">
          <w:rPr>
            <w:rStyle w:val="Hyperlink"/>
          </w:rPr>
          <w:t xml:space="preserve">isk </w:t>
        </w:r>
        <w:r w:rsidR="00B85123">
          <w:rPr>
            <w:rStyle w:val="Hyperlink"/>
          </w:rPr>
          <w:t>y</w:t>
        </w:r>
        <w:r w:rsidRPr="00C239FD">
          <w:rPr>
            <w:rStyle w:val="Hyperlink"/>
          </w:rPr>
          <w:t xml:space="preserve">outh: </w:t>
        </w:r>
        <w:r w:rsidR="00107FE8">
          <w:rPr>
            <w:rStyle w:val="Hyperlink"/>
          </w:rPr>
          <w:t>a</w:t>
        </w:r>
        <w:r w:rsidRPr="00C239FD">
          <w:rPr>
            <w:rStyle w:val="Hyperlink"/>
          </w:rPr>
          <w:t xml:space="preserve"> </w:t>
        </w:r>
        <w:r w:rsidR="00B85123">
          <w:rPr>
            <w:rStyle w:val="Hyperlink"/>
          </w:rPr>
          <w:t>t</w:t>
        </w:r>
        <w:r w:rsidRPr="00C239FD">
          <w:rPr>
            <w:rStyle w:val="Hyperlink"/>
          </w:rPr>
          <w:t xml:space="preserve">ransitory </w:t>
        </w:r>
        <w:r w:rsidR="00B85123">
          <w:rPr>
            <w:rStyle w:val="Hyperlink"/>
          </w:rPr>
          <w:t>s</w:t>
        </w:r>
        <w:r w:rsidRPr="00C239FD">
          <w:rPr>
            <w:rStyle w:val="Hyperlink"/>
          </w:rPr>
          <w:t>tate? Longitudinal Surveys of Australian Youth: Briefing Paper 24</w:t>
        </w:r>
      </w:hyperlink>
      <w:r w:rsidR="00936588">
        <w:t>,</w:t>
      </w:r>
      <w:r>
        <w:t xml:space="preserve"> National Centre for Vocational Education Research</w:t>
      </w:r>
      <w:r w:rsidR="00664839">
        <w:t>,</w:t>
      </w:r>
      <w:r>
        <w:t xml:space="preserve"> Adelaide. </w:t>
      </w:r>
    </w:p>
    <w:p w14:paraId="69B488E8" w14:textId="3A49C5FB" w:rsidR="002570EF" w:rsidRDefault="002570EF" w:rsidP="002570EF">
      <w:r>
        <w:t xml:space="preserve">Australian Bureau of Statistics (2016). </w:t>
      </w:r>
      <w:hyperlink r:id="rId79" w:history="1">
        <w:r w:rsidRPr="00533B7B">
          <w:rPr>
            <w:rStyle w:val="Hyperlink"/>
          </w:rPr>
          <w:t>2016 Census</w:t>
        </w:r>
      </w:hyperlink>
      <w:r w:rsidR="00533B7B">
        <w:t xml:space="preserve">, </w:t>
      </w:r>
      <w:r w:rsidR="00533B7B" w:rsidRPr="00AD7645">
        <w:t>ABS website</w:t>
      </w:r>
      <w:r w:rsidR="00385FB0">
        <w:t>.</w:t>
      </w:r>
    </w:p>
    <w:p w14:paraId="0E89F120" w14:textId="004A64B7" w:rsidR="0031063B" w:rsidRDefault="0031063B" w:rsidP="0031063B">
      <w:r>
        <w:t>Australian Bureau of Statistics (2021</w:t>
      </w:r>
      <w:r w:rsidR="002C223A">
        <w:t>a</w:t>
      </w:r>
      <w:r>
        <w:t xml:space="preserve">). </w:t>
      </w:r>
      <w:hyperlink r:id="rId80" w:history="1">
        <w:r w:rsidRPr="00533B7B">
          <w:rPr>
            <w:rStyle w:val="Hyperlink"/>
          </w:rPr>
          <w:t>ABS Labour Force, Australia, Detailed, Cat 6291.0.55.001</w:t>
        </w:r>
      </w:hyperlink>
      <w:r w:rsidR="00533B7B">
        <w:t xml:space="preserve">, </w:t>
      </w:r>
      <w:r w:rsidR="00533B7B" w:rsidRPr="00AD7645">
        <w:t>ABS website</w:t>
      </w:r>
      <w:r w:rsidRPr="00A010FE">
        <w:t xml:space="preserve">. </w:t>
      </w:r>
    </w:p>
    <w:p w14:paraId="39D8A6E9" w14:textId="33585970" w:rsidR="0031063B" w:rsidRDefault="0031063B" w:rsidP="002570EF">
      <w:r>
        <w:t>Australian Bureau of Statistics (2021b)</w:t>
      </w:r>
      <w:r w:rsidR="00417815">
        <w:t>.</w:t>
      </w:r>
      <w:r>
        <w:t xml:space="preserve"> </w:t>
      </w:r>
      <w:hyperlink r:id="rId81" w:history="1">
        <w:r w:rsidRPr="00C239FD">
          <w:rPr>
            <w:rStyle w:val="Hyperlink"/>
          </w:rPr>
          <w:t>Education and Work</w:t>
        </w:r>
      </w:hyperlink>
      <w:r w:rsidRPr="00936588">
        <w:t xml:space="preserve">, </w:t>
      </w:r>
      <w:r w:rsidR="00533B7B" w:rsidRPr="00AD7645">
        <w:t>ABS website</w:t>
      </w:r>
      <w:r w:rsidR="00533B7B">
        <w:t>.</w:t>
      </w:r>
    </w:p>
    <w:p w14:paraId="4DF5158E" w14:textId="505E4998" w:rsidR="002570EF" w:rsidRDefault="002570EF" w:rsidP="002570EF">
      <w:r>
        <w:t>Australian Bureau of Statistics (2021</w:t>
      </w:r>
      <w:r w:rsidR="0031063B">
        <w:t>c</w:t>
      </w:r>
      <w:r>
        <w:t>)</w:t>
      </w:r>
      <w:r w:rsidR="00533B7B">
        <w:t xml:space="preserve">. </w:t>
      </w:r>
      <w:hyperlink r:id="rId82" w:history="1">
        <w:r w:rsidRPr="00C239FD">
          <w:rPr>
            <w:rStyle w:val="Hyperlink"/>
          </w:rPr>
          <w:t>Prisoners in Australia, 2021</w:t>
        </w:r>
      </w:hyperlink>
      <w:r w:rsidR="00533B7B" w:rsidRPr="00936588">
        <w:t>,</w:t>
      </w:r>
      <w:r w:rsidRPr="00936588">
        <w:t xml:space="preserve"> </w:t>
      </w:r>
      <w:r w:rsidR="00533B7B" w:rsidRPr="00AD7645">
        <w:t>ABS website</w:t>
      </w:r>
      <w:r w:rsidR="00533B7B">
        <w:t>, accessed 17</w:t>
      </w:r>
      <w:r w:rsidR="00615BA3">
        <w:t> </w:t>
      </w:r>
      <w:r w:rsidR="00533B7B">
        <w:t>Jan</w:t>
      </w:r>
      <w:r w:rsidR="00615BA3">
        <w:t xml:space="preserve">uary </w:t>
      </w:r>
      <w:r w:rsidR="00533B7B">
        <w:t>2022</w:t>
      </w:r>
      <w:r>
        <w:t>.</w:t>
      </w:r>
    </w:p>
    <w:p w14:paraId="598573B0" w14:textId="43A6BAF6" w:rsidR="002570EF" w:rsidRDefault="002570EF" w:rsidP="002570EF">
      <w:r>
        <w:t>Australian Cent</w:t>
      </w:r>
      <w:r w:rsidR="006956EB">
        <w:t>re</w:t>
      </w:r>
      <w:r>
        <w:t xml:space="preserve"> on Quality of Life</w:t>
      </w:r>
      <w:r w:rsidR="00D31FF0">
        <w:t xml:space="preserve"> (ACQL)</w:t>
      </w:r>
      <w:r w:rsidR="00BA693D">
        <w:t xml:space="preserve"> (</w:t>
      </w:r>
      <w:r w:rsidR="002C223A">
        <w:t>n.d.)</w:t>
      </w:r>
      <w:r w:rsidR="00417815">
        <w:t>.</w:t>
      </w:r>
      <w:r>
        <w:t xml:space="preserve"> </w:t>
      </w:r>
      <w:hyperlink r:id="rId83" w:anchor="publications" w:history="1">
        <w:r w:rsidR="002C223A" w:rsidRPr="00C239FD">
          <w:rPr>
            <w:rStyle w:val="Hyperlink"/>
          </w:rPr>
          <w:t xml:space="preserve">Australian Unity Wellbeing Index – </w:t>
        </w:r>
        <w:r w:rsidR="00107FE8">
          <w:rPr>
            <w:rStyle w:val="Hyperlink"/>
          </w:rPr>
          <w:t>r</w:t>
        </w:r>
        <w:r w:rsidR="002C223A" w:rsidRPr="00C239FD">
          <w:rPr>
            <w:rStyle w:val="Hyperlink"/>
          </w:rPr>
          <w:t>esults</w:t>
        </w:r>
      </w:hyperlink>
      <w:r w:rsidR="002C223A">
        <w:t xml:space="preserve">, </w:t>
      </w:r>
      <w:r>
        <w:t>Deakin University, accessed 11 Nov</w:t>
      </w:r>
      <w:r w:rsidR="006956EB">
        <w:t>ember</w:t>
      </w:r>
      <w:r>
        <w:t xml:space="preserve"> 2021</w:t>
      </w:r>
      <w:r w:rsidR="006956EB">
        <w:t>.</w:t>
      </w:r>
    </w:p>
    <w:p w14:paraId="6FB41BF9" w14:textId="66F6E51D" w:rsidR="002570EF" w:rsidRDefault="002570EF" w:rsidP="002570EF">
      <w:r>
        <w:t xml:space="preserve">Australian Institute of Health and Welfare </w:t>
      </w:r>
      <w:r w:rsidR="00050656">
        <w:t>(</w:t>
      </w:r>
      <w:r>
        <w:t>2021</w:t>
      </w:r>
      <w:r w:rsidR="002C223A">
        <w:t>a</w:t>
      </w:r>
      <w:r w:rsidR="00050656">
        <w:t>)</w:t>
      </w:r>
      <w:r w:rsidR="00417815">
        <w:t>.</w:t>
      </w:r>
      <w:r>
        <w:t xml:space="preserve"> </w:t>
      </w:r>
      <w:hyperlink r:id="rId84" w:history="1">
        <w:r w:rsidRPr="00C239FD">
          <w:rPr>
            <w:rStyle w:val="Hyperlink"/>
          </w:rPr>
          <w:t>Australia</w:t>
        </w:r>
        <w:r w:rsidR="00F8391B" w:rsidRPr="00C239FD">
          <w:rPr>
            <w:rStyle w:val="Hyperlink"/>
          </w:rPr>
          <w:t>’</w:t>
        </w:r>
        <w:r w:rsidRPr="00C239FD">
          <w:rPr>
            <w:rStyle w:val="Hyperlink"/>
          </w:rPr>
          <w:t>s youth: subjective wellbeing</w:t>
        </w:r>
      </w:hyperlink>
      <w:r w:rsidRPr="00936588">
        <w:t>,</w:t>
      </w:r>
      <w:r>
        <w:t xml:space="preserve"> AIHW, </w:t>
      </w:r>
      <w:r w:rsidR="002C223A">
        <w:t xml:space="preserve">accessed </w:t>
      </w:r>
      <w:r>
        <w:t>24 Nov</w:t>
      </w:r>
      <w:r w:rsidR="006956EB">
        <w:t>ember</w:t>
      </w:r>
      <w:r>
        <w:t xml:space="preserve"> 2021</w:t>
      </w:r>
      <w:r w:rsidR="00417815">
        <w:t>.</w:t>
      </w:r>
    </w:p>
    <w:p w14:paraId="1DED8862" w14:textId="55F8E569" w:rsidR="00050656" w:rsidRDefault="00050656" w:rsidP="00050656">
      <w:r>
        <w:t>Australian Institute of Health and Welfare (2021b)</w:t>
      </w:r>
      <w:r w:rsidR="00417815">
        <w:t>.</w:t>
      </w:r>
      <w:r>
        <w:t xml:space="preserve"> </w:t>
      </w:r>
      <w:hyperlink r:id="rId85" w:history="1">
        <w:r w:rsidRPr="00C239FD">
          <w:rPr>
            <w:rStyle w:val="Hyperlink"/>
          </w:rPr>
          <w:t xml:space="preserve">Young </w:t>
        </w:r>
        <w:r w:rsidR="00754E97" w:rsidRPr="00C239FD">
          <w:rPr>
            <w:rStyle w:val="Hyperlink"/>
          </w:rPr>
          <w:t>p</w:t>
        </w:r>
        <w:r w:rsidRPr="00C239FD">
          <w:rPr>
            <w:rStyle w:val="Hyperlink"/>
          </w:rPr>
          <w:t>eople returning to sentenced youth justice supervision 2019</w:t>
        </w:r>
        <w:r w:rsidR="00754E97" w:rsidRPr="00C239FD">
          <w:rPr>
            <w:rStyle w:val="Hyperlink"/>
          </w:rPr>
          <w:t>–</w:t>
        </w:r>
        <w:r w:rsidRPr="00C239FD">
          <w:rPr>
            <w:rStyle w:val="Hyperlink"/>
          </w:rPr>
          <w:t>20</w:t>
        </w:r>
      </w:hyperlink>
      <w:r w:rsidRPr="00107FE8">
        <w:t>,</w:t>
      </w:r>
      <w:r w:rsidRPr="002A4286">
        <w:t xml:space="preserve"> </w:t>
      </w:r>
      <w:r w:rsidR="002C223A">
        <w:t>accessed</w:t>
      </w:r>
      <w:r w:rsidR="002C223A" w:rsidRPr="002A4286">
        <w:t xml:space="preserve"> </w:t>
      </w:r>
      <w:r w:rsidRPr="002A4286">
        <w:t>5 August 2022</w:t>
      </w:r>
      <w:r w:rsidR="00417815">
        <w:t>.</w:t>
      </w:r>
    </w:p>
    <w:p w14:paraId="763BC07A" w14:textId="11EBC9F2" w:rsidR="00130C09" w:rsidRPr="00130C09" w:rsidRDefault="00130C09" w:rsidP="00130C09">
      <w:r>
        <w:t>Australian Parliament House (2016)</w:t>
      </w:r>
      <w:r w:rsidR="00417815">
        <w:t>.</w:t>
      </w:r>
      <w:r w:rsidR="00050656">
        <w:t xml:space="preserve"> </w:t>
      </w:r>
      <w:hyperlink r:id="rId86" w:anchor="search=%22library/prspub/4036352%22" w:history="1">
        <w:r w:rsidRPr="00130C09">
          <w:rPr>
            <w:rStyle w:val="Hyperlink"/>
          </w:rPr>
          <w:t>Budget Review 2015–16 (aph.gov.au)</w:t>
        </w:r>
      </w:hyperlink>
      <w:r w:rsidR="00754E97" w:rsidRPr="00C239FD">
        <w:t>.</w:t>
      </w:r>
    </w:p>
    <w:p w14:paraId="34202948" w14:textId="1DAF0D1A" w:rsidR="00CC005C" w:rsidRDefault="00CC005C" w:rsidP="001431BC">
      <w:r>
        <w:t>Australian Social Value Bank (n.d</w:t>
      </w:r>
      <w:r w:rsidR="002C223A">
        <w:t>.</w:t>
      </w:r>
      <w:r>
        <w:t>)</w:t>
      </w:r>
      <w:r w:rsidR="004623A7">
        <w:t>.</w:t>
      </w:r>
      <w:r w:rsidR="00050656">
        <w:t xml:space="preserve"> </w:t>
      </w:r>
      <w:hyperlink r:id="rId87" w:history="1">
        <w:r w:rsidR="00050656" w:rsidRPr="00C239FD">
          <w:rPr>
            <w:rStyle w:val="Hyperlink"/>
          </w:rPr>
          <w:t>What is the ASVB and how can it help measure your social impact?</w:t>
        </w:r>
      </w:hyperlink>
      <w:r w:rsidR="00107FE8">
        <w:t xml:space="preserve">, </w:t>
      </w:r>
      <w:r w:rsidR="000774F3">
        <w:t xml:space="preserve">ASVB, </w:t>
      </w:r>
      <w:r w:rsidR="002C223A">
        <w:t>accessed 18 Jan</w:t>
      </w:r>
      <w:r w:rsidR="00754E97">
        <w:t>uary</w:t>
      </w:r>
      <w:r w:rsidR="002C223A">
        <w:t xml:space="preserve"> 2022</w:t>
      </w:r>
      <w:r w:rsidR="004623A7">
        <w:t>.</w:t>
      </w:r>
    </w:p>
    <w:p w14:paraId="5CD61A4B" w14:textId="52EF58D8" w:rsidR="007158EC" w:rsidRDefault="007158EC" w:rsidP="007158EC">
      <w:r>
        <w:t xml:space="preserve">Australian Skills Commission (2019). </w:t>
      </w:r>
      <w:r w:rsidRPr="00407024">
        <w:t>Changes in the Australian labour market: a 30-year perspective</w:t>
      </w:r>
      <w:r>
        <w:t xml:space="preserve">, Australian Government, </w:t>
      </w:r>
      <w:r w:rsidRPr="00876229">
        <w:t>accessed 7 Dec</w:t>
      </w:r>
      <w:r>
        <w:t>ember</w:t>
      </w:r>
      <w:r w:rsidRPr="00876229">
        <w:t xml:space="preserve"> 2021</w:t>
      </w:r>
      <w:r>
        <w:t>.</w:t>
      </w:r>
    </w:p>
    <w:p w14:paraId="440D3A81" w14:textId="7B76B856" w:rsidR="002570EF" w:rsidRDefault="002570EF" w:rsidP="002570EF">
      <w:r>
        <w:t xml:space="preserve">Australian Skills Commission (2021). </w:t>
      </w:r>
      <w:r w:rsidRPr="002E5DA3">
        <w:t>Australian Jobs 2021</w:t>
      </w:r>
      <w:r>
        <w:t xml:space="preserve">, Department of Education, Skills and Employment, </w:t>
      </w:r>
      <w:r w:rsidR="002C223A">
        <w:t>accessed 12 Dec</w:t>
      </w:r>
      <w:r w:rsidR="00FD5DBF">
        <w:t>ember</w:t>
      </w:r>
      <w:r w:rsidR="002C223A">
        <w:t xml:space="preserve"> 2021</w:t>
      </w:r>
      <w:r>
        <w:t>.</w:t>
      </w:r>
    </w:p>
    <w:p w14:paraId="7001E401" w14:textId="0B6ABB7E" w:rsidR="002C223A" w:rsidRDefault="00F50C8F" w:rsidP="00F50C8F">
      <w:r>
        <w:t>Biemer P (2010)</w:t>
      </w:r>
      <w:r w:rsidR="004623A7">
        <w:t>.</w:t>
      </w:r>
      <w:r>
        <w:t xml:space="preserve"> </w:t>
      </w:r>
      <w:hyperlink r:id="rId88" w:history="1">
        <w:r w:rsidRPr="00417815">
          <w:rPr>
            <w:rStyle w:val="Hyperlink"/>
          </w:rPr>
          <w:t xml:space="preserve">Total </w:t>
        </w:r>
        <w:r w:rsidR="00FD5DBF">
          <w:rPr>
            <w:rStyle w:val="Hyperlink"/>
          </w:rPr>
          <w:t>s</w:t>
        </w:r>
        <w:r w:rsidRPr="00417815">
          <w:rPr>
            <w:rStyle w:val="Hyperlink"/>
          </w:rPr>
          <w:t xml:space="preserve">urvey </w:t>
        </w:r>
        <w:r w:rsidR="00FD5DBF">
          <w:rPr>
            <w:rStyle w:val="Hyperlink"/>
          </w:rPr>
          <w:t>e</w:t>
        </w:r>
        <w:r w:rsidRPr="00417815">
          <w:rPr>
            <w:rStyle w:val="Hyperlink"/>
          </w:rPr>
          <w:t xml:space="preserve">rror: </w:t>
        </w:r>
        <w:r w:rsidR="00664839">
          <w:rPr>
            <w:rStyle w:val="Hyperlink"/>
          </w:rPr>
          <w:t>d</w:t>
        </w:r>
        <w:r w:rsidRPr="00417815">
          <w:rPr>
            <w:rStyle w:val="Hyperlink"/>
          </w:rPr>
          <w:t xml:space="preserve">esign, </w:t>
        </w:r>
        <w:r w:rsidR="00FD5DBF">
          <w:rPr>
            <w:rStyle w:val="Hyperlink"/>
          </w:rPr>
          <w:t>i</w:t>
        </w:r>
        <w:r w:rsidRPr="00417815">
          <w:rPr>
            <w:rStyle w:val="Hyperlink"/>
          </w:rPr>
          <w:t xml:space="preserve">mplementation, and </w:t>
        </w:r>
        <w:r w:rsidR="00FD5DBF">
          <w:rPr>
            <w:rStyle w:val="Hyperlink"/>
          </w:rPr>
          <w:t>e</w:t>
        </w:r>
        <w:r w:rsidRPr="00417815">
          <w:rPr>
            <w:rStyle w:val="Hyperlink"/>
          </w:rPr>
          <w:t>valuation</w:t>
        </w:r>
      </w:hyperlink>
      <w:r>
        <w:t>, </w:t>
      </w:r>
      <w:r w:rsidRPr="002A4286">
        <w:rPr>
          <w:i/>
          <w:iCs/>
        </w:rPr>
        <w:t>Public Opinion Quarterly</w:t>
      </w:r>
      <w:r>
        <w:t xml:space="preserve"> 74</w:t>
      </w:r>
      <w:r w:rsidR="00664839">
        <w:t>(</w:t>
      </w:r>
      <w:r>
        <w:t>5</w:t>
      </w:r>
      <w:r w:rsidR="00664839">
        <w:t>):</w:t>
      </w:r>
      <w:r>
        <w:t>817–848</w:t>
      </w:r>
      <w:r w:rsidR="00FD5DBF">
        <w:t>.</w:t>
      </w:r>
    </w:p>
    <w:p w14:paraId="3753AEDF" w14:textId="7CDB0E37" w:rsidR="002570EF" w:rsidRDefault="002570EF" w:rsidP="002570EF">
      <w:r>
        <w:t>Bond S and Keys D (2020)</w:t>
      </w:r>
      <w:r w:rsidR="004623A7">
        <w:t>.</w:t>
      </w:r>
      <w:r>
        <w:t xml:space="preserve"> </w:t>
      </w:r>
      <w:r w:rsidRPr="002A4286">
        <w:rPr>
          <w:i/>
          <w:iCs/>
        </w:rPr>
        <w:t>Finding that spark: What works to achieve effective employment services for young people?</w:t>
      </w:r>
      <w:r>
        <w:t xml:space="preserve"> Brotherhood of St Lawrence, Fitzroy, Vic</w:t>
      </w:r>
      <w:r w:rsidR="004623A7">
        <w:t>.</w:t>
      </w:r>
    </w:p>
    <w:p w14:paraId="20686A5E" w14:textId="18A792B7" w:rsidR="002570EF" w:rsidRDefault="002570EF" w:rsidP="002570EF">
      <w:r>
        <w:lastRenderedPageBreak/>
        <w:t>Borland J (2014)</w:t>
      </w:r>
      <w:r w:rsidR="004623A7">
        <w:t>.</w:t>
      </w:r>
      <w:r>
        <w:t xml:space="preserve"> </w:t>
      </w:r>
      <w:hyperlink r:id="rId89" w:history="1">
        <w:r w:rsidRPr="004623A7">
          <w:rPr>
            <w:rStyle w:val="Hyperlink"/>
          </w:rPr>
          <w:t>Dealing with unemployment: What should be the role of labour market programs?</w:t>
        </w:r>
      </w:hyperlink>
      <w:r>
        <w:t xml:space="preserve"> </w:t>
      </w:r>
      <w:r w:rsidRPr="002A4286">
        <w:rPr>
          <w:i/>
          <w:iCs/>
        </w:rPr>
        <w:t xml:space="preserve">Evidence Base </w:t>
      </w:r>
      <w:r w:rsidRPr="00C239FD">
        <w:t>4</w:t>
      </w:r>
      <w:r w:rsidR="00664839">
        <w:t>:</w:t>
      </w:r>
      <w:r>
        <w:t>1–26.</w:t>
      </w:r>
    </w:p>
    <w:p w14:paraId="60C56B51" w14:textId="4B045AFA" w:rsidR="002570EF" w:rsidRDefault="002570EF" w:rsidP="002570EF">
      <w:r>
        <w:t>Borland J and</w:t>
      </w:r>
      <w:r w:rsidR="00664839">
        <w:t xml:space="preserve"> </w:t>
      </w:r>
      <w:r>
        <w:t>Coelli</w:t>
      </w:r>
      <w:r w:rsidR="00664839">
        <w:t xml:space="preserve"> M</w:t>
      </w:r>
      <w:r>
        <w:t xml:space="preserve"> (2021)</w:t>
      </w:r>
      <w:r w:rsidR="00533B7B">
        <w:t>.</w:t>
      </w:r>
      <w:r>
        <w:t xml:space="preserve"> </w:t>
      </w:r>
      <w:r w:rsidRPr="00964233">
        <w:t xml:space="preserve">Is it </w:t>
      </w:r>
      <w:r w:rsidR="00F8391B" w:rsidRPr="00964233">
        <w:t>‘</w:t>
      </w:r>
      <w:r w:rsidRPr="00964233">
        <w:t>dog days</w:t>
      </w:r>
      <w:r w:rsidR="00F8391B" w:rsidRPr="00964233">
        <w:t>’</w:t>
      </w:r>
      <w:r w:rsidRPr="00964233">
        <w:t xml:space="preserve"> for the young in the Australian labour market?</w:t>
      </w:r>
      <w:r w:rsidR="00050656" w:rsidRPr="00964233">
        <w:t xml:space="preserve"> </w:t>
      </w:r>
      <w:r w:rsidRPr="00964233">
        <w:t>Melbourne Institute Working Paper No 5/21</w:t>
      </w:r>
      <w:r w:rsidRPr="00957D1A">
        <w:t>,</w:t>
      </w:r>
      <w:r>
        <w:t xml:space="preserve"> University of Melbourne</w:t>
      </w:r>
      <w:r w:rsidR="00533B7B">
        <w:t>.</w:t>
      </w:r>
    </w:p>
    <w:p w14:paraId="3C4B0540" w14:textId="56684764" w:rsidR="002570EF" w:rsidRDefault="002570EF" w:rsidP="002570EF">
      <w:r>
        <w:t>Bowles M (2020)</w:t>
      </w:r>
      <w:r w:rsidR="004623A7">
        <w:t>.</w:t>
      </w:r>
      <w:r>
        <w:t xml:space="preserve"> </w:t>
      </w:r>
      <w:r w:rsidRPr="002A4286">
        <w:rPr>
          <w:i/>
          <w:iCs/>
        </w:rPr>
        <w:t xml:space="preserve">Human </w:t>
      </w:r>
      <w:r w:rsidR="00664839">
        <w:rPr>
          <w:i/>
          <w:iCs/>
        </w:rPr>
        <w:t>c</w:t>
      </w:r>
      <w:r w:rsidRPr="002A4286">
        <w:rPr>
          <w:i/>
          <w:iCs/>
        </w:rPr>
        <w:t xml:space="preserve">apability </w:t>
      </w:r>
      <w:r w:rsidR="00664839">
        <w:rPr>
          <w:i/>
          <w:iCs/>
        </w:rPr>
        <w:t>r</w:t>
      </w:r>
      <w:r w:rsidRPr="002A4286">
        <w:rPr>
          <w:i/>
          <w:iCs/>
        </w:rPr>
        <w:t xml:space="preserve">eference </w:t>
      </w:r>
      <w:r w:rsidR="00664839">
        <w:rPr>
          <w:i/>
          <w:iCs/>
        </w:rPr>
        <w:t>f</w:t>
      </w:r>
      <w:r w:rsidRPr="002A4286">
        <w:rPr>
          <w:i/>
          <w:iCs/>
        </w:rPr>
        <w:t xml:space="preserve">ramework: </w:t>
      </w:r>
      <w:r w:rsidR="00664839">
        <w:rPr>
          <w:i/>
          <w:iCs/>
        </w:rPr>
        <w:t>c</w:t>
      </w:r>
      <w:r w:rsidRPr="002A4286">
        <w:rPr>
          <w:i/>
          <w:iCs/>
        </w:rPr>
        <w:t xml:space="preserve">omplete 7 </w:t>
      </w:r>
      <w:r w:rsidR="00664839">
        <w:rPr>
          <w:i/>
          <w:iCs/>
        </w:rPr>
        <w:t>l</w:t>
      </w:r>
      <w:r w:rsidRPr="002A4286">
        <w:rPr>
          <w:i/>
          <w:iCs/>
        </w:rPr>
        <w:t>evels</w:t>
      </w:r>
      <w:r w:rsidR="00664839">
        <w:t>,</w:t>
      </w:r>
      <w:r>
        <w:t xml:space="preserve"> The Institute for Working Futures</w:t>
      </w:r>
      <w:r w:rsidR="004623A7">
        <w:t>.</w:t>
      </w:r>
    </w:p>
    <w:p w14:paraId="25153B7F" w14:textId="0E16A0B6" w:rsidR="002570EF" w:rsidRDefault="002570EF" w:rsidP="002570EF">
      <w:r>
        <w:t>Bratanova A and Robinson J (2014</w:t>
      </w:r>
      <w:r w:rsidRPr="00957D1A">
        <w:t>)</w:t>
      </w:r>
      <w:r w:rsidR="004623A7" w:rsidRPr="00957D1A">
        <w:t>.</w:t>
      </w:r>
      <w:r w:rsidRPr="00957D1A">
        <w:t xml:space="preserve"> </w:t>
      </w:r>
      <w:hyperlink r:id="rId90" w:history="1">
        <w:r w:rsidRPr="00C239FD">
          <w:rPr>
            <w:rStyle w:val="Hyperlink"/>
          </w:rPr>
          <w:t xml:space="preserve">Cost effectiveness analysis of a </w:t>
        </w:r>
        <w:r w:rsidR="00664839">
          <w:rPr>
            <w:rStyle w:val="Hyperlink"/>
          </w:rPr>
          <w:t>‘</w:t>
        </w:r>
        <w:r w:rsidRPr="00C239FD">
          <w:rPr>
            <w:rStyle w:val="Hyperlink"/>
          </w:rPr>
          <w:t>justice reinvestment</w:t>
        </w:r>
        <w:r w:rsidR="00664839">
          <w:rPr>
            <w:rStyle w:val="Hyperlink"/>
          </w:rPr>
          <w:t>’</w:t>
        </w:r>
        <w:r w:rsidRPr="00C239FD">
          <w:rPr>
            <w:rStyle w:val="Hyperlink"/>
          </w:rPr>
          <w:t xml:space="preserve"> approach to Queensland</w:t>
        </w:r>
        <w:r w:rsidR="00F8391B" w:rsidRPr="00C239FD">
          <w:rPr>
            <w:rStyle w:val="Hyperlink"/>
          </w:rPr>
          <w:t>’</w:t>
        </w:r>
        <w:r w:rsidRPr="00C239FD">
          <w:rPr>
            <w:rStyle w:val="Hyperlink"/>
          </w:rPr>
          <w:t>s youth justice services</w:t>
        </w:r>
      </w:hyperlink>
      <w:r w:rsidRPr="00957D1A">
        <w:t>,</w:t>
      </w:r>
      <w:r>
        <w:t xml:space="preserve"> School of Economics</w:t>
      </w:r>
      <w:r w:rsidR="00664839">
        <w:t>,</w:t>
      </w:r>
      <w:r>
        <w:t xml:space="preserve"> University of Queensland</w:t>
      </w:r>
      <w:r w:rsidR="00664839">
        <w:t>,</w:t>
      </w:r>
      <w:r>
        <w:t xml:space="preserve"> on behalf of the Pro Bono Centre and the TC Beirne School of Law</w:t>
      </w:r>
      <w:r w:rsidR="00664839">
        <w:t>,</w:t>
      </w:r>
      <w:r>
        <w:t xml:space="preserve"> University of Queensland</w:t>
      </w:r>
      <w:r w:rsidR="004623A7">
        <w:t>.</w:t>
      </w:r>
    </w:p>
    <w:p w14:paraId="34139564" w14:textId="7143F6DF" w:rsidR="000A7263" w:rsidRDefault="000A7263" w:rsidP="000A7263">
      <w:r>
        <w:t xml:space="preserve">Bussi M </w:t>
      </w:r>
      <w:r w:rsidR="00614889">
        <w:t>(2011)</w:t>
      </w:r>
      <w:r w:rsidR="004623A7">
        <w:t>.</w:t>
      </w:r>
      <w:r w:rsidR="00614889">
        <w:t xml:space="preserve"> </w:t>
      </w:r>
      <w:r w:rsidRPr="002A4286">
        <w:rPr>
          <w:i/>
          <w:iCs/>
        </w:rPr>
        <w:t xml:space="preserve">Rephrasing employability: the contribution of the </w:t>
      </w:r>
      <w:r w:rsidR="00664839">
        <w:rPr>
          <w:i/>
          <w:iCs/>
        </w:rPr>
        <w:t>c</w:t>
      </w:r>
      <w:r w:rsidRPr="002A4286">
        <w:rPr>
          <w:i/>
          <w:iCs/>
        </w:rPr>
        <w:t xml:space="preserve">apabilities </w:t>
      </w:r>
      <w:r w:rsidR="00664839">
        <w:rPr>
          <w:i/>
          <w:iCs/>
        </w:rPr>
        <w:t>a</w:t>
      </w:r>
      <w:r w:rsidRPr="002A4286">
        <w:rPr>
          <w:i/>
          <w:iCs/>
        </w:rPr>
        <w:t xml:space="preserve">pproach to the </w:t>
      </w:r>
      <w:r w:rsidR="00664839">
        <w:rPr>
          <w:i/>
          <w:iCs/>
        </w:rPr>
        <w:t>t</w:t>
      </w:r>
      <w:r w:rsidRPr="002A4286">
        <w:rPr>
          <w:i/>
          <w:iCs/>
        </w:rPr>
        <w:t xml:space="preserve">ransitional </w:t>
      </w:r>
      <w:r w:rsidR="00664839">
        <w:rPr>
          <w:i/>
          <w:iCs/>
        </w:rPr>
        <w:t>l</w:t>
      </w:r>
      <w:r w:rsidRPr="002A4286">
        <w:rPr>
          <w:i/>
          <w:iCs/>
        </w:rPr>
        <w:t xml:space="preserve">abour </w:t>
      </w:r>
      <w:r w:rsidR="00664839">
        <w:rPr>
          <w:i/>
          <w:iCs/>
        </w:rPr>
        <w:t>m</w:t>
      </w:r>
      <w:r w:rsidRPr="002A4286">
        <w:rPr>
          <w:i/>
          <w:iCs/>
        </w:rPr>
        <w:t xml:space="preserve">arkets </w:t>
      </w:r>
      <w:r w:rsidR="00664839">
        <w:rPr>
          <w:i/>
          <w:iCs/>
        </w:rPr>
        <w:t>a</w:t>
      </w:r>
      <w:r w:rsidRPr="002A4286">
        <w:rPr>
          <w:i/>
          <w:iCs/>
        </w:rPr>
        <w:t>pproach</w:t>
      </w:r>
      <w:r>
        <w:t>, International Conference HDCA</w:t>
      </w:r>
      <w:r w:rsidR="00664839">
        <w:t>.</w:t>
      </w:r>
    </w:p>
    <w:p w14:paraId="3A984969" w14:textId="6DB5B324" w:rsidR="002570EF" w:rsidRDefault="002570EF" w:rsidP="002570EF">
      <w:r>
        <w:t>Carter E and Whitworth A</w:t>
      </w:r>
      <w:r w:rsidR="00BA693D">
        <w:t xml:space="preserve"> (</w:t>
      </w:r>
      <w:r>
        <w:t xml:space="preserve">2017). </w:t>
      </w:r>
      <w:r w:rsidRPr="002A4286">
        <w:t xml:space="preserve">Work </w:t>
      </w:r>
      <w:r w:rsidR="00E15F04">
        <w:t>a</w:t>
      </w:r>
      <w:r w:rsidRPr="002A4286">
        <w:t xml:space="preserve">ctivation </w:t>
      </w:r>
      <w:r w:rsidR="00E15F04">
        <w:t>r</w:t>
      </w:r>
      <w:r w:rsidRPr="002A4286">
        <w:t xml:space="preserve">egimes and </w:t>
      </w:r>
      <w:r w:rsidR="00E15F04">
        <w:t>w</w:t>
      </w:r>
      <w:r w:rsidRPr="002A4286">
        <w:t xml:space="preserve">ell-being of </w:t>
      </w:r>
      <w:r w:rsidR="00E15F04">
        <w:t>u</w:t>
      </w:r>
      <w:r w:rsidRPr="002A4286">
        <w:t xml:space="preserve">nemployed </w:t>
      </w:r>
      <w:r w:rsidR="00E15F04">
        <w:t>p</w:t>
      </w:r>
      <w:r w:rsidRPr="002A4286">
        <w:t xml:space="preserve">eople: </w:t>
      </w:r>
      <w:r w:rsidR="00E15F04">
        <w:t>r</w:t>
      </w:r>
      <w:r w:rsidRPr="002A4286">
        <w:t xml:space="preserve">hetoric, </w:t>
      </w:r>
      <w:r w:rsidR="00E15F04">
        <w:t>r</w:t>
      </w:r>
      <w:r w:rsidRPr="002A4286">
        <w:t xml:space="preserve">isk and </w:t>
      </w:r>
      <w:r w:rsidR="00E15F04">
        <w:t>r</w:t>
      </w:r>
      <w:r w:rsidRPr="002A4286">
        <w:t xml:space="preserve">eality of </w:t>
      </w:r>
      <w:r w:rsidR="00E15F04">
        <w:t>q</w:t>
      </w:r>
      <w:r w:rsidRPr="002A4286">
        <w:t>uasi-</w:t>
      </w:r>
      <w:r w:rsidR="00E15F04">
        <w:t>m</w:t>
      </w:r>
      <w:r w:rsidRPr="002A4286">
        <w:t>arketization in the UK Work Programme</w:t>
      </w:r>
      <w:r>
        <w:t xml:space="preserve">, </w:t>
      </w:r>
      <w:r w:rsidRPr="002A4286">
        <w:rPr>
          <w:i/>
          <w:iCs/>
        </w:rPr>
        <w:t>Social Policy and Administration</w:t>
      </w:r>
      <w:r>
        <w:t xml:space="preserve"> 51</w:t>
      </w:r>
      <w:r w:rsidR="00E15F04">
        <w:t>(</w:t>
      </w:r>
      <w:r>
        <w:t>5</w:t>
      </w:r>
      <w:r w:rsidR="00E15F04">
        <w:t xml:space="preserve">): </w:t>
      </w:r>
      <w:r>
        <w:t>796–816.</w:t>
      </w:r>
    </w:p>
    <w:p w14:paraId="7F45058D" w14:textId="6FB423F6" w:rsidR="002570EF" w:rsidRDefault="002570EF" w:rsidP="002570EF">
      <w:r>
        <w:t>Churchill</w:t>
      </w:r>
      <w:r w:rsidR="00E15F04">
        <w:t xml:space="preserve"> </w:t>
      </w:r>
      <w:r>
        <w:t xml:space="preserve">B (2020). </w:t>
      </w:r>
      <w:hyperlink r:id="rId91" w:history="1">
        <w:r w:rsidRPr="00533B7B">
          <w:rPr>
            <w:rStyle w:val="Hyperlink"/>
          </w:rPr>
          <w:t>COVID‐19 and the immediate impact on young people and employment in Australia: a gendered analysis</w:t>
        </w:r>
      </w:hyperlink>
      <w:r w:rsidR="00E15F04">
        <w:t xml:space="preserve">, </w:t>
      </w:r>
      <w:r w:rsidRPr="002A4286">
        <w:rPr>
          <w:i/>
          <w:iCs/>
        </w:rPr>
        <w:t>Gender, Work and Organization</w:t>
      </w:r>
      <w:r>
        <w:t xml:space="preserve"> </w:t>
      </w:r>
      <w:r w:rsidR="00871881">
        <w:t>28(2):</w:t>
      </w:r>
      <w:r w:rsidR="0035634E" w:rsidRPr="0035634E">
        <w:t>783</w:t>
      </w:r>
      <w:r w:rsidR="00871881">
        <w:t>–</w:t>
      </w:r>
      <w:r w:rsidR="0035634E" w:rsidRPr="0035634E">
        <w:t>794</w:t>
      </w:r>
      <w:r>
        <w:t>.</w:t>
      </w:r>
    </w:p>
    <w:p w14:paraId="15F2EC35" w14:textId="5DECD0FA" w:rsidR="002570EF" w:rsidRDefault="002570EF" w:rsidP="002570EF">
      <w:r>
        <w:t>Cobb-Clark D (2019</w:t>
      </w:r>
      <w:r w:rsidRPr="00533B7B">
        <w:t>)</w:t>
      </w:r>
      <w:r w:rsidR="00533B7B" w:rsidRPr="00533B7B">
        <w:t>.</w:t>
      </w:r>
      <w:r w:rsidRPr="00533B7B">
        <w:t xml:space="preserve"> </w:t>
      </w:r>
      <w:hyperlink r:id="rId92" w:history="1">
        <w:r w:rsidRPr="00CD7319">
          <w:rPr>
            <w:rStyle w:val="Hyperlink"/>
          </w:rPr>
          <w:t>Intergenerational</w:t>
        </w:r>
        <w:r w:rsidRPr="004623A7">
          <w:rPr>
            <w:rStyle w:val="Hyperlink"/>
          </w:rPr>
          <w:t xml:space="preserve"> transmission of disadvantage in Australia</w:t>
        </w:r>
      </w:hyperlink>
      <w:r w:rsidRPr="002A4286">
        <w:t>, Australia</w:t>
      </w:r>
      <w:r w:rsidR="00F8391B">
        <w:t>’</w:t>
      </w:r>
      <w:r w:rsidRPr="002A4286">
        <w:t>s welfare</w:t>
      </w:r>
      <w:r w:rsidR="004623A7">
        <w:t xml:space="preserve"> </w:t>
      </w:r>
      <w:r w:rsidRPr="002A4286">
        <w:t>2019: data insights</w:t>
      </w:r>
      <w:r w:rsidRPr="00A010FE">
        <w:t xml:space="preserve">, </w:t>
      </w:r>
      <w:r w:rsidRPr="00B231D1">
        <w:rPr>
          <w:i/>
          <w:iCs/>
        </w:rPr>
        <w:t>Australia</w:t>
      </w:r>
      <w:r w:rsidR="00F8391B" w:rsidRPr="00B231D1">
        <w:rPr>
          <w:i/>
          <w:iCs/>
        </w:rPr>
        <w:t>’</w:t>
      </w:r>
      <w:r w:rsidRPr="00B231D1">
        <w:rPr>
          <w:i/>
          <w:iCs/>
        </w:rPr>
        <w:t xml:space="preserve">s </w:t>
      </w:r>
      <w:r w:rsidR="00871881" w:rsidRPr="00B231D1">
        <w:rPr>
          <w:i/>
          <w:iCs/>
        </w:rPr>
        <w:t>W</w:t>
      </w:r>
      <w:r w:rsidRPr="00B231D1">
        <w:rPr>
          <w:i/>
          <w:iCs/>
        </w:rPr>
        <w:t>elfare</w:t>
      </w:r>
      <w:r w:rsidRPr="00C239FD">
        <w:t xml:space="preserve"> series</w:t>
      </w:r>
      <w:r>
        <w:t xml:space="preserve"> no 14</w:t>
      </w:r>
      <w:r w:rsidR="00B231D1">
        <w:t>,</w:t>
      </w:r>
      <w:r>
        <w:t xml:space="preserve"> Cat no AUS 226, AIHW, Canberra.</w:t>
      </w:r>
    </w:p>
    <w:p w14:paraId="235C7C01" w14:textId="7C51AF31" w:rsidR="002570EF" w:rsidRDefault="002570EF" w:rsidP="002570EF">
      <w:r>
        <w:t>Contini D</w:t>
      </w:r>
      <w:r w:rsidR="00B231D1">
        <w:t>,</w:t>
      </w:r>
      <w:r>
        <w:t xml:space="preserve"> Filandri M </w:t>
      </w:r>
      <w:r w:rsidR="00B231D1">
        <w:t>and</w:t>
      </w:r>
      <w:r>
        <w:t xml:space="preserve"> Pacelli L (2019</w:t>
      </w:r>
      <w:r w:rsidRPr="00C239FD">
        <w:t>).</w:t>
      </w:r>
      <w:r w:rsidRPr="004A440A">
        <w:rPr>
          <w:b/>
          <w:bCs/>
        </w:rPr>
        <w:t xml:space="preserve"> </w:t>
      </w:r>
      <w:hyperlink r:id="rId93" w:history="1">
        <w:r w:rsidRPr="004623A7">
          <w:rPr>
            <w:rStyle w:val="Hyperlink"/>
          </w:rPr>
          <w:t>Persistency in the NEET state: a longitudinal analysis</w:t>
        </w:r>
      </w:hyperlink>
      <w:r w:rsidRPr="00A010FE">
        <w:t>,</w:t>
      </w:r>
      <w:r>
        <w:t xml:space="preserve"> </w:t>
      </w:r>
      <w:r w:rsidRPr="002A4286">
        <w:rPr>
          <w:i/>
          <w:iCs/>
        </w:rPr>
        <w:t>Journal of Youth Studies</w:t>
      </w:r>
      <w:r>
        <w:t> 22</w:t>
      </w:r>
      <w:r w:rsidR="00B231D1">
        <w:t>(</w:t>
      </w:r>
      <w:r>
        <w:t>7</w:t>
      </w:r>
      <w:r w:rsidR="00B231D1">
        <w:t>):</w:t>
      </w:r>
      <w:r>
        <w:t>959</w:t>
      </w:r>
      <w:r w:rsidR="00B231D1">
        <w:t>–</w:t>
      </w:r>
      <w:r>
        <w:t>980, DOI: 10.1080/13676261.2018.1562161</w:t>
      </w:r>
      <w:r w:rsidR="001429C2">
        <w:t>.</w:t>
      </w:r>
    </w:p>
    <w:p w14:paraId="2E0E0888" w14:textId="6CD47805" w:rsidR="002570EF" w:rsidRDefault="002570EF" w:rsidP="002570EF">
      <w:r>
        <w:t xml:space="preserve">Cummins RA, Mead R </w:t>
      </w:r>
      <w:r w:rsidR="001429C2">
        <w:t>and</w:t>
      </w:r>
      <w:r>
        <w:t xml:space="preserve"> the Australian Unity-Deakin University Wellbeing Research Partnership (2021). </w:t>
      </w:r>
      <w:hyperlink r:id="rId94" w:history="1">
        <w:r w:rsidRPr="00C239FD">
          <w:rPr>
            <w:rStyle w:val="Hyperlink"/>
          </w:rPr>
          <w:t>The Australian Unity Wellbeing Index 20th Anniversary Commemorative Edition</w:t>
        </w:r>
      </w:hyperlink>
      <w:r w:rsidR="001429C2">
        <w:t xml:space="preserve">, </w:t>
      </w:r>
      <w:r>
        <w:t>Australian Unity and Deakin University, Melbourne.</w:t>
      </w:r>
    </w:p>
    <w:p w14:paraId="6B6A1EE6" w14:textId="2E0D4823" w:rsidR="002570EF" w:rsidRDefault="002570EF" w:rsidP="002570EF">
      <w:r>
        <w:t>dandolopartners (2012)</w:t>
      </w:r>
      <w:r w:rsidR="001429C2">
        <w:t>.</w:t>
      </w:r>
      <w:r>
        <w:t xml:space="preserve"> </w:t>
      </w:r>
      <w:r w:rsidRPr="002A4286">
        <w:rPr>
          <w:i/>
          <w:iCs/>
        </w:rPr>
        <w:t xml:space="preserve">Interim </w:t>
      </w:r>
      <w:r w:rsidR="001429C2">
        <w:rPr>
          <w:i/>
          <w:iCs/>
        </w:rPr>
        <w:t>e</w:t>
      </w:r>
      <w:r w:rsidRPr="002A4286">
        <w:rPr>
          <w:i/>
          <w:iCs/>
        </w:rPr>
        <w:t>valuation of the National Partnership on Youth Attainment and Transitions</w:t>
      </w:r>
      <w:r w:rsidR="001429C2">
        <w:rPr>
          <w:i/>
          <w:iCs/>
        </w:rPr>
        <w:t>:</w:t>
      </w:r>
      <w:r w:rsidRPr="002A4286">
        <w:rPr>
          <w:i/>
          <w:iCs/>
        </w:rPr>
        <w:t xml:space="preserve"> </w:t>
      </w:r>
      <w:r w:rsidR="001429C2">
        <w:rPr>
          <w:i/>
          <w:iCs/>
        </w:rPr>
        <w:t>a</w:t>
      </w:r>
      <w:r w:rsidRPr="002A4286">
        <w:rPr>
          <w:i/>
          <w:iCs/>
        </w:rPr>
        <w:t xml:space="preserve"> </w:t>
      </w:r>
      <w:r w:rsidR="001429C2">
        <w:rPr>
          <w:i/>
          <w:iCs/>
        </w:rPr>
        <w:t>r</w:t>
      </w:r>
      <w:r w:rsidRPr="002A4286">
        <w:rPr>
          <w:i/>
          <w:iCs/>
        </w:rPr>
        <w:t>eport for the Department of Education, Employment and Workplace Relation</w:t>
      </w:r>
      <w:r w:rsidR="001429C2">
        <w:rPr>
          <w:i/>
          <w:iCs/>
        </w:rPr>
        <w:t>s</w:t>
      </w:r>
      <w:r w:rsidR="001429C2">
        <w:t>,</w:t>
      </w:r>
      <w:r>
        <w:t xml:space="preserve"> dandolopartners</w:t>
      </w:r>
      <w:r w:rsidR="001429C2">
        <w:t>,</w:t>
      </w:r>
      <w:r>
        <w:t xml:space="preserve"> Melbourne.</w:t>
      </w:r>
    </w:p>
    <w:p w14:paraId="4D27B1C1" w14:textId="6921477C" w:rsidR="002570EF" w:rsidRDefault="002570EF" w:rsidP="002570EF">
      <w:r>
        <w:t>Department of Education, Skills and Employment (2021).</w:t>
      </w:r>
      <w:r w:rsidR="00652C23">
        <w:t xml:space="preserve"> </w:t>
      </w:r>
      <w:r w:rsidRPr="00B76E3F">
        <w:t>Transition to Work Final Evaluation Report</w:t>
      </w:r>
      <w:r w:rsidRPr="00957D1A">
        <w:t>,</w:t>
      </w:r>
      <w:r>
        <w:t xml:space="preserve"> Australian Government, accessed 8 September 2021.</w:t>
      </w:r>
    </w:p>
    <w:p w14:paraId="17C20A36" w14:textId="691F7396" w:rsidR="00CE0CBD" w:rsidRDefault="00CE0CBD" w:rsidP="00CE0CBD">
      <w:r>
        <w:t xml:space="preserve">Department of Education, Skills and Employment (2021a). </w:t>
      </w:r>
      <w:r w:rsidRPr="00DC5B8B">
        <w:t xml:space="preserve">Transition to </w:t>
      </w:r>
      <w:r w:rsidR="001429C2" w:rsidRPr="00DC5B8B">
        <w:t>W</w:t>
      </w:r>
      <w:r w:rsidRPr="00DC5B8B">
        <w:t>ork Consultation Paper</w:t>
      </w:r>
      <w:r>
        <w:t>, accessed 24 Jan</w:t>
      </w:r>
      <w:r w:rsidR="001B6CD3">
        <w:t>uary</w:t>
      </w:r>
      <w:r>
        <w:t xml:space="preserve"> 2022</w:t>
      </w:r>
      <w:r w:rsidR="00957D1A">
        <w:t>.</w:t>
      </w:r>
    </w:p>
    <w:p w14:paraId="06DB2071" w14:textId="5677BB9C" w:rsidR="002570EF" w:rsidRDefault="002570EF" w:rsidP="002570EF">
      <w:r>
        <w:t xml:space="preserve">Department of Employment, Skills, Small and Family Business (2016). </w:t>
      </w:r>
      <w:r w:rsidRPr="0083776B">
        <w:t>Transition to Work Deed 2016–22, incorporating GVD no 1</w:t>
      </w:r>
      <w:r w:rsidR="00F8391B" w:rsidRPr="0083776B">
        <w:t>–</w:t>
      </w:r>
      <w:r w:rsidRPr="0083776B">
        <w:t>12</w:t>
      </w:r>
      <w:r w:rsidRPr="00957D1A">
        <w:t xml:space="preserve">, </w:t>
      </w:r>
      <w:r>
        <w:t>Australian Government</w:t>
      </w:r>
      <w:r w:rsidR="00533B7B">
        <w:t>.</w:t>
      </w:r>
    </w:p>
    <w:p w14:paraId="5B118A1A" w14:textId="19458EF0" w:rsidR="001B075D" w:rsidRDefault="001B075D" w:rsidP="001B075D">
      <w:r>
        <w:t>Department of Parliamentary Services</w:t>
      </w:r>
      <w:r w:rsidR="00BA693D">
        <w:t xml:space="preserve"> (</w:t>
      </w:r>
      <w:r>
        <w:t xml:space="preserve">2015). </w:t>
      </w:r>
      <w:hyperlink r:id="rId95" w:anchor="search=%22library/prspub/4036352%22" w:history="1">
        <w:r w:rsidRPr="001B075D">
          <w:rPr>
            <w:rStyle w:val="Hyperlink"/>
          </w:rPr>
          <w:t>Budget Review 2015–16</w:t>
        </w:r>
      </w:hyperlink>
      <w:r>
        <w:t>, accessed 17 December 2021</w:t>
      </w:r>
      <w:r w:rsidR="001B6CD3">
        <w:t>.</w:t>
      </w:r>
    </w:p>
    <w:p w14:paraId="1FD4D442" w14:textId="4E9524FB" w:rsidR="00652C23" w:rsidRPr="00827C3B" w:rsidRDefault="00652C23" w:rsidP="00652C23">
      <w:pPr>
        <w:pStyle w:val="FootnoteText"/>
        <w:spacing w:after="120"/>
        <w:rPr>
          <w:sz w:val="22"/>
          <w:szCs w:val="22"/>
        </w:rPr>
      </w:pPr>
      <w:r w:rsidRPr="00651F14">
        <w:rPr>
          <w:sz w:val="22"/>
          <w:szCs w:val="22"/>
        </w:rPr>
        <w:lastRenderedPageBreak/>
        <w:t xml:space="preserve">Diener et al </w:t>
      </w:r>
      <w:r w:rsidR="00AE6F9E">
        <w:rPr>
          <w:sz w:val="22"/>
          <w:szCs w:val="22"/>
        </w:rPr>
        <w:t>(</w:t>
      </w:r>
      <w:r w:rsidRPr="00651F14">
        <w:rPr>
          <w:sz w:val="22"/>
          <w:szCs w:val="22"/>
        </w:rPr>
        <w:t>20</w:t>
      </w:r>
      <w:r>
        <w:rPr>
          <w:sz w:val="22"/>
          <w:szCs w:val="22"/>
        </w:rPr>
        <w:t>09</w:t>
      </w:r>
      <w:r w:rsidR="00AE6F9E">
        <w:rPr>
          <w:sz w:val="22"/>
          <w:szCs w:val="22"/>
        </w:rPr>
        <w:t>).</w:t>
      </w:r>
      <w:r w:rsidRPr="00827C3B">
        <w:rPr>
          <w:sz w:val="22"/>
          <w:szCs w:val="22"/>
        </w:rPr>
        <w:t xml:space="preserve"> </w:t>
      </w:r>
      <w:hyperlink r:id="rId96" w:history="1">
        <w:r w:rsidRPr="00AE6F9E">
          <w:rPr>
            <w:rStyle w:val="Hyperlink"/>
            <w:sz w:val="22"/>
            <w:szCs w:val="22"/>
          </w:rPr>
          <w:t xml:space="preserve">New </w:t>
        </w:r>
        <w:r w:rsidR="001B6CD3">
          <w:rPr>
            <w:rStyle w:val="Hyperlink"/>
            <w:sz w:val="22"/>
            <w:szCs w:val="22"/>
          </w:rPr>
          <w:t>w</w:t>
        </w:r>
        <w:r w:rsidRPr="00AE6F9E">
          <w:rPr>
            <w:rStyle w:val="Hyperlink"/>
            <w:sz w:val="22"/>
            <w:szCs w:val="22"/>
          </w:rPr>
          <w:t xml:space="preserve">ell-being </w:t>
        </w:r>
        <w:r w:rsidR="001B6CD3">
          <w:rPr>
            <w:rStyle w:val="Hyperlink"/>
            <w:sz w:val="22"/>
            <w:szCs w:val="22"/>
          </w:rPr>
          <w:t>m</w:t>
        </w:r>
        <w:r w:rsidRPr="00AE6F9E">
          <w:rPr>
            <w:rStyle w:val="Hyperlink"/>
            <w:sz w:val="22"/>
            <w:szCs w:val="22"/>
          </w:rPr>
          <w:t xml:space="preserve">easures: </w:t>
        </w:r>
        <w:r w:rsidR="001B6CD3">
          <w:rPr>
            <w:rStyle w:val="Hyperlink"/>
            <w:sz w:val="22"/>
            <w:szCs w:val="22"/>
          </w:rPr>
          <w:t>s</w:t>
        </w:r>
        <w:r w:rsidRPr="00AE6F9E">
          <w:rPr>
            <w:rStyle w:val="Hyperlink"/>
            <w:sz w:val="22"/>
            <w:szCs w:val="22"/>
          </w:rPr>
          <w:t xml:space="preserve">hort </w:t>
        </w:r>
        <w:r w:rsidR="001B6CD3">
          <w:rPr>
            <w:rStyle w:val="Hyperlink"/>
            <w:sz w:val="22"/>
            <w:szCs w:val="22"/>
          </w:rPr>
          <w:t>s</w:t>
        </w:r>
        <w:r w:rsidRPr="00AE6F9E">
          <w:rPr>
            <w:rStyle w:val="Hyperlink"/>
            <w:sz w:val="22"/>
            <w:szCs w:val="22"/>
          </w:rPr>
          <w:t xml:space="preserve">cales to </w:t>
        </w:r>
        <w:r w:rsidR="001B6CD3">
          <w:rPr>
            <w:rStyle w:val="Hyperlink"/>
            <w:sz w:val="22"/>
            <w:szCs w:val="22"/>
          </w:rPr>
          <w:t>a</w:t>
        </w:r>
        <w:r w:rsidRPr="00AE6F9E">
          <w:rPr>
            <w:rStyle w:val="Hyperlink"/>
            <w:sz w:val="22"/>
            <w:szCs w:val="22"/>
          </w:rPr>
          <w:t xml:space="preserve">ssess </w:t>
        </w:r>
        <w:r w:rsidR="001B6CD3">
          <w:rPr>
            <w:rStyle w:val="Hyperlink"/>
            <w:sz w:val="22"/>
            <w:szCs w:val="22"/>
          </w:rPr>
          <w:t>f</w:t>
        </w:r>
        <w:r w:rsidRPr="00AE6F9E">
          <w:rPr>
            <w:rStyle w:val="Hyperlink"/>
            <w:sz w:val="22"/>
            <w:szCs w:val="22"/>
          </w:rPr>
          <w:t xml:space="preserve">lourishing and </w:t>
        </w:r>
        <w:r w:rsidR="001B6CD3">
          <w:rPr>
            <w:rStyle w:val="Hyperlink"/>
            <w:sz w:val="22"/>
            <w:szCs w:val="22"/>
          </w:rPr>
          <w:t>p</w:t>
        </w:r>
        <w:r w:rsidRPr="00AE6F9E">
          <w:rPr>
            <w:rStyle w:val="Hyperlink"/>
            <w:sz w:val="22"/>
            <w:szCs w:val="22"/>
          </w:rPr>
          <w:t xml:space="preserve">ositive and </w:t>
        </w:r>
        <w:r w:rsidR="001B6CD3">
          <w:rPr>
            <w:rStyle w:val="Hyperlink"/>
            <w:sz w:val="22"/>
            <w:szCs w:val="22"/>
          </w:rPr>
          <w:t>n</w:t>
        </w:r>
        <w:r w:rsidRPr="00AE6F9E">
          <w:rPr>
            <w:rStyle w:val="Hyperlink"/>
            <w:sz w:val="22"/>
            <w:szCs w:val="22"/>
          </w:rPr>
          <w:t xml:space="preserve">egative </w:t>
        </w:r>
        <w:r w:rsidR="001B6CD3">
          <w:rPr>
            <w:rStyle w:val="Hyperlink"/>
            <w:sz w:val="22"/>
            <w:szCs w:val="22"/>
          </w:rPr>
          <w:t>f</w:t>
        </w:r>
        <w:r w:rsidRPr="00AE6F9E">
          <w:rPr>
            <w:rStyle w:val="Hyperlink"/>
            <w:sz w:val="22"/>
            <w:szCs w:val="22"/>
          </w:rPr>
          <w:t>eelings</w:t>
        </w:r>
      </w:hyperlink>
      <w:r w:rsidR="00F17B4B" w:rsidRPr="00A010FE">
        <w:rPr>
          <w:sz w:val="22"/>
          <w:szCs w:val="22"/>
        </w:rPr>
        <w:t>,</w:t>
      </w:r>
      <w:r w:rsidRPr="00651F14">
        <w:rPr>
          <w:sz w:val="22"/>
          <w:szCs w:val="22"/>
        </w:rPr>
        <w:t xml:space="preserve"> </w:t>
      </w:r>
      <w:r w:rsidRPr="002A4286">
        <w:rPr>
          <w:i/>
          <w:iCs/>
          <w:sz w:val="22"/>
          <w:szCs w:val="22"/>
        </w:rPr>
        <w:t>Social Indicators Research</w:t>
      </w:r>
      <w:r w:rsidRPr="00651F14">
        <w:rPr>
          <w:sz w:val="22"/>
          <w:szCs w:val="22"/>
        </w:rPr>
        <w:t xml:space="preserve"> 97</w:t>
      </w:r>
      <w:r w:rsidR="001B6CD3">
        <w:rPr>
          <w:sz w:val="22"/>
          <w:szCs w:val="22"/>
        </w:rPr>
        <w:t>(</w:t>
      </w:r>
      <w:r w:rsidRPr="00651F14">
        <w:rPr>
          <w:sz w:val="22"/>
          <w:szCs w:val="22"/>
        </w:rPr>
        <w:t>2</w:t>
      </w:r>
      <w:r w:rsidR="001B6CD3">
        <w:rPr>
          <w:sz w:val="22"/>
          <w:szCs w:val="22"/>
        </w:rPr>
        <w:t>):</w:t>
      </w:r>
      <w:r w:rsidRPr="00651F14">
        <w:rPr>
          <w:sz w:val="22"/>
          <w:szCs w:val="22"/>
        </w:rPr>
        <w:t>143</w:t>
      </w:r>
      <w:r w:rsidR="001B6CD3">
        <w:rPr>
          <w:sz w:val="22"/>
          <w:szCs w:val="22"/>
        </w:rPr>
        <w:t>–</w:t>
      </w:r>
      <w:r w:rsidRPr="00651F14">
        <w:rPr>
          <w:sz w:val="22"/>
          <w:szCs w:val="22"/>
        </w:rPr>
        <w:t>156</w:t>
      </w:r>
      <w:r w:rsidR="001B6CD3">
        <w:rPr>
          <w:sz w:val="22"/>
          <w:szCs w:val="22"/>
        </w:rPr>
        <w:t>.</w:t>
      </w:r>
    </w:p>
    <w:p w14:paraId="55D6BC0E" w14:textId="017F5F10" w:rsidR="002570EF" w:rsidRDefault="002570EF" w:rsidP="002570EF">
      <w:r>
        <w:t>Dietrich H, Patzina A, Chesters J</w:t>
      </w:r>
      <w:r w:rsidR="001B6CD3">
        <w:t xml:space="preserve"> and</w:t>
      </w:r>
      <w:r>
        <w:t xml:space="preserve"> Reissner V (2021</w:t>
      </w:r>
      <w:r w:rsidRPr="00CD7319">
        <w:t xml:space="preserve">). </w:t>
      </w:r>
      <w:r w:rsidRPr="00AE6F9E">
        <w:t>Sc</w:t>
      </w:r>
      <w:r w:rsidRPr="002A4286">
        <w:t>hool to work transitions and subjective wellbeing in Australia</w:t>
      </w:r>
      <w:r w:rsidRPr="00A010FE">
        <w:t xml:space="preserve">, </w:t>
      </w:r>
      <w:r w:rsidRPr="002A4286">
        <w:rPr>
          <w:i/>
          <w:iCs/>
        </w:rPr>
        <w:t>British Journal of Soci</w:t>
      </w:r>
      <w:r w:rsidR="00C65484">
        <w:rPr>
          <w:i/>
          <w:iCs/>
        </w:rPr>
        <w:t>o</w:t>
      </w:r>
      <w:r w:rsidRPr="002A4286">
        <w:rPr>
          <w:i/>
          <w:iCs/>
        </w:rPr>
        <w:t>logy</w:t>
      </w:r>
      <w:r>
        <w:t>, September 2021.</w:t>
      </w:r>
    </w:p>
    <w:p w14:paraId="5BD2C60B" w14:textId="6C831FA6" w:rsidR="002570EF" w:rsidRDefault="002570EF" w:rsidP="002570EF">
      <w:r>
        <w:t>Egdell V and Graham</w:t>
      </w:r>
      <w:r w:rsidR="001B6CD3">
        <w:t xml:space="preserve"> </w:t>
      </w:r>
      <w:r>
        <w:t xml:space="preserve">H (2017). </w:t>
      </w:r>
      <w:r w:rsidRPr="002A4286">
        <w:t xml:space="preserve">A </w:t>
      </w:r>
      <w:r w:rsidR="001B6CD3">
        <w:t>c</w:t>
      </w:r>
      <w:r w:rsidRPr="002A4286">
        <w:t xml:space="preserve">apability </w:t>
      </w:r>
      <w:r w:rsidR="001B6CD3">
        <w:t>a</w:t>
      </w:r>
      <w:r w:rsidRPr="002A4286">
        <w:t xml:space="preserve">pproach to </w:t>
      </w:r>
      <w:r w:rsidR="001B6CD3">
        <w:t>u</w:t>
      </w:r>
      <w:r w:rsidRPr="002A4286">
        <w:t xml:space="preserve">nemployed </w:t>
      </w:r>
      <w:r w:rsidR="001B6CD3">
        <w:t>y</w:t>
      </w:r>
      <w:r w:rsidRPr="002A4286">
        <w:t xml:space="preserve">oung </w:t>
      </w:r>
      <w:r w:rsidR="001B6CD3">
        <w:t>p</w:t>
      </w:r>
      <w:r w:rsidRPr="002A4286">
        <w:t>eople</w:t>
      </w:r>
      <w:r w:rsidR="00F8391B">
        <w:t>’</w:t>
      </w:r>
      <w:r w:rsidRPr="002A4286">
        <w:t xml:space="preserve">s </w:t>
      </w:r>
      <w:r w:rsidR="001B6CD3">
        <w:t>v</w:t>
      </w:r>
      <w:r w:rsidRPr="002A4286">
        <w:t xml:space="preserve">oice and </w:t>
      </w:r>
      <w:r w:rsidR="001B6CD3">
        <w:t>a</w:t>
      </w:r>
      <w:r w:rsidRPr="002A4286">
        <w:t xml:space="preserve">gency in the </w:t>
      </w:r>
      <w:r w:rsidR="001B6CD3">
        <w:t>d</w:t>
      </w:r>
      <w:r w:rsidRPr="002A4286">
        <w:t xml:space="preserve">evelopment and </w:t>
      </w:r>
      <w:r w:rsidR="001B6CD3">
        <w:t>i</w:t>
      </w:r>
      <w:r w:rsidRPr="002A4286">
        <w:t xml:space="preserve">mplementation of </w:t>
      </w:r>
      <w:r w:rsidR="001B6CD3">
        <w:t>e</w:t>
      </w:r>
      <w:r w:rsidRPr="002A4286">
        <w:t xml:space="preserve">mployment </w:t>
      </w:r>
      <w:r w:rsidR="001B6CD3">
        <w:t>a</w:t>
      </w:r>
      <w:r w:rsidRPr="002A4286">
        <w:t xml:space="preserve">ctivation </w:t>
      </w:r>
      <w:r w:rsidR="001B6CD3">
        <w:t>p</w:t>
      </w:r>
      <w:r w:rsidRPr="002A4286">
        <w:t>olicies</w:t>
      </w:r>
      <w:r>
        <w:t xml:space="preserve">, </w:t>
      </w:r>
      <w:r w:rsidRPr="002A4286">
        <w:rPr>
          <w:i/>
          <w:iCs/>
        </w:rPr>
        <w:t>Social Policy and Administration</w:t>
      </w:r>
      <w:r>
        <w:t xml:space="preserve"> 51</w:t>
      </w:r>
      <w:r w:rsidR="001B6CD3">
        <w:t>(</w:t>
      </w:r>
      <w:r>
        <w:t>7</w:t>
      </w:r>
      <w:r w:rsidR="001B6CD3">
        <w:t>):</w:t>
      </w:r>
      <w:r>
        <w:t>1191–1209.</w:t>
      </w:r>
    </w:p>
    <w:p w14:paraId="0EBEE915" w14:textId="4AB888D9" w:rsidR="007158EC" w:rsidRDefault="007158EC" w:rsidP="007158EC">
      <w:hyperlink r:id="rId97" w:history="1">
        <w:r w:rsidRPr="001431BC">
          <w:t>Egdell V</w:t>
        </w:r>
      </w:hyperlink>
      <w:r>
        <w:t xml:space="preserve"> and McQuaid R (2016). </w:t>
      </w:r>
      <w:hyperlink r:id="rId98" w:history="1">
        <w:r w:rsidRPr="004623A7">
          <w:rPr>
            <w:rStyle w:val="Hyperlink"/>
          </w:rPr>
          <w:t xml:space="preserve">Supporting </w:t>
        </w:r>
        <w:r>
          <w:rPr>
            <w:rStyle w:val="Hyperlink"/>
          </w:rPr>
          <w:t>y</w:t>
        </w:r>
        <w:r w:rsidRPr="004623A7">
          <w:rPr>
            <w:rStyle w:val="Hyperlink"/>
          </w:rPr>
          <w:t xml:space="preserve">oung </w:t>
        </w:r>
        <w:r>
          <w:rPr>
            <w:rStyle w:val="Hyperlink"/>
          </w:rPr>
          <w:t>p</w:t>
        </w:r>
        <w:r w:rsidRPr="004623A7">
          <w:rPr>
            <w:rStyle w:val="Hyperlink"/>
          </w:rPr>
          <w:t xml:space="preserve">eople into </w:t>
        </w:r>
        <w:r>
          <w:rPr>
            <w:rStyle w:val="Hyperlink"/>
          </w:rPr>
          <w:t>w</w:t>
        </w:r>
        <w:r w:rsidRPr="004623A7">
          <w:rPr>
            <w:rStyle w:val="Hyperlink"/>
          </w:rPr>
          <w:t xml:space="preserve">ork: </w:t>
        </w:r>
        <w:r>
          <w:rPr>
            <w:rStyle w:val="Hyperlink"/>
          </w:rPr>
          <w:t>i</w:t>
        </w:r>
        <w:r w:rsidRPr="004623A7">
          <w:rPr>
            <w:rStyle w:val="Hyperlink"/>
          </w:rPr>
          <w:t xml:space="preserve">nsights from the </w:t>
        </w:r>
        <w:r>
          <w:rPr>
            <w:rStyle w:val="Hyperlink"/>
          </w:rPr>
          <w:t>c</w:t>
        </w:r>
        <w:r w:rsidRPr="004623A7">
          <w:rPr>
            <w:rStyle w:val="Hyperlink"/>
          </w:rPr>
          <w:t xml:space="preserve">apability </w:t>
        </w:r>
        <w:r>
          <w:rPr>
            <w:rStyle w:val="Hyperlink"/>
          </w:rPr>
          <w:t>a</w:t>
        </w:r>
        <w:r w:rsidRPr="004623A7">
          <w:rPr>
            <w:rStyle w:val="Hyperlink"/>
          </w:rPr>
          <w:t>pproach</w:t>
        </w:r>
      </w:hyperlink>
      <w:r>
        <w:t>, </w:t>
      </w:r>
      <w:hyperlink r:id="rId99" w:history="1">
        <w:r w:rsidRPr="001431BC">
          <w:rPr>
            <w:i/>
            <w:iCs/>
          </w:rPr>
          <w:t>Social Policy and Administration</w:t>
        </w:r>
      </w:hyperlink>
      <w:r>
        <w:t xml:space="preserve"> 50(1):1–18.</w:t>
      </w:r>
    </w:p>
    <w:p w14:paraId="3B412BBD" w14:textId="2466DA9B" w:rsidR="00860F75" w:rsidRDefault="00860F75" w:rsidP="001431BC">
      <w:r w:rsidRPr="00F519C5">
        <w:t>Fujiwara</w:t>
      </w:r>
      <w:r>
        <w:t xml:space="preserve"> D (2013)</w:t>
      </w:r>
      <w:r w:rsidR="00AE6F9E">
        <w:t>.</w:t>
      </w:r>
      <w:r>
        <w:t xml:space="preserve"> </w:t>
      </w:r>
      <w:hyperlink r:id="rId100" w:history="1">
        <w:r w:rsidRPr="00AE6F9E">
          <w:rPr>
            <w:rStyle w:val="Hyperlink"/>
          </w:rPr>
          <w:t xml:space="preserve">A </w:t>
        </w:r>
        <w:r w:rsidR="00447DCA">
          <w:rPr>
            <w:rStyle w:val="Hyperlink"/>
          </w:rPr>
          <w:t>g</w:t>
        </w:r>
        <w:r w:rsidRPr="00AE6F9E">
          <w:rPr>
            <w:rStyle w:val="Hyperlink"/>
          </w:rPr>
          <w:t xml:space="preserve">eneral </w:t>
        </w:r>
        <w:r w:rsidR="00447DCA">
          <w:rPr>
            <w:rStyle w:val="Hyperlink"/>
          </w:rPr>
          <w:t>m</w:t>
        </w:r>
        <w:r w:rsidRPr="00AE6F9E">
          <w:rPr>
            <w:rStyle w:val="Hyperlink"/>
          </w:rPr>
          <w:t xml:space="preserve">ethod for </w:t>
        </w:r>
        <w:r w:rsidR="00447DCA">
          <w:rPr>
            <w:rStyle w:val="Hyperlink"/>
          </w:rPr>
          <w:t>v</w:t>
        </w:r>
        <w:r w:rsidRPr="00AE6F9E">
          <w:rPr>
            <w:rStyle w:val="Hyperlink"/>
          </w:rPr>
          <w:t xml:space="preserve">aluing </w:t>
        </w:r>
        <w:r w:rsidR="00447DCA">
          <w:rPr>
            <w:rStyle w:val="Hyperlink"/>
          </w:rPr>
          <w:t>n</w:t>
        </w:r>
        <w:r w:rsidRPr="00AE6F9E">
          <w:rPr>
            <w:rStyle w:val="Hyperlink"/>
          </w:rPr>
          <w:t>on-</w:t>
        </w:r>
        <w:r w:rsidR="00447DCA">
          <w:rPr>
            <w:rStyle w:val="Hyperlink"/>
          </w:rPr>
          <w:t>m</w:t>
        </w:r>
        <w:r w:rsidRPr="00AE6F9E">
          <w:rPr>
            <w:rStyle w:val="Hyperlink"/>
          </w:rPr>
          <w:t xml:space="preserve">arket </w:t>
        </w:r>
        <w:r w:rsidR="00447DCA">
          <w:rPr>
            <w:rStyle w:val="Hyperlink"/>
          </w:rPr>
          <w:t>g</w:t>
        </w:r>
        <w:r w:rsidRPr="00AE6F9E">
          <w:rPr>
            <w:rStyle w:val="Hyperlink"/>
          </w:rPr>
          <w:t xml:space="preserve">oods </w:t>
        </w:r>
        <w:r w:rsidR="00447DCA">
          <w:rPr>
            <w:rStyle w:val="Hyperlink"/>
          </w:rPr>
          <w:t>u</w:t>
        </w:r>
        <w:r w:rsidRPr="00AE6F9E">
          <w:rPr>
            <w:rStyle w:val="Hyperlink"/>
          </w:rPr>
          <w:t xml:space="preserve">sing </w:t>
        </w:r>
        <w:r w:rsidR="00447DCA">
          <w:rPr>
            <w:rStyle w:val="Hyperlink"/>
          </w:rPr>
          <w:t>w</w:t>
        </w:r>
        <w:r w:rsidRPr="00AE6F9E">
          <w:rPr>
            <w:rStyle w:val="Hyperlink"/>
          </w:rPr>
          <w:t xml:space="preserve">ellbeing </w:t>
        </w:r>
        <w:r w:rsidR="00447DCA">
          <w:rPr>
            <w:rStyle w:val="Hyperlink"/>
          </w:rPr>
          <w:t>d</w:t>
        </w:r>
        <w:r w:rsidRPr="00AE6F9E">
          <w:rPr>
            <w:rStyle w:val="Hyperlink"/>
          </w:rPr>
          <w:t xml:space="preserve">ata: </w:t>
        </w:r>
        <w:r w:rsidR="00447DCA">
          <w:rPr>
            <w:rStyle w:val="Hyperlink"/>
          </w:rPr>
          <w:t>t</w:t>
        </w:r>
        <w:r w:rsidRPr="00AE6F9E">
          <w:rPr>
            <w:rStyle w:val="Hyperlink"/>
          </w:rPr>
          <w:t>hree-</w:t>
        </w:r>
        <w:r w:rsidR="00447DCA">
          <w:rPr>
            <w:rStyle w:val="Hyperlink"/>
          </w:rPr>
          <w:t>s</w:t>
        </w:r>
        <w:r w:rsidRPr="00AE6F9E">
          <w:rPr>
            <w:rStyle w:val="Hyperlink"/>
          </w:rPr>
          <w:t xml:space="preserve">tage </w:t>
        </w:r>
        <w:r w:rsidR="00447DCA">
          <w:rPr>
            <w:rStyle w:val="Hyperlink"/>
          </w:rPr>
          <w:t>w</w:t>
        </w:r>
        <w:r w:rsidRPr="00AE6F9E">
          <w:rPr>
            <w:rStyle w:val="Hyperlink"/>
          </w:rPr>
          <w:t xml:space="preserve">ellbeing </w:t>
        </w:r>
        <w:r w:rsidR="00447DCA">
          <w:rPr>
            <w:rStyle w:val="Hyperlink"/>
          </w:rPr>
          <w:t>v</w:t>
        </w:r>
        <w:r w:rsidRPr="00AE6F9E">
          <w:rPr>
            <w:rStyle w:val="Hyperlink"/>
          </w:rPr>
          <w:t>aluation</w:t>
        </w:r>
      </w:hyperlink>
      <w:r>
        <w:t xml:space="preserve">, </w:t>
      </w:r>
      <w:r w:rsidR="008C1F87" w:rsidRPr="00C239FD">
        <w:t>CEP Discussion Paper 1233</w:t>
      </w:r>
      <w:r w:rsidR="008C1F87" w:rsidRPr="00447DCA">
        <w:t>,</w:t>
      </w:r>
      <w:r w:rsidR="008C1F87">
        <w:t xml:space="preserve"> </w:t>
      </w:r>
      <w:r>
        <w:t>Center for Economics Performance.</w:t>
      </w:r>
    </w:p>
    <w:p w14:paraId="40046B96" w14:textId="2EE46162" w:rsidR="002570EF" w:rsidRDefault="002570EF" w:rsidP="002570EF">
      <w:r>
        <w:t>Gee G, Dudgeon P, Schultz C, Hart A</w:t>
      </w:r>
      <w:r w:rsidR="00447DCA">
        <w:t xml:space="preserve"> and</w:t>
      </w:r>
      <w:r>
        <w:t xml:space="preserve"> Kerrie K (2014)</w:t>
      </w:r>
      <w:r w:rsidR="00AE6F9E">
        <w:t>.</w:t>
      </w:r>
      <w:r w:rsidR="00F50C8F">
        <w:t xml:space="preserve"> </w:t>
      </w:r>
      <w:r w:rsidRPr="002A4286">
        <w:t xml:space="preserve">Aboriginal and Torres Strait Islander </w:t>
      </w:r>
      <w:r w:rsidR="00FD0A3B">
        <w:t>s</w:t>
      </w:r>
      <w:r w:rsidRPr="002A4286">
        <w:t xml:space="preserve">ocial and </w:t>
      </w:r>
      <w:r w:rsidR="00FD0A3B">
        <w:t>e</w:t>
      </w:r>
      <w:r w:rsidRPr="002A4286">
        <w:t xml:space="preserve">motional </w:t>
      </w:r>
      <w:r w:rsidR="00FD0A3B">
        <w:t>w</w:t>
      </w:r>
      <w:r w:rsidRPr="002A4286">
        <w:t>ellbeing</w:t>
      </w:r>
      <w:r>
        <w:t>. In P Dudgeon, H Milroy</w:t>
      </w:r>
      <w:r w:rsidR="00FD0A3B">
        <w:t xml:space="preserve"> and</w:t>
      </w:r>
      <w:r>
        <w:t xml:space="preserve"> R Walker (</w:t>
      </w:r>
      <w:r w:rsidR="00FD0A3B">
        <w:t>e</w:t>
      </w:r>
      <w:r>
        <w:t xml:space="preserve">ds), </w:t>
      </w:r>
      <w:r w:rsidRPr="002A4286">
        <w:rPr>
          <w:i/>
          <w:iCs/>
        </w:rPr>
        <w:t>Working together: Aboriginal and Torres Strait Islander mental health and wellbeing principles and practice</w:t>
      </w:r>
      <w:r>
        <w:t xml:space="preserve"> (2nd </w:t>
      </w:r>
      <w:r w:rsidR="00FD0A3B">
        <w:t>e</w:t>
      </w:r>
      <w:r>
        <w:t>d</w:t>
      </w:r>
      <w:r w:rsidR="00FD0A3B">
        <w:t>n</w:t>
      </w:r>
      <w:r>
        <w:t>)</w:t>
      </w:r>
      <w:r w:rsidR="00FD0A3B">
        <w:t>,</w:t>
      </w:r>
      <w:r>
        <w:t xml:space="preserve"> Commonwealth of Australia</w:t>
      </w:r>
      <w:r w:rsidR="00FD0A3B">
        <w:t>, Canberra pp. 55–68.</w:t>
      </w:r>
    </w:p>
    <w:p w14:paraId="04A0404C" w14:textId="107C2096" w:rsidR="002570EF" w:rsidRDefault="002570EF" w:rsidP="002570EF">
      <w:r>
        <w:t xml:space="preserve">Groves R, Fowler </w:t>
      </w:r>
      <w:r w:rsidR="00F50C8F">
        <w:t xml:space="preserve">F </w:t>
      </w:r>
      <w:r>
        <w:t>Jr, Couper</w:t>
      </w:r>
      <w:r w:rsidR="00F50C8F">
        <w:t xml:space="preserve"> M</w:t>
      </w:r>
      <w:r>
        <w:t>, Lepkowski</w:t>
      </w:r>
      <w:r w:rsidR="00F50C8F">
        <w:t xml:space="preserve"> J</w:t>
      </w:r>
      <w:r>
        <w:t>, Singer</w:t>
      </w:r>
      <w:r w:rsidR="00F50C8F">
        <w:t xml:space="preserve"> E</w:t>
      </w:r>
      <w:r>
        <w:t xml:space="preserve"> </w:t>
      </w:r>
      <w:r w:rsidR="00F50C8F">
        <w:t xml:space="preserve">and </w:t>
      </w:r>
      <w:r>
        <w:t>Tourangeau</w:t>
      </w:r>
      <w:r w:rsidR="00F50C8F">
        <w:t xml:space="preserve"> R</w:t>
      </w:r>
      <w:r>
        <w:t xml:space="preserve"> </w:t>
      </w:r>
      <w:r w:rsidR="00F50C8F">
        <w:t>(</w:t>
      </w:r>
      <w:r>
        <w:t>2009</w:t>
      </w:r>
      <w:r w:rsidR="00F50C8F">
        <w:t>)</w:t>
      </w:r>
      <w:r w:rsidR="00AE6F9E">
        <w:t>.</w:t>
      </w:r>
      <w:r w:rsidR="00F50C8F">
        <w:t xml:space="preserve"> </w:t>
      </w:r>
      <w:r w:rsidRPr="002A4286">
        <w:rPr>
          <w:i/>
          <w:iCs/>
        </w:rPr>
        <w:t xml:space="preserve">Survey </w:t>
      </w:r>
      <w:r w:rsidR="009B5782">
        <w:rPr>
          <w:i/>
          <w:iCs/>
        </w:rPr>
        <w:t>m</w:t>
      </w:r>
      <w:r w:rsidRPr="002A4286">
        <w:rPr>
          <w:i/>
          <w:iCs/>
        </w:rPr>
        <w:t>ethodology</w:t>
      </w:r>
      <w:r>
        <w:t>. John Wiley &amp; Sons.</w:t>
      </w:r>
    </w:p>
    <w:p w14:paraId="12CF5F2E" w14:textId="04FAC834" w:rsidR="002570EF" w:rsidRDefault="002570EF" w:rsidP="002570EF">
      <w:r>
        <w:t xml:space="preserve">Headspace </w:t>
      </w:r>
      <w:r w:rsidR="00F50C8F">
        <w:t>(</w:t>
      </w:r>
      <w:r>
        <w:t>2021</w:t>
      </w:r>
      <w:r w:rsidR="00F50C8F">
        <w:t>)</w:t>
      </w:r>
      <w:r w:rsidR="00AE6F9E">
        <w:t>.</w:t>
      </w:r>
      <w:r>
        <w:t xml:space="preserve"> </w:t>
      </w:r>
      <w:hyperlink r:id="rId101" w:history="1">
        <w:r w:rsidRPr="00C239FD">
          <w:rPr>
            <w:rStyle w:val="Hyperlink"/>
          </w:rPr>
          <w:t>Take a step towards a stronger you</w:t>
        </w:r>
      </w:hyperlink>
      <w:r w:rsidRPr="00957D1A">
        <w:t xml:space="preserve">, </w:t>
      </w:r>
      <w:r w:rsidR="00417815">
        <w:t xml:space="preserve">accessed </w:t>
      </w:r>
      <w:r>
        <w:t>11 November 2021</w:t>
      </w:r>
      <w:r w:rsidR="009B5782">
        <w:t>.</w:t>
      </w:r>
    </w:p>
    <w:p w14:paraId="1B09D757" w14:textId="485B97AC" w:rsidR="002570EF" w:rsidRDefault="002570EF" w:rsidP="002570EF">
      <w:r>
        <w:t>Herrman H, Stewart DE, Diaz-Granados N, Berger EL, Jackson B</w:t>
      </w:r>
      <w:r w:rsidR="000E68A2">
        <w:t xml:space="preserve"> and</w:t>
      </w:r>
      <w:r>
        <w:t xml:space="preserve"> Yuen T</w:t>
      </w:r>
      <w:r w:rsidR="00F50C8F">
        <w:t xml:space="preserve"> (2011)</w:t>
      </w:r>
      <w:r>
        <w:t xml:space="preserve">. </w:t>
      </w:r>
      <w:r w:rsidRPr="002A4286">
        <w:t>What is resilience?</w:t>
      </w:r>
      <w:r>
        <w:t xml:space="preserve"> </w:t>
      </w:r>
      <w:r w:rsidRPr="002A4286">
        <w:rPr>
          <w:i/>
          <w:iCs/>
        </w:rPr>
        <w:t>Can</w:t>
      </w:r>
      <w:r w:rsidR="000E68A2">
        <w:rPr>
          <w:i/>
          <w:iCs/>
        </w:rPr>
        <w:t>adian Journal of</w:t>
      </w:r>
      <w:r w:rsidRPr="002A4286">
        <w:rPr>
          <w:i/>
          <w:iCs/>
        </w:rPr>
        <w:t xml:space="preserve"> Psychiatry</w:t>
      </w:r>
      <w:r>
        <w:t xml:space="preserve"> 56(5):258</w:t>
      </w:r>
      <w:r w:rsidR="00EC05E0">
        <w:t>–2</w:t>
      </w:r>
      <w:r>
        <w:t xml:space="preserve">65. </w:t>
      </w:r>
      <w:r w:rsidR="00EC05E0">
        <w:t>DOI</w:t>
      </w:r>
      <w:r>
        <w:t>: 10.1177/070674371105600504. PMID: 21586191</w:t>
      </w:r>
    </w:p>
    <w:p w14:paraId="4E509EC9" w14:textId="7CD66EF5" w:rsidR="00AA3008" w:rsidRDefault="00AA3008" w:rsidP="002570EF">
      <w:pPr>
        <w:rPr>
          <w:rStyle w:val="Hyperlink"/>
        </w:rPr>
      </w:pPr>
      <w:r>
        <w:t xml:space="preserve">HM Treasury </w:t>
      </w:r>
      <w:r w:rsidR="00AE6F9E">
        <w:t>(</w:t>
      </w:r>
      <w:r>
        <w:t>2021a)</w:t>
      </w:r>
      <w:r w:rsidR="00AE6F9E">
        <w:t>.</w:t>
      </w:r>
      <w:r>
        <w:t xml:space="preserve"> </w:t>
      </w:r>
      <w:hyperlink r:id="rId102" w:history="1">
        <w:r w:rsidRPr="00C239FD">
          <w:rPr>
            <w:rStyle w:val="Hyperlink"/>
          </w:rPr>
          <w:t>Wellbeing discussion paper: monetisation of life satisfaction effect sizes, a review of approaches and proposed approach</w:t>
        </w:r>
      </w:hyperlink>
      <w:r w:rsidRPr="00C239FD">
        <w:t>,</w:t>
      </w:r>
      <w:r w:rsidRPr="00957D1A">
        <w:t xml:space="preserve"> </w:t>
      </w:r>
      <w:r w:rsidR="00AE6F9E">
        <w:t>UK Government, London.</w:t>
      </w:r>
      <w:r w:rsidR="00AE6F9E" w:rsidDel="00AE6F9E">
        <w:t xml:space="preserve"> </w:t>
      </w:r>
    </w:p>
    <w:p w14:paraId="26ED8C70" w14:textId="2362B6D0" w:rsidR="00F064A4" w:rsidRDefault="00F064A4" w:rsidP="002570EF">
      <w:r>
        <w:t>HM Treasury</w:t>
      </w:r>
      <w:r w:rsidR="00AE6F9E">
        <w:t xml:space="preserve"> (</w:t>
      </w:r>
      <w:r>
        <w:t>2021b)</w:t>
      </w:r>
      <w:r w:rsidR="00AE6F9E">
        <w:t>.</w:t>
      </w:r>
      <w:r>
        <w:t xml:space="preserve"> </w:t>
      </w:r>
      <w:hyperlink r:id="rId103" w:history="1">
        <w:r w:rsidRPr="00C239FD">
          <w:rPr>
            <w:rStyle w:val="Hyperlink"/>
          </w:rPr>
          <w:t xml:space="preserve">Wellbeing </w:t>
        </w:r>
        <w:r w:rsidR="00EC05E0">
          <w:rPr>
            <w:rStyle w:val="Hyperlink"/>
          </w:rPr>
          <w:t>g</w:t>
        </w:r>
        <w:r w:rsidRPr="00C239FD">
          <w:rPr>
            <w:rStyle w:val="Hyperlink"/>
          </w:rPr>
          <w:t xml:space="preserve">uidance for </w:t>
        </w:r>
        <w:r w:rsidR="00EC05E0">
          <w:rPr>
            <w:rStyle w:val="Hyperlink"/>
          </w:rPr>
          <w:t>a</w:t>
        </w:r>
        <w:r w:rsidRPr="00C239FD">
          <w:rPr>
            <w:rStyle w:val="Hyperlink"/>
          </w:rPr>
          <w:t xml:space="preserve">ppraisal: </w:t>
        </w:r>
        <w:r w:rsidR="00EC05E0">
          <w:rPr>
            <w:rStyle w:val="Hyperlink"/>
          </w:rPr>
          <w:t>s</w:t>
        </w:r>
        <w:r w:rsidRPr="00C239FD">
          <w:rPr>
            <w:rStyle w:val="Hyperlink"/>
          </w:rPr>
          <w:t xml:space="preserve">upplementary </w:t>
        </w:r>
        <w:r w:rsidR="00EC05E0">
          <w:rPr>
            <w:rStyle w:val="Hyperlink"/>
          </w:rPr>
          <w:t>g</w:t>
        </w:r>
        <w:r w:rsidRPr="00C239FD">
          <w:rPr>
            <w:rStyle w:val="Hyperlink"/>
          </w:rPr>
          <w:t xml:space="preserve">reen </w:t>
        </w:r>
        <w:r w:rsidR="00EC05E0">
          <w:rPr>
            <w:rStyle w:val="Hyperlink"/>
          </w:rPr>
          <w:t>b</w:t>
        </w:r>
        <w:r w:rsidRPr="00C239FD">
          <w:rPr>
            <w:rStyle w:val="Hyperlink"/>
          </w:rPr>
          <w:t xml:space="preserve">ook </w:t>
        </w:r>
        <w:r w:rsidR="00EC05E0">
          <w:rPr>
            <w:rStyle w:val="Hyperlink"/>
          </w:rPr>
          <w:t>g</w:t>
        </w:r>
        <w:r w:rsidRPr="00C239FD">
          <w:rPr>
            <w:rStyle w:val="Hyperlink"/>
          </w:rPr>
          <w:t>uidance</w:t>
        </w:r>
      </w:hyperlink>
      <w:r w:rsidRPr="00C239FD">
        <w:t>,</w:t>
      </w:r>
      <w:r w:rsidRPr="00957D1A">
        <w:t xml:space="preserve"> UK </w:t>
      </w:r>
      <w:r>
        <w:t>Government, London</w:t>
      </w:r>
      <w:r w:rsidR="00AE6F9E">
        <w:t>.</w:t>
      </w:r>
    </w:p>
    <w:p w14:paraId="6396F4ED" w14:textId="0E13F328" w:rsidR="002570EF" w:rsidRDefault="002570EF" w:rsidP="002570EF">
      <w:r>
        <w:t xml:space="preserve">Hone LC, Jarden A, Schofield GM </w:t>
      </w:r>
      <w:r w:rsidR="00EC05E0">
        <w:t>and</w:t>
      </w:r>
      <w:r>
        <w:t xml:space="preserve"> Duncan S </w:t>
      </w:r>
      <w:r w:rsidR="00F50C8F">
        <w:t>(</w:t>
      </w:r>
      <w:r>
        <w:t>2014</w:t>
      </w:r>
      <w:r w:rsidR="00F50C8F">
        <w:t>)</w:t>
      </w:r>
      <w:r w:rsidR="00AE6F9E">
        <w:t>.</w:t>
      </w:r>
      <w:r>
        <w:t xml:space="preserve"> </w:t>
      </w:r>
      <w:r w:rsidRPr="002A4286">
        <w:t xml:space="preserve">Measuring flourishing: </w:t>
      </w:r>
      <w:r w:rsidR="00EC05E0">
        <w:t>t</w:t>
      </w:r>
      <w:r w:rsidRPr="002A4286">
        <w:t>he impact of operational definitions on the prevalence of high levels of wellbeing</w:t>
      </w:r>
      <w:r w:rsidR="00EC05E0">
        <w:t>,</w:t>
      </w:r>
      <w:r>
        <w:t xml:space="preserve"> </w:t>
      </w:r>
      <w:r w:rsidRPr="002A4286">
        <w:rPr>
          <w:i/>
          <w:iCs/>
        </w:rPr>
        <w:t>International Journal of Wellbeing</w:t>
      </w:r>
      <w:r>
        <w:t xml:space="preserve"> 4(1)</w:t>
      </w:r>
      <w:r w:rsidR="00EC05E0">
        <w:t>:</w:t>
      </w:r>
      <w:r>
        <w:t>62</w:t>
      </w:r>
      <w:r w:rsidR="00EC05E0">
        <w:t>–</w:t>
      </w:r>
      <w:r>
        <w:t xml:space="preserve">90. </w:t>
      </w:r>
    </w:p>
    <w:p w14:paraId="313F1D83" w14:textId="7425AC87" w:rsidR="002570EF" w:rsidRDefault="002570EF" w:rsidP="002570EF">
      <w:r>
        <w:t xml:space="preserve">Huppert </w:t>
      </w:r>
      <w:r w:rsidR="00F50C8F">
        <w:t xml:space="preserve">F </w:t>
      </w:r>
      <w:r>
        <w:t xml:space="preserve">and So </w:t>
      </w:r>
      <w:r w:rsidR="00F50C8F">
        <w:t>T (</w:t>
      </w:r>
      <w:r>
        <w:t>2011</w:t>
      </w:r>
      <w:r w:rsidR="00F50C8F">
        <w:t>)</w:t>
      </w:r>
      <w:r w:rsidR="00AE6F9E">
        <w:t>.</w:t>
      </w:r>
      <w:r w:rsidR="00F50C8F">
        <w:t xml:space="preserve"> </w:t>
      </w:r>
      <w:r w:rsidR="00F50C8F" w:rsidRPr="002A4286">
        <w:t>Flourishing Across Europe: Application of a New Conceptual Framework for Defining Well-Being</w:t>
      </w:r>
      <w:r w:rsidR="00F50C8F">
        <w:t xml:space="preserve">, </w:t>
      </w:r>
      <w:r w:rsidR="00F50C8F" w:rsidRPr="002A4286">
        <w:rPr>
          <w:i/>
          <w:iCs/>
        </w:rPr>
        <w:t>Soc Indic Res</w:t>
      </w:r>
      <w:r w:rsidR="00F50C8F">
        <w:t xml:space="preserve"> (2013) 110:837–861</w:t>
      </w:r>
    </w:p>
    <w:p w14:paraId="5D5BF644" w14:textId="4E1D9ED6" w:rsidR="002570EF" w:rsidRDefault="002570EF" w:rsidP="002570EF">
      <w:r>
        <w:t xml:space="preserve">International Wellbeing Group (2013). </w:t>
      </w:r>
      <w:hyperlink r:id="rId104" w:anchor="measures" w:history="1">
        <w:r w:rsidRPr="00C239FD">
          <w:rPr>
            <w:rStyle w:val="Hyperlink"/>
          </w:rPr>
          <w:t>Personal Wellbeing Index: 5th Edition</w:t>
        </w:r>
      </w:hyperlink>
      <w:r w:rsidRPr="00347E94">
        <w:t xml:space="preserve">. </w:t>
      </w:r>
      <w:r>
        <w:t>Australian Centre on Quality of Life, Deakin University</w:t>
      </w:r>
      <w:r w:rsidR="00EC05E0">
        <w:t>, Melbourne.</w:t>
      </w:r>
    </w:p>
    <w:p w14:paraId="1C6F0FE8" w14:textId="28482B01" w:rsidR="002570EF" w:rsidRDefault="002570EF" w:rsidP="002570EF">
      <w:r>
        <w:t>Kimberly H</w:t>
      </w:r>
      <w:r w:rsidR="002B6D53">
        <w:t>,</w:t>
      </w:r>
      <w:r>
        <w:t xml:space="preserve"> Gruhn R and Huggins, S (2012)</w:t>
      </w:r>
      <w:r w:rsidR="00AE6F9E">
        <w:t>.</w:t>
      </w:r>
      <w:r>
        <w:t xml:space="preserve"> </w:t>
      </w:r>
      <w:r w:rsidRPr="002A4286">
        <w:rPr>
          <w:i/>
          <w:iCs/>
        </w:rPr>
        <w:t>Valuing capabilities in later life</w:t>
      </w:r>
      <w:r w:rsidR="002B6D53">
        <w:rPr>
          <w:i/>
          <w:iCs/>
        </w:rPr>
        <w:t>:</w:t>
      </w:r>
      <w:r w:rsidRPr="002A4286">
        <w:rPr>
          <w:i/>
          <w:iCs/>
        </w:rPr>
        <w:t xml:space="preserve"> the capability approach and the Brotherhood of St Laurence aged services</w:t>
      </w:r>
      <w:r w:rsidRPr="00C239FD">
        <w:t>,</w:t>
      </w:r>
      <w:r>
        <w:t xml:space="preserve"> Brotherhood of St Laurence.</w:t>
      </w:r>
    </w:p>
    <w:p w14:paraId="6BC20B6C" w14:textId="6624731B" w:rsidR="002570EF" w:rsidRPr="002B6D53" w:rsidRDefault="002570EF" w:rsidP="002570EF">
      <w:r>
        <w:lastRenderedPageBreak/>
        <w:t>Lamb S and Hua S (2017)</w:t>
      </w:r>
      <w:r w:rsidR="00AE6F9E">
        <w:t>.</w:t>
      </w:r>
      <w:r>
        <w:t xml:space="preserve"> </w:t>
      </w:r>
      <w:r w:rsidRPr="002A4286">
        <w:t>Counting the cost of lost opportunity in Australian education</w:t>
      </w:r>
      <w:r w:rsidRPr="002B6D53">
        <w:t xml:space="preserve">, </w:t>
      </w:r>
      <w:r w:rsidRPr="00C239FD">
        <w:t>Mitchell Institute Report no 02/2017</w:t>
      </w:r>
      <w:r w:rsidR="002B6D53">
        <w:t>.</w:t>
      </w:r>
    </w:p>
    <w:p w14:paraId="2442B98A" w14:textId="18DD23C2" w:rsidR="002570EF" w:rsidRDefault="002570EF" w:rsidP="002570EF">
      <w:r>
        <w:t xml:space="preserve">Liu S-H and Nguyen N (2011). </w:t>
      </w:r>
      <w:hyperlink r:id="rId105" w:history="1">
        <w:r w:rsidRPr="00C239FD">
          <w:rPr>
            <w:rStyle w:val="Hyperlink"/>
          </w:rPr>
          <w:t xml:space="preserve">Successful </w:t>
        </w:r>
        <w:r w:rsidR="002B6D53">
          <w:rPr>
            <w:rStyle w:val="Hyperlink"/>
          </w:rPr>
          <w:t>y</w:t>
        </w:r>
        <w:r w:rsidRPr="00C239FD">
          <w:rPr>
            <w:rStyle w:val="Hyperlink"/>
          </w:rPr>
          <w:t xml:space="preserve">outh </w:t>
        </w:r>
        <w:r w:rsidR="002B6D53">
          <w:rPr>
            <w:rStyle w:val="Hyperlink"/>
          </w:rPr>
          <w:t>t</w:t>
        </w:r>
        <w:r w:rsidRPr="00C239FD">
          <w:rPr>
            <w:rStyle w:val="Hyperlink"/>
          </w:rPr>
          <w:t>ransitions. Longitudinal Surveys of Australian Youth: Briefing Paper 25</w:t>
        </w:r>
      </w:hyperlink>
      <w:r w:rsidRPr="00C239FD">
        <w:t>.</w:t>
      </w:r>
      <w:r>
        <w:t xml:space="preserve"> National Centre for Vocational Education Research</w:t>
      </w:r>
      <w:r w:rsidR="00E93EAF">
        <w:t>,</w:t>
      </w:r>
      <w:r>
        <w:t xml:space="preserve"> Adelaide.</w:t>
      </w:r>
    </w:p>
    <w:p w14:paraId="2ED4A5BF" w14:textId="691B5A5F" w:rsidR="002570EF" w:rsidRDefault="002570EF" w:rsidP="002570EF">
      <w:r>
        <w:t>Maneen H and Milner A (2019)</w:t>
      </w:r>
      <w:r w:rsidR="00AE6F9E">
        <w:t>.</w:t>
      </w:r>
      <w:r>
        <w:t xml:space="preserve"> </w:t>
      </w:r>
      <w:r w:rsidRPr="002A4286">
        <w:rPr>
          <w:i/>
          <w:iCs/>
        </w:rPr>
        <w:t xml:space="preserve">Young </w:t>
      </w:r>
      <w:r w:rsidR="00013219">
        <w:rPr>
          <w:i/>
          <w:iCs/>
        </w:rPr>
        <w:t>p</w:t>
      </w:r>
      <w:r w:rsidRPr="002A4286">
        <w:rPr>
          <w:i/>
          <w:iCs/>
        </w:rPr>
        <w:t>eople, transition into work and mental wellbeing</w:t>
      </w:r>
      <w:r>
        <w:t>, Centre for Health Equality, University of Melbourne.</w:t>
      </w:r>
    </w:p>
    <w:p w14:paraId="2EE75639" w14:textId="5C737911" w:rsidR="002570EF" w:rsidRDefault="002570EF" w:rsidP="002570EF">
      <w:r>
        <w:t>Mission Australia (2016</w:t>
      </w:r>
      <w:r w:rsidR="00013219">
        <w:t>–</w:t>
      </w:r>
      <w:r>
        <w:t>2021)</w:t>
      </w:r>
      <w:r w:rsidR="00AE6F9E">
        <w:t>.</w:t>
      </w:r>
      <w:r>
        <w:t xml:space="preserve"> </w:t>
      </w:r>
      <w:hyperlink r:id="rId106" w:history="1">
        <w:r w:rsidRPr="00C239FD">
          <w:rPr>
            <w:rStyle w:val="Hyperlink"/>
          </w:rPr>
          <w:t xml:space="preserve">Youth Survey </w:t>
        </w:r>
        <w:r w:rsidR="00C14585">
          <w:rPr>
            <w:rStyle w:val="Hyperlink"/>
          </w:rPr>
          <w:t>r</w:t>
        </w:r>
        <w:r w:rsidRPr="00C239FD">
          <w:rPr>
            <w:rStyle w:val="Hyperlink"/>
          </w:rPr>
          <w:t>eports</w:t>
        </w:r>
      </w:hyperlink>
      <w:r w:rsidRPr="00347E94">
        <w:t xml:space="preserve"> </w:t>
      </w:r>
      <w:r>
        <w:t>(various), accessed 24 Jan</w:t>
      </w:r>
      <w:r w:rsidR="00013219">
        <w:t>uary</w:t>
      </w:r>
      <w:r>
        <w:t xml:space="preserve"> 2022.</w:t>
      </w:r>
    </w:p>
    <w:p w14:paraId="62C9559B" w14:textId="76B18CD6" w:rsidR="002570EF" w:rsidRPr="00347E94" w:rsidRDefault="002570EF" w:rsidP="002570EF">
      <w:r>
        <w:t>Mourshed M, Farrell D</w:t>
      </w:r>
      <w:r w:rsidR="00C14585">
        <w:t xml:space="preserve"> and</w:t>
      </w:r>
      <w:r>
        <w:t xml:space="preserve"> Barton D (2013). </w:t>
      </w:r>
      <w:hyperlink r:id="rId107" w:history="1">
        <w:r w:rsidRPr="00C239FD">
          <w:rPr>
            <w:rStyle w:val="Hyperlink"/>
          </w:rPr>
          <w:t xml:space="preserve">Education to employment: </w:t>
        </w:r>
        <w:r w:rsidR="00C14585">
          <w:rPr>
            <w:rStyle w:val="Hyperlink"/>
          </w:rPr>
          <w:t>d</w:t>
        </w:r>
        <w:r w:rsidRPr="00C239FD">
          <w:rPr>
            <w:rStyle w:val="Hyperlink"/>
          </w:rPr>
          <w:t>esigning a system that works</w:t>
        </w:r>
      </w:hyperlink>
      <w:r w:rsidR="00C14585">
        <w:t>,</w:t>
      </w:r>
      <w:r w:rsidRPr="00C239FD">
        <w:t xml:space="preserve"> </w:t>
      </w:r>
      <w:r w:rsidRPr="00347E94">
        <w:t>McKinsey and Company</w:t>
      </w:r>
      <w:r w:rsidR="00C14585">
        <w:t>,</w:t>
      </w:r>
      <w:r w:rsidRPr="00347E94">
        <w:t xml:space="preserve"> Chicago.</w:t>
      </w:r>
    </w:p>
    <w:p w14:paraId="311C33BB" w14:textId="77777777" w:rsidR="007158EC" w:rsidRDefault="007158EC" w:rsidP="007158EC">
      <w:r>
        <w:t xml:space="preserve">Nous Group (2016). </w:t>
      </w:r>
      <w:r w:rsidRPr="002A4286">
        <w:rPr>
          <w:i/>
          <w:iCs/>
        </w:rPr>
        <w:t xml:space="preserve">Investing in the future. The impact of youth programs in remote central Australia: a </w:t>
      </w:r>
      <w:r>
        <w:rPr>
          <w:i/>
          <w:iCs/>
        </w:rPr>
        <w:t>s</w:t>
      </w:r>
      <w:r w:rsidRPr="002A4286">
        <w:rPr>
          <w:i/>
          <w:iCs/>
        </w:rPr>
        <w:t xml:space="preserve">ocial </w:t>
      </w:r>
      <w:r>
        <w:rPr>
          <w:i/>
          <w:iCs/>
        </w:rPr>
        <w:t>r</w:t>
      </w:r>
      <w:r w:rsidRPr="002A4286">
        <w:rPr>
          <w:i/>
          <w:iCs/>
        </w:rPr>
        <w:t xml:space="preserve">eturn on </w:t>
      </w:r>
      <w:r>
        <w:rPr>
          <w:i/>
          <w:iCs/>
        </w:rPr>
        <w:t>i</w:t>
      </w:r>
      <w:r w:rsidRPr="002A4286">
        <w:rPr>
          <w:i/>
          <w:iCs/>
        </w:rPr>
        <w:t>nvestment (SROI) analysis</w:t>
      </w:r>
      <w:r w:rsidRPr="008E25A5">
        <w:t>.</w:t>
      </w:r>
    </w:p>
    <w:p w14:paraId="60E5F8BE" w14:textId="43DD606C" w:rsidR="002570EF" w:rsidRDefault="002570EF" w:rsidP="002570EF">
      <w:r>
        <w:t>N</w:t>
      </w:r>
      <w:r w:rsidR="004E457F">
        <w:t>u</w:t>
      </w:r>
      <w:r>
        <w:t xml:space="preserve">ssbaum M (2011). </w:t>
      </w:r>
      <w:r w:rsidRPr="002A4286">
        <w:rPr>
          <w:i/>
          <w:iCs/>
        </w:rPr>
        <w:t xml:space="preserve">Creating </w:t>
      </w:r>
      <w:r w:rsidR="004E457F">
        <w:rPr>
          <w:i/>
          <w:iCs/>
        </w:rPr>
        <w:t>c</w:t>
      </w:r>
      <w:r w:rsidRPr="002A4286">
        <w:rPr>
          <w:i/>
          <w:iCs/>
        </w:rPr>
        <w:t xml:space="preserve">apabilities: </w:t>
      </w:r>
      <w:r w:rsidR="004E457F">
        <w:rPr>
          <w:i/>
          <w:iCs/>
        </w:rPr>
        <w:t>t</w:t>
      </w:r>
      <w:r w:rsidRPr="002A4286">
        <w:rPr>
          <w:i/>
          <w:iCs/>
        </w:rPr>
        <w:t>he human development approach</w:t>
      </w:r>
      <w:r>
        <w:t>, Oxford University Press, London</w:t>
      </w:r>
      <w:r w:rsidR="004E457F">
        <w:t>.</w:t>
      </w:r>
    </w:p>
    <w:p w14:paraId="02ECF077" w14:textId="1474D2E6" w:rsidR="002570EF" w:rsidRPr="00347E94" w:rsidRDefault="00A010FE" w:rsidP="002570EF">
      <w:r>
        <w:t>Organisation for Economic Co-operation and Development (</w:t>
      </w:r>
      <w:r w:rsidR="002570EF">
        <w:t>OECD</w:t>
      </w:r>
      <w:r>
        <w:t>)</w:t>
      </w:r>
      <w:r w:rsidR="002570EF">
        <w:t xml:space="preserve"> (2016</w:t>
      </w:r>
      <w:r w:rsidR="00AE6F9E">
        <w:t>a</w:t>
      </w:r>
      <w:r w:rsidR="002570EF">
        <w:t xml:space="preserve">). </w:t>
      </w:r>
      <w:hyperlink r:id="rId108" w:history="1">
        <w:r w:rsidR="002570EF" w:rsidRPr="00C239FD">
          <w:rPr>
            <w:rStyle w:val="Hyperlink"/>
          </w:rPr>
          <w:t>Society at a Glance 2016: OECD Social Indicators</w:t>
        </w:r>
      </w:hyperlink>
      <w:r w:rsidR="004E457F">
        <w:t>,</w:t>
      </w:r>
      <w:r w:rsidR="002570EF" w:rsidRPr="00347E94">
        <w:t xml:space="preserve"> OECD Publishing</w:t>
      </w:r>
      <w:r w:rsidR="004E457F">
        <w:t>,</w:t>
      </w:r>
      <w:r w:rsidR="002570EF" w:rsidRPr="00347E94">
        <w:t xml:space="preserve"> Paris.</w:t>
      </w:r>
    </w:p>
    <w:p w14:paraId="56D1BF26" w14:textId="60CB7D6C" w:rsidR="002570EF" w:rsidRDefault="002570EF" w:rsidP="002570EF">
      <w:r>
        <w:t>OECD (2016</w:t>
      </w:r>
      <w:r w:rsidR="00AE6F9E">
        <w:t>b</w:t>
      </w:r>
      <w:r>
        <w:t xml:space="preserve">). </w:t>
      </w:r>
      <w:hyperlink r:id="rId109" w:anchor="page1" w:history="1">
        <w:r w:rsidRPr="00C239FD">
          <w:rPr>
            <w:rStyle w:val="Hyperlink"/>
          </w:rPr>
          <w:t>Investing in Youth: Australia</w:t>
        </w:r>
      </w:hyperlink>
      <w:r w:rsidR="004E457F">
        <w:t>,</w:t>
      </w:r>
      <w:r>
        <w:t xml:space="preserve"> OECD Publishing</w:t>
      </w:r>
      <w:r w:rsidR="004E457F">
        <w:t>,</w:t>
      </w:r>
      <w:r>
        <w:t xml:space="preserve"> Paris.</w:t>
      </w:r>
    </w:p>
    <w:p w14:paraId="398EDD96" w14:textId="41F86414" w:rsidR="002570EF" w:rsidRDefault="002570EF" w:rsidP="002570EF">
      <w:r>
        <w:t xml:space="preserve">OECD (2017). </w:t>
      </w:r>
      <w:r w:rsidRPr="00186574">
        <w:t xml:space="preserve">Connecting </w:t>
      </w:r>
      <w:r w:rsidR="00692E06" w:rsidRPr="00186574">
        <w:t>p</w:t>
      </w:r>
      <w:r w:rsidRPr="00186574">
        <w:t xml:space="preserve">eople with </w:t>
      </w:r>
      <w:r w:rsidR="00692E06" w:rsidRPr="00186574">
        <w:t>j</w:t>
      </w:r>
      <w:r w:rsidRPr="00186574">
        <w:t xml:space="preserve">obs: </w:t>
      </w:r>
      <w:r w:rsidR="00692E06" w:rsidRPr="00186574">
        <w:t>k</w:t>
      </w:r>
      <w:r w:rsidRPr="00186574">
        <w:t xml:space="preserve">ey </w:t>
      </w:r>
      <w:r w:rsidR="00692E06" w:rsidRPr="00186574">
        <w:t>i</w:t>
      </w:r>
      <w:r w:rsidRPr="00186574">
        <w:t xml:space="preserve">ssues for </w:t>
      </w:r>
      <w:r w:rsidR="00692E06" w:rsidRPr="00186574">
        <w:t>r</w:t>
      </w:r>
      <w:r w:rsidRPr="00186574">
        <w:t xml:space="preserve">aising </w:t>
      </w:r>
      <w:r w:rsidR="00692E06" w:rsidRPr="00186574">
        <w:t>l</w:t>
      </w:r>
      <w:r w:rsidRPr="00186574">
        <w:t xml:space="preserve">abour </w:t>
      </w:r>
      <w:r w:rsidR="00692E06" w:rsidRPr="00186574">
        <w:t>m</w:t>
      </w:r>
      <w:r w:rsidRPr="00186574">
        <w:t xml:space="preserve">arket </w:t>
      </w:r>
      <w:r w:rsidR="00692E06" w:rsidRPr="00186574">
        <w:t>p</w:t>
      </w:r>
      <w:r w:rsidRPr="00186574">
        <w:t>articipation in Australia</w:t>
      </w:r>
      <w:r w:rsidR="000F6B05">
        <w:t>,</w:t>
      </w:r>
      <w:r w:rsidR="00F17B4B" w:rsidRPr="00347E94">
        <w:t xml:space="preserve"> </w:t>
      </w:r>
      <w:r>
        <w:t>OECD Publishing</w:t>
      </w:r>
      <w:r w:rsidR="000F6B05">
        <w:t>,</w:t>
      </w:r>
      <w:r>
        <w:t xml:space="preserve"> Paris</w:t>
      </w:r>
    </w:p>
    <w:p w14:paraId="38D7A8DF" w14:textId="79977717" w:rsidR="002570EF" w:rsidRDefault="002570EF" w:rsidP="002570EF">
      <w:r>
        <w:t xml:space="preserve">OECD and International Labour Office (2014). </w:t>
      </w:r>
      <w:hyperlink r:id="rId110" w:history="1">
        <w:r w:rsidRPr="00AE6F9E">
          <w:rPr>
            <w:rStyle w:val="Hyperlink"/>
          </w:rPr>
          <w:t xml:space="preserve">Promoting </w:t>
        </w:r>
        <w:r w:rsidR="000F6B05">
          <w:rPr>
            <w:rStyle w:val="Hyperlink"/>
          </w:rPr>
          <w:t>b</w:t>
        </w:r>
        <w:r w:rsidRPr="00AE6F9E">
          <w:rPr>
            <w:rStyle w:val="Hyperlink"/>
          </w:rPr>
          <w:t xml:space="preserve">etter </w:t>
        </w:r>
        <w:r w:rsidR="000F6B05">
          <w:rPr>
            <w:rStyle w:val="Hyperlink"/>
          </w:rPr>
          <w:t>l</w:t>
        </w:r>
        <w:r w:rsidRPr="00AE6F9E">
          <w:rPr>
            <w:rStyle w:val="Hyperlink"/>
          </w:rPr>
          <w:t xml:space="preserve">abour </w:t>
        </w:r>
        <w:r w:rsidR="000F6B05">
          <w:rPr>
            <w:rStyle w:val="Hyperlink"/>
          </w:rPr>
          <w:t>m</w:t>
        </w:r>
        <w:r w:rsidRPr="00AE6F9E">
          <w:rPr>
            <w:rStyle w:val="Hyperlink"/>
          </w:rPr>
          <w:t xml:space="preserve">arket </w:t>
        </w:r>
        <w:r w:rsidR="006C6CB5">
          <w:rPr>
            <w:rStyle w:val="Hyperlink"/>
          </w:rPr>
          <w:t>o</w:t>
        </w:r>
        <w:r w:rsidRPr="00AE6F9E">
          <w:rPr>
            <w:rStyle w:val="Hyperlink"/>
          </w:rPr>
          <w:t xml:space="preserve">utcomes for </w:t>
        </w:r>
        <w:r w:rsidR="006C6CB5">
          <w:rPr>
            <w:rStyle w:val="Hyperlink"/>
          </w:rPr>
          <w:t>y</w:t>
        </w:r>
        <w:r w:rsidRPr="00AE6F9E">
          <w:rPr>
            <w:rStyle w:val="Hyperlink"/>
          </w:rPr>
          <w:t>outh</w:t>
        </w:r>
      </w:hyperlink>
      <w:r w:rsidR="006C6CB5">
        <w:t>,</w:t>
      </w:r>
      <w:r w:rsidRPr="004A440A">
        <w:rPr>
          <w:b/>
          <w:bCs/>
        </w:rPr>
        <w:t xml:space="preserve"> </w:t>
      </w:r>
      <w:r w:rsidRPr="00C239FD">
        <w:t>Background paper for the G20 Labour and Employment Ministerial Meeting</w:t>
      </w:r>
      <w:r w:rsidRPr="006C6CB5">
        <w:t>,</w:t>
      </w:r>
      <w:r>
        <w:t xml:space="preserve"> Melbourne, 10–11 September 2014.</w:t>
      </w:r>
    </w:p>
    <w:p w14:paraId="447643A2" w14:textId="42C0ABE9" w:rsidR="002570EF" w:rsidRDefault="002570EF" w:rsidP="002570EF">
      <w:r>
        <w:t xml:space="preserve">Parker PD, Jerrim J and Anders J (2016). </w:t>
      </w:r>
      <w:hyperlink r:id="rId111" w:history="1">
        <w:r w:rsidRPr="00AE6F9E">
          <w:rPr>
            <w:rStyle w:val="Hyperlink"/>
          </w:rPr>
          <w:t xml:space="preserve">What </w:t>
        </w:r>
        <w:r w:rsidR="00692E06">
          <w:rPr>
            <w:rStyle w:val="Hyperlink"/>
          </w:rPr>
          <w:t>e</w:t>
        </w:r>
        <w:r w:rsidRPr="00AE6F9E">
          <w:rPr>
            <w:rStyle w:val="Hyperlink"/>
          </w:rPr>
          <w:t xml:space="preserve">ffect </w:t>
        </w:r>
        <w:r w:rsidR="00692E06">
          <w:rPr>
            <w:rStyle w:val="Hyperlink"/>
          </w:rPr>
          <w:t>d</w:t>
        </w:r>
        <w:r w:rsidRPr="00AE6F9E">
          <w:rPr>
            <w:rStyle w:val="Hyperlink"/>
          </w:rPr>
          <w:t xml:space="preserve">id the </w:t>
        </w:r>
        <w:r w:rsidR="00692E06">
          <w:rPr>
            <w:rStyle w:val="Hyperlink"/>
          </w:rPr>
          <w:t>g</w:t>
        </w:r>
        <w:r w:rsidRPr="00AE6F9E">
          <w:rPr>
            <w:rStyle w:val="Hyperlink"/>
          </w:rPr>
          <w:t xml:space="preserve">lobal </w:t>
        </w:r>
        <w:r w:rsidR="00692E06">
          <w:rPr>
            <w:rStyle w:val="Hyperlink"/>
          </w:rPr>
          <w:t>f</w:t>
        </w:r>
        <w:r w:rsidRPr="00AE6F9E">
          <w:rPr>
            <w:rStyle w:val="Hyperlink"/>
          </w:rPr>
          <w:t xml:space="preserve">inancial </w:t>
        </w:r>
        <w:r w:rsidR="00692E06">
          <w:rPr>
            <w:rStyle w:val="Hyperlink"/>
          </w:rPr>
          <w:t>c</w:t>
        </w:r>
        <w:r w:rsidRPr="00AE6F9E">
          <w:rPr>
            <w:rStyle w:val="Hyperlink"/>
          </w:rPr>
          <w:t xml:space="preserve">risis </w:t>
        </w:r>
        <w:r w:rsidR="00692E06">
          <w:rPr>
            <w:rStyle w:val="Hyperlink"/>
          </w:rPr>
          <w:t>h</w:t>
        </w:r>
        <w:r w:rsidRPr="00AE6F9E">
          <w:rPr>
            <w:rStyle w:val="Hyperlink"/>
          </w:rPr>
          <w:t xml:space="preserve">ave upon </w:t>
        </w:r>
        <w:r w:rsidR="00692E06">
          <w:rPr>
            <w:rStyle w:val="Hyperlink"/>
          </w:rPr>
          <w:t>y</w:t>
        </w:r>
        <w:r w:rsidRPr="00AE6F9E">
          <w:rPr>
            <w:rStyle w:val="Hyperlink"/>
          </w:rPr>
          <w:t xml:space="preserve">outh </w:t>
        </w:r>
        <w:r w:rsidR="00692E06">
          <w:rPr>
            <w:rStyle w:val="Hyperlink"/>
          </w:rPr>
          <w:t>w</w:t>
        </w:r>
        <w:r w:rsidRPr="00AE6F9E">
          <w:rPr>
            <w:rStyle w:val="Hyperlink"/>
          </w:rPr>
          <w:t xml:space="preserve">ellbeing? Evidence from </w:t>
        </w:r>
        <w:r w:rsidR="00692E06">
          <w:rPr>
            <w:rStyle w:val="Hyperlink"/>
          </w:rPr>
          <w:t>f</w:t>
        </w:r>
        <w:r w:rsidRPr="00AE6F9E">
          <w:rPr>
            <w:rStyle w:val="Hyperlink"/>
          </w:rPr>
          <w:t xml:space="preserve">our Australian </w:t>
        </w:r>
        <w:r w:rsidR="00692E06">
          <w:rPr>
            <w:rStyle w:val="Hyperlink"/>
          </w:rPr>
          <w:t>c</w:t>
        </w:r>
        <w:r w:rsidRPr="00AE6F9E">
          <w:rPr>
            <w:rStyle w:val="Hyperlink"/>
          </w:rPr>
          <w:t>ohorts</w:t>
        </w:r>
      </w:hyperlink>
      <w:r w:rsidR="00692E06">
        <w:t>,</w:t>
      </w:r>
      <w:r>
        <w:t xml:space="preserve"> </w:t>
      </w:r>
      <w:r w:rsidRPr="002A4286">
        <w:rPr>
          <w:i/>
          <w:iCs/>
        </w:rPr>
        <w:t>Development Psychology</w:t>
      </w:r>
      <w:r>
        <w:t xml:space="preserve"> 52(4):640–651.</w:t>
      </w:r>
    </w:p>
    <w:p w14:paraId="0A44F57D" w14:textId="3503743F" w:rsidR="002570EF" w:rsidRDefault="002570EF" w:rsidP="002570EF">
      <w:r>
        <w:t>Perales F, Higginson A, Baxter J, Western M, Zubric SR</w:t>
      </w:r>
      <w:r w:rsidR="007C5B97">
        <w:t xml:space="preserve"> and</w:t>
      </w:r>
      <w:r>
        <w:t xml:space="preserve"> Mitrou F (2018)</w:t>
      </w:r>
      <w:r w:rsidR="00AE6F9E">
        <w:t>.</w:t>
      </w:r>
      <w:r>
        <w:t xml:space="preserve"> </w:t>
      </w:r>
      <w:r w:rsidRPr="002A4286">
        <w:rPr>
          <w:i/>
          <w:iCs/>
        </w:rPr>
        <w:t xml:space="preserve">Intergenerational </w:t>
      </w:r>
      <w:r w:rsidR="007C5B97">
        <w:rPr>
          <w:i/>
          <w:iCs/>
        </w:rPr>
        <w:t>w</w:t>
      </w:r>
      <w:r w:rsidRPr="002A4286">
        <w:rPr>
          <w:i/>
          <w:iCs/>
        </w:rPr>
        <w:t xml:space="preserve">elfare </w:t>
      </w:r>
      <w:r w:rsidR="007C5B97">
        <w:rPr>
          <w:i/>
          <w:iCs/>
        </w:rPr>
        <w:t>d</w:t>
      </w:r>
      <w:r w:rsidRPr="002A4286">
        <w:rPr>
          <w:i/>
          <w:iCs/>
        </w:rPr>
        <w:t xml:space="preserve">ependency in Australia: </w:t>
      </w:r>
      <w:r w:rsidR="007C5B97">
        <w:rPr>
          <w:i/>
          <w:iCs/>
        </w:rPr>
        <w:t>a</w:t>
      </w:r>
      <w:r w:rsidRPr="002A4286">
        <w:rPr>
          <w:i/>
          <w:iCs/>
        </w:rPr>
        <w:t xml:space="preserve"> review of the </w:t>
      </w:r>
      <w:r w:rsidR="007C5B97">
        <w:rPr>
          <w:i/>
          <w:iCs/>
        </w:rPr>
        <w:t>l</w:t>
      </w:r>
      <w:r w:rsidRPr="002A4286">
        <w:rPr>
          <w:i/>
          <w:iCs/>
        </w:rPr>
        <w:t>iterature</w:t>
      </w:r>
      <w:r w:rsidR="007C5B97">
        <w:t>,</w:t>
      </w:r>
      <w:r w:rsidRPr="007C5B97">
        <w:t xml:space="preserve"> </w:t>
      </w:r>
      <w:r>
        <w:t>Life Course Centre Working Paper Series.</w:t>
      </w:r>
    </w:p>
    <w:p w14:paraId="66CD4849" w14:textId="0EE0F010" w:rsidR="002570EF" w:rsidRDefault="002570EF" w:rsidP="002570EF">
      <w:r>
        <w:t>Positive</w:t>
      </w:r>
      <w:r w:rsidR="00F50C8F">
        <w:t xml:space="preserve"> </w:t>
      </w:r>
      <w:r>
        <w:t xml:space="preserve">Psychology </w:t>
      </w:r>
      <w:r w:rsidR="00F50C8F">
        <w:t>(</w:t>
      </w:r>
      <w:r>
        <w:t>2021</w:t>
      </w:r>
      <w:r w:rsidR="00F50C8F">
        <w:t>)</w:t>
      </w:r>
      <w:r w:rsidR="00AE6F9E">
        <w:t>.</w:t>
      </w:r>
      <w:r>
        <w:t xml:space="preserve"> </w:t>
      </w:r>
      <w:hyperlink r:id="rId112" w:history="1">
        <w:r w:rsidRPr="00C239FD">
          <w:rPr>
            <w:rStyle w:val="Hyperlink"/>
          </w:rPr>
          <w:t>The Connor Davidson and Brief Resilience Scale</w:t>
        </w:r>
        <w:r w:rsidR="006D4F58" w:rsidRPr="006D4F58">
          <w:rPr>
            <w:rStyle w:val="Hyperlink"/>
          </w:rPr>
          <w:t>s</w:t>
        </w:r>
      </w:hyperlink>
      <w:r w:rsidRPr="00347E94">
        <w:t>,</w:t>
      </w:r>
      <w:r>
        <w:t xml:space="preserve"> PositivePsychology, </w:t>
      </w:r>
      <w:r w:rsidR="00AE6F9E">
        <w:t xml:space="preserve">accessed </w:t>
      </w:r>
      <w:r>
        <w:t>10 Nov</w:t>
      </w:r>
      <w:r w:rsidR="00FA0523">
        <w:t>ember</w:t>
      </w:r>
      <w:r>
        <w:t xml:space="preserve"> 2021</w:t>
      </w:r>
      <w:r w:rsidR="00AE6F9E">
        <w:t>.</w:t>
      </w:r>
    </w:p>
    <w:p w14:paraId="6C5B0D55" w14:textId="748FDB8A" w:rsidR="002570EF" w:rsidRDefault="002570EF" w:rsidP="002570EF">
      <w:r>
        <w:t>Productivity Commission (2017, 2018, 2019, 2020, 2021, 2022)</w:t>
      </w:r>
      <w:r w:rsidR="00AE6F9E">
        <w:t>.</w:t>
      </w:r>
      <w:r>
        <w:t xml:space="preserve"> </w:t>
      </w:r>
      <w:hyperlink r:id="rId113" w:history="1">
        <w:r w:rsidRPr="00C239FD">
          <w:rPr>
            <w:rStyle w:val="Hyperlink"/>
          </w:rPr>
          <w:t>Report on Government Services</w:t>
        </w:r>
      </w:hyperlink>
      <w:r w:rsidR="00AE6F9E" w:rsidRPr="00347E94">
        <w:t>.</w:t>
      </w:r>
    </w:p>
    <w:p w14:paraId="3FD3ABE6" w14:textId="2D81F0DD" w:rsidR="002570EF" w:rsidRDefault="002570EF" w:rsidP="002570EF">
      <w:r>
        <w:t>Ranasinghe R</w:t>
      </w:r>
      <w:r w:rsidR="00FA0523">
        <w:t>,</w:t>
      </w:r>
      <w:r>
        <w:t xml:space="preserve"> Chew E</w:t>
      </w:r>
      <w:r w:rsidR="00FA0523">
        <w:t>,</w:t>
      </w:r>
      <w:r>
        <w:t xml:space="preserve"> Knight G and Siekmann G </w:t>
      </w:r>
      <w:r w:rsidR="00F50C8F">
        <w:t>(</w:t>
      </w:r>
      <w:r>
        <w:t>2019</w:t>
      </w:r>
      <w:r w:rsidR="00F50C8F">
        <w:t>)</w:t>
      </w:r>
      <w:r w:rsidR="00AE6F9E">
        <w:t>.</w:t>
      </w:r>
      <w:r>
        <w:t xml:space="preserve"> </w:t>
      </w:r>
      <w:r w:rsidRPr="00F3470A">
        <w:t>School-to-</w:t>
      </w:r>
      <w:r w:rsidR="00FA0523" w:rsidRPr="00F3470A">
        <w:t>w</w:t>
      </w:r>
      <w:r w:rsidRPr="00F3470A">
        <w:t xml:space="preserve">ork </w:t>
      </w:r>
      <w:r w:rsidR="00FA0523" w:rsidRPr="00F3470A">
        <w:t>p</w:t>
      </w:r>
      <w:r w:rsidRPr="00F3470A">
        <w:t>athways. Research report</w:t>
      </w:r>
      <w:r w:rsidRPr="002A4286">
        <w:rPr>
          <w:i/>
          <w:iCs/>
        </w:rPr>
        <w:t>.</w:t>
      </w:r>
      <w:r>
        <w:t xml:space="preserve"> National Centr</w:t>
      </w:r>
      <w:r w:rsidR="00FA0523">
        <w:t>e</w:t>
      </w:r>
      <w:r>
        <w:t xml:space="preserve"> for Vocational Education Research</w:t>
      </w:r>
      <w:r w:rsidR="00FA0523">
        <w:t>,</w:t>
      </w:r>
      <w:r>
        <w:t xml:space="preserve"> Adelaide.</w:t>
      </w:r>
    </w:p>
    <w:p w14:paraId="36766036" w14:textId="3B3F04E1" w:rsidR="002570EF" w:rsidRDefault="002570EF" w:rsidP="002570EF">
      <w:r>
        <w:t>Sage D (2014)</w:t>
      </w:r>
      <w:r w:rsidR="00AE6F9E">
        <w:t>.</w:t>
      </w:r>
      <w:r>
        <w:t xml:space="preserve"> </w:t>
      </w:r>
      <w:r w:rsidRPr="002A4286">
        <w:t>Do active labour market policies promote the well-being, health and social capital of the unemployed? Evidence from the UK</w:t>
      </w:r>
      <w:r w:rsidRPr="00A010FE">
        <w:t>,</w:t>
      </w:r>
      <w:r>
        <w:t xml:space="preserve"> </w:t>
      </w:r>
      <w:r w:rsidRPr="002A4286">
        <w:rPr>
          <w:i/>
          <w:iCs/>
        </w:rPr>
        <w:t>Social Indicators Research</w:t>
      </w:r>
      <w:r>
        <w:t xml:space="preserve"> 124</w:t>
      </w:r>
      <w:r w:rsidR="00FA0523">
        <w:t>(</w:t>
      </w:r>
      <w:r>
        <w:t>2</w:t>
      </w:r>
      <w:r w:rsidR="00FA0523">
        <w:t>)</w:t>
      </w:r>
      <w:r>
        <w:t>:319–37</w:t>
      </w:r>
      <w:r w:rsidR="00AE6F9E">
        <w:t>.</w:t>
      </w:r>
    </w:p>
    <w:p w14:paraId="7655C04B" w14:textId="7BAB0918" w:rsidR="002570EF" w:rsidRDefault="002570EF" w:rsidP="002570EF">
      <w:r>
        <w:lastRenderedPageBreak/>
        <w:t xml:space="preserve">Sen A (1999). </w:t>
      </w:r>
      <w:r w:rsidRPr="002A4286">
        <w:rPr>
          <w:i/>
          <w:iCs/>
        </w:rPr>
        <w:t>Development as Freedom</w:t>
      </w:r>
      <w:r w:rsidRPr="00C239FD">
        <w:t>,</w:t>
      </w:r>
      <w:r>
        <w:t xml:space="preserve"> Oxford University Press, London</w:t>
      </w:r>
      <w:r w:rsidR="00AE6F9E">
        <w:t>.</w:t>
      </w:r>
    </w:p>
    <w:p w14:paraId="2530249C" w14:textId="296C2408" w:rsidR="002570EF" w:rsidRDefault="002570EF" w:rsidP="002570EF">
      <w:r>
        <w:t xml:space="preserve">Smith BW, Dalen J, Wiggins K, Tooley E, Christopher P </w:t>
      </w:r>
      <w:r w:rsidR="00FA0523">
        <w:t>and</w:t>
      </w:r>
      <w:r>
        <w:t xml:space="preserve"> Bernard J (2008). </w:t>
      </w:r>
      <w:r w:rsidRPr="002A4286">
        <w:t>The brief resilience scale: assessing the ability to bounce back</w:t>
      </w:r>
      <w:r w:rsidR="00A94AF7">
        <w:t>,</w:t>
      </w:r>
      <w:r>
        <w:t xml:space="preserve"> </w:t>
      </w:r>
      <w:r w:rsidRPr="002A4286">
        <w:rPr>
          <w:i/>
          <w:iCs/>
        </w:rPr>
        <w:t xml:space="preserve">International Journal of </w:t>
      </w:r>
      <w:r w:rsidR="00AE6F9E" w:rsidRPr="002A4286">
        <w:rPr>
          <w:i/>
          <w:iCs/>
        </w:rPr>
        <w:t>Behavioural</w:t>
      </w:r>
      <w:r w:rsidRPr="002A4286">
        <w:rPr>
          <w:i/>
          <w:iCs/>
        </w:rPr>
        <w:t xml:space="preserve"> Medicine</w:t>
      </w:r>
      <w:r>
        <w:t xml:space="preserve"> 15(3)</w:t>
      </w:r>
      <w:r w:rsidR="00A94AF7">
        <w:t>:</w:t>
      </w:r>
      <w:r>
        <w:t>194</w:t>
      </w:r>
      <w:r w:rsidR="00A94AF7">
        <w:t>–</w:t>
      </w:r>
      <w:r>
        <w:t>200</w:t>
      </w:r>
      <w:r w:rsidR="00AE6F9E">
        <w:t>.</w:t>
      </w:r>
    </w:p>
    <w:p w14:paraId="42F940F3" w14:textId="017D0023" w:rsidR="002570EF" w:rsidRDefault="002570EF" w:rsidP="002570EF">
      <w:r>
        <w:t>Social Ventures Australia (2016)</w:t>
      </w:r>
      <w:r w:rsidR="00AF0D03">
        <w:t>.</w:t>
      </w:r>
      <w:r>
        <w:t xml:space="preserve"> </w:t>
      </w:r>
      <w:hyperlink r:id="rId114" w:history="1">
        <w:r w:rsidRPr="00C239FD">
          <w:rPr>
            <w:rStyle w:val="Hyperlink"/>
          </w:rPr>
          <w:t xml:space="preserve">Fundamental </w:t>
        </w:r>
        <w:r w:rsidR="00A94AF7">
          <w:rPr>
            <w:rStyle w:val="Hyperlink"/>
          </w:rPr>
          <w:t>p</w:t>
        </w:r>
        <w:r w:rsidRPr="00C239FD">
          <w:rPr>
            <w:rStyle w:val="Hyperlink"/>
          </w:rPr>
          <w:t xml:space="preserve">rinciples for </w:t>
        </w:r>
        <w:r w:rsidR="00A94AF7">
          <w:rPr>
            <w:rStyle w:val="Hyperlink"/>
          </w:rPr>
          <w:t>y</w:t>
        </w:r>
        <w:r w:rsidRPr="00C239FD">
          <w:rPr>
            <w:rStyle w:val="Hyperlink"/>
          </w:rPr>
          <w:t xml:space="preserve">outh </w:t>
        </w:r>
        <w:r w:rsidR="00A94AF7">
          <w:rPr>
            <w:rStyle w:val="Hyperlink"/>
          </w:rPr>
          <w:t>e</w:t>
        </w:r>
        <w:r w:rsidRPr="00C239FD">
          <w:rPr>
            <w:rStyle w:val="Hyperlink"/>
          </w:rPr>
          <w:t>mployment</w:t>
        </w:r>
      </w:hyperlink>
      <w:r w:rsidRPr="00347E94">
        <w:t>,</w:t>
      </w:r>
      <w:r>
        <w:t xml:space="preserve"> accessed 17 Jan</w:t>
      </w:r>
      <w:r w:rsidR="00A94AF7">
        <w:t>uary</w:t>
      </w:r>
      <w:r>
        <w:t xml:space="preserve"> 2022.</w:t>
      </w:r>
    </w:p>
    <w:p w14:paraId="6F3D80AB" w14:textId="1C75D999" w:rsidR="002570EF" w:rsidRDefault="002570EF" w:rsidP="002570EF">
      <w:r>
        <w:t>Steer</w:t>
      </w:r>
      <w:r w:rsidR="00652C23">
        <w:t xml:space="preserve"> EJ</w:t>
      </w:r>
      <w:r>
        <w:t xml:space="preserve"> </w:t>
      </w:r>
      <w:r w:rsidR="00652C23">
        <w:t>(</w:t>
      </w:r>
      <w:r>
        <w:t>2016</w:t>
      </w:r>
      <w:r w:rsidR="00F50C8F">
        <w:t>)</w:t>
      </w:r>
      <w:r w:rsidR="00AF0D03">
        <w:t>.</w:t>
      </w:r>
      <w:r w:rsidR="00652C23">
        <w:t xml:space="preserve"> </w:t>
      </w:r>
      <w:r w:rsidR="00652C23" w:rsidRPr="002A4286">
        <w:rPr>
          <w:i/>
          <w:iCs/>
        </w:rPr>
        <w:t xml:space="preserve">What </w:t>
      </w:r>
      <w:r w:rsidR="00A94AF7">
        <w:rPr>
          <w:i/>
          <w:iCs/>
        </w:rPr>
        <w:t>c</w:t>
      </w:r>
      <w:r w:rsidR="00652C23" w:rsidRPr="002A4286">
        <w:rPr>
          <w:i/>
          <w:iCs/>
        </w:rPr>
        <w:t xml:space="preserve">onstitutes </w:t>
      </w:r>
      <w:r w:rsidR="00A94AF7">
        <w:rPr>
          <w:i/>
          <w:iCs/>
        </w:rPr>
        <w:t>p</w:t>
      </w:r>
      <w:r w:rsidR="00652C23" w:rsidRPr="002A4286">
        <w:rPr>
          <w:i/>
          <w:iCs/>
        </w:rPr>
        <w:t xml:space="preserve">ositive </w:t>
      </w:r>
      <w:r w:rsidR="00A94AF7">
        <w:rPr>
          <w:i/>
          <w:iCs/>
        </w:rPr>
        <w:t>m</w:t>
      </w:r>
      <w:r w:rsidR="00652C23" w:rsidRPr="002A4286">
        <w:rPr>
          <w:i/>
          <w:iCs/>
        </w:rPr>
        <w:t xml:space="preserve">ental </w:t>
      </w:r>
      <w:r w:rsidR="00A94AF7">
        <w:rPr>
          <w:i/>
          <w:iCs/>
        </w:rPr>
        <w:t>h</w:t>
      </w:r>
      <w:r w:rsidR="00652C23" w:rsidRPr="002A4286">
        <w:rPr>
          <w:i/>
          <w:iCs/>
        </w:rPr>
        <w:t xml:space="preserve">ealth in </w:t>
      </w:r>
      <w:r w:rsidR="00A94AF7">
        <w:rPr>
          <w:i/>
          <w:iCs/>
        </w:rPr>
        <w:t>y</w:t>
      </w:r>
      <w:r w:rsidR="00652C23" w:rsidRPr="002A4286">
        <w:rPr>
          <w:i/>
          <w:iCs/>
        </w:rPr>
        <w:t xml:space="preserve">oung </w:t>
      </w:r>
      <w:r w:rsidR="00A94AF7">
        <w:rPr>
          <w:i/>
          <w:iCs/>
        </w:rPr>
        <w:t>p</w:t>
      </w:r>
      <w:r w:rsidR="00652C23" w:rsidRPr="002A4286">
        <w:rPr>
          <w:i/>
          <w:iCs/>
        </w:rPr>
        <w:t xml:space="preserve">eople? Examining </w:t>
      </w:r>
      <w:r w:rsidR="00A94AF7">
        <w:rPr>
          <w:i/>
          <w:iCs/>
        </w:rPr>
        <w:t>f</w:t>
      </w:r>
      <w:r w:rsidR="00652C23" w:rsidRPr="002A4286">
        <w:rPr>
          <w:i/>
          <w:iCs/>
        </w:rPr>
        <w:t xml:space="preserve">our </w:t>
      </w:r>
      <w:r w:rsidR="00A94AF7">
        <w:rPr>
          <w:i/>
          <w:iCs/>
        </w:rPr>
        <w:t>m</w:t>
      </w:r>
      <w:r w:rsidR="00652C23" w:rsidRPr="002A4286">
        <w:rPr>
          <w:i/>
          <w:iCs/>
        </w:rPr>
        <w:t>ulti-</w:t>
      </w:r>
      <w:r w:rsidR="00A94AF7">
        <w:rPr>
          <w:i/>
          <w:iCs/>
        </w:rPr>
        <w:t>d</w:t>
      </w:r>
      <w:r w:rsidR="00652C23" w:rsidRPr="002A4286">
        <w:rPr>
          <w:i/>
          <w:iCs/>
        </w:rPr>
        <w:t xml:space="preserve">imensional </w:t>
      </w:r>
      <w:r w:rsidR="00A94AF7">
        <w:rPr>
          <w:i/>
          <w:iCs/>
        </w:rPr>
        <w:t>m</w:t>
      </w:r>
      <w:r w:rsidR="00652C23" w:rsidRPr="002A4286">
        <w:rPr>
          <w:i/>
          <w:iCs/>
        </w:rPr>
        <w:t xml:space="preserve">odels of </w:t>
      </w:r>
      <w:r w:rsidR="00A94AF7">
        <w:rPr>
          <w:i/>
          <w:iCs/>
        </w:rPr>
        <w:t>f</w:t>
      </w:r>
      <w:r w:rsidR="00652C23" w:rsidRPr="002A4286">
        <w:rPr>
          <w:i/>
          <w:iCs/>
        </w:rPr>
        <w:t xml:space="preserve">lourishing in 16 to 24 </w:t>
      </w:r>
      <w:r w:rsidR="00A94AF7">
        <w:rPr>
          <w:i/>
          <w:iCs/>
        </w:rPr>
        <w:t>y</w:t>
      </w:r>
      <w:r w:rsidR="00652C23" w:rsidRPr="002A4286">
        <w:rPr>
          <w:i/>
          <w:iCs/>
        </w:rPr>
        <w:t xml:space="preserve">ear </w:t>
      </w:r>
      <w:r w:rsidR="00A94AF7">
        <w:rPr>
          <w:i/>
          <w:iCs/>
        </w:rPr>
        <w:t>o</w:t>
      </w:r>
      <w:r w:rsidR="00652C23" w:rsidRPr="002A4286">
        <w:rPr>
          <w:i/>
          <w:iCs/>
        </w:rPr>
        <w:t>lds</w:t>
      </w:r>
      <w:r w:rsidR="00652C23">
        <w:t>, Charles Sturt University</w:t>
      </w:r>
      <w:r w:rsidR="007015D1">
        <w:t>.</w:t>
      </w:r>
    </w:p>
    <w:p w14:paraId="28328BB0" w14:textId="0C765270" w:rsidR="00652C23" w:rsidRDefault="00652C23" w:rsidP="00652C23">
      <w:r>
        <w:t>Venning A, Wilson A, Kettler L and Eliott J (2013)</w:t>
      </w:r>
      <w:r w:rsidR="00AF0D03">
        <w:t xml:space="preserve">. </w:t>
      </w:r>
      <w:r w:rsidRPr="002A4286">
        <w:t xml:space="preserve">Mental </w:t>
      </w:r>
      <w:r w:rsidR="007015D1">
        <w:t>h</w:t>
      </w:r>
      <w:r w:rsidRPr="002A4286">
        <w:t xml:space="preserve">ealth among </w:t>
      </w:r>
      <w:r w:rsidR="007015D1">
        <w:t>y</w:t>
      </w:r>
      <w:r w:rsidRPr="002A4286">
        <w:t xml:space="preserve">outh in South Australia: </w:t>
      </w:r>
      <w:r w:rsidR="007015D1">
        <w:t>a</w:t>
      </w:r>
      <w:r w:rsidRPr="002A4286">
        <w:t xml:space="preserve"> </w:t>
      </w:r>
      <w:r w:rsidR="007015D1">
        <w:t>s</w:t>
      </w:r>
      <w:r w:rsidRPr="002A4286">
        <w:t xml:space="preserve">urvey of </w:t>
      </w:r>
      <w:r w:rsidR="007015D1">
        <w:t>f</w:t>
      </w:r>
      <w:r w:rsidRPr="002A4286">
        <w:t xml:space="preserve">lourishing, </w:t>
      </w:r>
      <w:r w:rsidR="007015D1">
        <w:t>l</w:t>
      </w:r>
      <w:r w:rsidRPr="002A4286">
        <w:t xml:space="preserve">anguishing, </w:t>
      </w:r>
      <w:r w:rsidR="007015D1">
        <w:t>s</w:t>
      </w:r>
      <w:r w:rsidRPr="002A4286">
        <w:t xml:space="preserve">truggling, and </w:t>
      </w:r>
      <w:r w:rsidR="007015D1">
        <w:t>f</w:t>
      </w:r>
      <w:r w:rsidRPr="002A4286">
        <w:t>loundering</w:t>
      </w:r>
      <w:r>
        <w:t>, </w:t>
      </w:r>
      <w:r w:rsidRPr="002A4286">
        <w:rPr>
          <w:i/>
          <w:iCs/>
        </w:rPr>
        <w:t>Australian Psychologist</w:t>
      </w:r>
      <w:r>
        <w:t> 48</w:t>
      </w:r>
      <w:r w:rsidR="007015D1">
        <w:t>(</w:t>
      </w:r>
      <w:r>
        <w:t>4</w:t>
      </w:r>
      <w:r w:rsidR="007015D1">
        <w:t>):</w:t>
      </w:r>
      <w:r>
        <w:t>299</w:t>
      </w:r>
      <w:r w:rsidR="00957688">
        <w:t>–</w:t>
      </w:r>
      <w:r>
        <w:t>310, DOI: 10.1111/j.1742-9544.2012.00068.x</w:t>
      </w:r>
      <w:r w:rsidR="00957688">
        <w:t>.</w:t>
      </w:r>
    </w:p>
    <w:p w14:paraId="257E0A85" w14:textId="55F1CB8B" w:rsidR="002570EF" w:rsidRDefault="002570EF" w:rsidP="002570EF">
      <w:r>
        <w:t xml:space="preserve">Volkert J and Schneider F (2011). </w:t>
      </w:r>
      <w:r w:rsidRPr="002A4286">
        <w:rPr>
          <w:i/>
          <w:iCs/>
        </w:rPr>
        <w:t xml:space="preserve">The </w:t>
      </w:r>
      <w:r w:rsidR="00957688">
        <w:rPr>
          <w:i/>
          <w:iCs/>
        </w:rPr>
        <w:t>a</w:t>
      </w:r>
      <w:r w:rsidRPr="002A4286">
        <w:rPr>
          <w:i/>
          <w:iCs/>
        </w:rPr>
        <w:t xml:space="preserve">pplication of the </w:t>
      </w:r>
      <w:r w:rsidR="00957688">
        <w:rPr>
          <w:i/>
          <w:iCs/>
        </w:rPr>
        <w:t>c</w:t>
      </w:r>
      <w:r w:rsidRPr="002A4286">
        <w:rPr>
          <w:i/>
          <w:iCs/>
        </w:rPr>
        <w:t xml:space="preserve">apability </w:t>
      </w:r>
      <w:r w:rsidR="00957688">
        <w:rPr>
          <w:i/>
          <w:iCs/>
        </w:rPr>
        <w:t>a</w:t>
      </w:r>
      <w:r w:rsidRPr="002A4286">
        <w:rPr>
          <w:i/>
          <w:iCs/>
        </w:rPr>
        <w:t xml:space="preserve">pproach to </w:t>
      </w:r>
      <w:r w:rsidR="00957688">
        <w:rPr>
          <w:i/>
          <w:iCs/>
        </w:rPr>
        <w:t>h</w:t>
      </w:r>
      <w:r w:rsidRPr="002A4286">
        <w:rPr>
          <w:i/>
          <w:iCs/>
        </w:rPr>
        <w:t>igh-</w:t>
      </w:r>
      <w:r w:rsidR="00957688">
        <w:rPr>
          <w:i/>
          <w:iCs/>
        </w:rPr>
        <w:t>i</w:t>
      </w:r>
      <w:r w:rsidRPr="002A4286">
        <w:rPr>
          <w:i/>
          <w:iCs/>
        </w:rPr>
        <w:t xml:space="preserve">ncome OECD </w:t>
      </w:r>
      <w:r w:rsidR="00957688">
        <w:rPr>
          <w:i/>
          <w:iCs/>
        </w:rPr>
        <w:t>c</w:t>
      </w:r>
      <w:r w:rsidRPr="002A4286">
        <w:rPr>
          <w:i/>
          <w:iCs/>
        </w:rPr>
        <w:t xml:space="preserve">ountries: </w:t>
      </w:r>
      <w:r w:rsidR="00957688">
        <w:rPr>
          <w:i/>
          <w:iCs/>
        </w:rPr>
        <w:t>a</w:t>
      </w:r>
      <w:r w:rsidRPr="002A4286">
        <w:rPr>
          <w:i/>
          <w:iCs/>
        </w:rPr>
        <w:t xml:space="preserve"> </w:t>
      </w:r>
      <w:r w:rsidR="00957688">
        <w:rPr>
          <w:i/>
          <w:iCs/>
        </w:rPr>
        <w:t>p</w:t>
      </w:r>
      <w:r w:rsidRPr="002A4286">
        <w:rPr>
          <w:i/>
          <w:iCs/>
        </w:rPr>
        <w:t xml:space="preserve">reliminary </w:t>
      </w:r>
      <w:r w:rsidR="00957688">
        <w:rPr>
          <w:i/>
          <w:iCs/>
        </w:rPr>
        <w:t>s</w:t>
      </w:r>
      <w:r w:rsidRPr="002A4286">
        <w:rPr>
          <w:i/>
          <w:iCs/>
        </w:rPr>
        <w:t>urvey</w:t>
      </w:r>
      <w:r>
        <w:t xml:space="preserve">, CESIFO Working </w:t>
      </w:r>
      <w:r w:rsidR="00957688">
        <w:t>P</w:t>
      </w:r>
      <w:r>
        <w:t xml:space="preserve">aper </w:t>
      </w:r>
      <w:r w:rsidR="00957688">
        <w:t>N</w:t>
      </w:r>
      <w:r>
        <w:t>o 3364.</w:t>
      </w:r>
    </w:p>
    <w:p w14:paraId="6F666775" w14:textId="2AE311EC" w:rsidR="002570EF" w:rsidRDefault="002570EF" w:rsidP="002570EF">
      <w:r>
        <w:t xml:space="preserve">Washington State Institute of Public Policy </w:t>
      </w:r>
      <w:r w:rsidR="00F50C8F">
        <w:t>(</w:t>
      </w:r>
      <w:r>
        <w:t>2015</w:t>
      </w:r>
      <w:r w:rsidR="00F50C8F">
        <w:t>)</w:t>
      </w:r>
      <w:r w:rsidR="00AF0D03">
        <w:t>.</w:t>
      </w:r>
      <w:r>
        <w:t xml:space="preserve"> </w:t>
      </w:r>
      <w:r w:rsidRPr="002A4286">
        <w:rPr>
          <w:i/>
          <w:iCs/>
        </w:rPr>
        <w:t xml:space="preserve">Workforce </w:t>
      </w:r>
      <w:r w:rsidR="00B84309">
        <w:rPr>
          <w:i/>
          <w:iCs/>
        </w:rPr>
        <w:t>d</w:t>
      </w:r>
      <w:r w:rsidRPr="002A4286">
        <w:rPr>
          <w:i/>
          <w:iCs/>
        </w:rPr>
        <w:t xml:space="preserve">evelopment </w:t>
      </w:r>
      <w:r w:rsidR="00B84309">
        <w:rPr>
          <w:i/>
          <w:iCs/>
        </w:rPr>
        <w:t>p</w:t>
      </w:r>
      <w:r w:rsidRPr="002A4286">
        <w:rPr>
          <w:i/>
          <w:iCs/>
        </w:rPr>
        <w:t xml:space="preserve">rograms: </w:t>
      </w:r>
      <w:r w:rsidR="00B84309">
        <w:rPr>
          <w:i/>
          <w:iCs/>
        </w:rPr>
        <w:t>a</w:t>
      </w:r>
      <w:r w:rsidRPr="002A4286">
        <w:rPr>
          <w:i/>
          <w:iCs/>
        </w:rPr>
        <w:t xml:space="preserve"> </w:t>
      </w:r>
      <w:r w:rsidR="00B84309">
        <w:rPr>
          <w:i/>
          <w:iCs/>
        </w:rPr>
        <w:t>r</w:t>
      </w:r>
      <w:r w:rsidRPr="002A4286">
        <w:rPr>
          <w:i/>
          <w:iCs/>
        </w:rPr>
        <w:t xml:space="preserve">eview of the </w:t>
      </w:r>
      <w:r w:rsidR="00B84309">
        <w:rPr>
          <w:i/>
          <w:iCs/>
        </w:rPr>
        <w:t>e</w:t>
      </w:r>
      <w:r w:rsidRPr="002A4286">
        <w:rPr>
          <w:i/>
          <w:iCs/>
        </w:rPr>
        <w:t xml:space="preserve">vidence and </w:t>
      </w:r>
      <w:r w:rsidR="00B84309">
        <w:rPr>
          <w:i/>
          <w:iCs/>
        </w:rPr>
        <w:t>b</w:t>
      </w:r>
      <w:r w:rsidRPr="002A4286">
        <w:rPr>
          <w:i/>
          <w:iCs/>
        </w:rPr>
        <w:t>enefit-</w:t>
      </w:r>
      <w:r w:rsidR="00B84309">
        <w:rPr>
          <w:i/>
          <w:iCs/>
        </w:rPr>
        <w:t>c</w:t>
      </w:r>
      <w:r w:rsidRPr="002A4286">
        <w:rPr>
          <w:i/>
          <w:iCs/>
        </w:rPr>
        <w:t xml:space="preserve">ost </w:t>
      </w:r>
      <w:r w:rsidR="00B84309">
        <w:rPr>
          <w:i/>
          <w:iCs/>
        </w:rPr>
        <w:t>a</w:t>
      </w:r>
      <w:r w:rsidRPr="002A4286">
        <w:rPr>
          <w:i/>
          <w:iCs/>
        </w:rPr>
        <w:t>nalysis</w:t>
      </w:r>
      <w:r w:rsidRPr="00C239FD">
        <w:t>,</w:t>
      </w:r>
      <w:r w:rsidRPr="00B84309">
        <w:t xml:space="preserve"> </w:t>
      </w:r>
      <w:r>
        <w:t>Washington State Institute of Public Policy</w:t>
      </w:r>
      <w:r w:rsidR="00B84309">
        <w:t>.</w:t>
      </w:r>
    </w:p>
    <w:p w14:paraId="3B35F2FD" w14:textId="21A93875" w:rsidR="002570EF" w:rsidRPr="009251AF" w:rsidRDefault="002570EF" w:rsidP="00F975E8">
      <w:r>
        <w:t xml:space="preserve">Witten H, Savahl S and Adams S (2019). </w:t>
      </w:r>
      <w:r w:rsidRPr="002A4286">
        <w:t>Adolescent flourishing: a systematic review</w:t>
      </w:r>
      <w:r w:rsidRPr="00A010FE">
        <w:t>,</w:t>
      </w:r>
      <w:r>
        <w:t xml:space="preserve"> </w:t>
      </w:r>
      <w:r w:rsidRPr="002A4286">
        <w:rPr>
          <w:i/>
          <w:iCs/>
        </w:rPr>
        <w:t>Cogent Psychology</w:t>
      </w:r>
      <w:r>
        <w:t xml:space="preserve"> 6:1640341</w:t>
      </w:r>
      <w:r w:rsidR="00B84309">
        <w:t>.</w:t>
      </w:r>
      <w:r w:rsidR="001C36CF">
        <w:br w:type="page"/>
      </w:r>
    </w:p>
    <w:p w14:paraId="2690625C" w14:textId="73E7A4E9" w:rsidR="00B8116A" w:rsidRPr="00B8116A" w:rsidRDefault="00B8116A" w:rsidP="009251AF">
      <w:pPr>
        <w:pStyle w:val="Heading1"/>
        <w:numPr>
          <w:ilvl w:val="0"/>
          <w:numId w:val="0"/>
        </w:numPr>
        <w:rPr>
          <w:highlight w:val="green"/>
        </w:rPr>
      </w:pPr>
      <w:bookmarkStart w:id="3865" w:name="_Toc132209638"/>
      <w:bookmarkStart w:id="3866" w:name="_Toc132209803"/>
      <w:bookmarkStart w:id="3867" w:name="_Toc132209968"/>
      <w:bookmarkStart w:id="3868" w:name="_Toc132649105"/>
      <w:bookmarkStart w:id="3869" w:name="_Toc132650527"/>
      <w:bookmarkStart w:id="3870" w:name="_Toc106711907"/>
      <w:bookmarkStart w:id="3871" w:name="_Toc132650528"/>
      <w:bookmarkStart w:id="3872" w:name="_Toc146033557"/>
      <w:bookmarkEnd w:id="3865"/>
      <w:bookmarkEnd w:id="3866"/>
      <w:bookmarkEnd w:id="3867"/>
      <w:bookmarkEnd w:id="3868"/>
      <w:bookmarkEnd w:id="3869"/>
      <w:r>
        <w:lastRenderedPageBreak/>
        <w:t xml:space="preserve">List of </w:t>
      </w:r>
      <w:r w:rsidR="00BE7423">
        <w:t>t</w:t>
      </w:r>
      <w:r>
        <w:t>ables</w:t>
      </w:r>
      <w:bookmarkEnd w:id="3870"/>
      <w:bookmarkEnd w:id="3871"/>
      <w:bookmarkEnd w:id="3872"/>
    </w:p>
    <w:p w14:paraId="743F04E5" w14:textId="08770205" w:rsidR="00A02B89" w:rsidRDefault="00B8116A">
      <w:pPr>
        <w:pStyle w:val="TableofFigures"/>
        <w:tabs>
          <w:tab w:val="right" w:leader="dot" w:pos="9016"/>
        </w:tabs>
        <w:rPr>
          <w:rFonts w:asciiTheme="minorHAnsi" w:eastAsiaTheme="minorEastAsia" w:hAnsiTheme="minorHAnsi"/>
          <w:noProof/>
          <w:sz w:val="22"/>
          <w:lang w:eastAsia="en-AU"/>
        </w:rPr>
      </w:pPr>
      <w:r>
        <w:fldChar w:fldCharType="begin"/>
      </w:r>
      <w:r>
        <w:instrText xml:space="preserve"> TOC \h \z \c "Table" </w:instrText>
      </w:r>
      <w:r>
        <w:fldChar w:fldCharType="separate"/>
      </w:r>
      <w:hyperlink w:anchor="_Toc145877291" w:history="1">
        <w:r w:rsidR="00A02B89" w:rsidRPr="00C953F2">
          <w:rPr>
            <w:rStyle w:val="Hyperlink"/>
            <w:noProof/>
          </w:rPr>
          <w:t>Table 1: Initial eligibility requirements for TtW, and changes to eligibility requirements throughout the study period</w:t>
        </w:r>
        <w:r w:rsidR="00A02B89">
          <w:rPr>
            <w:noProof/>
            <w:webHidden/>
          </w:rPr>
          <w:tab/>
        </w:r>
        <w:r w:rsidR="00A02B89">
          <w:rPr>
            <w:noProof/>
            <w:webHidden/>
          </w:rPr>
          <w:fldChar w:fldCharType="begin"/>
        </w:r>
        <w:r w:rsidR="00A02B89">
          <w:rPr>
            <w:noProof/>
            <w:webHidden/>
          </w:rPr>
          <w:instrText xml:space="preserve"> PAGEREF _Toc145877291 \h </w:instrText>
        </w:r>
        <w:r w:rsidR="00A02B89">
          <w:rPr>
            <w:noProof/>
            <w:webHidden/>
          </w:rPr>
        </w:r>
        <w:r w:rsidR="00A02B89">
          <w:rPr>
            <w:noProof/>
            <w:webHidden/>
          </w:rPr>
          <w:fldChar w:fldCharType="separate"/>
        </w:r>
        <w:r w:rsidR="00180E14">
          <w:rPr>
            <w:noProof/>
            <w:webHidden/>
          </w:rPr>
          <w:t>4</w:t>
        </w:r>
        <w:r w:rsidR="00A02B89">
          <w:rPr>
            <w:noProof/>
            <w:webHidden/>
          </w:rPr>
          <w:fldChar w:fldCharType="end"/>
        </w:r>
      </w:hyperlink>
    </w:p>
    <w:p w14:paraId="30ABB55C" w14:textId="70336E2E"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292" w:history="1">
        <w:r w:rsidRPr="00C953F2">
          <w:rPr>
            <w:rStyle w:val="Hyperlink"/>
            <w:noProof/>
          </w:rPr>
          <w:t>Table 2: Initial additional eligibility requirements for TtW, and changes to eligibility requirements throughout the study period</w:t>
        </w:r>
        <w:r>
          <w:rPr>
            <w:noProof/>
            <w:webHidden/>
          </w:rPr>
          <w:tab/>
        </w:r>
        <w:r>
          <w:rPr>
            <w:noProof/>
            <w:webHidden/>
          </w:rPr>
          <w:fldChar w:fldCharType="begin"/>
        </w:r>
        <w:r>
          <w:rPr>
            <w:noProof/>
            <w:webHidden/>
          </w:rPr>
          <w:instrText xml:space="preserve"> PAGEREF _Toc145877292 \h </w:instrText>
        </w:r>
        <w:r>
          <w:rPr>
            <w:noProof/>
            <w:webHidden/>
          </w:rPr>
        </w:r>
        <w:r>
          <w:rPr>
            <w:noProof/>
            <w:webHidden/>
          </w:rPr>
          <w:fldChar w:fldCharType="separate"/>
        </w:r>
        <w:r w:rsidR="00180E14">
          <w:rPr>
            <w:noProof/>
            <w:webHidden/>
          </w:rPr>
          <w:t>4</w:t>
        </w:r>
        <w:r>
          <w:rPr>
            <w:noProof/>
            <w:webHidden/>
          </w:rPr>
          <w:fldChar w:fldCharType="end"/>
        </w:r>
      </w:hyperlink>
    </w:p>
    <w:p w14:paraId="4659611D" w14:textId="059D0E6B"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293" w:history="1">
        <w:r w:rsidRPr="00C953F2">
          <w:rPr>
            <w:rStyle w:val="Hyperlink"/>
            <w:noProof/>
          </w:rPr>
          <w:t>Table 3: Evaluation data sources</w:t>
        </w:r>
        <w:r>
          <w:rPr>
            <w:noProof/>
            <w:webHidden/>
          </w:rPr>
          <w:tab/>
        </w:r>
        <w:r>
          <w:rPr>
            <w:noProof/>
            <w:webHidden/>
          </w:rPr>
          <w:fldChar w:fldCharType="begin"/>
        </w:r>
        <w:r>
          <w:rPr>
            <w:noProof/>
            <w:webHidden/>
          </w:rPr>
          <w:instrText xml:space="preserve"> PAGEREF _Toc145877293 \h </w:instrText>
        </w:r>
        <w:r>
          <w:rPr>
            <w:noProof/>
            <w:webHidden/>
          </w:rPr>
        </w:r>
        <w:r>
          <w:rPr>
            <w:noProof/>
            <w:webHidden/>
          </w:rPr>
          <w:fldChar w:fldCharType="separate"/>
        </w:r>
        <w:r w:rsidR="00180E14">
          <w:rPr>
            <w:noProof/>
            <w:webHidden/>
          </w:rPr>
          <w:t>16</w:t>
        </w:r>
        <w:r>
          <w:rPr>
            <w:noProof/>
            <w:webHidden/>
          </w:rPr>
          <w:fldChar w:fldCharType="end"/>
        </w:r>
      </w:hyperlink>
    </w:p>
    <w:p w14:paraId="6DEF7571" w14:textId="0832077B"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294" w:history="1">
        <w:r w:rsidRPr="00C953F2">
          <w:rPr>
            <w:rStyle w:val="Hyperlink"/>
            <w:noProof/>
          </w:rPr>
          <w:t>Table 4: Components of human capability examined in this evaluation</w:t>
        </w:r>
        <w:r>
          <w:rPr>
            <w:noProof/>
            <w:webHidden/>
          </w:rPr>
          <w:tab/>
        </w:r>
        <w:r>
          <w:rPr>
            <w:noProof/>
            <w:webHidden/>
          </w:rPr>
          <w:fldChar w:fldCharType="begin"/>
        </w:r>
        <w:r>
          <w:rPr>
            <w:noProof/>
            <w:webHidden/>
          </w:rPr>
          <w:instrText xml:space="preserve"> PAGEREF _Toc145877294 \h </w:instrText>
        </w:r>
        <w:r>
          <w:rPr>
            <w:noProof/>
            <w:webHidden/>
          </w:rPr>
        </w:r>
        <w:r>
          <w:rPr>
            <w:noProof/>
            <w:webHidden/>
          </w:rPr>
          <w:fldChar w:fldCharType="separate"/>
        </w:r>
        <w:r w:rsidR="00180E14">
          <w:rPr>
            <w:noProof/>
            <w:webHidden/>
          </w:rPr>
          <w:t>18</w:t>
        </w:r>
        <w:r>
          <w:rPr>
            <w:noProof/>
            <w:webHidden/>
          </w:rPr>
          <w:fldChar w:fldCharType="end"/>
        </w:r>
      </w:hyperlink>
    </w:p>
    <w:p w14:paraId="16795D13" w14:textId="2A7C5F9B"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295" w:history="1">
        <w:r w:rsidRPr="00C953F2">
          <w:rPr>
            <w:rStyle w:val="Hyperlink"/>
            <w:noProof/>
          </w:rPr>
          <w:t>Table 5: National average Personal Wellbeing Index for young people 2018–2020</w:t>
        </w:r>
        <w:r>
          <w:rPr>
            <w:noProof/>
            <w:webHidden/>
          </w:rPr>
          <w:tab/>
        </w:r>
        <w:r>
          <w:rPr>
            <w:noProof/>
            <w:webHidden/>
          </w:rPr>
          <w:fldChar w:fldCharType="begin"/>
        </w:r>
        <w:r>
          <w:rPr>
            <w:noProof/>
            <w:webHidden/>
          </w:rPr>
          <w:instrText xml:space="preserve"> PAGEREF _Toc145877295 \h </w:instrText>
        </w:r>
        <w:r>
          <w:rPr>
            <w:noProof/>
            <w:webHidden/>
          </w:rPr>
        </w:r>
        <w:r>
          <w:rPr>
            <w:noProof/>
            <w:webHidden/>
          </w:rPr>
          <w:fldChar w:fldCharType="separate"/>
        </w:r>
        <w:r w:rsidR="00180E14">
          <w:rPr>
            <w:noProof/>
            <w:webHidden/>
          </w:rPr>
          <w:t>53</w:t>
        </w:r>
        <w:r>
          <w:rPr>
            <w:noProof/>
            <w:webHidden/>
          </w:rPr>
          <w:fldChar w:fldCharType="end"/>
        </w:r>
      </w:hyperlink>
    </w:p>
    <w:p w14:paraId="48F46078" w14:textId="5CF5E342"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296" w:history="1">
        <w:r w:rsidRPr="00C953F2">
          <w:rPr>
            <w:rStyle w:val="Hyperlink"/>
            <w:noProof/>
          </w:rPr>
          <w:t>Table 6: Correlations between program elements and human capability indicators</w:t>
        </w:r>
        <w:r>
          <w:rPr>
            <w:noProof/>
            <w:webHidden/>
          </w:rPr>
          <w:tab/>
        </w:r>
        <w:r>
          <w:rPr>
            <w:noProof/>
            <w:webHidden/>
          </w:rPr>
          <w:fldChar w:fldCharType="begin"/>
        </w:r>
        <w:r>
          <w:rPr>
            <w:noProof/>
            <w:webHidden/>
          </w:rPr>
          <w:instrText xml:space="preserve"> PAGEREF _Toc145877296 \h </w:instrText>
        </w:r>
        <w:r>
          <w:rPr>
            <w:noProof/>
            <w:webHidden/>
          </w:rPr>
        </w:r>
        <w:r>
          <w:rPr>
            <w:noProof/>
            <w:webHidden/>
          </w:rPr>
          <w:fldChar w:fldCharType="separate"/>
        </w:r>
        <w:r w:rsidR="00180E14">
          <w:rPr>
            <w:noProof/>
            <w:webHidden/>
          </w:rPr>
          <w:t>56</w:t>
        </w:r>
        <w:r>
          <w:rPr>
            <w:noProof/>
            <w:webHidden/>
          </w:rPr>
          <w:fldChar w:fldCharType="end"/>
        </w:r>
      </w:hyperlink>
    </w:p>
    <w:p w14:paraId="6225A8C5" w14:textId="399DFF76"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297" w:history="1">
        <w:r w:rsidRPr="00C953F2">
          <w:rPr>
            <w:rStyle w:val="Hyperlink"/>
            <w:noProof/>
          </w:rPr>
          <w:t>Table 7: Correlations between work/study and human capability indicators</w:t>
        </w:r>
        <w:r>
          <w:rPr>
            <w:noProof/>
            <w:webHidden/>
          </w:rPr>
          <w:tab/>
        </w:r>
        <w:r>
          <w:rPr>
            <w:noProof/>
            <w:webHidden/>
          </w:rPr>
          <w:fldChar w:fldCharType="begin"/>
        </w:r>
        <w:r>
          <w:rPr>
            <w:noProof/>
            <w:webHidden/>
          </w:rPr>
          <w:instrText xml:space="preserve"> PAGEREF _Toc145877297 \h </w:instrText>
        </w:r>
        <w:r>
          <w:rPr>
            <w:noProof/>
            <w:webHidden/>
          </w:rPr>
        </w:r>
        <w:r>
          <w:rPr>
            <w:noProof/>
            <w:webHidden/>
          </w:rPr>
          <w:fldChar w:fldCharType="separate"/>
        </w:r>
        <w:r w:rsidR="00180E14">
          <w:rPr>
            <w:noProof/>
            <w:webHidden/>
          </w:rPr>
          <w:t>57</w:t>
        </w:r>
        <w:r>
          <w:rPr>
            <w:noProof/>
            <w:webHidden/>
          </w:rPr>
          <w:fldChar w:fldCharType="end"/>
        </w:r>
      </w:hyperlink>
    </w:p>
    <w:p w14:paraId="59C86ADA" w14:textId="2046D5DC"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298" w:history="1">
        <w:r w:rsidRPr="00C953F2">
          <w:rPr>
            <w:rStyle w:val="Hyperlink"/>
            <w:noProof/>
          </w:rPr>
          <w:t>Table 8: Predicted probability that a participant will be incarcerated once within 4 years of commencement</w:t>
        </w:r>
        <w:r>
          <w:rPr>
            <w:noProof/>
            <w:webHidden/>
          </w:rPr>
          <w:tab/>
        </w:r>
        <w:r>
          <w:rPr>
            <w:noProof/>
            <w:webHidden/>
          </w:rPr>
          <w:fldChar w:fldCharType="begin"/>
        </w:r>
        <w:r>
          <w:rPr>
            <w:noProof/>
            <w:webHidden/>
          </w:rPr>
          <w:instrText xml:space="preserve"> PAGEREF _Toc145877298 \h </w:instrText>
        </w:r>
        <w:r>
          <w:rPr>
            <w:noProof/>
            <w:webHidden/>
          </w:rPr>
        </w:r>
        <w:r>
          <w:rPr>
            <w:noProof/>
            <w:webHidden/>
          </w:rPr>
          <w:fldChar w:fldCharType="separate"/>
        </w:r>
        <w:r w:rsidR="00180E14">
          <w:rPr>
            <w:noProof/>
            <w:webHidden/>
          </w:rPr>
          <w:t>63</w:t>
        </w:r>
        <w:r>
          <w:rPr>
            <w:noProof/>
            <w:webHidden/>
          </w:rPr>
          <w:fldChar w:fldCharType="end"/>
        </w:r>
      </w:hyperlink>
    </w:p>
    <w:p w14:paraId="78B80C80" w14:textId="52D3559E"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299" w:history="1">
        <w:r w:rsidRPr="00C953F2">
          <w:rPr>
            <w:rStyle w:val="Hyperlink"/>
            <w:noProof/>
          </w:rPr>
          <w:t>Table 9: Number of times in prison per person within 4 years from commencement</w:t>
        </w:r>
        <w:r>
          <w:rPr>
            <w:noProof/>
            <w:webHidden/>
          </w:rPr>
          <w:tab/>
        </w:r>
        <w:r>
          <w:rPr>
            <w:noProof/>
            <w:webHidden/>
          </w:rPr>
          <w:fldChar w:fldCharType="begin"/>
        </w:r>
        <w:r>
          <w:rPr>
            <w:noProof/>
            <w:webHidden/>
          </w:rPr>
          <w:instrText xml:space="preserve"> PAGEREF _Toc145877299 \h </w:instrText>
        </w:r>
        <w:r>
          <w:rPr>
            <w:noProof/>
            <w:webHidden/>
          </w:rPr>
        </w:r>
        <w:r>
          <w:rPr>
            <w:noProof/>
            <w:webHidden/>
          </w:rPr>
          <w:fldChar w:fldCharType="separate"/>
        </w:r>
        <w:r w:rsidR="00180E14">
          <w:rPr>
            <w:noProof/>
            <w:webHidden/>
          </w:rPr>
          <w:t>64</w:t>
        </w:r>
        <w:r>
          <w:rPr>
            <w:noProof/>
            <w:webHidden/>
          </w:rPr>
          <w:fldChar w:fldCharType="end"/>
        </w:r>
      </w:hyperlink>
    </w:p>
    <w:p w14:paraId="47C48C80" w14:textId="5EE25D80"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0" w:history="1">
        <w:r w:rsidRPr="00C953F2">
          <w:rPr>
            <w:rStyle w:val="Hyperlink"/>
            <w:noProof/>
          </w:rPr>
          <w:t>Table 10: Average change</w:t>
        </w:r>
        <w:r w:rsidRPr="00C953F2">
          <w:rPr>
            <w:rStyle w:val="Hyperlink"/>
            <w:noProof/>
            <w:vertAlign w:val="superscript"/>
          </w:rPr>
          <w:t>1</w:t>
        </w:r>
        <w:r w:rsidRPr="00C953F2">
          <w:rPr>
            <w:rStyle w:val="Hyperlink"/>
            <w:noProof/>
          </w:rPr>
          <w:t xml:space="preserve"> in probability of exiting income support in TtW compared to jobactive, by period after commencement</w:t>
        </w:r>
        <w:r>
          <w:rPr>
            <w:noProof/>
            <w:webHidden/>
          </w:rPr>
          <w:tab/>
        </w:r>
        <w:r>
          <w:rPr>
            <w:noProof/>
            <w:webHidden/>
          </w:rPr>
          <w:fldChar w:fldCharType="begin"/>
        </w:r>
        <w:r>
          <w:rPr>
            <w:noProof/>
            <w:webHidden/>
          </w:rPr>
          <w:instrText xml:space="preserve"> PAGEREF _Toc145877300 \h </w:instrText>
        </w:r>
        <w:r>
          <w:rPr>
            <w:noProof/>
            <w:webHidden/>
          </w:rPr>
        </w:r>
        <w:r>
          <w:rPr>
            <w:noProof/>
            <w:webHidden/>
          </w:rPr>
          <w:fldChar w:fldCharType="separate"/>
        </w:r>
        <w:r w:rsidR="00180E14">
          <w:rPr>
            <w:noProof/>
            <w:webHidden/>
          </w:rPr>
          <w:t>69</w:t>
        </w:r>
        <w:r>
          <w:rPr>
            <w:noProof/>
            <w:webHidden/>
          </w:rPr>
          <w:fldChar w:fldCharType="end"/>
        </w:r>
      </w:hyperlink>
    </w:p>
    <w:p w14:paraId="5A4EEA08" w14:textId="39143F7C"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1" w:history="1">
        <w:r w:rsidRPr="00C953F2">
          <w:rPr>
            <w:rStyle w:val="Hyperlink"/>
            <w:noProof/>
          </w:rPr>
          <w:t>Table 11: Average change</w:t>
        </w:r>
        <w:r w:rsidRPr="00C953F2">
          <w:rPr>
            <w:rStyle w:val="Hyperlink"/>
            <w:noProof/>
            <w:vertAlign w:val="superscript"/>
          </w:rPr>
          <w:t>1</w:t>
        </w:r>
        <w:r w:rsidRPr="00C953F2">
          <w:rPr>
            <w:rStyle w:val="Hyperlink"/>
            <w:noProof/>
          </w:rPr>
          <w:t xml:space="preserve"> in probability of reducing income support reliance (increased labour market attachment) in TtW compared to jobactive, by period after commencement</w:t>
        </w:r>
        <w:r>
          <w:rPr>
            <w:noProof/>
            <w:webHidden/>
          </w:rPr>
          <w:tab/>
        </w:r>
        <w:r>
          <w:rPr>
            <w:noProof/>
            <w:webHidden/>
          </w:rPr>
          <w:fldChar w:fldCharType="begin"/>
        </w:r>
        <w:r>
          <w:rPr>
            <w:noProof/>
            <w:webHidden/>
          </w:rPr>
          <w:instrText xml:space="preserve"> PAGEREF _Toc145877301 \h </w:instrText>
        </w:r>
        <w:r>
          <w:rPr>
            <w:noProof/>
            <w:webHidden/>
          </w:rPr>
        </w:r>
        <w:r>
          <w:rPr>
            <w:noProof/>
            <w:webHidden/>
          </w:rPr>
          <w:fldChar w:fldCharType="separate"/>
        </w:r>
        <w:r w:rsidR="00180E14">
          <w:rPr>
            <w:noProof/>
            <w:webHidden/>
          </w:rPr>
          <w:t>72</w:t>
        </w:r>
        <w:r>
          <w:rPr>
            <w:noProof/>
            <w:webHidden/>
          </w:rPr>
          <w:fldChar w:fldCharType="end"/>
        </w:r>
      </w:hyperlink>
    </w:p>
    <w:p w14:paraId="20752573" w14:textId="62849816"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2" w:history="1">
        <w:r w:rsidRPr="00C953F2">
          <w:rPr>
            <w:rStyle w:val="Hyperlink"/>
            <w:noProof/>
          </w:rPr>
          <w:t>Table 12: Average change</w:t>
        </w:r>
        <w:r w:rsidRPr="00C953F2">
          <w:rPr>
            <w:rStyle w:val="Hyperlink"/>
            <w:noProof/>
            <w:vertAlign w:val="superscript"/>
          </w:rPr>
          <w:t>1</w:t>
        </w:r>
        <w:r w:rsidRPr="00C953F2">
          <w:rPr>
            <w:rStyle w:val="Hyperlink"/>
            <w:noProof/>
          </w:rPr>
          <w:t xml:space="preserve"> in probability of TtW participants exiting income support</w:t>
        </w:r>
        <w:r w:rsidRPr="00C953F2">
          <w:rPr>
            <w:rStyle w:val="Hyperlink"/>
            <w:rFonts w:cstheme="minorHAnsi"/>
            <w:noProof/>
            <w:vertAlign w:val="superscript"/>
          </w:rPr>
          <w:t>2</w:t>
        </w:r>
        <w:r w:rsidRPr="00C953F2">
          <w:rPr>
            <w:rStyle w:val="Hyperlink"/>
            <w:noProof/>
          </w:rPr>
          <w:t xml:space="preserve"> compared to jobactive, by participant characteristic (percentage points).</w:t>
        </w:r>
        <w:r>
          <w:rPr>
            <w:noProof/>
            <w:webHidden/>
          </w:rPr>
          <w:tab/>
        </w:r>
        <w:r>
          <w:rPr>
            <w:noProof/>
            <w:webHidden/>
          </w:rPr>
          <w:fldChar w:fldCharType="begin"/>
        </w:r>
        <w:r>
          <w:rPr>
            <w:noProof/>
            <w:webHidden/>
          </w:rPr>
          <w:instrText xml:space="preserve"> PAGEREF _Toc145877302 \h </w:instrText>
        </w:r>
        <w:r>
          <w:rPr>
            <w:noProof/>
            <w:webHidden/>
          </w:rPr>
        </w:r>
        <w:r>
          <w:rPr>
            <w:noProof/>
            <w:webHidden/>
          </w:rPr>
          <w:fldChar w:fldCharType="separate"/>
        </w:r>
        <w:r w:rsidR="00180E14">
          <w:rPr>
            <w:noProof/>
            <w:webHidden/>
          </w:rPr>
          <w:t>75</w:t>
        </w:r>
        <w:r>
          <w:rPr>
            <w:noProof/>
            <w:webHidden/>
          </w:rPr>
          <w:fldChar w:fldCharType="end"/>
        </w:r>
      </w:hyperlink>
    </w:p>
    <w:p w14:paraId="492A7FDF" w14:textId="7E1A6C2F"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3" w:history="1">
        <w:r w:rsidRPr="00C953F2">
          <w:rPr>
            <w:rStyle w:val="Hyperlink"/>
            <w:noProof/>
          </w:rPr>
          <w:t>Table 13: Proportion of participants off income support at 36 months, by participant characteristic and program (%)</w:t>
        </w:r>
        <w:r>
          <w:rPr>
            <w:noProof/>
            <w:webHidden/>
          </w:rPr>
          <w:tab/>
        </w:r>
        <w:r>
          <w:rPr>
            <w:noProof/>
            <w:webHidden/>
          </w:rPr>
          <w:fldChar w:fldCharType="begin"/>
        </w:r>
        <w:r>
          <w:rPr>
            <w:noProof/>
            <w:webHidden/>
          </w:rPr>
          <w:instrText xml:space="preserve"> PAGEREF _Toc145877303 \h </w:instrText>
        </w:r>
        <w:r>
          <w:rPr>
            <w:noProof/>
            <w:webHidden/>
          </w:rPr>
        </w:r>
        <w:r>
          <w:rPr>
            <w:noProof/>
            <w:webHidden/>
          </w:rPr>
          <w:fldChar w:fldCharType="separate"/>
        </w:r>
        <w:r w:rsidR="00180E14">
          <w:rPr>
            <w:noProof/>
            <w:webHidden/>
          </w:rPr>
          <w:t>75</w:t>
        </w:r>
        <w:r>
          <w:rPr>
            <w:noProof/>
            <w:webHidden/>
          </w:rPr>
          <w:fldChar w:fldCharType="end"/>
        </w:r>
      </w:hyperlink>
    </w:p>
    <w:p w14:paraId="7E7878B5" w14:textId="00A22165"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4" w:history="1">
        <w:r w:rsidRPr="00C953F2">
          <w:rPr>
            <w:rStyle w:val="Hyperlink"/>
            <w:noProof/>
          </w:rPr>
          <w:t>Table 14: Numbers and percentages of participants who achieved any outcomes, and total number of outcomes achieved, MD12 and MD18 matched samples</w:t>
        </w:r>
        <w:r>
          <w:rPr>
            <w:noProof/>
            <w:webHidden/>
          </w:rPr>
          <w:tab/>
        </w:r>
        <w:r>
          <w:rPr>
            <w:noProof/>
            <w:webHidden/>
          </w:rPr>
          <w:fldChar w:fldCharType="begin"/>
        </w:r>
        <w:r>
          <w:rPr>
            <w:noProof/>
            <w:webHidden/>
          </w:rPr>
          <w:instrText xml:space="preserve"> PAGEREF _Toc145877304 \h </w:instrText>
        </w:r>
        <w:r>
          <w:rPr>
            <w:noProof/>
            <w:webHidden/>
          </w:rPr>
        </w:r>
        <w:r>
          <w:rPr>
            <w:noProof/>
            <w:webHidden/>
          </w:rPr>
          <w:fldChar w:fldCharType="separate"/>
        </w:r>
        <w:r w:rsidR="00180E14">
          <w:rPr>
            <w:noProof/>
            <w:webHidden/>
          </w:rPr>
          <w:t>82</w:t>
        </w:r>
        <w:r>
          <w:rPr>
            <w:noProof/>
            <w:webHidden/>
          </w:rPr>
          <w:fldChar w:fldCharType="end"/>
        </w:r>
      </w:hyperlink>
    </w:p>
    <w:p w14:paraId="6EBBAAC4" w14:textId="637AEE60"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5" w:history="1">
        <w:r w:rsidRPr="00C953F2">
          <w:rPr>
            <w:rStyle w:val="Hyperlink"/>
            <w:noProof/>
          </w:rPr>
          <w:t>Table 15: Legend for assessment of the conceptual fit of indicators and the quality of data used in Tables 16–18</w:t>
        </w:r>
        <w:r>
          <w:rPr>
            <w:noProof/>
            <w:webHidden/>
          </w:rPr>
          <w:tab/>
        </w:r>
        <w:r>
          <w:rPr>
            <w:noProof/>
            <w:webHidden/>
          </w:rPr>
          <w:fldChar w:fldCharType="begin"/>
        </w:r>
        <w:r>
          <w:rPr>
            <w:noProof/>
            <w:webHidden/>
          </w:rPr>
          <w:instrText xml:space="preserve"> PAGEREF _Toc145877305 \h </w:instrText>
        </w:r>
        <w:r>
          <w:rPr>
            <w:noProof/>
            <w:webHidden/>
          </w:rPr>
        </w:r>
        <w:r>
          <w:rPr>
            <w:noProof/>
            <w:webHidden/>
          </w:rPr>
          <w:fldChar w:fldCharType="separate"/>
        </w:r>
        <w:r w:rsidR="00180E14">
          <w:rPr>
            <w:noProof/>
            <w:webHidden/>
          </w:rPr>
          <w:t>93</w:t>
        </w:r>
        <w:r>
          <w:rPr>
            <w:noProof/>
            <w:webHidden/>
          </w:rPr>
          <w:fldChar w:fldCharType="end"/>
        </w:r>
      </w:hyperlink>
    </w:p>
    <w:p w14:paraId="30931A83" w14:textId="6FAB5714"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6" w:history="1">
        <w:r w:rsidRPr="00C953F2">
          <w:rPr>
            <w:rStyle w:val="Hyperlink"/>
            <w:noProof/>
          </w:rPr>
          <w:t>Table 16: Summary of expected benefits attributable to TtW, calculations and data sources</w:t>
        </w:r>
        <w:r>
          <w:rPr>
            <w:noProof/>
            <w:webHidden/>
          </w:rPr>
          <w:tab/>
        </w:r>
        <w:r>
          <w:rPr>
            <w:noProof/>
            <w:webHidden/>
          </w:rPr>
          <w:fldChar w:fldCharType="begin"/>
        </w:r>
        <w:r>
          <w:rPr>
            <w:noProof/>
            <w:webHidden/>
          </w:rPr>
          <w:instrText xml:space="preserve"> PAGEREF _Toc145877306 \h </w:instrText>
        </w:r>
        <w:r>
          <w:rPr>
            <w:noProof/>
            <w:webHidden/>
          </w:rPr>
        </w:r>
        <w:r>
          <w:rPr>
            <w:noProof/>
            <w:webHidden/>
          </w:rPr>
          <w:fldChar w:fldCharType="separate"/>
        </w:r>
        <w:r w:rsidR="00180E14">
          <w:rPr>
            <w:noProof/>
            <w:webHidden/>
          </w:rPr>
          <w:t>94</w:t>
        </w:r>
        <w:r>
          <w:rPr>
            <w:noProof/>
            <w:webHidden/>
          </w:rPr>
          <w:fldChar w:fldCharType="end"/>
        </w:r>
      </w:hyperlink>
    </w:p>
    <w:p w14:paraId="166CF06E" w14:textId="6476CBC1"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7" w:history="1">
        <w:r w:rsidRPr="00C953F2">
          <w:rPr>
            <w:rStyle w:val="Hyperlink"/>
            <w:noProof/>
          </w:rPr>
          <w:t>Table 17: Summary of additional benefits attributable to TtW, calculations and data sources</w:t>
        </w:r>
        <w:r>
          <w:rPr>
            <w:noProof/>
            <w:webHidden/>
          </w:rPr>
          <w:tab/>
        </w:r>
        <w:r>
          <w:rPr>
            <w:noProof/>
            <w:webHidden/>
          </w:rPr>
          <w:fldChar w:fldCharType="begin"/>
        </w:r>
        <w:r>
          <w:rPr>
            <w:noProof/>
            <w:webHidden/>
          </w:rPr>
          <w:instrText xml:space="preserve"> PAGEREF _Toc145877307 \h </w:instrText>
        </w:r>
        <w:r>
          <w:rPr>
            <w:noProof/>
            <w:webHidden/>
          </w:rPr>
        </w:r>
        <w:r>
          <w:rPr>
            <w:noProof/>
            <w:webHidden/>
          </w:rPr>
          <w:fldChar w:fldCharType="separate"/>
        </w:r>
        <w:r w:rsidR="00180E14">
          <w:rPr>
            <w:noProof/>
            <w:webHidden/>
          </w:rPr>
          <w:t>95</w:t>
        </w:r>
        <w:r>
          <w:rPr>
            <w:noProof/>
            <w:webHidden/>
          </w:rPr>
          <w:fldChar w:fldCharType="end"/>
        </w:r>
      </w:hyperlink>
    </w:p>
    <w:p w14:paraId="6C506175" w14:textId="3986565F"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8" w:history="1">
        <w:r w:rsidRPr="00C953F2">
          <w:rPr>
            <w:rStyle w:val="Hyperlink"/>
            <w:noProof/>
          </w:rPr>
          <w:t>Table 18: Summary of costs attributable to TtW, calculations and data sources</w:t>
        </w:r>
        <w:r>
          <w:rPr>
            <w:noProof/>
            <w:webHidden/>
          </w:rPr>
          <w:tab/>
        </w:r>
        <w:r>
          <w:rPr>
            <w:noProof/>
            <w:webHidden/>
          </w:rPr>
          <w:fldChar w:fldCharType="begin"/>
        </w:r>
        <w:r>
          <w:rPr>
            <w:noProof/>
            <w:webHidden/>
          </w:rPr>
          <w:instrText xml:space="preserve"> PAGEREF _Toc145877308 \h </w:instrText>
        </w:r>
        <w:r>
          <w:rPr>
            <w:noProof/>
            <w:webHidden/>
          </w:rPr>
        </w:r>
        <w:r>
          <w:rPr>
            <w:noProof/>
            <w:webHidden/>
          </w:rPr>
          <w:fldChar w:fldCharType="separate"/>
        </w:r>
        <w:r w:rsidR="00180E14">
          <w:rPr>
            <w:noProof/>
            <w:webHidden/>
          </w:rPr>
          <w:t>98</w:t>
        </w:r>
        <w:r>
          <w:rPr>
            <w:noProof/>
            <w:webHidden/>
          </w:rPr>
          <w:fldChar w:fldCharType="end"/>
        </w:r>
      </w:hyperlink>
    </w:p>
    <w:p w14:paraId="62B7B9DE" w14:textId="780AD672"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09" w:history="1">
        <w:r w:rsidRPr="00C953F2">
          <w:rPr>
            <w:rStyle w:val="Hyperlink"/>
            <w:noProof/>
          </w:rPr>
          <w:t>Table 19: Values ascribed to a one-point change in wellbeing (10-point scale)</w:t>
        </w:r>
        <w:r>
          <w:rPr>
            <w:noProof/>
            <w:webHidden/>
          </w:rPr>
          <w:tab/>
        </w:r>
        <w:r>
          <w:rPr>
            <w:noProof/>
            <w:webHidden/>
          </w:rPr>
          <w:fldChar w:fldCharType="begin"/>
        </w:r>
        <w:r>
          <w:rPr>
            <w:noProof/>
            <w:webHidden/>
          </w:rPr>
          <w:instrText xml:space="preserve"> PAGEREF _Toc145877309 \h </w:instrText>
        </w:r>
        <w:r>
          <w:rPr>
            <w:noProof/>
            <w:webHidden/>
          </w:rPr>
        </w:r>
        <w:r>
          <w:rPr>
            <w:noProof/>
            <w:webHidden/>
          </w:rPr>
          <w:fldChar w:fldCharType="separate"/>
        </w:r>
        <w:r w:rsidR="00180E14">
          <w:rPr>
            <w:noProof/>
            <w:webHidden/>
          </w:rPr>
          <w:t>103</w:t>
        </w:r>
        <w:r>
          <w:rPr>
            <w:noProof/>
            <w:webHidden/>
          </w:rPr>
          <w:fldChar w:fldCharType="end"/>
        </w:r>
      </w:hyperlink>
    </w:p>
    <w:p w14:paraId="3D6256EF" w14:textId="5676A8BB"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0" w:history="1">
        <w:r w:rsidRPr="00C953F2">
          <w:rPr>
            <w:rStyle w:val="Hyperlink"/>
            <w:noProof/>
          </w:rPr>
          <w:t>Table 20: Estimated value of improved wellbeing attributed to TtW, per person</w:t>
        </w:r>
        <w:r>
          <w:rPr>
            <w:noProof/>
            <w:webHidden/>
          </w:rPr>
          <w:tab/>
        </w:r>
        <w:r>
          <w:rPr>
            <w:noProof/>
            <w:webHidden/>
          </w:rPr>
          <w:fldChar w:fldCharType="begin"/>
        </w:r>
        <w:r>
          <w:rPr>
            <w:noProof/>
            <w:webHidden/>
          </w:rPr>
          <w:instrText xml:space="preserve"> PAGEREF _Toc145877310 \h </w:instrText>
        </w:r>
        <w:r>
          <w:rPr>
            <w:noProof/>
            <w:webHidden/>
          </w:rPr>
        </w:r>
        <w:r>
          <w:rPr>
            <w:noProof/>
            <w:webHidden/>
          </w:rPr>
          <w:fldChar w:fldCharType="separate"/>
        </w:r>
        <w:r w:rsidR="00180E14">
          <w:rPr>
            <w:noProof/>
            <w:webHidden/>
          </w:rPr>
          <w:t>103</w:t>
        </w:r>
        <w:r>
          <w:rPr>
            <w:noProof/>
            <w:webHidden/>
          </w:rPr>
          <w:fldChar w:fldCharType="end"/>
        </w:r>
      </w:hyperlink>
    </w:p>
    <w:p w14:paraId="00ADEE23" w14:textId="6123F385"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1" w:history="1">
        <w:r w:rsidRPr="00C953F2">
          <w:rPr>
            <w:rStyle w:val="Hyperlink"/>
            <w:noProof/>
          </w:rPr>
          <w:t>Table 21: Incarceration (number of individuals and episodes), by program</w:t>
        </w:r>
        <w:r>
          <w:rPr>
            <w:noProof/>
            <w:webHidden/>
          </w:rPr>
          <w:tab/>
        </w:r>
        <w:r>
          <w:rPr>
            <w:noProof/>
            <w:webHidden/>
          </w:rPr>
          <w:fldChar w:fldCharType="begin"/>
        </w:r>
        <w:r>
          <w:rPr>
            <w:noProof/>
            <w:webHidden/>
          </w:rPr>
          <w:instrText xml:space="preserve"> PAGEREF _Toc145877311 \h </w:instrText>
        </w:r>
        <w:r>
          <w:rPr>
            <w:noProof/>
            <w:webHidden/>
          </w:rPr>
        </w:r>
        <w:r>
          <w:rPr>
            <w:noProof/>
            <w:webHidden/>
          </w:rPr>
          <w:fldChar w:fldCharType="separate"/>
        </w:r>
        <w:r w:rsidR="00180E14">
          <w:rPr>
            <w:noProof/>
            <w:webHidden/>
          </w:rPr>
          <w:t>105</w:t>
        </w:r>
        <w:r>
          <w:rPr>
            <w:noProof/>
            <w:webHidden/>
          </w:rPr>
          <w:fldChar w:fldCharType="end"/>
        </w:r>
      </w:hyperlink>
    </w:p>
    <w:p w14:paraId="2B9569FE" w14:textId="730C8384"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2" w:history="1">
        <w:r w:rsidRPr="00C953F2">
          <w:rPr>
            <w:rStyle w:val="Hyperlink"/>
            <w:noProof/>
          </w:rPr>
          <w:t>Table 22: Estimated cost savings due to reduced incarceration attributed to TtW, per person</w:t>
        </w:r>
        <w:r>
          <w:rPr>
            <w:noProof/>
            <w:webHidden/>
          </w:rPr>
          <w:tab/>
        </w:r>
        <w:r>
          <w:rPr>
            <w:noProof/>
            <w:webHidden/>
          </w:rPr>
          <w:fldChar w:fldCharType="begin"/>
        </w:r>
        <w:r>
          <w:rPr>
            <w:noProof/>
            <w:webHidden/>
          </w:rPr>
          <w:instrText xml:space="preserve"> PAGEREF _Toc145877312 \h </w:instrText>
        </w:r>
        <w:r>
          <w:rPr>
            <w:noProof/>
            <w:webHidden/>
          </w:rPr>
        </w:r>
        <w:r>
          <w:rPr>
            <w:noProof/>
            <w:webHidden/>
          </w:rPr>
          <w:fldChar w:fldCharType="separate"/>
        </w:r>
        <w:r w:rsidR="00180E14">
          <w:rPr>
            <w:noProof/>
            <w:webHidden/>
          </w:rPr>
          <w:t>105</w:t>
        </w:r>
        <w:r>
          <w:rPr>
            <w:noProof/>
            <w:webHidden/>
          </w:rPr>
          <w:fldChar w:fldCharType="end"/>
        </w:r>
      </w:hyperlink>
    </w:p>
    <w:p w14:paraId="1E0FEE5F" w14:textId="204F8936"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3" w:history="1">
        <w:r w:rsidRPr="00C953F2">
          <w:rPr>
            <w:rStyle w:val="Hyperlink"/>
            <w:noProof/>
          </w:rPr>
          <w:t>Table 23: Cost : benefit ratio for the TtW program</w:t>
        </w:r>
        <w:r>
          <w:rPr>
            <w:noProof/>
            <w:webHidden/>
          </w:rPr>
          <w:tab/>
        </w:r>
        <w:r>
          <w:rPr>
            <w:noProof/>
            <w:webHidden/>
          </w:rPr>
          <w:fldChar w:fldCharType="begin"/>
        </w:r>
        <w:r>
          <w:rPr>
            <w:noProof/>
            <w:webHidden/>
          </w:rPr>
          <w:instrText xml:space="preserve"> PAGEREF _Toc145877313 \h </w:instrText>
        </w:r>
        <w:r>
          <w:rPr>
            <w:noProof/>
            <w:webHidden/>
          </w:rPr>
        </w:r>
        <w:r>
          <w:rPr>
            <w:noProof/>
            <w:webHidden/>
          </w:rPr>
          <w:fldChar w:fldCharType="separate"/>
        </w:r>
        <w:r w:rsidR="00180E14">
          <w:rPr>
            <w:noProof/>
            <w:webHidden/>
          </w:rPr>
          <w:t>107</w:t>
        </w:r>
        <w:r>
          <w:rPr>
            <w:noProof/>
            <w:webHidden/>
          </w:rPr>
          <w:fldChar w:fldCharType="end"/>
        </w:r>
      </w:hyperlink>
    </w:p>
    <w:p w14:paraId="64388139" w14:textId="584038E5"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4" w:history="1">
        <w:r w:rsidRPr="00C953F2">
          <w:rPr>
            <w:rStyle w:val="Hyperlink"/>
            <w:noProof/>
          </w:rPr>
          <w:t>Table 24: Demographic characteristics of TtW inflow population and matched TtW and jobactive samples at commencement (1 April 2016 to 31 March 2017)</w:t>
        </w:r>
        <w:r>
          <w:rPr>
            <w:noProof/>
            <w:webHidden/>
          </w:rPr>
          <w:tab/>
        </w:r>
        <w:r>
          <w:rPr>
            <w:noProof/>
            <w:webHidden/>
          </w:rPr>
          <w:fldChar w:fldCharType="begin"/>
        </w:r>
        <w:r>
          <w:rPr>
            <w:noProof/>
            <w:webHidden/>
          </w:rPr>
          <w:instrText xml:space="preserve"> PAGEREF _Toc145877314 \h </w:instrText>
        </w:r>
        <w:r>
          <w:rPr>
            <w:noProof/>
            <w:webHidden/>
          </w:rPr>
        </w:r>
        <w:r>
          <w:rPr>
            <w:noProof/>
            <w:webHidden/>
          </w:rPr>
          <w:fldChar w:fldCharType="separate"/>
        </w:r>
        <w:r w:rsidR="00180E14">
          <w:rPr>
            <w:noProof/>
            <w:webHidden/>
          </w:rPr>
          <w:t>132</w:t>
        </w:r>
        <w:r>
          <w:rPr>
            <w:noProof/>
            <w:webHidden/>
          </w:rPr>
          <w:fldChar w:fldCharType="end"/>
        </w:r>
      </w:hyperlink>
    </w:p>
    <w:p w14:paraId="66C24D92" w14:textId="784AF095"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5" w:history="1">
        <w:r w:rsidRPr="00C953F2">
          <w:rPr>
            <w:rStyle w:val="Hyperlink"/>
            <w:noProof/>
          </w:rPr>
          <w:t xml:space="preserve">Table 25: Income support episodes per participant, as at 48 months </w:t>
        </w:r>
        <w:r w:rsidRPr="000052A9">
          <w:rPr>
            <w:rStyle w:val="Hyperlink"/>
            <w:noProof/>
          </w:rPr>
          <w:t>post-commencement</w:t>
        </w:r>
        <w:r>
          <w:rPr>
            <w:noProof/>
            <w:webHidden/>
          </w:rPr>
          <w:tab/>
        </w:r>
        <w:r>
          <w:rPr>
            <w:noProof/>
            <w:webHidden/>
          </w:rPr>
          <w:fldChar w:fldCharType="begin"/>
        </w:r>
        <w:r>
          <w:rPr>
            <w:noProof/>
            <w:webHidden/>
          </w:rPr>
          <w:instrText xml:space="preserve"> PAGEREF _Toc145877315 \h </w:instrText>
        </w:r>
        <w:r>
          <w:rPr>
            <w:noProof/>
            <w:webHidden/>
          </w:rPr>
        </w:r>
        <w:r>
          <w:rPr>
            <w:noProof/>
            <w:webHidden/>
          </w:rPr>
          <w:fldChar w:fldCharType="separate"/>
        </w:r>
        <w:r w:rsidR="00180E14">
          <w:rPr>
            <w:noProof/>
            <w:webHidden/>
          </w:rPr>
          <w:t>136</w:t>
        </w:r>
        <w:r>
          <w:rPr>
            <w:noProof/>
            <w:webHidden/>
          </w:rPr>
          <w:fldChar w:fldCharType="end"/>
        </w:r>
      </w:hyperlink>
    </w:p>
    <w:p w14:paraId="4726C4BD" w14:textId="0A9BAC25"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6" w:history="1">
        <w:r w:rsidRPr="00C953F2">
          <w:rPr>
            <w:rStyle w:val="Hyperlink"/>
            <w:noProof/>
          </w:rPr>
          <w:t>Table 26: Timing of impact of COVID-19 on participants included in the long-term-impact analysis</w:t>
        </w:r>
        <w:r>
          <w:rPr>
            <w:noProof/>
            <w:webHidden/>
          </w:rPr>
          <w:tab/>
        </w:r>
        <w:r>
          <w:rPr>
            <w:noProof/>
            <w:webHidden/>
          </w:rPr>
          <w:fldChar w:fldCharType="begin"/>
        </w:r>
        <w:r>
          <w:rPr>
            <w:noProof/>
            <w:webHidden/>
          </w:rPr>
          <w:instrText xml:space="preserve"> PAGEREF _Toc145877316 \h </w:instrText>
        </w:r>
        <w:r>
          <w:rPr>
            <w:noProof/>
            <w:webHidden/>
          </w:rPr>
        </w:r>
        <w:r>
          <w:rPr>
            <w:noProof/>
            <w:webHidden/>
          </w:rPr>
          <w:fldChar w:fldCharType="separate"/>
        </w:r>
        <w:r w:rsidR="00180E14">
          <w:rPr>
            <w:noProof/>
            <w:webHidden/>
          </w:rPr>
          <w:t>139</w:t>
        </w:r>
        <w:r>
          <w:rPr>
            <w:noProof/>
            <w:webHidden/>
          </w:rPr>
          <w:fldChar w:fldCharType="end"/>
        </w:r>
      </w:hyperlink>
    </w:p>
    <w:p w14:paraId="35565350" w14:textId="3D5A0E1C"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7" w:history="1">
        <w:r w:rsidRPr="00C953F2">
          <w:rPr>
            <w:rStyle w:val="Hyperlink"/>
            <w:noProof/>
          </w:rPr>
          <w:t>Table 27: Demographic characteristics of before and after policy change inflow populations and matched samples</w:t>
        </w:r>
        <w:r>
          <w:rPr>
            <w:noProof/>
            <w:webHidden/>
          </w:rPr>
          <w:tab/>
        </w:r>
        <w:r>
          <w:rPr>
            <w:noProof/>
            <w:webHidden/>
          </w:rPr>
          <w:fldChar w:fldCharType="begin"/>
        </w:r>
        <w:r>
          <w:rPr>
            <w:noProof/>
            <w:webHidden/>
          </w:rPr>
          <w:instrText xml:space="preserve"> PAGEREF _Toc145877317 \h </w:instrText>
        </w:r>
        <w:r>
          <w:rPr>
            <w:noProof/>
            <w:webHidden/>
          </w:rPr>
        </w:r>
        <w:r>
          <w:rPr>
            <w:noProof/>
            <w:webHidden/>
          </w:rPr>
          <w:fldChar w:fldCharType="separate"/>
        </w:r>
        <w:r w:rsidR="00180E14">
          <w:rPr>
            <w:noProof/>
            <w:webHidden/>
          </w:rPr>
          <w:t>143</w:t>
        </w:r>
        <w:r>
          <w:rPr>
            <w:noProof/>
            <w:webHidden/>
          </w:rPr>
          <w:fldChar w:fldCharType="end"/>
        </w:r>
      </w:hyperlink>
    </w:p>
    <w:p w14:paraId="4BC6F6EF" w14:textId="137BCE78"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8" w:history="1">
        <w:r w:rsidRPr="00C953F2">
          <w:rPr>
            <w:rStyle w:val="Hyperlink"/>
            <w:noProof/>
          </w:rPr>
          <w:t>Table 28: Values ascribed to a one-point change in wellbeing (10-point scale)</w:t>
        </w:r>
        <w:r>
          <w:rPr>
            <w:noProof/>
            <w:webHidden/>
          </w:rPr>
          <w:tab/>
        </w:r>
        <w:r>
          <w:rPr>
            <w:noProof/>
            <w:webHidden/>
          </w:rPr>
          <w:fldChar w:fldCharType="begin"/>
        </w:r>
        <w:r>
          <w:rPr>
            <w:noProof/>
            <w:webHidden/>
          </w:rPr>
          <w:instrText xml:space="preserve"> PAGEREF _Toc145877318 \h </w:instrText>
        </w:r>
        <w:r>
          <w:rPr>
            <w:noProof/>
            <w:webHidden/>
          </w:rPr>
        </w:r>
        <w:r>
          <w:rPr>
            <w:noProof/>
            <w:webHidden/>
          </w:rPr>
          <w:fldChar w:fldCharType="separate"/>
        </w:r>
        <w:r w:rsidR="00180E14">
          <w:rPr>
            <w:noProof/>
            <w:webHidden/>
          </w:rPr>
          <w:t>151</w:t>
        </w:r>
        <w:r>
          <w:rPr>
            <w:noProof/>
            <w:webHidden/>
          </w:rPr>
          <w:fldChar w:fldCharType="end"/>
        </w:r>
      </w:hyperlink>
    </w:p>
    <w:p w14:paraId="2AFC049E" w14:textId="6B14B734"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19" w:history="1">
        <w:r w:rsidRPr="00C953F2">
          <w:rPr>
            <w:rStyle w:val="Hyperlink"/>
            <w:noProof/>
          </w:rPr>
          <w:t>Table 29: Estimated value of improved wellbeing attributed to TtW, per person</w:t>
        </w:r>
        <w:r>
          <w:rPr>
            <w:noProof/>
            <w:webHidden/>
          </w:rPr>
          <w:tab/>
        </w:r>
        <w:r>
          <w:rPr>
            <w:noProof/>
            <w:webHidden/>
          </w:rPr>
          <w:fldChar w:fldCharType="begin"/>
        </w:r>
        <w:r>
          <w:rPr>
            <w:noProof/>
            <w:webHidden/>
          </w:rPr>
          <w:instrText xml:space="preserve"> PAGEREF _Toc145877319 \h </w:instrText>
        </w:r>
        <w:r>
          <w:rPr>
            <w:noProof/>
            <w:webHidden/>
          </w:rPr>
        </w:r>
        <w:r>
          <w:rPr>
            <w:noProof/>
            <w:webHidden/>
          </w:rPr>
          <w:fldChar w:fldCharType="separate"/>
        </w:r>
        <w:r w:rsidR="00180E14">
          <w:rPr>
            <w:noProof/>
            <w:webHidden/>
          </w:rPr>
          <w:t>151</w:t>
        </w:r>
        <w:r>
          <w:rPr>
            <w:noProof/>
            <w:webHidden/>
          </w:rPr>
          <w:fldChar w:fldCharType="end"/>
        </w:r>
      </w:hyperlink>
    </w:p>
    <w:p w14:paraId="2149FA6A" w14:textId="6F809411"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0" w:history="1">
        <w:r w:rsidRPr="00C953F2">
          <w:rPr>
            <w:rStyle w:val="Hyperlink"/>
            <w:noProof/>
          </w:rPr>
          <w:t>Table 30: Incarceration (number of individuals and episodes)</w:t>
        </w:r>
        <w:r>
          <w:rPr>
            <w:noProof/>
            <w:webHidden/>
          </w:rPr>
          <w:tab/>
        </w:r>
        <w:r>
          <w:rPr>
            <w:noProof/>
            <w:webHidden/>
          </w:rPr>
          <w:fldChar w:fldCharType="begin"/>
        </w:r>
        <w:r>
          <w:rPr>
            <w:noProof/>
            <w:webHidden/>
          </w:rPr>
          <w:instrText xml:space="preserve"> PAGEREF _Toc145877320 \h </w:instrText>
        </w:r>
        <w:r>
          <w:rPr>
            <w:noProof/>
            <w:webHidden/>
          </w:rPr>
        </w:r>
        <w:r>
          <w:rPr>
            <w:noProof/>
            <w:webHidden/>
          </w:rPr>
          <w:fldChar w:fldCharType="separate"/>
        </w:r>
        <w:r w:rsidR="00180E14">
          <w:rPr>
            <w:noProof/>
            <w:webHidden/>
          </w:rPr>
          <w:t>152</w:t>
        </w:r>
        <w:r>
          <w:rPr>
            <w:noProof/>
            <w:webHidden/>
          </w:rPr>
          <w:fldChar w:fldCharType="end"/>
        </w:r>
      </w:hyperlink>
    </w:p>
    <w:p w14:paraId="2E188642" w14:textId="20FB6ADB"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1" w:history="1">
        <w:r w:rsidRPr="00C953F2">
          <w:rPr>
            <w:rStyle w:val="Hyperlink"/>
            <w:noProof/>
          </w:rPr>
          <w:t>Table 31: Community-based supervision and incarceration: cost per person per day/night</w:t>
        </w:r>
        <w:r>
          <w:rPr>
            <w:noProof/>
            <w:webHidden/>
          </w:rPr>
          <w:tab/>
        </w:r>
        <w:r>
          <w:rPr>
            <w:noProof/>
            <w:webHidden/>
          </w:rPr>
          <w:fldChar w:fldCharType="begin"/>
        </w:r>
        <w:r>
          <w:rPr>
            <w:noProof/>
            <w:webHidden/>
          </w:rPr>
          <w:instrText xml:space="preserve"> PAGEREF _Toc145877321 \h </w:instrText>
        </w:r>
        <w:r>
          <w:rPr>
            <w:noProof/>
            <w:webHidden/>
          </w:rPr>
        </w:r>
        <w:r>
          <w:rPr>
            <w:noProof/>
            <w:webHidden/>
          </w:rPr>
          <w:fldChar w:fldCharType="separate"/>
        </w:r>
        <w:r w:rsidR="00180E14">
          <w:rPr>
            <w:noProof/>
            <w:webHidden/>
          </w:rPr>
          <w:t>153</w:t>
        </w:r>
        <w:r>
          <w:rPr>
            <w:noProof/>
            <w:webHidden/>
          </w:rPr>
          <w:fldChar w:fldCharType="end"/>
        </w:r>
      </w:hyperlink>
    </w:p>
    <w:p w14:paraId="7DE34BF8" w14:textId="57FD3369"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2" w:history="1">
        <w:r w:rsidRPr="00C953F2">
          <w:rPr>
            <w:rStyle w:val="Hyperlink"/>
            <w:noProof/>
          </w:rPr>
          <w:t>Table 32: Estimated cost savings due to reduced incarceration attributed to TtW, per person</w:t>
        </w:r>
        <w:r>
          <w:rPr>
            <w:noProof/>
            <w:webHidden/>
          </w:rPr>
          <w:tab/>
        </w:r>
        <w:r>
          <w:rPr>
            <w:noProof/>
            <w:webHidden/>
          </w:rPr>
          <w:fldChar w:fldCharType="begin"/>
        </w:r>
        <w:r>
          <w:rPr>
            <w:noProof/>
            <w:webHidden/>
          </w:rPr>
          <w:instrText xml:space="preserve"> PAGEREF _Toc145877322 \h </w:instrText>
        </w:r>
        <w:r>
          <w:rPr>
            <w:noProof/>
            <w:webHidden/>
          </w:rPr>
        </w:r>
        <w:r>
          <w:rPr>
            <w:noProof/>
            <w:webHidden/>
          </w:rPr>
          <w:fldChar w:fldCharType="separate"/>
        </w:r>
        <w:r w:rsidR="00180E14">
          <w:rPr>
            <w:noProof/>
            <w:webHidden/>
          </w:rPr>
          <w:t>154</w:t>
        </w:r>
        <w:r>
          <w:rPr>
            <w:noProof/>
            <w:webHidden/>
          </w:rPr>
          <w:fldChar w:fldCharType="end"/>
        </w:r>
      </w:hyperlink>
    </w:p>
    <w:p w14:paraId="13E65990" w14:textId="45EA0CEA"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3" w:history="1">
        <w:r w:rsidRPr="00C953F2">
          <w:rPr>
            <w:rStyle w:val="Hyperlink"/>
            <w:noProof/>
          </w:rPr>
          <w:t>Table 33: Average additional income support payments per participant associated with lock-in effect of TtW</w:t>
        </w:r>
        <w:r>
          <w:rPr>
            <w:noProof/>
            <w:webHidden/>
          </w:rPr>
          <w:tab/>
        </w:r>
        <w:r>
          <w:rPr>
            <w:noProof/>
            <w:webHidden/>
          </w:rPr>
          <w:fldChar w:fldCharType="begin"/>
        </w:r>
        <w:r>
          <w:rPr>
            <w:noProof/>
            <w:webHidden/>
          </w:rPr>
          <w:instrText xml:space="preserve"> PAGEREF _Toc145877323 \h </w:instrText>
        </w:r>
        <w:r>
          <w:rPr>
            <w:noProof/>
            <w:webHidden/>
          </w:rPr>
        </w:r>
        <w:r>
          <w:rPr>
            <w:noProof/>
            <w:webHidden/>
          </w:rPr>
          <w:fldChar w:fldCharType="separate"/>
        </w:r>
        <w:r w:rsidR="00180E14">
          <w:rPr>
            <w:noProof/>
            <w:webHidden/>
          </w:rPr>
          <w:t>157</w:t>
        </w:r>
        <w:r>
          <w:rPr>
            <w:noProof/>
            <w:webHidden/>
          </w:rPr>
          <w:fldChar w:fldCharType="end"/>
        </w:r>
      </w:hyperlink>
    </w:p>
    <w:p w14:paraId="0706B585" w14:textId="3CA5DC5B"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4" w:history="1">
        <w:r w:rsidRPr="00C953F2">
          <w:rPr>
            <w:rStyle w:val="Hyperlink"/>
            <w:noProof/>
          </w:rPr>
          <w:t>Table 34: Benefit : cost ratio for the TtW program</w:t>
        </w:r>
        <w:r>
          <w:rPr>
            <w:noProof/>
            <w:webHidden/>
          </w:rPr>
          <w:tab/>
        </w:r>
        <w:r>
          <w:rPr>
            <w:noProof/>
            <w:webHidden/>
          </w:rPr>
          <w:fldChar w:fldCharType="begin"/>
        </w:r>
        <w:r>
          <w:rPr>
            <w:noProof/>
            <w:webHidden/>
          </w:rPr>
          <w:instrText xml:space="preserve"> PAGEREF _Toc145877324 \h </w:instrText>
        </w:r>
        <w:r>
          <w:rPr>
            <w:noProof/>
            <w:webHidden/>
          </w:rPr>
        </w:r>
        <w:r>
          <w:rPr>
            <w:noProof/>
            <w:webHidden/>
          </w:rPr>
          <w:fldChar w:fldCharType="separate"/>
        </w:r>
        <w:r w:rsidR="00180E14">
          <w:rPr>
            <w:noProof/>
            <w:webHidden/>
          </w:rPr>
          <w:t>158</w:t>
        </w:r>
        <w:r>
          <w:rPr>
            <w:noProof/>
            <w:webHidden/>
          </w:rPr>
          <w:fldChar w:fldCharType="end"/>
        </w:r>
      </w:hyperlink>
    </w:p>
    <w:p w14:paraId="276E5861" w14:textId="1920E29E"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5" w:history="1">
        <w:r w:rsidRPr="00C953F2">
          <w:rPr>
            <w:rStyle w:val="Hyperlink"/>
            <w:noProof/>
          </w:rPr>
          <w:t>Table 35: Sensitivity analysis of the cost : benefit ratio for TtW</w:t>
        </w:r>
        <w:r>
          <w:rPr>
            <w:noProof/>
            <w:webHidden/>
          </w:rPr>
          <w:tab/>
        </w:r>
        <w:r>
          <w:rPr>
            <w:noProof/>
            <w:webHidden/>
          </w:rPr>
          <w:fldChar w:fldCharType="begin"/>
        </w:r>
        <w:r>
          <w:rPr>
            <w:noProof/>
            <w:webHidden/>
          </w:rPr>
          <w:instrText xml:space="preserve"> PAGEREF _Toc145877325 \h </w:instrText>
        </w:r>
        <w:r>
          <w:rPr>
            <w:noProof/>
            <w:webHidden/>
          </w:rPr>
        </w:r>
        <w:r>
          <w:rPr>
            <w:noProof/>
            <w:webHidden/>
          </w:rPr>
          <w:fldChar w:fldCharType="separate"/>
        </w:r>
        <w:r w:rsidR="00180E14">
          <w:rPr>
            <w:noProof/>
            <w:webHidden/>
          </w:rPr>
          <w:t>159</w:t>
        </w:r>
        <w:r>
          <w:rPr>
            <w:noProof/>
            <w:webHidden/>
          </w:rPr>
          <w:fldChar w:fldCharType="end"/>
        </w:r>
      </w:hyperlink>
    </w:p>
    <w:p w14:paraId="4F414965" w14:textId="7C735F00"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6" w:history="1">
        <w:r w:rsidRPr="00C953F2">
          <w:rPr>
            <w:rStyle w:val="Hyperlink"/>
            <w:noProof/>
          </w:rPr>
          <w:t>Table 36: Explanatory variables used in impact analyses</w:t>
        </w:r>
        <w:r>
          <w:rPr>
            <w:noProof/>
            <w:webHidden/>
          </w:rPr>
          <w:tab/>
        </w:r>
        <w:r>
          <w:rPr>
            <w:noProof/>
            <w:webHidden/>
          </w:rPr>
          <w:fldChar w:fldCharType="begin"/>
        </w:r>
        <w:r>
          <w:rPr>
            <w:noProof/>
            <w:webHidden/>
          </w:rPr>
          <w:instrText xml:space="preserve"> PAGEREF _Toc145877326 \h </w:instrText>
        </w:r>
        <w:r>
          <w:rPr>
            <w:noProof/>
            <w:webHidden/>
          </w:rPr>
        </w:r>
        <w:r>
          <w:rPr>
            <w:noProof/>
            <w:webHidden/>
          </w:rPr>
          <w:fldChar w:fldCharType="separate"/>
        </w:r>
        <w:r w:rsidR="00180E14">
          <w:rPr>
            <w:noProof/>
            <w:webHidden/>
          </w:rPr>
          <w:t>160</w:t>
        </w:r>
        <w:r>
          <w:rPr>
            <w:noProof/>
            <w:webHidden/>
          </w:rPr>
          <w:fldChar w:fldCharType="end"/>
        </w:r>
      </w:hyperlink>
    </w:p>
    <w:p w14:paraId="16A97E76" w14:textId="2304825D"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7" w:history="1">
        <w:r w:rsidRPr="00C953F2">
          <w:rPr>
            <w:rStyle w:val="Hyperlink"/>
            <w:noProof/>
          </w:rPr>
          <w:t>Table 37: Logistic regression model – impact of TtW on probability of exiting income support at 6 months after commencement</w:t>
        </w:r>
        <w:r>
          <w:rPr>
            <w:noProof/>
            <w:webHidden/>
          </w:rPr>
          <w:tab/>
        </w:r>
        <w:r>
          <w:rPr>
            <w:noProof/>
            <w:webHidden/>
          </w:rPr>
          <w:fldChar w:fldCharType="begin"/>
        </w:r>
        <w:r>
          <w:rPr>
            <w:noProof/>
            <w:webHidden/>
          </w:rPr>
          <w:instrText xml:space="preserve"> PAGEREF _Toc145877327 \h </w:instrText>
        </w:r>
        <w:r>
          <w:rPr>
            <w:noProof/>
            <w:webHidden/>
          </w:rPr>
        </w:r>
        <w:r>
          <w:rPr>
            <w:noProof/>
            <w:webHidden/>
          </w:rPr>
          <w:fldChar w:fldCharType="separate"/>
        </w:r>
        <w:r w:rsidR="00180E14">
          <w:rPr>
            <w:noProof/>
            <w:webHidden/>
          </w:rPr>
          <w:t>162</w:t>
        </w:r>
        <w:r>
          <w:rPr>
            <w:noProof/>
            <w:webHidden/>
          </w:rPr>
          <w:fldChar w:fldCharType="end"/>
        </w:r>
      </w:hyperlink>
    </w:p>
    <w:p w14:paraId="7F653560" w14:textId="3C84F674"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8" w:history="1">
        <w:r w:rsidRPr="00C953F2">
          <w:rPr>
            <w:rStyle w:val="Hyperlink"/>
            <w:noProof/>
          </w:rPr>
          <w:t>Table 38: Logistic regression model – impact of TtW on probability of exiting income support one to 12 months after commencement</w:t>
        </w:r>
        <w:r>
          <w:rPr>
            <w:noProof/>
            <w:webHidden/>
          </w:rPr>
          <w:tab/>
        </w:r>
        <w:r>
          <w:rPr>
            <w:noProof/>
            <w:webHidden/>
          </w:rPr>
          <w:fldChar w:fldCharType="begin"/>
        </w:r>
        <w:r>
          <w:rPr>
            <w:noProof/>
            <w:webHidden/>
          </w:rPr>
          <w:instrText xml:space="preserve"> PAGEREF _Toc145877328 \h </w:instrText>
        </w:r>
        <w:r>
          <w:rPr>
            <w:noProof/>
            <w:webHidden/>
          </w:rPr>
        </w:r>
        <w:r>
          <w:rPr>
            <w:noProof/>
            <w:webHidden/>
          </w:rPr>
          <w:fldChar w:fldCharType="separate"/>
        </w:r>
        <w:r w:rsidR="00180E14">
          <w:rPr>
            <w:noProof/>
            <w:webHidden/>
          </w:rPr>
          <w:t>162</w:t>
        </w:r>
        <w:r>
          <w:rPr>
            <w:noProof/>
            <w:webHidden/>
          </w:rPr>
          <w:fldChar w:fldCharType="end"/>
        </w:r>
      </w:hyperlink>
    </w:p>
    <w:p w14:paraId="68BDB323" w14:textId="2BCA6EA6"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29" w:history="1">
        <w:r w:rsidRPr="00C953F2">
          <w:rPr>
            <w:rStyle w:val="Hyperlink"/>
            <w:noProof/>
          </w:rPr>
          <w:t>Table 39: Logistic regression model – impact of TtW on probability of exiting income support at 24 months after commencement</w:t>
        </w:r>
        <w:r>
          <w:rPr>
            <w:noProof/>
            <w:webHidden/>
          </w:rPr>
          <w:tab/>
        </w:r>
        <w:r>
          <w:rPr>
            <w:noProof/>
            <w:webHidden/>
          </w:rPr>
          <w:fldChar w:fldCharType="begin"/>
        </w:r>
        <w:r>
          <w:rPr>
            <w:noProof/>
            <w:webHidden/>
          </w:rPr>
          <w:instrText xml:space="preserve"> PAGEREF _Toc145877329 \h </w:instrText>
        </w:r>
        <w:r>
          <w:rPr>
            <w:noProof/>
            <w:webHidden/>
          </w:rPr>
        </w:r>
        <w:r>
          <w:rPr>
            <w:noProof/>
            <w:webHidden/>
          </w:rPr>
          <w:fldChar w:fldCharType="separate"/>
        </w:r>
        <w:r w:rsidR="00180E14">
          <w:rPr>
            <w:noProof/>
            <w:webHidden/>
          </w:rPr>
          <w:t>163</w:t>
        </w:r>
        <w:r>
          <w:rPr>
            <w:noProof/>
            <w:webHidden/>
          </w:rPr>
          <w:fldChar w:fldCharType="end"/>
        </w:r>
      </w:hyperlink>
    </w:p>
    <w:p w14:paraId="508E2AF1" w14:textId="74EBB6C1"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0" w:history="1">
        <w:r w:rsidRPr="00C953F2">
          <w:rPr>
            <w:rStyle w:val="Hyperlink"/>
            <w:noProof/>
          </w:rPr>
          <w:t>Table 40: Logistic regression model – impact of TtW on probability of exiting income support at 36 months after commencement</w:t>
        </w:r>
        <w:r>
          <w:rPr>
            <w:noProof/>
            <w:webHidden/>
          </w:rPr>
          <w:tab/>
        </w:r>
        <w:r>
          <w:rPr>
            <w:noProof/>
            <w:webHidden/>
          </w:rPr>
          <w:fldChar w:fldCharType="begin"/>
        </w:r>
        <w:r>
          <w:rPr>
            <w:noProof/>
            <w:webHidden/>
          </w:rPr>
          <w:instrText xml:space="preserve"> PAGEREF _Toc145877330 \h </w:instrText>
        </w:r>
        <w:r>
          <w:rPr>
            <w:noProof/>
            <w:webHidden/>
          </w:rPr>
        </w:r>
        <w:r>
          <w:rPr>
            <w:noProof/>
            <w:webHidden/>
          </w:rPr>
          <w:fldChar w:fldCharType="separate"/>
        </w:r>
        <w:r w:rsidR="00180E14">
          <w:rPr>
            <w:noProof/>
            <w:webHidden/>
          </w:rPr>
          <w:t>164</w:t>
        </w:r>
        <w:r>
          <w:rPr>
            <w:noProof/>
            <w:webHidden/>
          </w:rPr>
          <w:fldChar w:fldCharType="end"/>
        </w:r>
      </w:hyperlink>
    </w:p>
    <w:p w14:paraId="79124899" w14:textId="4C5EB31B"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1" w:history="1">
        <w:r w:rsidRPr="00C953F2">
          <w:rPr>
            <w:rStyle w:val="Hyperlink"/>
            <w:noProof/>
          </w:rPr>
          <w:t>Table 41: Logistic regression model – impact of TtW on probability of exiting income support at 48 months after commencement</w:t>
        </w:r>
        <w:r>
          <w:rPr>
            <w:noProof/>
            <w:webHidden/>
          </w:rPr>
          <w:tab/>
        </w:r>
        <w:r>
          <w:rPr>
            <w:noProof/>
            <w:webHidden/>
          </w:rPr>
          <w:fldChar w:fldCharType="begin"/>
        </w:r>
        <w:r>
          <w:rPr>
            <w:noProof/>
            <w:webHidden/>
          </w:rPr>
          <w:instrText xml:space="preserve"> PAGEREF _Toc145877331 \h </w:instrText>
        </w:r>
        <w:r>
          <w:rPr>
            <w:noProof/>
            <w:webHidden/>
          </w:rPr>
        </w:r>
        <w:r>
          <w:rPr>
            <w:noProof/>
            <w:webHidden/>
          </w:rPr>
          <w:fldChar w:fldCharType="separate"/>
        </w:r>
        <w:r w:rsidR="00180E14">
          <w:rPr>
            <w:noProof/>
            <w:webHidden/>
          </w:rPr>
          <w:t>164</w:t>
        </w:r>
        <w:r>
          <w:rPr>
            <w:noProof/>
            <w:webHidden/>
          </w:rPr>
          <w:fldChar w:fldCharType="end"/>
        </w:r>
      </w:hyperlink>
    </w:p>
    <w:p w14:paraId="4D7808BF" w14:textId="61ED7546"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2" w:history="1">
        <w:r w:rsidRPr="00C953F2">
          <w:rPr>
            <w:rStyle w:val="Hyperlink"/>
            <w:noProof/>
          </w:rPr>
          <w:t>Table 42: Logistic regression model – impact of TtW on probability of reducing reliance on income support (labour market attachment) at 6 months after commencement</w:t>
        </w:r>
        <w:r>
          <w:rPr>
            <w:noProof/>
            <w:webHidden/>
          </w:rPr>
          <w:tab/>
        </w:r>
        <w:r>
          <w:rPr>
            <w:noProof/>
            <w:webHidden/>
          </w:rPr>
          <w:fldChar w:fldCharType="begin"/>
        </w:r>
        <w:r>
          <w:rPr>
            <w:noProof/>
            <w:webHidden/>
          </w:rPr>
          <w:instrText xml:space="preserve"> PAGEREF _Toc145877332 \h </w:instrText>
        </w:r>
        <w:r>
          <w:rPr>
            <w:noProof/>
            <w:webHidden/>
          </w:rPr>
        </w:r>
        <w:r>
          <w:rPr>
            <w:noProof/>
            <w:webHidden/>
          </w:rPr>
          <w:fldChar w:fldCharType="separate"/>
        </w:r>
        <w:r w:rsidR="00180E14">
          <w:rPr>
            <w:noProof/>
            <w:webHidden/>
          </w:rPr>
          <w:t>165</w:t>
        </w:r>
        <w:r>
          <w:rPr>
            <w:noProof/>
            <w:webHidden/>
          </w:rPr>
          <w:fldChar w:fldCharType="end"/>
        </w:r>
      </w:hyperlink>
    </w:p>
    <w:p w14:paraId="10F46846" w14:textId="6A026192"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3" w:history="1">
        <w:r w:rsidRPr="00C953F2">
          <w:rPr>
            <w:rStyle w:val="Hyperlink"/>
            <w:noProof/>
          </w:rPr>
          <w:t>Table 43: Logistic regression model – impact of TtW on probability of reducing reliance on income support (labour market attachment) at 12 months after commencement</w:t>
        </w:r>
        <w:r>
          <w:rPr>
            <w:noProof/>
            <w:webHidden/>
          </w:rPr>
          <w:tab/>
        </w:r>
        <w:r>
          <w:rPr>
            <w:noProof/>
            <w:webHidden/>
          </w:rPr>
          <w:fldChar w:fldCharType="begin"/>
        </w:r>
        <w:r>
          <w:rPr>
            <w:noProof/>
            <w:webHidden/>
          </w:rPr>
          <w:instrText xml:space="preserve"> PAGEREF _Toc145877333 \h </w:instrText>
        </w:r>
        <w:r>
          <w:rPr>
            <w:noProof/>
            <w:webHidden/>
          </w:rPr>
        </w:r>
        <w:r>
          <w:rPr>
            <w:noProof/>
            <w:webHidden/>
          </w:rPr>
          <w:fldChar w:fldCharType="separate"/>
        </w:r>
        <w:r w:rsidR="00180E14">
          <w:rPr>
            <w:noProof/>
            <w:webHidden/>
          </w:rPr>
          <w:t>166</w:t>
        </w:r>
        <w:r>
          <w:rPr>
            <w:noProof/>
            <w:webHidden/>
          </w:rPr>
          <w:fldChar w:fldCharType="end"/>
        </w:r>
      </w:hyperlink>
    </w:p>
    <w:p w14:paraId="0B50F397" w14:textId="7B78BDAF"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4" w:history="1">
        <w:r w:rsidRPr="00C953F2">
          <w:rPr>
            <w:rStyle w:val="Hyperlink"/>
            <w:noProof/>
          </w:rPr>
          <w:t>Table 44: Logistic regression model – impact of TtW on probability of reducing reliance on income support (labour market attachment) at 24 months after commencement</w:t>
        </w:r>
        <w:r>
          <w:rPr>
            <w:noProof/>
            <w:webHidden/>
          </w:rPr>
          <w:tab/>
        </w:r>
        <w:r>
          <w:rPr>
            <w:noProof/>
            <w:webHidden/>
          </w:rPr>
          <w:fldChar w:fldCharType="begin"/>
        </w:r>
        <w:r>
          <w:rPr>
            <w:noProof/>
            <w:webHidden/>
          </w:rPr>
          <w:instrText xml:space="preserve"> PAGEREF _Toc145877334 \h </w:instrText>
        </w:r>
        <w:r>
          <w:rPr>
            <w:noProof/>
            <w:webHidden/>
          </w:rPr>
        </w:r>
        <w:r>
          <w:rPr>
            <w:noProof/>
            <w:webHidden/>
          </w:rPr>
          <w:fldChar w:fldCharType="separate"/>
        </w:r>
        <w:r w:rsidR="00180E14">
          <w:rPr>
            <w:noProof/>
            <w:webHidden/>
          </w:rPr>
          <w:t>166</w:t>
        </w:r>
        <w:r>
          <w:rPr>
            <w:noProof/>
            <w:webHidden/>
          </w:rPr>
          <w:fldChar w:fldCharType="end"/>
        </w:r>
      </w:hyperlink>
    </w:p>
    <w:p w14:paraId="3B9D9723" w14:textId="5FCBE55A"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5" w:history="1">
        <w:r w:rsidRPr="00C953F2">
          <w:rPr>
            <w:rStyle w:val="Hyperlink"/>
            <w:noProof/>
          </w:rPr>
          <w:t>Table 45: Logistic regression model – impact of TtW on probability of reducing reliance on income support (labour market attachment) at 36 months after commencement</w:t>
        </w:r>
        <w:r>
          <w:rPr>
            <w:noProof/>
            <w:webHidden/>
          </w:rPr>
          <w:tab/>
        </w:r>
        <w:r>
          <w:rPr>
            <w:noProof/>
            <w:webHidden/>
          </w:rPr>
          <w:fldChar w:fldCharType="begin"/>
        </w:r>
        <w:r>
          <w:rPr>
            <w:noProof/>
            <w:webHidden/>
          </w:rPr>
          <w:instrText xml:space="preserve"> PAGEREF _Toc145877335 \h </w:instrText>
        </w:r>
        <w:r>
          <w:rPr>
            <w:noProof/>
            <w:webHidden/>
          </w:rPr>
        </w:r>
        <w:r>
          <w:rPr>
            <w:noProof/>
            <w:webHidden/>
          </w:rPr>
          <w:fldChar w:fldCharType="separate"/>
        </w:r>
        <w:r w:rsidR="00180E14">
          <w:rPr>
            <w:noProof/>
            <w:webHidden/>
          </w:rPr>
          <w:t>167</w:t>
        </w:r>
        <w:r>
          <w:rPr>
            <w:noProof/>
            <w:webHidden/>
          </w:rPr>
          <w:fldChar w:fldCharType="end"/>
        </w:r>
      </w:hyperlink>
    </w:p>
    <w:p w14:paraId="27BBE4CB" w14:textId="7B5E4DBC"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6" w:history="1">
        <w:r w:rsidRPr="00C953F2">
          <w:rPr>
            <w:rStyle w:val="Hyperlink"/>
            <w:noProof/>
          </w:rPr>
          <w:t>Table 46: Logistic regression model – impact of TtW on probability of reducing reliance on income support (labour market attachment) at 48 months after commencement</w:t>
        </w:r>
        <w:r>
          <w:rPr>
            <w:noProof/>
            <w:webHidden/>
          </w:rPr>
          <w:tab/>
        </w:r>
        <w:r>
          <w:rPr>
            <w:noProof/>
            <w:webHidden/>
          </w:rPr>
          <w:fldChar w:fldCharType="begin"/>
        </w:r>
        <w:r>
          <w:rPr>
            <w:noProof/>
            <w:webHidden/>
          </w:rPr>
          <w:instrText xml:space="preserve"> PAGEREF _Toc145877336 \h </w:instrText>
        </w:r>
        <w:r>
          <w:rPr>
            <w:noProof/>
            <w:webHidden/>
          </w:rPr>
        </w:r>
        <w:r>
          <w:rPr>
            <w:noProof/>
            <w:webHidden/>
          </w:rPr>
          <w:fldChar w:fldCharType="separate"/>
        </w:r>
        <w:r w:rsidR="00180E14">
          <w:rPr>
            <w:noProof/>
            <w:webHidden/>
          </w:rPr>
          <w:t>168</w:t>
        </w:r>
        <w:r>
          <w:rPr>
            <w:noProof/>
            <w:webHidden/>
          </w:rPr>
          <w:fldChar w:fldCharType="end"/>
        </w:r>
      </w:hyperlink>
    </w:p>
    <w:p w14:paraId="6E4519BC" w14:textId="01E86F0D"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7" w:history="1">
        <w:r w:rsidRPr="00C953F2">
          <w:rPr>
            <w:rStyle w:val="Hyperlink"/>
            <w:noProof/>
          </w:rPr>
          <w:t>Table 47: Odds ratio estimates on probability of TtW and jobactive participants being in prison within 4 years of commencement</w:t>
        </w:r>
        <w:r>
          <w:rPr>
            <w:noProof/>
            <w:webHidden/>
          </w:rPr>
          <w:tab/>
        </w:r>
        <w:r>
          <w:rPr>
            <w:noProof/>
            <w:webHidden/>
          </w:rPr>
          <w:fldChar w:fldCharType="begin"/>
        </w:r>
        <w:r>
          <w:rPr>
            <w:noProof/>
            <w:webHidden/>
          </w:rPr>
          <w:instrText xml:space="preserve"> PAGEREF _Toc145877337 \h </w:instrText>
        </w:r>
        <w:r>
          <w:rPr>
            <w:noProof/>
            <w:webHidden/>
          </w:rPr>
        </w:r>
        <w:r>
          <w:rPr>
            <w:noProof/>
            <w:webHidden/>
          </w:rPr>
          <w:fldChar w:fldCharType="separate"/>
        </w:r>
        <w:r w:rsidR="00180E14">
          <w:rPr>
            <w:noProof/>
            <w:webHidden/>
          </w:rPr>
          <w:t>168</w:t>
        </w:r>
        <w:r>
          <w:rPr>
            <w:noProof/>
            <w:webHidden/>
          </w:rPr>
          <w:fldChar w:fldCharType="end"/>
        </w:r>
      </w:hyperlink>
    </w:p>
    <w:p w14:paraId="6BF920E7" w14:textId="055D7823"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8" w:history="1">
        <w:r w:rsidRPr="00C953F2">
          <w:rPr>
            <w:rStyle w:val="Hyperlink"/>
            <w:noProof/>
          </w:rPr>
          <w:t>Table 48: Odds ratio estimates on probability of TtW and jobactive participants who were ex-offenders at commencement being in prison within 4 years of commencement</w:t>
        </w:r>
        <w:r>
          <w:rPr>
            <w:noProof/>
            <w:webHidden/>
          </w:rPr>
          <w:tab/>
        </w:r>
        <w:r>
          <w:rPr>
            <w:noProof/>
            <w:webHidden/>
          </w:rPr>
          <w:fldChar w:fldCharType="begin"/>
        </w:r>
        <w:r>
          <w:rPr>
            <w:noProof/>
            <w:webHidden/>
          </w:rPr>
          <w:instrText xml:space="preserve"> PAGEREF _Toc145877338 \h </w:instrText>
        </w:r>
        <w:r>
          <w:rPr>
            <w:noProof/>
            <w:webHidden/>
          </w:rPr>
        </w:r>
        <w:r>
          <w:rPr>
            <w:noProof/>
            <w:webHidden/>
          </w:rPr>
          <w:fldChar w:fldCharType="separate"/>
        </w:r>
        <w:r w:rsidR="00180E14">
          <w:rPr>
            <w:noProof/>
            <w:webHidden/>
          </w:rPr>
          <w:t>169</w:t>
        </w:r>
        <w:r>
          <w:rPr>
            <w:noProof/>
            <w:webHidden/>
          </w:rPr>
          <w:fldChar w:fldCharType="end"/>
        </w:r>
      </w:hyperlink>
    </w:p>
    <w:p w14:paraId="4F70356E" w14:textId="5C66159D"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39" w:history="1">
        <w:r w:rsidRPr="00C953F2">
          <w:rPr>
            <w:rStyle w:val="Hyperlink"/>
            <w:noProof/>
          </w:rPr>
          <w:t>Table 49: Regression results for factors associated with being satisfied with service provided by TtW caseworker (satisfied / very satisfied)</w:t>
        </w:r>
        <w:r>
          <w:rPr>
            <w:noProof/>
            <w:webHidden/>
          </w:rPr>
          <w:tab/>
        </w:r>
        <w:r>
          <w:rPr>
            <w:noProof/>
            <w:webHidden/>
          </w:rPr>
          <w:fldChar w:fldCharType="begin"/>
        </w:r>
        <w:r>
          <w:rPr>
            <w:noProof/>
            <w:webHidden/>
          </w:rPr>
          <w:instrText xml:space="preserve"> PAGEREF _Toc145877339 \h </w:instrText>
        </w:r>
        <w:r>
          <w:rPr>
            <w:noProof/>
            <w:webHidden/>
          </w:rPr>
        </w:r>
        <w:r>
          <w:rPr>
            <w:noProof/>
            <w:webHidden/>
          </w:rPr>
          <w:fldChar w:fldCharType="separate"/>
        </w:r>
        <w:r w:rsidR="00180E14">
          <w:rPr>
            <w:noProof/>
            <w:webHidden/>
          </w:rPr>
          <w:t>170</w:t>
        </w:r>
        <w:r>
          <w:rPr>
            <w:noProof/>
            <w:webHidden/>
          </w:rPr>
          <w:fldChar w:fldCharType="end"/>
        </w:r>
      </w:hyperlink>
    </w:p>
    <w:p w14:paraId="1EBE8C03" w14:textId="771B08B1"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0" w:history="1">
        <w:r w:rsidRPr="00C953F2">
          <w:rPr>
            <w:rStyle w:val="Hyperlink"/>
            <w:noProof/>
          </w:rPr>
          <w:t>Table 50: Regression results for program type and life satisfaction score</w:t>
        </w:r>
        <w:r>
          <w:rPr>
            <w:noProof/>
            <w:webHidden/>
          </w:rPr>
          <w:tab/>
        </w:r>
        <w:r>
          <w:rPr>
            <w:noProof/>
            <w:webHidden/>
          </w:rPr>
          <w:fldChar w:fldCharType="begin"/>
        </w:r>
        <w:r>
          <w:rPr>
            <w:noProof/>
            <w:webHidden/>
          </w:rPr>
          <w:instrText xml:space="preserve"> PAGEREF _Toc145877340 \h </w:instrText>
        </w:r>
        <w:r>
          <w:rPr>
            <w:noProof/>
            <w:webHidden/>
          </w:rPr>
        </w:r>
        <w:r>
          <w:rPr>
            <w:noProof/>
            <w:webHidden/>
          </w:rPr>
          <w:fldChar w:fldCharType="separate"/>
        </w:r>
        <w:r w:rsidR="00180E14">
          <w:rPr>
            <w:noProof/>
            <w:webHidden/>
          </w:rPr>
          <w:t>171</w:t>
        </w:r>
        <w:r>
          <w:rPr>
            <w:noProof/>
            <w:webHidden/>
          </w:rPr>
          <w:fldChar w:fldCharType="end"/>
        </w:r>
      </w:hyperlink>
    </w:p>
    <w:p w14:paraId="0F0E1AC5" w14:textId="47925BD5"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1" w:history="1">
        <w:r w:rsidRPr="00C953F2">
          <w:rPr>
            <w:rStyle w:val="Hyperlink"/>
            <w:noProof/>
          </w:rPr>
          <w:t>Table 51: Regression results for TtW characteristics and life satisfaction score</w:t>
        </w:r>
        <w:r>
          <w:rPr>
            <w:noProof/>
            <w:webHidden/>
          </w:rPr>
          <w:tab/>
        </w:r>
        <w:r>
          <w:rPr>
            <w:noProof/>
            <w:webHidden/>
          </w:rPr>
          <w:fldChar w:fldCharType="begin"/>
        </w:r>
        <w:r>
          <w:rPr>
            <w:noProof/>
            <w:webHidden/>
          </w:rPr>
          <w:instrText xml:space="preserve"> PAGEREF _Toc145877341 \h </w:instrText>
        </w:r>
        <w:r>
          <w:rPr>
            <w:noProof/>
            <w:webHidden/>
          </w:rPr>
        </w:r>
        <w:r>
          <w:rPr>
            <w:noProof/>
            <w:webHidden/>
          </w:rPr>
          <w:fldChar w:fldCharType="separate"/>
        </w:r>
        <w:r w:rsidR="00180E14">
          <w:rPr>
            <w:noProof/>
            <w:webHidden/>
          </w:rPr>
          <w:t>172</w:t>
        </w:r>
        <w:r>
          <w:rPr>
            <w:noProof/>
            <w:webHidden/>
          </w:rPr>
          <w:fldChar w:fldCharType="end"/>
        </w:r>
      </w:hyperlink>
    </w:p>
    <w:p w14:paraId="2B25BC94" w14:textId="46B4773A"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2" w:history="1">
        <w:r w:rsidRPr="00C953F2">
          <w:rPr>
            <w:rStyle w:val="Hyperlink"/>
            <w:noProof/>
          </w:rPr>
          <w:t>Table 52: Regression results for TtW program elements and life satisafction score</w:t>
        </w:r>
        <w:r>
          <w:rPr>
            <w:noProof/>
            <w:webHidden/>
          </w:rPr>
          <w:tab/>
        </w:r>
        <w:r>
          <w:rPr>
            <w:noProof/>
            <w:webHidden/>
          </w:rPr>
          <w:fldChar w:fldCharType="begin"/>
        </w:r>
        <w:r>
          <w:rPr>
            <w:noProof/>
            <w:webHidden/>
          </w:rPr>
          <w:instrText xml:space="preserve"> PAGEREF _Toc145877342 \h </w:instrText>
        </w:r>
        <w:r>
          <w:rPr>
            <w:noProof/>
            <w:webHidden/>
          </w:rPr>
        </w:r>
        <w:r>
          <w:rPr>
            <w:noProof/>
            <w:webHidden/>
          </w:rPr>
          <w:fldChar w:fldCharType="separate"/>
        </w:r>
        <w:r w:rsidR="00180E14">
          <w:rPr>
            <w:noProof/>
            <w:webHidden/>
          </w:rPr>
          <w:t>172</w:t>
        </w:r>
        <w:r>
          <w:rPr>
            <w:noProof/>
            <w:webHidden/>
          </w:rPr>
          <w:fldChar w:fldCharType="end"/>
        </w:r>
      </w:hyperlink>
    </w:p>
    <w:p w14:paraId="61C03867" w14:textId="2D92673D"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3" w:history="1">
        <w:r w:rsidRPr="00C953F2">
          <w:rPr>
            <w:rStyle w:val="Hyperlink"/>
            <w:noProof/>
          </w:rPr>
          <w:t>Table 53: Regression results for program type and Personal Wellbeing Index score</w:t>
        </w:r>
        <w:r>
          <w:rPr>
            <w:noProof/>
            <w:webHidden/>
          </w:rPr>
          <w:tab/>
        </w:r>
        <w:r>
          <w:rPr>
            <w:noProof/>
            <w:webHidden/>
          </w:rPr>
          <w:fldChar w:fldCharType="begin"/>
        </w:r>
        <w:r>
          <w:rPr>
            <w:noProof/>
            <w:webHidden/>
          </w:rPr>
          <w:instrText xml:space="preserve"> PAGEREF _Toc145877343 \h </w:instrText>
        </w:r>
        <w:r>
          <w:rPr>
            <w:noProof/>
            <w:webHidden/>
          </w:rPr>
        </w:r>
        <w:r>
          <w:rPr>
            <w:noProof/>
            <w:webHidden/>
          </w:rPr>
          <w:fldChar w:fldCharType="separate"/>
        </w:r>
        <w:r w:rsidR="00180E14">
          <w:rPr>
            <w:noProof/>
            <w:webHidden/>
          </w:rPr>
          <w:t>173</w:t>
        </w:r>
        <w:r>
          <w:rPr>
            <w:noProof/>
            <w:webHidden/>
          </w:rPr>
          <w:fldChar w:fldCharType="end"/>
        </w:r>
      </w:hyperlink>
    </w:p>
    <w:p w14:paraId="2640C1ED" w14:textId="6C62DAAE"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4" w:history="1">
        <w:r w:rsidRPr="00C953F2">
          <w:rPr>
            <w:rStyle w:val="Hyperlink"/>
            <w:noProof/>
          </w:rPr>
          <w:t>Table 54: Regression results for TtW characteristics and Personal Wellbeing Index score</w:t>
        </w:r>
        <w:r>
          <w:rPr>
            <w:noProof/>
            <w:webHidden/>
          </w:rPr>
          <w:tab/>
        </w:r>
        <w:r>
          <w:rPr>
            <w:noProof/>
            <w:webHidden/>
          </w:rPr>
          <w:fldChar w:fldCharType="begin"/>
        </w:r>
        <w:r>
          <w:rPr>
            <w:noProof/>
            <w:webHidden/>
          </w:rPr>
          <w:instrText xml:space="preserve"> PAGEREF _Toc145877344 \h </w:instrText>
        </w:r>
        <w:r>
          <w:rPr>
            <w:noProof/>
            <w:webHidden/>
          </w:rPr>
        </w:r>
        <w:r>
          <w:rPr>
            <w:noProof/>
            <w:webHidden/>
          </w:rPr>
          <w:fldChar w:fldCharType="separate"/>
        </w:r>
        <w:r w:rsidR="00180E14">
          <w:rPr>
            <w:noProof/>
            <w:webHidden/>
          </w:rPr>
          <w:t>173</w:t>
        </w:r>
        <w:r>
          <w:rPr>
            <w:noProof/>
            <w:webHidden/>
          </w:rPr>
          <w:fldChar w:fldCharType="end"/>
        </w:r>
      </w:hyperlink>
    </w:p>
    <w:p w14:paraId="1D5C7A44" w14:textId="7BC49276"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5" w:history="1">
        <w:r w:rsidRPr="00C953F2">
          <w:rPr>
            <w:rStyle w:val="Hyperlink"/>
            <w:noProof/>
          </w:rPr>
          <w:t>Table 55: Regression results for TtW program elements and Personal Wellbeing Index score</w:t>
        </w:r>
        <w:r>
          <w:rPr>
            <w:noProof/>
            <w:webHidden/>
          </w:rPr>
          <w:tab/>
        </w:r>
        <w:r>
          <w:rPr>
            <w:noProof/>
            <w:webHidden/>
          </w:rPr>
          <w:fldChar w:fldCharType="begin"/>
        </w:r>
        <w:r>
          <w:rPr>
            <w:noProof/>
            <w:webHidden/>
          </w:rPr>
          <w:instrText xml:space="preserve"> PAGEREF _Toc145877345 \h </w:instrText>
        </w:r>
        <w:r>
          <w:rPr>
            <w:noProof/>
            <w:webHidden/>
          </w:rPr>
        </w:r>
        <w:r>
          <w:rPr>
            <w:noProof/>
            <w:webHidden/>
          </w:rPr>
          <w:fldChar w:fldCharType="separate"/>
        </w:r>
        <w:r w:rsidR="00180E14">
          <w:rPr>
            <w:noProof/>
            <w:webHidden/>
          </w:rPr>
          <w:t>174</w:t>
        </w:r>
        <w:r>
          <w:rPr>
            <w:noProof/>
            <w:webHidden/>
          </w:rPr>
          <w:fldChar w:fldCharType="end"/>
        </w:r>
      </w:hyperlink>
    </w:p>
    <w:p w14:paraId="7FCB3C05" w14:textId="3D66E3D6"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6" w:history="1">
        <w:r w:rsidRPr="00C953F2">
          <w:rPr>
            <w:rStyle w:val="Hyperlink"/>
            <w:noProof/>
          </w:rPr>
          <w:t>Table 56: Regression results for program types and self-rated mental health (excellent / very good)</w:t>
        </w:r>
        <w:r>
          <w:rPr>
            <w:noProof/>
            <w:webHidden/>
          </w:rPr>
          <w:tab/>
        </w:r>
        <w:r>
          <w:rPr>
            <w:noProof/>
            <w:webHidden/>
          </w:rPr>
          <w:fldChar w:fldCharType="begin"/>
        </w:r>
        <w:r>
          <w:rPr>
            <w:noProof/>
            <w:webHidden/>
          </w:rPr>
          <w:instrText xml:space="preserve"> PAGEREF _Toc145877346 \h </w:instrText>
        </w:r>
        <w:r>
          <w:rPr>
            <w:noProof/>
            <w:webHidden/>
          </w:rPr>
        </w:r>
        <w:r>
          <w:rPr>
            <w:noProof/>
            <w:webHidden/>
          </w:rPr>
          <w:fldChar w:fldCharType="separate"/>
        </w:r>
        <w:r w:rsidR="00180E14">
          <w:rPr>
            <w:noProof/>
            <w:webHidden/>
          </w:rPr>
          <w:t>175</w:t>
        </w:r>
        <w:r>
          <w:rPr>
            <w:noProof/>
            <w:webHidden/>
          </w:rPr>
          <w:fldChar w:fldCharType="end"/>
        </w:r>
      </w:hyperlink>
    </w:p>
    <w:p w14:paraId="32CA8A4C" w14:textId="2E035C4F"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7" w:history="1">
        <w:r w:rsidRPr="00C953F2">
          <w:rPr>
            <w:rStyle w:val="Hyperlink"/>
            <w:noProof/>
          </w:rPr>
          <w:t>Table 57: Regression results for TtW characteristics and self-rated mental health (excellent / very good)</w:t>
        </w:r>
        <w:r>
          <w:rPr>
            <w:noProof/>
            <w:webHidden/>
          </w:rPr>
          <w:tab/>
        </w:r>
        <w:r>
          <w:rPr>
            <w:noProof/>
            <w:webHidden/>
          </w:rPr>
          <w:fldChar w:fldCharType="begin"/>
        </w:r>
        <w:r>
          <w:rPr>
            <w:noProof/>
            <w:webHidden/>
          </w:rPr>
          <w:instrText xml:space="preserve"> PAGEREF _Toc145877347 \h </w:instrText>
        </w:r>
        <w:r>
          <w:rPr>
            <w:noProof/>
            <w:webHidden/>
          </w:rPr>
        </w:r>
        <w:r>
          <w:rPr>
            <w:noProof/>
            <w:webHidden/>
          </w:rPr>
          <w:fldChar w:fldCharType="separate"/>
        </w:r>
        <w:r w:rsidR="00180E14">
          <w:rPr>
            <w:noProof/>
            <w:webHidden/>
          </w:rPr>
          <w:t>175</w:t>
        </w:r>
        <w:r>
          <w:rPr>
            <w:noProof/>
            <w:webHidden/>
          </w:rPr>
          <w:fldChar w:fldCharType="end"/>
        </w:r>
      </w:hyperlink>
    </w:p>
    <w:p w14:paraId="1F285077" w14:textId="5D4A05FC"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8" w:history="1">
        <w:r w:rsidRPr="00C953F2">
          <w:rPr>
            <w:rStyle w:val="Hyperlink"/>
            <w:noProof/>
          </w:rPr>
          <w:t>Table 58: Regression results for TtW program elements and self-rated mental health (excellent / very good)</w:t>
        </w:r>
        <w:r>
          <w:rPr>
            <w:noProof/>
            <w:webHidden/>
          </w:rPr>
          <w:tab/>
        </w:r>
        <w:r>
          <w:rPr>
            <w:noProof/>
            <w:webHidden/>
          </w:rPr>
          <w:fldChar w:fldCharType="begin"/>
        </w:r>
        <w:r>
          <w:rPr>
            <w:noProof/>
            <w:webHidden/>
          </w:rPr>
          <w:instrText xml:space="preserve"> PAGEREF _Toc145877348 \h </w:instrText>
        </w:r>
        <w:r>
          <w:rPr>
            <w:noProof/>
            <w:webHidden/>
          </w:rPr>
        </w:r>
        <w:r>
          <w:rPr>
            <w:noProof/>
            <w:webHidden/>
          </w:rPr>
          <w:fldChar w:fldCharType="separate"/>
        </w:r>
        <w:r w:rsidR="00180E14">
          <w:rPr>
            <w:noProof/>
            <w:webHidden/>
          </w:rPr>
          <w:t>176</w:t>
        </w:r>
        <w:r>
          <w:rPr>
            <w:noProof/>
            <w:webHidden/>
          </w:rPr>
          <w:fldChar w:fldCharType="end"/>
        </w:r>
      </w:hyperlink>
    </w:p>
    <w:p w14:paraId="68A3AA50" w14:textId="207EB36C"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49" w:history="1">
        <w:r w:rsidRPr="00C953F2">
          <w:rPr>
            <w:rStyle w:val="Hyperlink"/>
            <w:noProof/>
          </w:rPr>
          <w:t xml:space="preserve">Table 59: Regression results for program type and </w:t>
        </w:r>
        <w:r w:rsidRPr="000052A9">
          <w:rPr>
            <w:rStyle w:val="Hyperlink"/>
            <w:noProof/>
          </w:rPr>
          <w:t>flourishing scale (</w:t>
        </w:r>
        <w:r w:rsidRPr="00C953F2">
          <w:rPr>
            <w:rStyle w:val="Hyperlink"/>
            <w:noProof/>
          </w:rPr>
          <w:t>psychological wellbeing)</w:t>
        </w:r>
        <w:r>
          <w:rPr>
            <w:noProof/>
            <w:webHidden/>
          </w:rPr>
          <w:tab/>
        </w:r>
        <w:r>
          <w:rPr>
            <w:noProof/>
            <w:webHidden/>
          </w:rPr>
          <w:fldChar w:fldCharType="begin"/>
        </w:r>
        <w:r>
          <w:rPr>
            <w:noProof/>
            <w:webHidden/>
          </w:rPr>
          <w:instrText xml:space="preserve"> PAGEREF _Toc145877349 \h </w:instrText>
        </w:r>
        <w:r>
          <w:rPr>
            <w:noProof/>
            <w:webHidden/>
          </w:rPr>
        </w:r>
        <w:r>
          <w:rPr>
            <w:noProof/>
            <w:webHidden/>
          </w:rPr>
          <w:fldChar w:fldCharType="separate"/>
        </w:r>
        <w:r w:rsidR="00180E14">
          <w:rPr>
            <w:noProof/>
            <w:webHidden/>
          </w:rPr>
          <w:t>176</w:t>
        </w:r>
        <w:r>
          <w:rPr>
            <w:noProof/>
            <w:webHidden/>
          </w:rPr>
          <w:fldChar w:fldCharType="end"/>
        </w:r>
      </w:hyperlink>
    </w:p>
    <w:p w14:paraId="69C9AB08" w14:textId="5BB95B6C"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50" w:history="1">
        <w:r w:rsidRPr="00C953F2">
          <w:rPr>
            <w:rStyle w:val="Hyperlink"/>
            <w:noProof/>
          </w:rPr>
          <w:t>Table 60: Regression results for TtW characteristics and flourishing scale (psychological wellbeing)</w:t>
        </w:r>
        <w:r>
          <w:rPr>
            <w:noProof/>
            <w:webHidden/>
          </w:rPr>
          <w:tab/>
        </w:r>
        <w:r>
          <w:rPr>
            <w:noProof/>
            <w:webHidden/>
          </w:rPr>
          <w:fldChar w:fldCharType="begin"/>
        </w:r>
        <w:r>
          <w:rPr>
            <w:noProof/>
            <w:webHidden/>
          </w:rPr>
          <w:instrText xml:space="preserve"> PAGEREF _Toc145877350 \h </w:instrText>
        </w:r>
        <w:r>
          <w:rPr>
            <w:noProof/>
            <w:webHidden/>
          </w:rPr>
        </w:r>
        <w:r>
          <w:rPr>
            <w:noProof/>
            <w:webHidden/>
          </w:rPr>
          <w:fldChar w:fldCharType="separate"/>
        </w:r>
        <w:r w:rsidR="00180E14">
          <w:rPr>
            <w:noProof/>
            <w:webHidden/>
          </w:rPr>
          <w:t>177</w:t>
        </w:r>
        <w:r>
          <w:rPr>
            <w:noProof/>
            <w:webHidden/>
          </w:rPr>
          <w:fldChar w:fldCharType="end"/>
        </w:r>
      </w:hyperlink>
    </w:p>
    <w:p w14:paraId="78B3484A" w14:textId="073BD079"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51" w:history="1">
        <w:r w:rsidRPr="00C953F2">
          <w:rPr>
            <w:rStyle w:val="Hyperlink"/>
            <w:noProof/>
          </w:rPr>
          <w:t>Table 61: Regression results for TtW program elements and flourishing scale (psychological wellbeing)</w:t>
        </w:r>
        <w:r>
          <w:rPr>
            <w:noProof/>
            <w:webHidden/>
          </w:rPr>
          <w:tab/>
        </w:r>
        <w:r>
          <w:rPr>
            <w:noProof/>
            <w:webHidden/>
          </w:rPr>
          <w:fldChar w:fldCharType="begin"/>
        </w:r>
        <w:r>
          <w:rPr>
            <w:noProof/>
            <w:webHidden/>
          </w:rPr>
          <w:instrText xml:space="preserve"> PAGEREF _Toc145877351 \h </w:instrText>
        </w:r>
        <w:r>
          <w:rPr>
            <w:noProof/>
            <w:webHidden/>
          </w:rPr>
        </w:r>
        <w:r>
          <w:rPr>
            <w:noProof/>
            <w:webHidden/>
          </w:rPr>
          <w:fldChar w:fldCharType="separate"/>
        </w:r>
        <w:r w:rsidR="00180E14">
          <w:rPr>
            <w:noProof/>
            <w:webHidden/>
          </w:rPr>
          <w:t>177</w:t>
        </w:r>
        <w:r>
          <w:rPr>
            <w:noProof/>
            <w:webHidden/>
          </w:rPr>
          <w:fldChar w:fldCharType="end"/>
        </w:r>
      </w:hyperlink>
    </w:p>
    <w:p w14:paraId="10E93ECA" w14:textId="0F30281A"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52" w:history="1">
        <w:r w:rsidRPr="00C953F2">
          <w:rPr>
            <w:rStyle w:val="Hyperlink"/>
            <w:noProof/>
          </w:rPr>
          <w:t>Table 62: Regression results for program type and resilience (brief resilience scale)</w:t>
        </w:r>
        <w:r>
          <w:rPr>
            <w:noProof/>
            <w:webHidden/>
          </w:rPr>
          <w:tab/>
        </w:r>
        <w:r>
          <w:rPr>
            <w:noProof/>
            <w:webHidden/>
          </w:rPr>
          <w:fldChar w:fldCharType="begin"/>
        </w:r>
        <w:r>
          <w:rPr>
            <w:noProof/>
            <w:webHidden/>
          </w:rPr>
          <w:instrText xml:space="preserve"> PAGEREF _Toc145877352 \h </w:instrText>
        </w:r>
        <w:r>
          <w:rPr>
            <w:noProof/>
            <w:webHidden/>
          </w:rPr>
        </w:r>
        <w:r>
          <w:rPr>
            <w:noProof/>
            <w:webHidden/>
          </w:rPr>
          <w:fldChar w:fldCharType="separate"/>
        </w:r>
        <w:r w:rsidR="00180E14">
          <w:rPr>
            <w:noProof/>
            <w:webHidden/>
          </w:rPr>
          <w:t>178</w:t>
        </w:r>
        <w:r>
          <w:rPr>
            <w:noProof/>
            <w:webHidden/>
          </w:rPr>
          <w:fldChar w:fldCharType="end"/>
        </w:r>
      </w:hyperlink>
    </w:p>
    <w:p w14:paraId="5F1A8141" w14:textId="3C6069E7"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53" w:history="1">
        <w:r w:rsidRPr="00C953F2">
          <w:rPr>
            <w:rStyle w:val="Hyperlink"/>
            <w:noProof/>
          </w:rPr>
          <w:t>Table 63: Regression results for TtW characteristic and resilience (brief resilience scale)</w:t>
        </w:r>
        <w:r>
          <w:rPr>
            <w:noProof/>
            <w:webHidden/>
          </w:rPr>
          <w:tab/>
        </w:r>
        <w:r>
          <w:rPr>
            <w:noProof/>
            <w:webHidden/>
          </w:rPr>
          <w:fldChar w:fldCharType="begin"/>
        </w:r>
        <w:r>
          <w:rPr>
            <w:noProof/>
            <w:webHidden/>
          </w:rPr>
          <w:instrText xml:space="preserve"> PAGEREF _Toc145877353 \h </w:instrText>
        </w:r>
        <w:r>
          <w:rPr>
            <w:noProof/>
            <w:webHidden/>
          </w:rPr>
        </w:r>
        <w:r>
          <w:rPr>
            <w:noProof/>
            <w:webHidden/>
          </w:rPr>
          <w:fldChar w:fldCharType="separate"/>
        </w:r>
        <w:r w:rsidR="00180E14">
          <w:rPr>
            <w:noProof/>
            <w:webHidden/>
          </w:rPr>
          <w:t>178</w:t>
        </w:r>
        <w:r>
          <w:rPr>
            <w:noProof/>
            <w:webHidden/>
          </w:rPr>
          <w:fldChar w:fldCharType="end"/>
        </w:r>
      </w:hyperlink>
    </w:p>
    <w:p w14:paraId="16DD8B75" w14:textId="72581B02" w:rsidR="00A02B89" w:rsidRDefault="00A02B89">
      <w:pPr>
        <w:pStyle w:val="TableofFigures"/>
        <w:tabs>
          <w:tab w:val="right" w:leader="dot" w:pos="9016"/>
        </w:tabs>
        <w:rPr>
          <w:rFonts w:asciiTheme="minorHAnsi" w:eastAsiaTheme="minorEastAsia" w:hAnsiTheme="minorHAnsi"/>
          <w:noProof/>
          <w:sz w:val="22"/>
          <w:lang w:eastAsia="en-AU"/>
        </w:rPr>
      </w:pPr>
      <w:hyperlink w:anchor="_Toc145877354" w:history="1">
        <w:r w:rsidRPr="00C953F2">
          <w:rPr>
            <w:rStyle w:val="Hyperlink"/>
            <w:noProof/>
          </w:rPr>
          <w:t>Table 64: Regression results for TtW program elements and resilience (brief resilience scale)</w:t>
        </w:r>
        <w:r>
          <w:rPr>
            <w:noProof/>
            <w:webHidden/>
          </w:rPr>
          <w:tab/>
        </w:r>
        <w:r>
          <w:rPr>
            <w:noProof/>
            <w:webHidden/>
          </w:rPr>
          <w:fldChar w:fldCharType="begin"/>
        </w:r>
        <w:r>
          <w:rPr>
            <w:noProof/>
            <w:webHidden/>
          </w:rPr>
          <w:instrText xml:space="preserve"> PAGEREF _Toc145877354 \h </w:instrText>
        </w:r>
        <w:r>
          <w:rPr>
            <w:noProof/>
            <w:webHidden/>
          </w:rPr>
        </w:r>
        <w:r>
          <w:rPr>
            <w:noProof/>
            <w:webHidden/>
          </w:rPr>
          <w:fldChar w:fldCharType="separate"/>
        </w:r>
        <w:r w:rsidR="00180E14">
          <w:rPr>
            <w:noProof/>
            <w:webHidden/>
          </w:rPr>
          <w:t>179</w:t>
        </w:r>
        <w:r>
          <w:rPr>
            <w:noProof/>
            <w:webHidden/>
          </w:rPr>
          <w:fldChar w:fldCharType="end"/>
        </w:r>
      </w:hyperlink>
    </w:p>
    <w:p w14:paraId="69C5B944" w14:textId="55E99245" w:rsidR="00514A97" w:rsidRDefault="00B8116A" w:rsidP="00514A97">
      <w:r>
        <w:fldChar w:fldCharType="end"/>
      </w:r>
      <w:r w:rsidR="00514A97">
        <w:br w:type="page"/>
      </w:r>
    </w:p>
    <w:p w14:paraId="3CA020E2" w14:textId="4671BB65" w:rsidR="00B8116A" w:rsidRDefault="00B8116A" w:rsidP="00F975E8">
      <w:pPr>
        <w:pStyle w:val="Heading1"/>
        <w:numPr>
          <w:ilvl w:val="0"/>
          <w:numId w:val="0"/>
        </w:numPr>
      </w:pPr>
      <w:bookmarkStart w:id="3873" w:name="_Toc106711908"/>
      <w:bookmarkStart w:id="3874" w:name="_Toc132650529"/>
      <w:bookmarkStart w:id="3875" w:name="_Toc146033558"/>
      <w:r>
        <w:lastRenderedPageBreak/>
        <w:t xml:space="preserve">List of </w:t>
      </w:r>
      <w:r w:rsidR="003A289C">
        <w:t>f</w:t>
      </w:r>
      <w:r>
        <w:t>igures</w:t>
      </w:r>
      <w:bookmarkEnd w:id="3873"/>
      <w:bookmarkEnd w:id="3874"/>
      <w:bookmarkEnd w:id="3875"/>
    </w:p>
    <w:p w14:paraId="4509CA5F" w14:textId="607A8A6E" w:rsidR="0096560E" w:rsidRDefault="00B8116A">
      <w:pPr>
        <w:pStyle w:val="TableofFigures"/>
        <w:tabs>
          <w:tab w:val="right" w:leader="dot" w:pos="9016"/>
        </w:tabs>
        <w:rPr>
          <w:rFonts w:asciiTheme="minorHAnsi" w:eastAsiaTheme="minorEastAsia" w:hAnsiTheme="minorHAnsi"/>
          <w:noProof/>
          <w:sz w:val="22"/>
          <w:lang w:eastAsia="en-AU"/>
        </w:rPr>
      </w:pPr>
      <w:r>
        <w:fldChar w:fldCharType="begin"/>
      </w:r>
      <w:r>
        <w:instrText xml:space="preserve"> TOC \h \z \c "Figure" </w:instrText>
      </w:r>
      <w:r>
        <w:fldChar w:fldCharType="separate"/>
      </w:r>
      <w:hyperlink w:anchor="_Toc145883311" w:history="1">
        <w:r w:rsidR="0096560E" w:rsidRPr="00AD496D">
          <w:rPr>
            <w:rStyle w:val="Hyperlink"/>
            <w:noProof/>
          </w:rPr>
          <w:t>Figure 1: Human capability framework for young people</w:t>
        </w:r>
        <w:r w:rsidR="0096560E">
          <w:rPr>
            <w:noProof/>
            <w:webHidden/>
          </w:rPr>
          <w:tab/>
        </w:r>
        <w:r w:rsidR="0096560E">
          <w:rPr>
            <w:noProof/>
            <w:webHidden/>
          </w:rPr>
          <w:fldChar w:fldCharType="begin"/>
        </w:r>
        <w:r w:rsidR="0096560E">
          <w:rPr>
            <w:noProof/>
            <w:webHidden/>
          </w:rPr>
          <w:instrText xml:space="preserve"> PAGEREF _Toc145883311 \h </w:instrText>
        </w:r>
        <w:r w:rsidR="0096560E">
          <w:rPr>
            <w:noProof/>
            <w:webHidden/>
          </w:rPr>
        </w:r>
        <w:r w:rsidR="0096560E">
          <w:rPr>
            <w:noProof/>
            <w:webHidden/>
          </w:rPr>
          <w:fldChar w:fldCharType="separate"/>
        </w:r>
        <w:r w:rsidR="00180E14">
          <w:rPr>
            <w:noProof/>
            <w:webHidden/>
          </w:rPr>
          <w:t>12</w:t>
        </w:r>
        <w:r w:rsidR="0096560E">
          <w:rPr>
            <w:noProof/>
            <w:webHidden/>
          </w:rPr>
          <w:fldChar w:fldCharType="end"/>
        </w:r>
      </w:hyperlink>
    </w:p>
    <w:p w14:paraId="23A56CBD" w14:textId="008F025C"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12" w:history="1">
        <w:r w:rsidRPr="00AD496D">
          <w:rPr>
            <w:rStyle w:val="Hyperlink"/>
            <w:noProof/>
          </w:rPr>
          <w:t>Figure 2: Components of the mixed-methods approach used for the evaluation, identifying the study populations used to explore each evaluation question</w:t>
        </w:r>
        <w:r>
          <w:rPr>
            <w:noProof/>
            <w:webHidden/>
          </w:rPr>
          <w:tab/>
        </w:r>
        <w:r>
          <w:rPr>
            <w:noProof/>
            <w:webHidden/>
          </w:rPr>
          <w:fldChar w:fldCharType="begin"/>
        </w:r>
        <w:r>
          <w:rPr>
            <w:noProof/>
            <w:webHidden/>
          </w:rPr>
          <w:instrText xml:space="preserve"> PAGEREF _Toc145883312 \h </w:instrText>
        </w:r>
        <w:r>
          <w:rPr>
            <w:noProof/>
            <w:webHidden/>
          </w:rPr>
        </w:r>
        <w:r>
          <w:rPr>
            <w:noProof/>
            <w:webHidden/>
          </w:rPr>
          <w:fldChar w:fldCharType="separate"/>
        </w:r>
        <w:r w:rsidR="00180E14">
          <w:rPr>
            <w:noProof/>
            <w:webHidden/>
          </w:rPr>
          <w:t>17</w:t>
        </w:r>
        <w:r>
          <w:rPr>
            <w:noProof/>
            <w:webHidden/>
          </w:rPr>
          <w:fldChar w:fldCharType="end"/>
        </w:r>
      </w:hyperlink>
    </w:p>
    <w:p w14:paraId="1C495A6A" w14:textId="65800126"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13" w:history="1">
        <w:r w:rsidRPr="00AD496D">
          <w:rPr>
            <w:rStyle w:val="Hyperlink"/>
            <w:noProof/>
          </w:rPr>
          <w:t>Figure 3: Participant views on caseworker impact on their self-confidence (% of participants)</w:t>
        </w:r>
        <w:r>
          <w:rPr>
            <w:noProof/>
            <w:webHidden/>
          </w:rPr>
          <w:tab/>
        </w:r>
        <w:r>
          <w:rPr>
            <w:noProof/>
            <w:webHidden/>
          </w:rPr>
          <w:fldChar w:fldCharType="begin"/>
        </w:r>
        <w:r>
          <w:rPr>
            <w:noProof/>
            <w:webHidden/>
          </w:rPr>
          <w:instrText xml:space="preserve"> PAGEREF _Toc145883313 \h </w:instrText>
        </w:r>
        <w:r>
          <w:rPr>
            <w:noProof/>
            <w:webHidden/>
          </w:rPr>
        </w:r>
        <w:r>
          <w:rPr>
            <w:noProof/>
            <w:webHidden/>
          </w:rPr>
          <w:fldChar w:fldCharType="separate"/>
        </w:r>
        <w:r w:rsidR="00180E14">
          <w:rPr>
            <w:noProof/>
            <w:webHidden/>
          </w:rPr>
          <w:t>30</w:t>
        </w:r>
        <w:r>
          <w:rPr>
            <w:noProof/>
            <w:webHidden/>
          </w:rPr>
          <w:fldChar w:fldCharType="end"/>
        </w:r>
      </w:hyperlink>
    </w:p>
    <w:p w14:paraId="451E607C" w14:textId="2421F3BC"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14" w:history="1">
        <w:r w:rsidRPr="00AD496D">
          <w:rPr>
            <w:rStyle w:val="Hyperlink"/>
            <w:noProof/>
          </w:rPr>
          <w:t>Figure 4: Participant views on caseworker impact on their motivation to work towards their goals (% of participants)</w:t>
        </w:r>
        <w:r>
          <w:rPr>
            <w:noProof/>
            <w:webHidden/>
          </w:rPr>
          <w:tab/>
        </w:r>
        <w:r>
          <w:rPr>
            <w:noProof/>
            <w:webHidden/>
          </w:rPr>
          <w:fldChar w:fldCharType="begin"/>
        </w:r>
        <w:r>
          <w:rPr>
            <w:noProof/>
            <w:webHidden/>
          </w:rPr>
          <w:instrText xml:space="preserve"> PAGEREF _Toc145883314 \h </w:instrText>
        </w:r>
        <w:r>
          <w:rPr>
            <w:noProof/>
            <w:webHidden/>
          </w:rPr>
        </w:r>
        <w:r>
          <w:rPr>
            <w:noProof/>
            <w:webHidden/>
          </w:rPr>
          <w:fldChar w:fldCharType="separate"/>
        </w:r>
        <w:r w:rsidR="00180E14">
          <w:rPr>
            <w:noProof/>
            <w:webHidden/>
          </w:rPr>
          <w:t>32</w:t>
        </w:r>
        <w:r>
          <w:rPr>
            <w:noProof/>
            <w:webHidden/>
          </w:rPr>
          <w:fldChar w:fldCharType="end"/>
        </w:r>
      </w:hyperlink>
    </w:p>
    <w:p w14:paraId="396855EE" w14:textId="4A709A7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15" w:history="1">
        <w:r w:rsidRPr="00AD496D">
          <w:rPr>
            <w:rStyle w:val="Hyperlink"/>
            <w:noProof/>
          </w:rPr>
          <w:t>Figure 5: Participant views on support provided by caseworkers (% yes)</w:t>
        </w:r>
        <w:r>
          <w:rPr>
            <w:noProof/>
            <w:webHidden/>
          </w:rPr>
          <w:tab/>
        </w:r>
        <w:r>
          <w:rPr>
            <w:noProof/>
            <w:webHidden/>
          </w:rPr>
          <w:fldChar w:fldCharType="begin"/>
        </w:r>
        <w:r>
          <w:rPr>
            <w:noProof/>
            <w:webHidden/>
          </w:rPr>
          <w:instrText xml:space="preserve"> PAGEREF _Toc145883315 \h </w:instrText>
        </w:r>
        <w:r>
          <w:rPr>
            <w:noProof/>
            <w:webHidden/>
          </w:rPr>
        </w:r>
        <w:r>
          <w:rPr>
            <w:noProof/>
            <w:webHidden/>
          </w:rPr>
          <w:fldChar w:fldCharType="separate"/>
        </w:r>
        <w:r w:rsidR="00180E14">
          <w:rPr>
            <w:noProof/>
            <w:webHidden/>
          </w:rPr>
          <w:t>36</w:t>
        </w:r>
        <w:r>
          <w:rPr>
            <w:noProof/>
            <w:webHidden/>
          </w:rPr>
          <w:fldChar w:fldCharType="end"/>
        </w:r>
      </w:hyperlink>
    </w:p>
    <w:p w14:paraId="72B55FFA" w14:textId="72C1BA84"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16" w:history="1">
        <w:r w:rsidRPr="00AD496D">
          <w:rPr>
            <w:rStyle w:val="Hyperlink"/>
            <w:noProof/>
          </w:rPr>
          <w:t>Figure 6: Participant views on caseworker impacts on development of human capabilities (% positive / very positive)</w:t>
        </w:r>
        <w:r>
          <w:rPr>
            <w:noProof/>
            <w:webHidden/>
          </w:rPr>
          <w:tab/>
        </w:r>
        <w:r>
          <w:rPr>
            <w:noProof/>
            <w:webHidden/>
          </w:rPr>
          <w:fldChar w:fldCharType="begin"/>
        </w:r>
        <w:r>
          <w:rPr>
            <w:noProof/>
            <w:webHidden/>
          </w:rPr>
          <w:instrText xml:space="preserve"> PAGEREF _Toc145883316 \h </w:instrText>
        </w:r>
        <w:r>
          <w:rPr>
            <w:noProof/>
            <w:webHidden/>
          </w:rPr>
        </w:r>
        <w:r>
          <w:rPr>
            <w:noProof/>
            <w:webHidden/>
          </w:rPr>
          <w:fldChar w:fldCharType="separate"/>
        </w:r>
        <w:r w:rsidR="00180E14">
          <w:rPr>
            <w:noProof/>
            <w:webHidden/>
          </w:rPr>
          <w:t>37</w:t>
        </w:r>
        <w:r>
          <w:rPr>
            <w:noProof/>
            <w:webHidden/>
          </w:rPr>
          <w:fldChar w:fldCharType="end"/>
        </w:r>
      </w:hyperlink>
    </w:p>
    <w:p w14:paraId="332FF5D4" w14:textId="38A892D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17" w:history="1">
        <w:r w:rsidRPr="00AD496D">
          <w:rPr>
            <w:rStyle w:val="Hyperlink"/>
            <w:noProof/>
          </w:rPr>
          <w:t>Figure 7: Participant individual Brief Resilience Scale items (% agree / strongly agree)</w:t>
        </w:r>
        <w:r>
          <w:rPr>
            <w:noProof/>
            <w:webHidden/>
          </w:rPr>
          <w:tab/>
        </w:r>
        <w:r>
          <w:rPr>
            <w:noProof/>
            <w:webHidden/>
          </w:rPr>
          <w:fldChar w:fldCharType="begin"/>
        </w:r>
        <w:r>
          <w:rPr>
            <w:noProof/>
            <w:webHidden/>
          </w:rPr>
          <w:instrText xml:space="preserve"> PAGEREF _Toc145883317 \h </w:instrText>
        </w:r>
        <w:r>
          <w:rPr>
            <w:noProof/>
            <w:webHidden/>
          </w:rPr>
        </w:r>
        <w:r>
          <w:rPr>
            <w:noProof/>
            <w:webHidden/>
          </w:rPr>
          <w:fldChar w:fldCharType="separate"/>
        </w:r>
        <w:r w:rsidR="00180E14">
          <w:rPr>
            <w:noProof/>
            <w:webHidden/>
          </w:rPr>
          <w:t>38</w:t>
        </w:r>
        <w:r>
          <w:rPr>
            <w:noProof/>
            <w:webHidden/>
          </w:rPr>
          <w:fldChar w:fldCharType="end"/>
        </w:r>
      </w:hyperlink>
    </w:p>
    <w:p w14:paraId="51F6912B" w14:textId="7D458E51"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18" w:history="1">
        <w:r w:rsidRPr="00AD496D">
          <w:rPr>
            <w:rStyle w:val="Hyperlink"/>
            <w:noProof/>
          </w:rPr>
          <w:t>Figure 8: Participant self-rated mental health and wellbeing (% of participants)</w:t>
        </w:r>
        <w:r>
          <w:rPr>
            <w:noProof/>
            <w:webHidden/>
          </w:rPr>
          <w:tab/>
        </w:r>
        <w:r>
          <w:rPr>
            <w:noProof/>
            <w:webHidden/>
          </w:rPr>
          <w:fldChar w:fldCharType="begin"/>
        </w:r>
        <w:r>
          <w:rPr>
            <w:noProof/>
            <w:webHidden/>
          </w:rPr>
          <w:instrText xml:space="preserve"> PAGEREF _Toc145883318 \h </w:instrText>
        </w:r>
        <w:r>
          <w:rPr>
            <w:noProof/>
            <w:webHidden/>
          </w:rPr>
        </w:r>
        <w:r>
          <w:rPr>
            <w:noProof/>
            <w:webHidden/>
          </w:rPr>
          <w:fldChar w:fldCharType="separate"/>
        </w:r>
        <w:r w:rsidR="00180E14">
          <w:rPr>
            <w:noProof/>
            <w:webHidden/>
          </w:rPr>
          <w:t>41</w:t>
        </w:r>
        <w:r>
          <w:rPr>
            <w:noProof/>
            <w:webHidden/>
          </w:rPr>
          <w:fldChar w:fldCharType="end"/>
        </w:r>
      </w:hyperlink>
    </w:p>
    <w:p w14:paraId="7B2BFF93" w14:textId="526D2F61"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19" w:history="1">
        <w:r w:rsidRPr="00AD496D">
          <w:rPr>
            <w:rStyle w:val="Hyperlink"/>
            <w:noProof/>
          </w:rPr>
          <w:t>Figure 9: Participant views on caseworker impact on mental health (% of participants)</w:t>
        </w:r>
        <w:r>
          <w:rPr>
            <w:noProof/>
            <w:webHidden/>
          </w:rPr>
          <w:tab/>
        </w:r>
        <w:r>
          <w:rPr>
            <w:noProof/>
            <w:webHidden/>
          </w:rPr>
          <w:fldChar w:fldCharType="begin"/>
        </w:r>
        <w:r>
          <w:rPr>
            <w:noProof/>
            <w:webHidden/>
          </w:rPr>
          <w:instrText xml:space="preserve"> PAGEREF _Toc145883319 \h </w:instrText>
        </w:r>
        <w:r>
          <w:rPr>
            <w:noProof/>
            <w:webHidden/>
          </w:rPr>
        </w:r>
        <w:r>
          <w:rPr>
            <w:noProof/>
            <w:webHidden/>
          </w:rPr>
          <w:fldChar w:fldCharType="separate"/>
        </w:r>
        <w:r w:rsidR="00180E14">
          <w:rPr>
            <w:noProof/>
            <w:webHidden/>
          </w:rPr>
          <w:t>42</w:t>
        </w:r>
        <w:r>
          <w:rPr>
            <w:noProof/>
            <w:webHidden/>
          </w:rPr>
          <w:fldChar w:fldCharType="end"/>
        </w:r>
      </w:hyperlink>
    </w:p>
    <w:p w14:paraId="61F8AC40" w14:textId="6B6C148D"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0" w:history="1">
        <w:r w:rsidRPr="00AD496D">
          <w:rPr>
            <w:rStyle w:val="Hyperlink"/>
            <w:noProof/>
          </w:rPr>
          <w:t>Figure 10: Provider actions when unable to refer to mental health services (% of respondents)</w:t>
        </w:r>
        <w:r>
          <w:rPr>
            <w:noProof/>
            <w:webHidden/>
          </w:rPr>
          <w:tab/>
        </w:r>
        <w:r>
          <w:rPr>
            <w:noProof/>
            <w:webHidden/>
          </w:rPr>
          <w:fldChar w:fldCharType="begin"/>
        </w:r>
        <w:r>
          <w:rPr>
            <w:noProof/>
            <w:webHidden/>
          </w:rPr>
          <w:instrText xml:space="preserve"> PAGEREF _Toc145883320 \h </w:instrText>
        </w:r>
        <w:r>
          <w:rPr>
            <w:noProof/>
            <w:webHidden/>
          </w:rPr>
        </w:r>
        <w:r>
          <w:rPr>
            <w:noProof/>
            <w:webHidden/>
          </w:rPr>
          <w:fldChar w:fldCharType="separate"/>
        </w:r>
        <w:r w:rsidR="00180E14">
          <w:rPr>
            <w:noProof/>
            <w:webHidden/>
          </w:rPr>
          <w:t>44</w:t>
        </w:r>
        <w:r>
          <w:rPr>
            <w:noProof/>
            <w:webHidden/>
          </w:rPr>
          <w:fldChar w:fldCharType="end"/>
        </w:r>
      </w:hyperlink>
    </w:p>
    <w:p w14:paraId="1BF50B36" w14:textId="1676136F"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1" w:history="1">
        <w:r w:rsidRPr="00AD496D">
          <w:rPr>
            <w:rStyle w:val="Hyperlink"/>
            <w:noProof/>
          </w:rPr>
          <w:t>Figure 11: Participant ratings of supports and social connections (% agree / strongly agree)</w:t>
        </w:r>
        <w:r>
          <w:rPr>
            <w:noProof/>
            <w:webHidden/>
          </w:rPr>
          <w:tab/>
        </w:r>
        <w:r>
          <w:rPr>
            <w:noProof/>
            <w:webHidden/>
          </w:rPr>
          <w:fldChar w:fldCharType="begin"/>
        </w:r>
        <w:r>
          <w:rPr>
            <w:noProof/>
            <w:webHidden/>
          </w:rPr>
          <w:instrText xml:space="preserve"> PAGEREF _Toc145883321 \h </w:instrText>
        </w:r>
        <w:r>
          <w:rPr>
            <w:noProof/>
            <w:webHidden/>
          </w:rPr>
        </w:r>
        <w:r>
          <w:rPr>
            <w:noProof/>
            <w:webHidden/>
          </w:rPr>
          <w:fldChar w:fldCharType="separate"/>
        </w:r>
        <w:r w:rsidR="00180E14">
          <w:rPr>
            <w:noProof/>
            <w:webHidden/>
          </w:rPr>
          <w:t>46</w:t>
        </w:r>
        <w:r>
          <w:rPr>
            <w:noProof/>
            <w:webHidden/>
          </w:rPr>
          <w:fldChar w:fldCharType="end"/>
        </w:r>
      </w:hyperlink>
    </w:p>
    <w:p w14:paraId="22BBE90A" w14:textId="4BAEB053"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2" w:history="1">
        <w:r w:rsidRPr="00AD496D">
          <w:rPr>
            <w:rStyle w:val="Hyperlink"/>
            <w:noProof/>
          </w:rPr>
          <w:t>Figure 12: Participant views on non-vocational support provided by caseworkers (% yes)</w:t>
        </w:r>
        <w:r>
          <w:rPr>
            <w:noProof/>
            <w:webHidden/>
          </w:rPr>
          <w:tab/>
        </w:r>
        <w:r>
          <w:rPr>
            <w:noProof/>
            <w:webHidden/>
          </w:rPr>
          <w:fldChar w:fldCharType="begin"/>
        </w:r>
        <w:r>
          <w:rPr>
            <w:noProof/>
            <w:webHidden/>
          </w:rPr>
          <w:instrText xml:space="preserve"> PAGEREF _Toc145883322 \h </w:instrText>
        </w:r>
        <w:r>
          <w:rPr>
            <w:noProof/>
            <w:webHidden/>
          </w:rPr>
        </w:r>
        <w:r>
          <w:rPr>
            <w:noProof/>
            <w:webHidden/>
          </w:rPr>
          <w:fldChar w:fldCharType="separate"/>
        </w:r>
        <w:r w:rsidR="00180E14">
          <w:rPr>
            <w:noProof/>
            <w:webHidden/>
          </w:rPr>
          <w:t>49</w:t>
        </w:r>
        <w:r>
          <w:rPr>
            <w:noProof/>
            <w:webHidden/>
          </w:rPr>
          <w:fldChar w:fldCharType="end"/>
        </w:r>
      </w:hyperlink>
    </w:p>
    <w:p w14:paraId="1DE7F6FB" w14:textId="6933ACBA"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3" w:history="1">
        <w:r w:rsidRPr="00AD496D">
          <w:rPr>
            <w:rStyle w:val="Hyperlink"/>
            <w:noProof/>
          </w:rPr>
          <w:t>Figure 13: Average participant satisfaction with life as a whole</w:t>
        </w:r>
        <w:r>
          <w:rPr>
            <w:noProof/>
            <w:webHidden/>
          </w:rPr>
          <w:tab/>
        </w:r>
        <w:r>
          <w:rPr>
            <w:noProof/>
            <w:webHidden/>
          </w:rPr>
          <w:fldChar w:fldCharType="begin"/>
        </w:r>
        <w:r>
          <w:rPr>
            <w:noProof/>
            <w:webHidden/>
          </w:rPr>
          <w:instrText xml:space="preserve"> PAGEREF _Toc145883323 \h </w:instrText>
        </w:r>
        <w:r>
          <w:rPr>
            <w:noProof/>
            <w:webHidden/>
          </w:rPr>
        </w:r>
        <w:r>
          <w:rPr>
            <w:noProof/>
            <w:webHidden/>
          </w:rPr>
          <w:fldChar w:fldCharType="separate"/>
        </w:r>
        <w:r w:rsidR="00180E14">
          <w:rPr>
            <w:noProof/>
            <w:webHidden/>
          </w:rPr>
          <w:t>51</w:t>
        </w:r>
        <w:r>
          <w:rPr>
            <w:noProof/>
            <w:webHidden/>
          </w:rPr>
          <w:fldChar w:fldCharType="end"/>
        </w:r>
      </w:hyperlink>
    </w:p>
    <w:p w14:paraId="66FAC68F" w14:textId="1ACE8D9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4" w:history="1">
        <w:r w:rsidRPr="00AD496D">
          <w:rPr>
            <w:rStyle w:val="Hyperlink"/>
            <w:noProof/>
          </w:rPr>
          <w:t>Figure 14: Participant satisfaction with life as a whole (% of participants)</w:t>
        </w:r>
        <w:r>
          <w:rPr>
            <w:noProof/>
            <w:webHidden/>
          </w:rPr>
          <w:tab/>
        </w:r>
        <w:r>
          <w:rPr>
            <w:noProof/>
            <w:webHidden/>
          </w:rPr>
          <w:fldChar w:fldCharType="begin"/>
        </w:r>
        <w:r>
          <w:rPr>
            <w:noProof/>
            <w:webHidden/>
          </w:rPr>
          <w:instrText xml:space="preserve"> PAGEREF _Toc145883324 \h </w:instrText>
        </w:r>
        <w:r>
          <w:rPr>
            <w:noProof/>
            <w:webHidden/>
          </w:rPr>
        </w:r>
        <w:r>
          <w:rPr>
            <w:noProof/>
            <w:webHidden/>
          </w:rPr>
          <w:fldChar w:fldCharType="separate"/>
        </w:r>
        <w:r w:rsidR="00180E14">
          <w:rPr>
            <w:noProof/>
            <w:webHidden/>
          </w:rPr>
          <w:t>52</w:t>
        </w:r>
        <w:r>
          <w:rPr>
            <w:noProof/>
            <w:webHidden/>
          </w:rPr>
          <w:fldChar w:fldCharType="end"/>
        </w:r>
      </w:hyperlink>
    </w:p>
    <w:p w14:paraId="3DA051D0" w14:textId="6960B2A1"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5" w:history="1">
        <w:r w:rsidRPr="00AD496D">
          <w:rPr>
            <w:rStyle w:val="Hyperlink"/>
            <w:noProof/>
          </w:rPr>
          <w:t>Figure 15: Average participant Personal Wellbeing Index score</w:t>
        </w:r>
        <w:r>
          <w:rPr>
            <w:noProof/>
            <w:webHidden/>
          </w:rPr>
          <w:tab/>
        </w:r>
        <w:r>
          <w:rPr>
            <w:noProof/>
            <w:webHidden/>
          </w:rPr>
          <w:fldChar w:fldCharType="begin"/>
        </w:r>
        <w:r>
          <w:rPr>
            <w:noProof/>
            <w:webHidden/>
          </w:rPr>
          <w:instrText xml:space="preserve"> PAGEREF _Toc145883325 \h </w:instrText>
        </w:r>
        <w:r>
          <w:rPr>
            <w:noProof/>
            <w:webHidden/>
          </w:rPr>
        </w:r>
        <w:r>
          <w:rPr>
            <w:noProof/>
            <w:webHidden/>
          </w:rPr>
          <w:fldChar w:fldCharType="separate"/>
        </w:r>
        <w:r w:rsidR="00180E14">
          <w:rPr>
            <w:noProof/>
            <w:webHidden/>
          </w:rPr>
          <w:t>53</w:t>
        </w:r>
        <w:r>
          <w:rPr>
            <w:noProof/>
            <w:webHidden/>
          </w:rPr>
          <w:fldChar w:fldCharType="end"/>
        </w:r>
      </w:hyperlink>
    </w:p>
    <w:p w14:paraId="4A6F67B0" w14:textId="685809D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6" w:history="1">
        <w:r w:rsidRPr="00AD496D">
          <w:rPr>
            <w:rStyle w:val="Hyperlink"/>
            <w:noProof/>
          </w:rPr>
          <w:t>Figure 16: Provider views on impact of TtW on participants’ human capabilities, by profit status (% to a great extent/moderate extent)</w:t>
        </w:r>
        <w:r>
          <w:rPr>
            <w:noProof/>
            <w:webHidden/>
          </w:rPr>
          <w:tab/>
        </w:r>
        <w:r>
          <w:rPr>
            <w:noProof/>
            <w:webHidden/>
          </w:rPr>
          <w:fldChar w:fldCharType="begin"/>
        </w:r>
        <w:r>
          <w:rPr>
            <w:noProof/>
            <w:webHidden/>
          </w:rPr>
          <w:instrText xml:space="preserve"> PAGEREF _Toc145883326 \h </w:instrText>
        </w:r>
        <w:r>
          <w:rPr>
            <w:noProof/>
            <w:webHidden/>
          </w:rPr>
        </w:r>
        <w:r>
          <w:rPr>
            <w:noProof/>
            <w:webHidden/>
          </w:rPr>
          <w:fldChar w:fldCharType="separate"/>
        </w:r>
        <w:r w:rsidR="00180E14">
          <w:rPr>
            <w:noProof/>
            <w:webHidden/>
          </w:rPr>
          <w:t>58</w:t>
        </w:r>
        <w:r>
          <w:rPr>
            <w:noProof/>
            <w:webHidden/>
          </w:rPr>
          <w:fldChar w:fldCharType="end"/>
        </w:r>
      </w:hyperlink>
    </w:p>
    <w:p w14:paraId="2EE99D96" w14:textId="44D61B6F"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7" w:history="1">
        <w:r w:rsidRPr="00AD496D">
          <w:rPr>
            <w:rStyle w:val="Hyperlink"/>
            <w:noProof/>
          </w:rPr>
          <w:t>Figure 17: Provider views on impact of TtW on participants’ human capabilities, by scheduled contact (% to a great extent/moderate extent)</w:t>
        </w:r>
        <w:r>
          <w:rPr>
            <w:noProof/>
            <w:webHidden/>
          </w:rPr>
          <w:tab/>
        </w:r>
        <w:r>
          <w:rPr>
            <w:noProof/>
            <w:webHidden/>
          </w:rPr>
          <w:fldChar w:fldCharType="begin"/>
        </w:r>
        <w:r>
          <w:rPr>
            <w:noProof/>
            <w:webHidden/>
          </w:rPr>
          <w:instrText xml:space="preserve"> PAGEREF _Toc145883327 \h </w:instrText>
        </w:r>
        <w:r>
          <w:rPr>
            <w:noProof/>
            <w:webHidden/>
          </w:rPr>
        </w:r>
        <w:r>
          <w:rPr>
            <w:noProof/>
            <w:webHidden/>
          </w:rPr>
          <w:fldChar w:fldCharType="separate"/>
        </w:r>
        <w:r w:rsidR="00180E14">
          <w:rPr>
            <w:noProof/>
            <w:webHidden/>
          </w:rPr>
          <w:t>58</w:t>
        </w:r>
        <w:r>
          <w:rPr>
            <w:noProof/>
            <w:webHidden/>
          </w:rPr>
          <w:fldChar w:fldCharType="end"/>
        </w:r>
      </w:hyperlink>
    </w:p>
    <w:p w14:paraId="534F4461" w14:textId="19A86B82"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8" w:history="1">
        <w:r w:rsidRPr="00AD496D">
          <w:rPr>
            <w:rStyle w:val="Hyperlink"/>
            <w:noProof/>
          </w:rPr>
          <w:t>Figure 18: Provider views on impact of TtW on participants’ human capabilities, by unscheduled contact (% to a great extent/moderate extent)</w:t>
        </w:r>
        <w:r>
          <w:rPr>
            <w:noProof/>
            <w:webHidden/>
          </w:rPr>
          <w:tab/>
        </w:r>
        <w:r>
          <w:rPr>
            <w:noProof/>
            <w:webHidden/>
          </w:rPr>
          <w:fldChar w:fldCharType="begin"/>
        </w:r>
        <w:r>
          <w:rPr>
            <w:noProof/>
            <w:webHidden/>
          </w:rPr>
          <w:instrText xml:space="preserve"> PAGEREF _Toc145883328 \h </w:instrText>
        </w:r>
        <w:r>
          <w:rPr>
            <w:noProof/>
            <w:webHidden/>
          </w:rPr>
        </w:r>
        <w:r>
          <w:rPr>
            <w:noProof/>
            <w:webHidden/>
          </w:rPr>
          <w:fldChar w:fldCharType="separate"/>
        </w:r>
        <w:r w:rsidR="00180E14">
          <w:rPr>
            <w:noProof/>
            <w:webHidden/>
          </w:rPr>
          <w:t>59</w:t>
        </w:r>
        <w:r>
          <w:rPr>
            <w:noProof/>
            <w:webHidden/>
          </w:rPr>
          <w:fldChar w:fldCharType="end"/>
        </w:r>
      </w:hyperlink>
    </w:p>
    <w:p w14:paraId="22FF229E" w14:textId="0FE44D2D"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29" w:history="1">
        <w:r w:rsidRPr="00AD496D">
          <w:rPr>
            <w:rStyle w:val="Hyperlink"/>
            <w:noProof/>
          </w:rPr>
          <w:t>Figure 19: Provider views on impact of TtW on participant’s human capabilities, by post program contact (% to a great extent/moderate extent)</w:t>
        </w:r>
        <w:r>
          <w:rPr>
            <w:noProof/>
            <w:webHidden/>
          </w:rPr>
          <w:tab/>
        </w:r>
        <w:r>
          <w:rPr>
            <w:noProof/>
            <w:webHidden/>
          </w:rPr>
          <w:fldChar w:fldCharType="begin"/>
        </w:r>
        <w:r>
          <w:rPr>
            <w:noProof/>
            <w:webHidden/>
          </w:rPr>
          <w:instrText xml:space="preserve"> PAGEREF _Toc145883329 \h </w:instrText>
        </w:r>
        <w:r>
          <w:rPr>
            <w:noProof/>
            <w:webHidden/>
          </w:rPr>
        </w:r>
        <w:r>
          <w:rPr>
            <w:noProof/>
            <w:webHidden/>
          </w:rPr>
          <w:fldChar w:fldCharType="separate"/>
        </w:r>
        <w:r w:rsidR="00180E14">
          <w:rPr>
            <w:noProof/>
            <w:webHidden/>
          </w:rPr>
          <w:t>59</w:t>
        </w:r>
        <w:r>
          <w:rPr>
            <w:noProof/>
            <w:webHidden/>
          </w:rPr>
          <w:fldChar w:fldCharType="end"/>
        </w:r>
      </w:hyperlink>
    </w:p>
    <w:p w14:paraId="30DFD806" w14:textId="4DF973E0"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0" w:history="1">
        <w:r w:rsidRPr="00AD496D">
          <w:rPr>
            <w:rStyle w:val="Hyperlink"/>
            <w:noProof/>
          </w:rPr>
          <w:t>Figure 20: Provider views on impact of TtW on participants’ human capabilities, by caseload count at site (% to a great extent/moderate extent)</w:t>
        </w:r>
        <w:r>
          <w:rPr>
            <w:noProof/>
            <w:webHidden/>
          </w:rPr>
          <w:tab/>
        </w:r>
        <w:r>
          <w:rPr>
            <w:noProof/>
            <w:webHidden/>
          </w:rPr>
          <w:fldChar w:fldCharType="begin"/>
        </w:r>
        <w:r>
          <w:rPr>
            <w:noProof/>
            <w:webHidden/>
          </w:rPr>
          <w:instrText xml:space="preserve"> PAGEREF _Toc145883330 \h </w:instrText>
        </w:r>
        <w:r>
          <w:rPr>
            <w:noProof/>
            <w:webHidden/>
          </w:rPr>
        </w:r>
        <w:r>
          <w:rPr>
            <w:noProof/>
            <w:webHidden/>
          </w:rPr>
          <w:fldChar w:fldCharType="separate"/>
        </w:r>
        <w:r w:rsidR="00180E14">
          <w:rPr>
            <w:noProof/>
            <w:webHidden/>
          </w:rPr>
          <w:t>60</w:t>
        </w:r>
        <w:r>
          <w:rPr>
            <w:noProof/>
            <w:webHidden/>
          </w:rPr>
          <w:fldChar w:fldCharType="end"/>
        </w:r>
      </w:hyperlink>
    </w:p>
    <w:p w14:paraId="166F22BE" w14:textId="102E674B"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1" w:history="1">
        <w:r w:rsidRPr="00AD496D">
          <w:rPr>
            <w:rStyle w:val="Hyperlink"/>
            <w:noProof/>
          </w:rPr>
          <w:t>Figure 21: Provider views on impact of TtW on participants’ human capabilities, by full-time equivalent (FTE) at site (% to a great extent/moderate extent)</w:t>
        </w:r>
        <w:r>
          <w:rPr>
            <w:noProof/>
            <w:webHidden/>
          </w:rPr>
          <w:tab/>
        </w:r>
        <w:r>
          <w:rPr>
            <w:noProof/>
            <w:webHidden/>
          </w:rPr>
          <w:fldChar w:fldCharType="begin"/>
        </w:r>
        <w:r>
          <w:rPr>
            <w:noProof/>
            <w:webHidden/>
          </w:rPr>
          <w:instrText xml:space="preserve"> PAGEREF _Toc145883331 \h </w:instrText>
        </w:r>
        <w:r>
          <w:rPr>
            <w:noProof/>
            <w:webHidden/>
          </w:rPr>
        </w:r>
        <w:r>
          <w:rPr>
            <w:noProof/>
            <w:webHidden/>
          </w:rPr>
          <w:fldChar w:fldCharType="separate"/>
        </w:r>
        <w:r w:rsidR="00180E14">
          <w:rPr>
            <w:noProof/>
            <w:webHidden/>
          </w:rPr>
          <w:t>60</w:t>
        </w:r>
        <w:r>
          <w:rPr>
            <w:noProof/>
            <w:webHidden/>
          </w:rPr>
          <w:fldChar w:fldCharType="end"/>
        </w:r>
      </w:hyperlink>
    </w:p>
    <w:p w14:paraId="40948E38" w14:textId="4E6DAB77"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2" w:history="1">
        <w:r w:rsidRPr="00AD496D">
          <w:rPr>
            <w:rStyle w:val="Hyperlink"/>
            <w:noProof/>
          </w:rPr>
          <w:t>Figure 22: Provider views on impact of TtW on participants’ human capabilities, by specialist staffing levels at site (% to a great extent/moderate extent)</w:t>
        </w:r>
        <w:r>
          <w:rPr>
            <w:noProof/>
            <w:webHidden/>
          </w:rPr>
          <w:tab/>
        </w:r>
        <w:r>
          <w:rPr>
            <w:noProof/>
            <w:webHidden/>
          </w:rPr>
          <w:fldChar w:fldCharType="begin"/>
        </w:r>
        <w:r>
          <w:rPr>
            <w:noProof/>
            <w:webHidden/>
          </w:rPr>
          <w:instrText xml:space="preserve"> PAGEREF _Toc145883332 \h </w:instrText>
        </w:r>
        <w:r>
          <w:rPr>
            <w:noProof/>
            <w:webHidden/>
          </w:rPr>
        </w:r>
        <w:r>
          <w:rPr>
            <w:noProof/>
            <w:webHidden/>
          </w:rPr>
          <w:fldChar w:fldCharType="separate"/>
        </w:r>
        <w:r w:rsidR="00180E14">
          <w:rPr>
            <w:noProof/>
            <w:webHidden/>
          </w:rPr>
          <w:t>60</w:t>
        </w:r>
        <w:r>
          <w:rPr>
            <w:noProof/>
            <w:webHidden/>
          </w:rPr>
          <w:fldChar w:fldCharType="end"/>
        </w:r>
      </w:hyperlink>
    </w:p>
    <w:p w14:paraId="1E20C0DB" w14:textId="26F8F2A4"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3" w:history="1">
        <w:r w:rsidRPr="00AD496D">
          <w:rPr>
            <w:rStyle w:val="Hyperlink"/>
            <w:noProof/>
          </w:rPr>
          <w:t>Figure 23: Number of individuals who were incarcerated and episodes of incarceration within 4 years of commencement</w:t>
        </w:r>
        <w:r>
          <w:rPr>
            <w:noProof/>
            <w:webHidden/>
          </w:rPr>
          <w:tab/>
        </w:r>
        <w:r>
          <w:rPr>
            <w:noProof/>
            <w:webHidden/>
          </w:rPr>
          <w:fldChar w:fldCharType="begin"/>
        </w:r>
        <w:r>
          <w:rPr>
            <w:noProof/>
            <w:webHidden/>
          </w:rPr>
          <w:instrText xml:space="preserve"> PAGEREF _Toc145883333 \h </w:instrText>
        </w:r>
        <w:r>
          <w:rPr>
            <w:noProof/>
            <w:webHidden/>
          </w:rPr>
        </w:r>
        <w:r>
          <w:rPr>
            <w:noProof/>
            <w:webHidden/>
          </w:rPr>
          <w:fldChar w:fldCharType="separate"/>
        </w:r>
        <w:r w:rsidR="00180E14">
          <w:rPr>
            <w:noProof/>
            <w:webHidden/>
          </w:rPr>
          <w:t>63</w:t>
        </w:r>
        <w:r>
          <w:rPr>
            <w:noProof/>
            <w:webHidden/>
          </w:rPr>
          <w:fldChar w:fldCharType="end"/>
        </w:r>
      </w:hyperlink>
    </w:p>
    <w:p w14:paraId="6993421C" w14:textId="72F02FFF"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4" w:history="1">
        <w:r w:rsidRPr="00AD496D">
          <w:rPr>
            <w:rStyle w:val="Hyperlink"/>
            <w:noProof/>
          </w:rPr>
          <w:t>Figure 24: Proportion of participants who were ex-offenders (and non-ex-offenders) at the time of referral who were incarcerated at least once within 4 years from commencement, by program (%)</w:t>
        </w:r>
        <w:r>
          <w:rPr>
            <w:noProof/>
            <w:webHidden/>
          </w:rPr>
          <w:tab/>
        </w:r>
        <w:r>
          <w:rPr>
            <w:noProof/>
            <w:webHidden/>
          </w:rPr>
          <w:fldChar w:fldCharType="begin"/>
        </w:r>
        <w:r>
          <w:rPr>
            <w:noProof/>
            <w:webHidden/>
          </w:rPr>
          <w:instrText xml:space="preserve"> PAGEREF _Toc145883334 \h </w:instrText>
        </w:r>
        <w:r>
          <w:rPr>
            <w:noProof/>
            <w:webHidden/>
          </w:rPr>
        </w:r>
        <w:r>
          <w:rPr>
            <w:noProof/>
            <w:webHidden/>
          </w:rPr>
          <w:fldChar w:fldCharType="separate"/>
        </w:r>
        <w:r w:rsidR="00180E14">
          <w:rPr>
            <w:noProof/>
            <w:webHidden/>
          </w:rPr>
          <w:t>64</w:t>
        </w:r>
        <w:r>
          <w:rPr>
            <w:noProof/>
            <w:webHidden/>
          </w:rPr>
          <w:fldChar w:fldCharType="end"/>
        </w:r>
      </w:hyperlink>
    </w:p>
    <w:p w14:paraId="515C20FC" w14:textId="3672ED1E"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5" w:history="1">
        <w:r w:rsidRPr="00AD496D">
          <w:rPr>
            <w:rStyle w:val="Hyperlink"/>
            <w:noProof/>
          </w:rPr>
          <w:t>Figure 25: Proportion of Aboriginal and/or Torres Strait Islander participants (and non-Aboriginal and Torres Strait Islander participants) who were incarcerated at least once within 4 years from commencement, by program (%)</w:t>
        </w:r>
        <w:r>
          <w:rPr>
            <w:noProof/>
            <w:webHidden/>
          </w:rPr>
          <w:tab/>
        </w:r>
        <w:r>
          <w:rPr>
            <w:noProof/>
            <w:webHidden/>
          </w:rPr>
          <w:fldChar w:fldCharType="begin"/>
        </w:r>
        <w:r>
          <w:rPr>
            <w:noProof/>
            <w:webHidden/>
          </w:rPr>
          <w:instrText xml:space="preserve"> PAGEREF _Toc145883335 \h </w:instrText>
        </w:r>
        <w:r>
          <w:rPr>
            <w:noProof/>
            <w:webHidden/>
          </w:rPr>
        </w:r>
        <w:r>
          <w:rPr>
            <w:noProof/>
            <w:webHidden/>
          </w:rPr>
          <w:fldChar w:fldCharType="separate"/>
        </w:r>
        <w:r w:rsidR="00180E14">
          <w:rPr>
            <w:noProof/>
            <w:webHidden/>
          </w:rPr>
          <w:t>65</w:t>
        </w:r>
        <w:r>
          <w:rPr>
            <w:noProof/>
            <w:webHidden/>
          </w:rPr>
          <w:fldChar w:fldCharType="end"/>
        </w:r>
      </w:hyperlink>
    </w:p>
    <w:p w14:paraId="566A4434" w14:textId="6BBEBF3E"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6" w:history="1">
        <w:r w:rsidRPr="00AD496D">
          <w:rPr>
            <w:rStyle w:val="Hyperlink"/>
            <w:noProof/>
          </w:rPr>
          <w:t>Figure 26: Proportion of participants off income support in any month (1 to 48 months from commencement)</w:t>
        </w:r>
        <w:r>
          <w:rPr>
            <w:noProof/>
            <w:webHidden/>
          </w:rPr>
          <w:tab/>
        </w:r>
        <w:r>
          <w:rPr>
            <w:noProof/>
            <w:webHidden/>
          </w:rPr>
          <w:fldChar w:fldCharType="begin"/>
        </w:r>
        <w:r>
          <w:rPr>
            <w:noProof/>
            <w:webHidden/>
          </w:rPr>
          <w:instrText xml:space="preserve"> PAGEREF _Toc145883336 \h </w:instrText>
        </w:r>
        <w:r>
          <w:rPr>
            <w:noProof/>
            <w:webHidden/>
          </w:rPr>
        </w:r>
        <w:r>
          <w:rPr>
            <w:noProof/>
            <w:webHidden/>
          </w:rPr>
          <w:fldChar w:fldCharType="separate"/>
        </w:r>
        <w:r w:rsidR="00180E14">
          <w:rPr>
            <w:noProof/>
            <w:webHidden/>
          </w:rPr>
          <w:t>68</w:t>
        </w:r>
        <w:r>
          <w:rPr>
            <w:noProof/>
            <w:webHidden/>
          </w:rPr>
          <w:fldChar w:fldCharType="end"/>
        </w:r>
      </w:hyperlink>
    </w:p>
    <w:p w14:paraId="45C764DE" w14:textId="28FCC442"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7" w:history="1">
        <w:r w:rsidRPr="00AD496D">
          <w:rPr>
            <w:rStyle w:val="Hyperlink"/>
            <w:noProof/>
          </w:rPr>
          <w:t>Figure 27: Program types since commencement (TtW cohort)</w:t>
        </w:r>
        <w:r>
          <w:rPr>
            <w:noProof/>
            <w:webHidden/>
          </w:rPr>
          <w:tab/>
        </w:r>
        <w:r>
          <w:rPr>
            <w:noProof/>
            <w:webHidden/>
          </w:rPr>
          <w:fldChar w:fldCharType="begin"/>
        </w:r>
        <w:r>
          <w:rPr>
            <w:noProof/>
            <w:webHidden/>
          </w:rPr>
          <w:instrText xml:space="preserve"> PAGEREF _Toc145883337 \h </w:instrText>
        </w:r>
        <w:r>
          <w:rPr>
            <w:noProof/>
            <w:webHidden/>
          </w:rPr>
        </w:r>
        <w:r>
          <w:rPr>
            <w:noProof/>
            <w:webHidden/>
          </w:rPr>
          <w:fldChar w:fldCharType="separate"/>
        </w:r>
        <w:r w:rsidR="00180E14">
          <w:rPr>
            <w:noProof/>
            <w:webHidden/>
          </w:rPr>
          <w:t>70</w:t>
        </w:r>
        <w:r>
          <w:rPr>
            <w:noProof/>
            <w:webHidden/>
          </w:rPr>
          <w:fldChar w:fldCharType="end"/>
        </w:r>
      </w:hyperlink>
    </w:p>
    <w:p w14:paraId="0D757AA8" w14:textId="5598FF49"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8" w:history="1">
        <w:r w:rsidRPr="00AD496D">
          <w:rPr>
            <w:rStyle w:val="Hyperlink"/>
            <w:noProof/>
          </w:rPr>
          <w:t>Figure 28: Proportion of participants achieving LMA (1 to 48 months from commencement).</w:t>
        </w:r>
        <w:r>
          <w:rPr>
            <w:noProof/>
            <w:webHidden/>
          </w:rPr>
          <w:tab/>
        </w:r>
        <w:r>
          <w:rPr>
            <w:noProof/>
            <w:webHidden/>
          </w:rPr>
          <w:fldChar w:fldCharType="begin"/>
        </w:r>
        <w:r>
          <w:rPr>
            <w:noProof/>
            <w:webHidden/>
          </w:rPr>
          <w:instrText xml:space="preserve"> PAGEREF _Toc145883338 \h </w:instrText>
        </w:r>
        <w:r>
          <w:rPr>
            <w:noProof/>
            <w:webHidden/>
          </w:rPr>
        </w:r>
        <w:r>
          <w:rPr>
            <w:noProof/>
            <w:webHidden/>
          </w:rPr>
          <w:fldChar w:fldCharType="separate"/>
        </w:r>
        <w:r w:rsidR="00180E14">
          <w:rPr>
            <w:noProof/>
            <w:webHidden/>
          </w:rPr>
          <w:t>71</w:t>
        </w:r>
        <w:r>
          <w:rPr>
            <w:noProof/>
            <w:webHidden/>
          </w:rPr>
          <w:fldChar w:fldCharType="end"/>
        </w:r>
      </w:hyperlink>
    </w:p>
    <w:p w14:paraId="6EEF48FC" w14:textId="63C8237B"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39" w:history="1">
        <w:r w:rsidRPr="00AD496D">
          <w:rPr>
            <w:rStyle w:val="Hyperlink"/>
            <w:noProof/>
          </w:rPr>
          <w:t>Figure 29: Income support episodes per participant, as at 48 months post commencement</w:t>
        </w:r>
        <w:r>
          <w:rPr>
            <w:noProof/>
            <w:webHidden/>
          </w:rPr>
          <w:tab/>
        </w:r>
        <w:r>
          <w:rPr>
            <w:noProof/>
            <w:webHidden/>
          </w:rPr>
          <w:fldChar w:fldCharType="begin"/>
        </w:r>
        <w:r>
          <w:rPr>
            <w:noProof/>
            <w:webHidden/>
          </w:rPr>
          <w:instrText xml:space="preserve"> PAGEREF _Toc145883339 \h </w:instrText>
        </w:r>
        <w:r>
          <w:rPr>
            <w:noProof/>
            <w:webHidden/>
          </w:rPr>
        </w:r>
        <w:r>
          <w:rPr>
            <w:noProof/>
            <w:webHidden/>
          </w:rPr>
          <w:fldChar w:fldCharType="separate"/>
        </w:r>
        <w:r w:rsidR="00180E14">
          <w:rPr>
            <w:noProof/>
            <w:webHidden/>
          </w:rPr>
          <w:t>72</w:t>
        </w:r>
        <w:r>
          <w:rPr>
            <w:noProof/>
            <w:webHidden/>
          </w:rPr>
          <w:fldChar w:fldCharType="end"/>
        </w:r>
      </w:hyperlink>
    </w:p>
    <w:p w14:paraId="6CCFD019" w14:textId="5597F644"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0" w:history="1">
        <w:r w:rsidRPr="00AD496D">
          <w:rPr>
            <w:rStyle w:val="Hyperlink"/>
            <w:noProof/>
          </w:rPr>
          <w:t>Figure 30: Proportion of participants on student payments (%) (includes Youth Allowance (Student), Youth Allowance (Apprenticeship), ABSTUDY, Austudy) (1 to 48 months from commencement)</w:t>
        </w:r>
        <w:r>
          <w:rPr>
            <w:noProof/>
            <w:webHidden/>
          </w:rPr>
          <w:tab/>
        </w:r>
        <w:r>
          <w:rPr>
            <w:noProof/>
            <w:webHidden/>
          </w:rPr>
          <w:fldChar w:fldCharType="begin"/>
        </w:r>
        <w:r>
          <w:rPr>
            <w:noProof/>
            <w:webHidden/>
          </w:rPr>
          <w:instrText xml:space="preserve"> PAGEREF _Toc145883340 \h </w:instrText>
        </w:r>
        <w:r>
          <w:rPr>
            <w:noProof/>
            <w:webHidden/>
          </w:rPr>
        </w:r>
        <w:r>
          <w:rPr>
            <w:noProof/>
            <w:webHidden/>
          </w:rPr>
          <w:fldChar w:fldCharType="separate"/>
        </w:r>
        <w:r w:rsidR="00180E14">
          <w:rPr>
            <w:noProof/>
            <w:webHidden/>
          </w:rPr>
          <w:t>73</w:t>
        </w:r>
        <w:r>
          <w:rPr>
            <w:noProof/>
            <w:webHidden/>
          </w:rPr>
          <w:fldChar w:fldCharType="end"/>
        </w:r>
      </w:hyperlink>
    </w:p>
    <w:p w14:paraId="7B6F464A" w14:textId="501DA94F"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1" w:history="1">
        <w:r w:rsidRPr="00AD496D">
          <w:rPr>
            <w:rStyle w:val="Hyperlink"/>
            <w:noProof/>
          </w:rPr>
          <w:t>Figure 31: Proportion of TtW participants on each income support payment type (months from commencement)</w:t>
        </w:r>
        <w:r>
          <w:rPr>
            <w:noProof/>
            <w:webHidden/>
          </w:rPr>
          <w:tab/>
        </w:r>
        <w:r>
          <w:rPr>
            <w:noProof/>
            <w:webHidden/>
          </w:rPr>
          <w:fldChar w:fldCharType="begin"/>
        </w:r>
        <w:r>
          <w:rPr>
            <w:noProof/>
            <w:webHidden/>
          </w:rPr>
          <w:instrText xml:space="preserve"> PAGEREF _Toc145883341 \h </w:instrText>
        </w:r>
        <w:r>
          <w:rPr>
            <w:noProof/>
            <w:webHidden/>
          </w:rPr>
        </w:r>
        <w:r>
          <w:rPr>
            <w:noProof/>
            <w:webHidden/>
          </w:rPr>
          <w:fldChar w:fldCharType="separate"/>
        </w:r>
        <w:r w:rsidR="00180E14">
          <w:rPr>
            <w:noProof/>
            <w:webHidden/>
          </w:rPr>
          <w:t>76</w:t>
        </w:r>
        <w:r>
          <w:rPr>
            <w:noProof/>
            <w:webHidden/>
          </w:rPr>
          <w:fldChar w:fldCharType="end"/>
        </w:r>
      </w:hyperlink>
    </w:p>
    <w:p w14:paraId="76E884C8" w14:textId="036D281C"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2" w:history="1">
        <w:r w:rsidRPr="00AD496D">
          <w:rPr>
            <w:rStyle w:val="Hyperlink"/>
            <w:noProof/>
          </w:rPr>
          <w:t>Figure 32: Proportion of participants on income support and in employment services (months from commencement)</w:t>
        </w:r>
        <w:r>
          <w:rPr>
            <w:noProof/>
            <w:webHidden/>
          </w:rPr>
          <w:tab/>
        </w:r>
        <w:r>
          <w:rPr>
            <w:noProof/>
            <w:webHidden/>
          </w:rPr>
          <w:fldChar w:fldCharType="begin"/>
        </w:r>
        <w:r>
          <w:rPr>
            <w:noProof/>
            <w:webHidden/>
          </w:rPr>
          <w:instrText xml:space="preserve"> PAGEREF _Toc145883342 \h </w:instrText>
        </w:r>
        <w:r>
          <w:rPr>
            <w:noProof/>
            <w:webHidden/>
          </w:rPr>
        </w:r>
        <w:r>
          <w:rPr>
            <w:noProof/>
            <w:webHidden/>
          </w:rPr>
          <w:fldChar w:fldCharType="separate"/>
        </w:r>
        <w:r w:rsidR="00180E14">
          <w:rPr>
            <w:noProof/>
            <w:webHidden/>
          </w:rPr>
          <w:t>77</w:t>
        </w:r>
        <w:r>
          <w:rPr>
            <w:noProof/>
            <w:webHidden/>
          </w:rPr>
          <w:fldChar w:fldCharType="end"/>
        </w:r>
      </w:hyperlink>
    </w:p>
    <w:p w14:paraId="513AEF41" w14:textId="0E784E07"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3" w:history="1">
        <w:r w:rsidRPr="00AD496D">
          <w:rPr>
            <w:rStyle w:val="Hyperlink"/>
            <w:noProof/>
          </w:rPr>
          <w:t>Figure 33: Proportion of participants with a period of service that is &lt;12 months, 12–18 months, and &gt;18 months, matched samples: maximum duration 12 months (MD12) and maximum duration 18 months (MD18) (% of participants)</w:t>
        </w:r>
        <w:r>
          <w:rPr>
            <w:noProof/>
            <w:webHidden/>
          </w:rPr>
          <w:tab/>
        </w:r>
        <w:r>
          <w:rPr>
            <w:noProof/>
            <w:webHidden/>
          </w:rPr>
          <w:fldChar w:fldCharType="begin"/>
        </w:r>
        <w:r>
          <w:rPr>
            <w:noProof/>
            <w:webHidden/>
          </w:rPr>
          <w:instrText xml:space="preserve"> PAGEREF _Toc145883343 \h </w:instrText>
        </w:r>
        <w:r>
          <w:rPr>
            <w:noProof/>
            <w:webHidden/>
          </w:rPr>
        </w:r>
        <w:r>
          <w:rPr>
            <w:noProof/>
            <w:webHidden/>
          </w:rPr>
          <w:fldChar w:fldCharType="separate"/>
        </w:r>
        <w:r w:rsidR="00180E14">
          <w:rPr>
            <w:noProof/>
            <w:webHidden/>
          </w:rPr>
          <w:t>80</w:t>
        </w:r>
        <w:r>
          <w:rPr>
            <w:noProof/>
            <w:webHidden/>
          </w:rPr>
          <w:fldChar w:fldCharType="end"/>
        </w:r>
      </w:hyperlink>
    </w:p>
    <w:p w14:paraId="5CF98187" w14:textId="5A2A28E4"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4" w:history="1">
        <w:r w:rsidRPr="00AD496D">
          <w:rPr>
            <w:rStyle w:val="Hyperlink"/>
            <w:noProof/>
          </w:rPr>
          <w:t>Figure 34: Proportion of participants with high or moderate/low labour market disadvantage remaining in the program for less than 12 months, 12–18 months or more than 18 months, matched samples: maximum duration 12 months (MD12) and maximum duration 18 months (MD18) (% of participants)</w:t>
        </w:r>
        <w:r>
          <w:rPr>
            <w:noProof/>
            <w:webHidden/>
          </w:rPr>
          <w:tab/>
        </w:r>
        <w:r>
          <w:rPr>
            <w:noProof/>
            <w:webHidden/>
          </w:rPr>
          <w:fldChar w:fldCharType="begin"/>
        </w:r>
        <w:r>
          <w:rPr>
            <w:noProof/>
            <w:webHidden/>
          </w:rPr>
          <w:instrText xml:space="preserve"> PAGEREF _Toc145883344 \h </w:instrText>
        </w:r>
        <w:r>
          <w:rPr>
            <w:noProof/>
            <w:webHidden/>
          </w:rPr>
        </w:r>
        <w:r>
          <w:rPr>
            <w:noProof/>
            <w:webHidden/>
          </w:rPr>
          <w:fldChar w:fldCharType="separate"/>
        </w:r>
        <w:r w:rsidR="00180E14">
          <w:rPr>
            <w:noProof/>
            <w:webHidden/>
          </w:rPr>
          <w:t>81</w:t>
        </w:r>
        <w:r>
          <w:rPr>
            <w:noProof/>
            <w:webHidden/>
          </w:rPr>
          <w:fldChar w:fldCharType="end"/>
        </w:r>
      </w:hyperlink>
    </w:p>
    <w:p w14:paraId="6AEB0DFA" w14:textId="3B628C0A"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5" w:history="1">
        <w:r w:rsidRPr="00AD496D">
          <w:rPr>
            <w:rStyle w:val="Hyperlink"/>
            <w:noProof/>
          </w:rPr>
          <w:t>Figure 35: Numbers of participants who achieved any outcomes, and total outcomes achieved, MD12 and MD18 matched samples</w:t>
        </w:r>
        <w:r>
          <w:rPr>
            <w:noProof/>
            <w:webHidden/>
          </w:rPr>
          <w:tab/>
        </w:r>
        <w:r>
          <w:rPr>
            <w:noProof/>
            <w:webHidden/>
          </w:rPr>
          <w:fldChar w:fldCharType="begin"/>
        </w:r>
        <w:r>
          <w:rPr>
            <w:noProof/>
            <w:webHidden/>
          </w:rPr>
          <w:instrText xml:space="preserve"> PAGEREF _Toc145883345 \h </w:instrText>
        </w:r>
        <w:r>
          <w:rPr>
            <w:noProof/>
            <w:webHidden/>
          </w:rPr>
        </w:r>
        <w:r>
          <w:rPr>
            <w:noProof/>
            <w:webHidden/>
          </w:rPr>
          <w:fldChar w:fldCharType="separate"/>
        </w:r>
        <w:r w:rsidR="00180E14">
          <w:rPr>
            <w:noProof/>
            <w:webHidden/>
          </w:rPr>
          <w:t>82</w:t>
        </w:r>
        <w:r>
          <w:rPr>
            <w:noProof/>
            <w:webHidden/>
          </w:rPr>
          <w:fldChar w:fldCharType="end"/>
        </w:r>
      </w:hyperlink>
    </w:p>
    <w:p w14:paraId="56842C46" w14:textId="65FF57DC"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6" w:history="1">
        <w:r w:rsidRPr="00AD496D">
          <w:rPr>
            <w:rStyle w:val="Hyperlink"/>
            <w:noProof/>
          </w:rPr>
          <w:t>Figure 36: Proportion of participants with high or moderate labour market disadvantage achieving an outcome, MD12 and MD18 matched samples</w:t>
        </w:r>
        <w:r>
          <w:rPr>
            <w:noProof/>
            <w:webHidden/>
          </w:rPr>
          <w:tab/>
        </w:r>
        <w:r>
          <w:rPr>
            <w:noProof/>
            <w:webHidden/>
          </w:rPr>
          <w:fldChar w:fldCharType="begin"/>
        </w:r>
        <w:r>
          <w:rPr>
            <w:noProof/>
            <w:webHidden/>
          </w:rPr>
          <w:instrText xml:space="preserve"> PAGEREF _Toc145883346 \h </w:instrText>
        </w:r>
        <w:r>
          <w:rPr>
            <w:noProof/>
            <w:webHidden/>
          </w:rPr>
        </w:r>
        <w:r>
          <w:rPr>
            <w:noProof/>
            <w:webHidden/>
          </w:rPr>
          <w:fldChar w:fldCharType="separate"/>
        </w:r>
        <w:r w:rsidR="00180E14">
          <w:rPr>
            <w:noProof/>
            <w:webHidden/>
          </w:rPr>
          <w:t>83</w:t>
        </w:r>
        <w:r>
          <w:rPr>
            <w:noProof/>
            <w:webHidden/>
          </w:rPr>
          <w:fldChar w:fldCharType="end"/>
        </w:r>
      </w:hyperlink>
    </w:p>
    <w:p w14:paraId="27A36E65" w14:textId="4D6AF9E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7" w:history="1">
        <w:r w:rsidRPr="00AD496D">
          <w:rPr>
            <w:rStyle w:val="Hyperlink"/>
            <w:noProof/>
          </w:rPr>
          <w:t>Figure 37: All outcomes – types claimed by MD12 and MD18 participants (%)</w:t>
        </w:r>
        <w:r>
          <w:rPr>
            <w:noProof/>
            <w:webHidden/>
          </w:rPr>
          <w:tab/>
        </w:r>
        <w:r>
          <w:rPr>
            <w:noProof/>
            <w:webHidden/>
          </w:rPr>
          <w:fldChar w:fldCharType="begin"/>
        </w:r>
        <w:r>
          <w:rPr>
            <w:noProof/>
            <w:webHidden/>
          </w:rPr>
          <w:instrText xml:space="preserve"> PAGEREF _Toc145883347 \h </w:instrText>
        </w:r>
        <w:r>
          <w:rPr>
            <w:noProof/>
            <w:webHidden/>
          </w:rPr>
        </w:r>
        <w:r>
          <w:rPr>
            <w:noProof/>
            <w:webHidden/>
          </w:rPr>
          <w:fldChar w:fldCharType="separate"/>
        </w:r>
        <w:r w:rsidR="00180E14">
          <w:rPr>
            <w:noProof/>
            <w:webHidden/>
          </w:rPr>
          <w:t>83</w:t>
        </w:r>
        <w:r>
          <w:rPr>
            <w:noProof/>
            <w:webHidden/>
          </w:rPr>
          <w:fldChar w:fldCharType="end"/>
        </w:r>
      </w:hyperlink>
    </w:p>
    <w:p w14:paraId="43CEE0EC" w14:textId="04FAC95E"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8" w:history="1">
        <w:r w:rsidRPr="00AD496D">
          <w:rPr>
            <w:rStyle w:val="Hyperlink"/>
            <w:noProof/>
          </w:rPr>
          <w:t>Figure 38: First outcomes – types claimed by MD12 and MD18 participants (%)</w:t>
        </w:r>
        <w:r>
          <w:rPr>
            <w:noProof/>
            <w:webHidden/>
          </w:rPr>
          <w:tab/>
        </w:r>
        <w:r>
          <w:rPr>
            <w:noProof/>
            <w:webHidden/>
          </w:rPr>
          <w:fldChar w:fldCharType="begin"/>
        </w:r>
        <w:r>
          <w:rPr>
            <w:noProof/>
            <w:webHidden/>
          </w:rPr>
          <w:instrText xml:space="preserve"> PAGEREF _Toc145883348 \h </w:instrText>
        </w:r>
        <w:r>
          <w:rPr>
            <w:noProof/>
            <w:webHidden/>
          </w:rPr>
        </w:r>
        <w:r>
          <w:rPr>
            <w:noProof/>
            <w:webHidden/>
          </w:rPr>
          <w:fldChar w:fldCharType="separate"/>
        </w:r>
        <w:r w:rsidR="00180E14">
          <w:rPr>
            <w:noProof/>
            <w:webHidden/>
          </w:rPr>
          <w:t>84</w:t>
        </w:r>
        <w:r>
          <w:rPr>
            <w:noProof/>
            <w:webHidden/>
          </w:rPr>
          <w:fldChar w:fldCharType="end"/>
        </w:r>
      </w:hyperlink>
    </w:p>
    <w:p w14:paraId="72979B78" w14:textId="73CC0440"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49" w:history="1">
        <w:r w:rsidRPr="00AD496D">
          <w:rPr>
            <w:rStyle w:val="Hyperlink"/>
            <w:noProof/>
          </w:rPr>
          <w:t>Figure 39: Provider views on the impact of extending maximum service duration on participant outcomes (% of providers)</w:t>
        </w:r>
        <w:r>
          <w:rPr>
            <w:noProof/>
            <w:webHidden/>
          </w:rPr>
          <w:tab/>
        </w:r>
        <w:r>
          <w:rPr>
            <w:noProof/>
            <w:webHidden/>
          </w:rPr>
          <w:fldChar w:fldCharType="begin"/>
        </w:r>
        <w:r>
          <w:rPr>
            <w:noProof/>
            <w:webHidden/>
          </w:rPr>
          <w:instrText xml:space="preserve"> PAGEREF _Toc145883349 \h </w:instrText>
        </w:r>
        <w:r>
          <w:rPr>
            <w:noProof/>
            <w:webHidden/>
          </w:rPr>
        </w:r>
        <w:r>
          <w:rPr>
            <w:noProof/>
            <w:webHidden/>
          </w:rPr>
          <w:fldChar w:fldCharType="separate"/>
        </w:r>
        <w:r w:rsidR="00180E14">
          <w:rPr>
            <w:noProof/>
            <w:webHidden/>
          </w:rPr>
          <w:t>85</w:t>
        </w:r>
        <w:r>
          <w:rPr>
            <w:noProof/>
            <w:webHidden/>
          </w:rPr>
          <w:fldChar w:fldCharType="end"/>
        </w:r>
      </w:hyperlink>
    </w:p>
    <w:p w14:paraId="3D342D5A" w14:textId="530B5106"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0" w:history="1">
        <w:r w:rsidRPr="00AD496D">
          <w:rPr>
            <w:rStyle w:val="Hyperlink"/>
            <w:noProof/>
          </w:rPr>
          <w:t>Figure 40: Start date for first outcome in the program, by proportion of participants, MD12 and MD18 matched samples (%)</w:t>
        </w:r>
        <w:r>
          <w:rPr>
            <w:noProof/>
            <w:webHidden/>
          </w:rPr>
          <w:tab/>
        </w:r>
        <w:r>
          <w:rPr>
            <w:noProof/>
            <w:webHidden/>
          </w:rPr>
          <w:fldChar w:fldCharType="begin"/>
        </w:r>
        <w:r>
          <w:rPr>
            <w:noProof/>
            <w:webHidden/>
          </w:rPr>
          <w:instrText xml:space="preserve"> PAGEREF _Toc145883350 \h </w:instrText>
        </w:r>
        <w:r>
          <w:rPr>
            <w:noProof/>
            <w:webHidden/>
          </w:rPr>
        </w:r>
        <w:r>
          <w:rPr>
            <w:noProof/>
            <w:webHidden/>
          </w:rPr>
          <w:fldChar w:fldCharType="separate"/>
        </w:r>
        <w:r w:rsidR="00180E14">
          <w:rPr>
            <w:noProof/>
            <w:webHidden/>
          </w:rPr>
          <w:t>86</w:t>
        </w:r>
        <w:r>
          <w:rPr>
            <w:noProof/>
            <w:webHidden/>
          </w:rPr>
          <w:fldChar w:fldCharType="end"/>
        </w:r>
      </w:hyperlink>
    </w:p>
    <w:p w14:paraId="15BC98C2" w14:textId="75C07B8E"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1" w:history="1">
        <w:r w:rsidRPr="00AD496D">
          <w:rPr>
            <w:rStyle w:val="Hyperlink"/>
            <w:noProof/>
          </w:rPr>
          <w:t>Figure 41: Provider views on the impact of extending maximum service duration on their support to participants (% of providers)</w:t>
        </w:r>
        <w:r>
          <w:rPr>
            <w:noProof/>
            <w:webHidden/>
          </w:rPr>
          <w:tab/>
        </w:r>
        <w:r>
          <w:rPr>
            <w:noProof/>
            <w:webHidden/>
          </w:rPr>
          <w:fldChar w:fldCharType="begin"/>
        </w:r>
        <w:r>
          <w:rPr>
            <w:noProof/>
            <w:webHidden/>
          </w:rPr>
          <w:instrText xml:space="preserve"> PAGEREF _Toc145883351 \h </w:instrText>
        </w:r>
        <w:r>
          <w:rPr>
            <w:noProof/>
            <w:webHidden/>
          </w:rPr>
        </w:r>
        <w:r>
          <w:rPr>
            <w:noProof/>
            <w:webHidden/>
          </w:rPr>
          <w:fldChar w:fldCharType="separate"/>
        </w:r>
        <w:r w:rsidR="00180E14">
          <w:rPr>
            <w:noProof/>
            <w:webHidden/>
          </w:rPr>
          <w:t>88</w:t>
        </w:r>
        <w:r>
          <w:rPr>
            <w:noProof/>
            <w:webHidden/>
          </w:rPr>
          <w:fldChar w:fldCharType="end"/>
        </w:r>
      </w:hyperlink>
    </w:p>
    <w:p w14:paraId="7F3D13C1" w14:textId="621569BF"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2" w:history="1">
        <w:r w:rsidRPr="00AD496D">
          <w:rPr>
            <w:rStyle w:val="Hyperlink"/>
            <w:noProof/>
          </w:rPr>
          <w:t>Figure 42: Employed persons, seasonally adjusted, 2016–2020</w:t>
        </w:r>
        <w:r>
          <w:rPr>
            <w:noProof/>
            <w:webHidden/>
          </w:rPr>
          <w:tab/>
        </w:r>
        <w:r>
          <w:rPr>
            <w:noProof/>
            <w:webHidden/>
          </w:rPr>
          <w:fldChar w:fldCharType="begin"/>
        </w:r>
        <w:r>
          <w:rPr>
            <w:noProof/>
            <w:webHidden/>
          </w:rPr>
          <w:instrText xml:space="preserve"> PAGEREF _Toc145883352 \h </w:instrText>
        </w:r>
        <w:r>
          <w:rPr>
            <w:noProof/>
            <w:webHidden/>
          </w:rPr>
        </w:r>
        <w:r>
          <w:rPr>
            <w:noProof/>
            <w:webHidden/>
          </w:rPr>
          <w:fldChar w:fldCharType="separate"/>
        </w:r>
        <w:r w:rsidR="00180E14">
          <w:rPr>
            <w:noProof/>
            <w:webHidden/>
          </w:rPr>
          <w:t>122</w:t>
        </w:r>
        <w:r>
          <w:rPr>
            <w:noProof/>
            <w:webHidden/>
          </w:rPr>
          <w:fldChar w:fldCharType="end"/>
        </w:r>
      </w:hyperlink>
    </w:p>
    <w:p w14:paraId="652BC5AD" w14:textId="4D92B926"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3" w:history="1">
        <w:r w:rsidRPr="00AD496D">
          <w:rPr>
            <w:rStyle w:val="Hyperlink"/>
            <w:noProof/>
          </w:rPr>
          <w:t>Figure 43: Participation rate, seasonally adjusted, 2016–2020</w:t>
        </w:r>
        <w:r>
          <w:rPr>
            <w:noProof/>
            <w:webHidden/>
          </w:rPr>
          <w:tab/>
        </w:r>
        <w:r>
          <w:rPr>
            <w:noProof/>
            <w:webHidden/>
          </w:rPr>
          <w:fldChar w:fldCharType="begin"/>
        </w:r>
        <w:r>
          <w:rPr>
            <w:noProof/>
            <w:webHidden/>
          </w:rPr>
          <w:instrText xml:space="preserve"> PAGEREF _Toc145883353 \h </w:instrText>
        </w:r>
        <w:r>
          <w:rPr>
            <w:noProof/>
            <w:webHidden/>
          </w:rPr>
        </w:r>
        <w:r>
          <w:rPr>
            <w:noProof/>
            <w:webHidden/>
          </w:rPr>
          <w:fldChar w:fldCharType="separate"/>
        </w:r>
        <w:r w:rsidR="00180E14">
          <w:rPr>
            <w:noProof/>
            <w:webHidden/>
          </w:rPr>
          <w:t>122</w:t>
        </w:r>
        <w:r>
          <w:rPr>
            <w:noProof/>
            <w:webHidden/>
          </w:rPr>
          <w:fldChar w:fldCharType="end"/>
        </w:r>
      </w:hyperlink>
    </w:p>
    <w:p w14:paraId="5B4B73B5" w14:textId="75ECED59"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4" w:history="1">
        <w:r w:rsidRPr="00AD496D">
          <w:rPr>
            <w:rStyle w:val="Hyperlink"/>
            <w:noProof/>
          </w:rPr>
          <w:t>Figure 44: Unemployment rate, seasonally adjusted, 2016–2020</w:t>
        </w:r>
        <w:r>
          <w:rPr>
            <w:noProof/>
            <w:webHidden/>
          </w:rPr>
          <w:tab/>
        </w:r>
        <w:r>
          <w:rPr>
            <w:noProof/>
            <w:webHidden/>
          </w:rPr>
          <w:fldChar w:fldCharType="begin"/>
        </w:r>
        <w:r>
          <w:rPr>
            <w:noProof/>
            <w:webHidden/>
          </w:rPr>
          <w:instrText xml:space="preserve"> PAGEREF _Toc145883354 \h </w:instrText>
        </w:r>
        <w:r>
          <w:rPr>
            <w:noProof/>
            <w:webHidden/>
          </w:rPr>
        </w:r>
        <w:r>
          <w:rPr>
            <w:noProof/>
            <w:webHidden/>
          </w:rPr>
          <w:fldChar w:fldCharType="separate"/>
        </w:r>
        <w:r w:rsidR="00180E14">
          <w:rPr>
            <w:noProof/>
            <w:webHidden/>
          </w:rPr>
          <w:t>123</w:t>
        </w:r>
        <w:r>
          <w:rPr>
            <w:noProof/>
            <w:webHidden/>
          </w:rPr>
          <w:fldChar w:fldCharType="end"/>
        </w:r>
      </w:hyperlink>
    </w:p>
    <w:p w14:paraId="78A2DC3D" w14:textId="309B3659"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5" w:history="1">
        <w:r w:rsidRPr="00AD496D">
          <w:rPr>
            <w:rStyle w:val="Hyperlink"/>
            <w:noProof/>
          </w:rPr>
          <w:t>Figure 45: Underemployment rate, seasonally adjusted, 2016–2020</w:t>
        </w:r>
        <w:r>
          <w:rPr>
            <w:noProof/>
            <w:webHidden/>
          </w:rPr>
          <w:tab/>
        </w:r>
        <w:r>
          <w:rPr>
            <w:noProof/>
            <w:webHidden/>
          </w:rPr>
          <w:fldChar w:fldCharType="begin"/>
        </w:r>
        <w:r>
          <w:rPr>
            <w:noProof/>
            <w:webHidden/>
          </w:rPr>
          <w:instrText xml:space="preserve"> PAGEREF _Toc145883355 \h </w:instrText>
        </w:r>
        <w:r>
          <w:rPr>
            <w:noProof/>
            <w:webHidden/>
          </w:rPr>
        </w:r>
        <w:r>
          <w:rPr>
            <w:noProof/>
            <w:webHidden/>
          </w:rPr>
          <w:fldChar w:fldCharType="separate"/>
        </w:r>
        <w:r w:rsidR="00180E14">
          <w:rPr>
            <w:noProof/>
            <w:webHidden/>
          </w:rPr>
          <w:t>123</w:t>
        </w:r>
        <w:r>
          <w:rPr>
            <w:noProof/>
            <w:webHidden/>
          </w:rPr>
          <w:fldChar w:fldCharType="end"/>
        </w:r>
      </w:hyperlink>
    </w:p>
    <w:p w14:paraId="1AE8092C" w14:textId="5D9E0BC1"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6" w:history="1">
        <w:r w:rsidRPr="00AD496D">
          <w:rPr>
            <w:rStyle w:val="Hyperlink"/>
            <w:noProof/>
          </w:rPr>
          <w:t>Figure 46: Unemployment rate, seasonally adjusted, post COVID-19</w:t>
        </w:r>
        <w:r>
          <w:rPr>
            <w:noProof/>
            <w:webHidden/>
          </w:rPr>
          <w:tab/>
        </w:r>
        <w:r>
          <w:rPr>
            <w:noProof/>
            <w:webHidden/>
          </w:rPr>
          <w:fldChar w:fldCharType="begin"/>
        </w:r>
        <w:r>
          <w:rPr>
            <w:noProof/>
            <w:webHidden/>
          </w:rPr>
          <w:instrText xml:space="preserve"> PAGEREF _Toc145883356 \h </w:instrText>
        </w:r>
        <w:r>
          <w:rPr>
            <w:noProof/>
            <w:webHidden/>
          </w:rPr>
        </w:r>
        <w:r>
          <w:rPr>
            <w:noProof/>
            <w:webHidden/>
          </w:rPr>
          <w:fldChar w:fldCharType="separate"/>
        </w:r>
        <w:r w:rsidR="00180E14">
          <w:rPr>
            <w:noProof/>
            <w:webHidden/>
          </w:rPr>
          <w:t>125</w:t>
        </w:r>
        <w:r>
          <w:rPr>
            <w:noProof/>
            <w:webHidden/>
          </w:rPr>
          <w:fldChar w:fldCharType="end"/>
        </w:r>
      </w:hyperlink>
    </w:p>
    <w:p w14:paraId="52B49DF2" w14:textId="1460CD52"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7" w:history="1">
        <w:r w:rsidRPr="00AD496D">
          <w:rPr>
            <w:rStyle w:val="Hyperlink"/>
            <w:noProof/>
          </w:rPr>
          <w:t>Figure 47: Participation rate, seasonally adjusted, post COVID-19</w:t>
        </w:r>
        <w:r>
          <w:rPr>
            <w:noProof/>
            <w:webHidden/>
          </w:rPr>
          <w:tab/>
        </w:r>
        <w:r>
          <w:rPr>
            <w:noProof/>
            <w:webHidden/>
          </w:rPr>
          <w:fldChar w:fldCharType="begin"/>
        </w:r>
        <w:r>
          <w:rPr>
            <w:noProof/>
            <w:webHidden/>
          </w:rPr>
          <w:instrText xml:space="preserve"> PAGEREF _Toc145883357 \h </w:instrText>
        </w:r>
        <w:r>
          <w:rPr>
            <w:noProof/>
            <w:webHidden/>
          </w:rPr>
        </w:r>
        <w:r>
          <w:rPr>
            <w:noProof/>
            <w:webHidden/>
          </w:rPr>
          <w:fldChar w:fldCharType="separate"/>
        </w:r>
        <w:r w:rsidR="00180E14">
          <w:rPr>
            <w:noProof/>
            <w:webHidden/>
          </w:rPr>
          <w:t>125</w:t>
        </w:r>
        <w:r>
          <w:rPr>
            <w:noProof/>
            <w:webHidden/>
          </w:rPr>
          <w:fldChar w:fldCharType="end"/>
        </w:r>
      </w:hyperlink>
    </w:p>
    <w:p w14:paraId="761C3942" w14:textId="12B404A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8" w:history="1">
        <w:r w:rsidRPr="00AD496D">
          <w:rPr>
            <w:rStyle w:val="Hyperlink"/>
            <w:noProof/>
          </w:rPr>
          <w:t>Figure 48: Study population construction flowchart</w:t>
        </w:r>
        <w:r>
          <w:rPr>
            <w:noProof/>
            <w:webHidden/>
          </w:rPr>
          <w:tab/>
        </w:r>
        <w:r>
          <w:rPr>
            <w:noProof/>
            <w:webHidden/>
          </w:rPr>
          <w:fldChar w:fldCharType="begin"/>
        </w:r>
        <w:r>
          <w:rPr>
            <w:noProof/>
            <w:webHidden/>
          </w:rPr>
          <w:instrText xml:space="preserve"> PAGEREF _Toc145883358 \h </w:instrText>
        </w:r>
        <w:r>
          <w:rPr>
            <w:noProof/>
            <w:webHidden/>
          </w:rPr>
        </w:r>
        <w:r>
          <w:rPr>
            <w:noProof/>
            <w:webHidden/>
          </w:rPr>
          <w:fldChar w:fldCharType="separate"/>
        </w:r>
        <w:r w:rsidR="00180E14">
          <w:rPr>
            <w:noProof/>
            <w:webHidden/>
          </w:rPr>
          <w:t>131</w:t>
        </w:r>
        <w:r>
          <w:rPr>
            <w:noProof/>
            <w:webHidden/>
          </w:rPr>
          <w:fldChar w:fldCharType="end"/>
        </w:r>
      </w:hyperlink>
    </w:p>
    <w:p w14:paraId="33CD8BD8" w14:textId="1B3F543D"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59" w:history="1">
        <w:r w:rsidRPr="00AD496D">
          <w:rPr>
            <w:rStyle w:val="Hyperlink"/>
            <w:noProof/>
          </w:rPr>
          <w:t>Figure 49: Program types since commencement (TtW sample) (% of participants in each program)</w:t>
        </w:r>
        <w:r>
          <w:rPr>
            <w:noProof/>
            <w:webHidden/>
          </w:rPr>
          <w:tab/>
        </w:r>
        <w:r>
          <w:rPr>
            <w:noProof/>
            <w:webHidden/>
          </w:rPr>
          <w:fldChar w:fldCharType="begin"/>
        </w:r>
        <w:r>
          <w:rPr>
            <w:noProof/>
            <w:webHidden/>
          </w:rPr>
          <w:instrText xml:space="preserve"> PAGEREF _Toc145883359 \h </w:instrText>
        </w:r>
        <w:r>
          <w:rPr>
            <w:noProof/>
            <w:webHidden/>
          </w:rPr>
        </w:r>
        <w:r>
          <w:rPr>
            <w:noProof/>
            <w:webHidden/>
          </w:rPr>
          <w:fldChar w:fldCharType="separate"/>
        </w:r>
        <w:r w:rsidR="00180E14">
          <w:rPr>
            <w:noProof/>
            <w:webHidden/>
          </w:rPr>
          <w:t>137</w:t>
        </w:r>
        <w:r>
          <w:rPr>
            <w:noProof/>
            <w:webHidden/>
          </w:rPr>
          <w:fldChar w:fldCharType="end"/>
        </w:r>
      </w:hyperlink>
    </w:p>
    <w:p w14:paraId="6F7AA27A" w14:textId="0589C20D"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0" w:history="1">
        <w:r w:rsidRPr="00AD496D">
          <w:rPr>
            <w:rStyle w:val="Hyperlink"/>
            <w:noProof/>
          </w:rPr>
          <w:t>Figure 50: Program types since commencement (jobactive sample) (% of participants in each program)</w:t>
        </w:r>
        <w:r>
          <w:rPr>
            <w:noProof/>
            <w:webHidden/>
          </w:rPr>
          <w:tab/>
        </w:r>
        <w:r>
          <w:rPr>
            <w:noProof/>
            <w:webHidden/>
          </w:rPr>
          <w:fldChar w:fldCharType="begin"/>
        </w:r>
        <w:r>
          <w:rPr>
            <w:noProof/>
            <w:webHidden/>
          </w:rPr>
          <w:instrText xml:space="preserve"> PAGEREF _Toc145883360 \h </w:instrText>
        </w:r>
        <w:r>
          <w:rPr>
            <w:noProof/>
            <w:webHidden/>
          </w:rPr>
        </w:r>
        <w:r>
          <w:rPr>
            <w:noProof/>
            <w:webHidden/>
          </w:rPr>
          <w:fldChar w:fldCharType="separate"/>
        </w:r>
        <w:r w:rsidR="00180E14">
          <w:rPr>
            <w:noProof/>
            <w:webHidden/>
          </w:rPr>
          <w:t>137</w:t>
        </w:r>
        <w:r>
          <w:rPr>
            <w:noProof/>
            <w:webHidden/>
          </w:rPr>
          <w:fldChar w:fldCharType="end"/>
        </w:r>
      </w:hyperlink>
    </w:p>
    <w:p w14:paraId="4EB80753" w14:textId="64F8928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1" w:history="1">
        <w:r w:rsidRPr="00AD496D">
          <w:rPr>
            <w:rStyle w:val="Hyperlink"/>
            <w:noProof/>
          </w:rPr>
          <w:t>Figure 51: Internet Vacancy Index at Skill Level 5 between January 2018 and December 2021, by state</w:t>
        </w:r>
        <w:r>
          <w:rPr>
            <w:noProof/>
            <w:webHidden/>
          </w:rPr>
          <w:tab/>
        </w:r>
        <w:r>
          <w:rPr>
            <w:noProof/>
            <w:webHidden/>
          </w:rPr>
          <w:fldChar w:fldCharType="begin"/>
        </w:r>
        <w:r>
          <w:rPr>
            <w:noProof/>
            <w:webHidden/>
          </w:rPr>
          <w:instrText xml:space="preserve"> PAGEREF _Toc145883361 \h </w:instrText>
        </w:r>
        <w:r>
          <w:rPr>
            <w:noProof/>
            <w:webHidden/>
          </w:rPr>
        </w:r>
        <w:r>
          <w:rPr>
            <w:noProof/>
            <w:webHidden/>
          </w:rPr>
          <w:fldChar w:fldCharType="separate"/>
        </w:r>
        <w:r w:rsidR="00180E14">
          <w:rPr>
            <w:noProof/>
            <w:webHidden/>
          </w:rPr>
          <w:t>146</w:t>
        </w:r>
        <w:r>
          <w:rPr>
            <w:noProof/>
            <w:webHidden/>
          </w:rPr>
          <w:fldChar w:fldCharType="end"/>
        </w:r>
      </w:hyperlink>
    </w:p>
    <w:p w14:paraId="04FDCF4D" w14:textId="0F941832"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2" w:history="1">
        <w:r w:rsidRPr="00AD496D">
          <w:rPr>
            <w:rStyle w:val="Hyperlink"/>
            <w:noProof/>
          </w:rPr>
          <w:t>Figure 52: Average Personal Wellbeing Index score</w:t>
        </w:r>
        <w:r>
          <w:rPr>
            <w:noProof/>
            <w:webHidden/>
          </w:rPr>
          <w:tab/>
        </w:r>
        <w:r>
          <w:rPr>
            <w:noProof/>
            <w:webHidden/>
          </w:rPr>
          <w:fldChar w:fldCharType="begin"/>
        </w:r>
        <w:r>
          <w:rPr>
            <w:noProof/>
            <w:webHidden/>
          </w:rPr>
          <w:instrText xml:space="preserve"> PAGEREF _Toc145883362 \h </w:instrText>
        </w:r>
        <w:r>
          <w:rPr>
            <w:noProof/>
            <w:webHidden/>
          </w:rPr>
        </w:r>
        <w:r>
          <w:rPr>
            <w:noProof/>
            <w:webHidden/>
          </w:rPr>
          <w:fldChar w:fldCharType="separate"/>
        </w:r>
        <w:r w:rsidR="00180E14">
          <w:rPr>
            <w:noProof/>
            <w:webHidden/>
          </w:rPr>
          <w:t>149</w:t>
        </w:r>
        <w:r>
          <w:rPr>
            <w:noProof/>
            <w:webHidden/>
          </w:rPr>
          <w:fldChar w:fldCharType="end"/>
        </w:r>
      </w:hyperlink>
    </w:p>
    <w:p w14:paraId="18066FC7" w14:textId="683BFBB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3" w:history="1">
        <w:r w:rsidRPr="00AD496D">
          <w:rPr>
            <w:rStyle w:val="Hyperlink"/>
            <w:noProof/>
          </w:rPr>
          <w:t>Figure 53: Participant views on impacts of COVID-19 (% negative / very negative)</w:t>
        </w:r>
        <w:r>
          <w:rPr>
            <w:noProof/>
            <w:webHidden/>
          </w:rPr>
          <w:tab/>
        </w:r>
        <w:r>
          <w:rPr>
            <w:noProof/>
            <w:webHidden/>
          </w:rPr>
          <w:fldChar w:fldCharType="begin"/>
        </w:r>
        <w:r>
          <w:rPr>
            <w:noProof/>
            <w:webHidden/>
          </w:rPr>
          <w:instrText xml:space="preserve"> PAGEREF _Toc145883363 \h </w:instrText>
        </w:r>
        <w:r>
          <w:rPr>
            <w:noProof/>
            <w:webHidden/>
          </w:rPr>
        </w:r>
        <w:r>
          <w:rPr>
            <w:noProof/>
            <w:webHidden/>
          </w:rPr>
          <w:fldChar w:fldCharType="separate"/>
        </w:r>
        <w:r w:rsidR="00180E14">
          <w:rPr>
            <w:noProof/>
            <w:webHidden/>
          </w:rPr>
          <w:t>182</w:t>
        </w:r>
        <w:r>
          <w:rPr>
            <w:noProof/>
            <w:webHidden/>
          </w:rPr>
          <w:fldChar w:fldCharType="end"/>
        </w:r>
      </w:hyperlink>
    </w:p>
    <w:p w14:paraId="49FADE9D" w14:textId="4ED7A06E"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4" w:history="1">
        <w:r w:rsidRPr="00AD496D">
          <w:rPr>
            <w:rStyle w:val="Hyperlink"/>
            <w:noProof/>
          </w:rPr>
          <w:t>Figure 54: Caseworker impacts on development of human capabilities (% of participants rating caseworker impact as positive / very positive)</w:t>
        </w:r>
        <w:r>
          <w:rPr>
            <w:noProof/>
            <w:webHidden/>
          </w:rPr>
          <w:tab/>
        </w:r>
        <w:r>
          <w:rPr>
            <w:noProof/>
            <w:webHidden/>
          </w:rPr>
          <w:fldChar w:fldCharType="begin"/>
        </w:r>
        <w:r>
          <w:rPr>
            <w:noProof/>
            <w:webHidden/>
          </w:rPr>
          <w:instrText xml:space="preserve"> PAGEREF _Toc145883364 \h </w:instrText>
        </w:r>
        <w:r>
          <w:rPr>
            <w:noProof/>
            <w:webHidden/>
          </w:rPr>
        </w:r>
        <w:r>
          <w:rPr>
            <w:noProof/>
            <w:webHidden/>
          </w:rPr>
          <w:fldChar w:fldCharType="separate"/>
        </w:r>
        <w:r w:rsidR="00180E14">
          <w:rPr>
            <w:noProof/>
            <w:webHidden/>
          </w:rPr>
          <w:t>184</w:t>
        </w:r>
        <w:r>
          <w:rPr>
            <w:noProof/>
            <w:webHidden/>
          </w:rPr>
          <w:fldChar w:fldCharType="end"/>
        </w:r>
      </w:hyperlink>
    </w:p>
    <w:p w14:paraId="383B0527" w14:textId="48036977"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5" w:history="1">
        <w:r w:rsidRPr="00AD496D">
          <w:rPr>
            <w:rStyle w:val="Hyperlink"/>
            <w:noProof/>
          </w:rPr>
          <w:t>Figure 55: Current barriers to work and study (% of participants identifying barrier)</w:t>
        </w:r>
        <w:r>
          <w:rPr>
            <w:noProof/>
            <w:webHidden/>
          </w:rPr>
          <w:tab/>
        </w:r>
        <w:r>
          <w:rPr>
            <w:noProof/>
            <w:webHidden/>
          </w:rPr>
          <w:fldChar w:fldCharType="begin"/>
        </w:r>
        <w:r>
          <w:rPr>
            <w:noProof/>
            <w:webHidden/>
          </w:rPr>
          <w:instrText xml:space="preserve"> PAGEREF _Toc145883365 \h </w:instrText>
        </w:r>
        <w:r>
          <w:rPr>
            <w:noProof/>
            <w:webHidden/>
          </w:rPr>
        </w:r>
        <w:r>
          <w:rPr>
            <w:noProof/>
            <w:webHidden/>
          </w:rPr>
          <w:fldChar w:fldCharType="separate"/>
        </w:r>
        <w:r w:rsidR="00180E14">
          <w:rPr>
            <w:noProof/>
            <w:webHidden/>
          </w:rPr>
          <w:t>185</w:t>
        </w:r>
        <w:r>
          <w:rPr>
            <w:noProof/>
            <w:webHidden/>
          </w:rPr>
          <w:fldChar w:fldCharType="end"/>
        </w:r>
      </w:hyperlink>
    </w:p>
    <w:p w14:paraId="4B417405" w14:textId="6708C33D"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6" w:history="1">
        <w:r w:rsidRPr="00AD496D">
          <w:rPr>
            <w:rStyle w:val="Hyperlink"/>
            <w:noProof/>
          </w:rPr>
          <w:t>Figure 56: Vocational support provided by caseworker (% of participants identifying support)</w:t>
        </w:r>
        <w:r>
          <w:rPr>
            <w:noProof/>
            <w:webHidden/>
          </w:rPr>
          <w:tab/>
        </w:r>
        <w:r>
          <w:rPr>
            <w:noProof/>
            <w:webHidden/>
          </w:rPr>
          <w:fldChar w:fldCharType="begin"/>
        </w:r>
        <w:r>
          <w:rPr>
            <w:noProof/>
            <w:webHidden/>
          </w:rPr>
          <w:instrText xml:space="preserve"> PAGEREF _Toc145883366 \h </w:instrText>
        </w:r>
        <w:r>
          <w:rPr>
            <w:noProof/>
            <w:webHidden/>
          </w:rPr>
        </w:r>
        <w:r>
          <w:rPr>
            <w:noProof/>
            <w:webHidden/>
          </w:rPr>
          <w:fldChar w:fldCharType="separate"/>
        </w:r>
        <w:r w:rsidR="00180E14">
          <w:rPr>
            <w:noProof/>
            <w:webHidden/>
          </w:rPr>
          <w:t>186</w:t>
        </w:r>
        <w:r>
          <w:rPr>
            <w:noProof/>
            <w:webHidden/>
          </w:rPr>
          <w:fldChar w:fldCharType="end"/>
        </w:r>
      </w:hyperlink>
    </w:p>
    <w:p w14:paraId="290CCF44" w14:textId="131CF594"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7" w:history="1">
        <w:r w:rsidRPr="00AD496D">
          <w:rPr>
            <w:rStyle w:val="Hyperlink"/>
            <w:noProof/>
          </w:rPr>
          <w:t>Figure 57: Non-vocational support provided by caseworker (% of participants identifying support)</w:t>
        </w:r>
        <w:r>
          <w:rPr>
            <w:noProof/>
            <w:webHidden/>
          </w:rPr>
          <w:tab/>
        </w:r>
        <w:r>
          <w:rPr>
            <w:noProof/>
            <w:webHidden/>
          </w:rPr>
          <w:fldChar w:fldCharType="begin"/>
        </w:r>
        <w:r>
          <w:rPr>
            <w:noProof/>
            <w:webHidden/>
          </w:rPr>
          <w:instrText xml:space="preserve"> PAGEREF _Toc145883367 \h </w:instrText>
        </w:r>
        <w:r>
          <w:rPr>
            <w:noProof/>
            <w:webHidden/>
          </w:rPr>
        </w:r>
        <w:r>
          <w:rPr>
            <w:noProof/>
            <w:webHidden/>
          </w:rPr>
          <w:fldChar w:fldCharType="separate"/>
        </w:r>
        <w:r w:rsidR="00180E14">
          <w:rPr>
            <w:noProof/>
            <w:webHidden/>
          </w:rPr>
          <w:t>187</w:t>
        </w:r>
        <w:r>
          <w:rPr>
            <w:noProof/>
            <w:webHidden/>
          </w:rPr>
          <w:fldChar w:fldCharType="end"/>
        </w:r>
      </w:hyperlink>
    </w:p>
    <w:p w14:paraId="6B78294F" w14:textId="50B9E239"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8" w:history="1">
        <w:r w:rsidRPr="00AD496D">
          <w:rPr>
            <w:rStyle w:val="Hyperlink"/>
            <w:noProof/>
          </w:rPr>
          <w:t>Figure 58: Effect of TtW program on participant attributes (% of provider respondents identifying that TtW had a very good, good or moderate effect on participant attributes)</w:t>
        </w:r>
        <w:r>
          <w:rPr>
            <w:noProof/>
            <w:webHidden/>
          </w:rPr>
          <w:tab/>
        </w:r>
        <w:r>
          <w:rPr>
            <w:noProof/>
            <w:webHidden/>
          </w:rPr>
          <w:fldChar w:fldCharType="begin"/>
        </w:r>
        <w:r>
          <w:rPr>
            <w:noProof/>
            <w:webHidden/>
          </w:rPr>
          <w:instrText xml:space="preserve"> PAGEREF _Toc145883368 \h </w:instrText>
        </w:r>
        <w:r>
          <w:rPr>
            <w:noProof/>
            <w:webHidden/>
          </w:rPr>
        </w:r>
        <w:r>
          <w:rPr>
            <w:noProof/>
            <w:webHidden/>
          </w:rPr>
          <w:fldChar w:fldCharType="separate"/>
        </w:r>
        <w:r w:rsidR="00180E14">
          <w:rPr>
            <w:noProof/>
            <w:webHidden/>
          </w:rPr>
          <w:t>188</w:t>
        </w:r>
        <w:r>
          <w:rPr>
            <w:noProof/>
            <w:webHidden/>
          </w:rPr>
          <w:fldChar w:fldCharType="end"/>
        </w:r>
      </w:hyperlink>
    </w:p>
    <w:p w14:paraId="7BD5B215" w14:textId="5A6BF3F4"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69" w:history="1">
        <w:r w:rsidRPr="00AD496D">
          <w:rPr>
            <w:rStyle w:val="Hyperlink"/>
            <w:noProof/>
          </w:rPr>
          <w:t xml:space="preserve">Figure 59: </w:t>
        </w:r>
        <w:r w:rsidRPr="00AD496D">
          <w:rPr>
            <w:rStyle w:val="Hyperlink"/>
            <w:noProof/>
            <w:lang w:eastAsia="en-AU"/>
          </w:rPr>
          <w:t>Most common vocational barriers for participants at provider sites (%</w:t>
        </w:r>
        <w:r w:rsidRPr="00AD496D">
          <w:rPr>
            <w:rStyle w:val="Hyperlink"/>
            <w:noProof/>
          </w:rPr>
          <w:t xml:space="preserve"> of provider respondents identifying each barrier)</w:t>
        </w:r>
        <w:r>
          <w:rPr>
            <w:noProof/>
            <w:webHidden/>
          </w:rPr>
          <w:tab/>
        </w:r>
        <w:r>
          <w:rPr>
            <w:noProof/>
            <w:webHidden/>
          </w:rPr>
          <w:fldChar w:fldCharType="begin"/>
        </w:r>
        <w:r>
          <w:rPr>
            <w:noProof/>
            <w:webHidden/>
          </w:rPr>
          <w:instrText xml:space="preserve"> PAGEREF _Toc145883369 \h </w:instrText>
        </w:r>
        <w:r>
          <w:rPr>
            <w:noProof/>
            <w:webHidden/>
          </w:rPr>
        </w:r>
        <w:r>
          <w:rPr>
            <w:noProof/>
            <w:webHidden/>
          </w:rPr>
          <w:fldChar w:fldCharType="separate"/>
        </w:r>
        <w:r w:rsidR="00180E14">
          <w:rPr>
            <w:noProof/>
            <w:webHidden/>
          </w:rPr>
          <w:t>189</w:t>
        </w:r>
        <w:r>
          <w:rPr>
            <w:noProof/>
            <w:webHidden/>
          </w:rPr>
          <w:fldChar w:fldCharType="end"/>
        </w:r>
      </w:hyperlink>
    </w:p>
    <w:p w14:paraId="501DCF88" w14:textId="50F1A21A"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70" w:history="1">
        <w:r w:rsidRPr="00AD496D">
          <w:rPr>
            <w:rStyle w:val="Hyperlink"/>
            <w:noProof/>
          </w:rPr>
          <w:t xml:space="preserve">Figure 60: </w:t>
        </w:r>
        <w:r w:rsidRPr="00AD496D">
          <w:rPr>
            <w:rStyle w:val="Hyperlink"/>
            <w:noProof/>
            <w:lang w:eastAsia="en-AU"/>
          </w:rPr>
          <w:t>Most common non-vocational barriers for participants at provider sites (%</w:t>
        </w:r>
        <w:r w:rsidRPr="00AD496D">
          <w:rPr>
            <w:rStyle w:val="Hyperlink"/>
            <w:noProof/>
          </w:rPr>
          <w:t xml:space="preserve"> of provider respondents identifying each barrier)</w:t>
        </w:r>
        <w:r>
          <w:rPr>
            <w:noProof/>
            <w:webHidden/>
          </w:rPr>
          <w:tab/>
        </w:r>
        <w:r>
          <w:rPr>
            <w:noProof/>
            <w:webHidden/>
          </w:rPr>
          <w:fldChar w:fldCharType="begin"/>
        </w:r>
        <w:r>
          <w:rPr>
            <w:noProof/>
            <w:webHidden/>
          </w:rPr>
          <w:instrText xml:space="preserve"> PAGEREF _Toc145883370 \h </w:instrText>
        </w:r>
        <w:r>
          <w:rPr>
            <w:noProof/>
            <w:webHidden/>
          </w:rPr>
        </w:r>
        <w:r>
          <w:rPr>
            <w:noProof/>
            <w:webHidden/>
          </w:rPr>
          <w:fldChar w:fldCharType="separate"/>
        </w:r>
        <w:r w:rsidR="00180E14">
          <w:rPr>
            <w:noProof/>
            <w:webHidden/>
          </w:rPr>
          <w:t>190</w:t>
        </w:r>
        <w:r>
          <w:rPr>
            <w:noProof/>
            <w:webHidden/>
          </w:rPr>
          <w:fldChar w:fldCharType="end"/>
        </w:r>
      </w:hyperlink>
    </w:p>
    <w:p w14:paraId="22AF70A5" w14:textId="408DEC84"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71" w:history="1">
        <w:r w:rsidRPr="00AD496D">
          <w:rPr>
            <w:rStyle w:val="Hyperlink"/>
            <w:noProof/>
          </w:rPr>
          <w:t>Figure 61: Types of referred services – non-vocational (% of provider respondents identifying services that participants are referred to at their site)</w:t>
        </w:r>
        <w:r>
          <w:rPr>
            <w:noProof/>
            <w:webHidden/>
          </w:rPr>
          <w:tab/>
        </w:r>
        <w:r>
          <w:rPr>
            <w:noProof/>
            <w:webHidden/>
          </w:rPr>
          <w:fldChar w:fldCharType="begin"/>
        </w:r>
        <w:r>
          <w:rPr>
            <w:noProof/>
            <w:webHidden/>
          </w:rPr>
          <w:instrText xml:space="preserve"> PAGEREF _Toc145883371 \h </w:instrText>
        </w:r>
        <w:r>
          <w:rPr>
            <w:noProof/>
            <w:webHidden/>
          </w:rPr>
        </w:r>
        <w:r>
          <w:rPr>
            <w:noProof/>
            <w:webHidden/>
          </w:rPr>
          <w:fldChar w:fldCharType="separate"/>
        </w:r>
        <w:r w:rsidR="00180E14">
          <w:rPr>
            <w:noProof/>
            <w:webHidden/>
          </w:rPr>
          <w:t>191</w:t>
        </w:r>
        <w:r>
          <w:rPr>
            <w:noProof/>
            <w:webHidden/>
          </w:rPr>
          <w:fldChar w:fldCharType="end"/>
        </w:r>
      </w:hyperlink>
    </w:p>
    <w:p w14:paraId="3F81346C" w14:textId="55EFA4F0"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72" w:history="1">
        <w:r w:rsidRPr="00AD496D">
          <w:rPr>
            <w:rStyle w:val="Hyperlink"/>
            <w:noProof/>
          </w:rPr>
          <w:t>Figure 62: Types of services or assistance not available for referrals – non-vocational (% of provider respondents identifying services they had been unable to refer participants at their site)</w:t>
        </w:r>
        <w:r>
          <w:rPr>
            <w:noProof/>
            <w:webHidden/>
          </w:rPr>
          <w:tab/>
        </w:r>
        <w:r>
          <w:rPr>
            <w:noProof/>
            <w:webHidden/>
          </w:rPr>
          <w:fldChar w:fldCharType="begin"/>
        </w:r>
        <w:r>
          <w:rPr>
            <w:noProof/>
            <w:webHidden/>
          </w:rPr>
          <w:instrText xml:space="preserve"> PAGEREF _Toc145883372 \h </w:instrText>
        </w:r>
        <w:r>
          <w:rPr>
            <w:noProof/>
            <w:webHidden/>
          </w:rPr>
        </w:r>
        <w:r>
          <w:rPr>
            <w:noProof/>
            <w:webHidden/>
          </w:rPr>
          <w:fldChar w:fldCharType="separate"/>
        </w:r>
        <w:r w:rsidR="00180E14">
          <w:rPr>
            <w:noProof/>
            <w:webHidden/>
          </w:rPr>
          <w:t>192</w:t>
        </w:r>
        <w:r>
          <w:rPr>
            <w:noProof/>
            <w:webHidden/>
          </w:rPr>
          <w:fldChar w:fldCharType="end"/>
        </w:r>
      </w:hyperlink>
    </w:p>
    <w:p w14:paraId="5AC4DBD7" w14:textId="7DFFB8B5" w:rsidR="0096560E" w:rsidRDefault="0096560E">
      <w:pPr>
        <w:pStyle w:val="TableofFigures"/>
        <w:tabs>
          <w:tab w:val="right" w:leader="dot" w:pos="9016"/>
        </w:tabs>
        <w:rPr>
          <w:rFonts w:asciiTheme="minorHAnsi" w:eastAsiaTheme="minorEastAsia" w:hAnsiTheme="minorHAnsi"/>
          <w:noProof/>
          <w:sz w:val="22"/>
          <w:lang w:eastAsia="en-AU"/>
        </w:rPr>
      </w:pPr>
      <w:hyperlink w:anchor="_Toc145883373" w:history="1">
        <w:r w:rsidRPr="00AD496D">
          <w:rPr>
            <w:rStyle w:val="Hyperlink"/>
            <w:noProof/>
          </w:rPr>
          <w:t>Figure 63: Reasons why unable to refer participants to services or assistance (% of provider respondents identifying reasons they were unable to refer participants at their site)</w:t>
        </w:r>
        <w:r>
          <w:rPr>
            <w:noProof/>
            <w:webHidden/>
          </w:rPr>
          <w:tab/>
        </w:r>
        <w:r>
          <w:rPr>
            <w:noProof/>
            <w:webHidden/>
          </w:rPr>
          <w:fldChar w:fldCharType="begin"/>
        </w:r>
        <w:r>
          <w:rPr>
            <w:noProof/>
            <w:webHidden/>
          </w:rPr>
          <w:instrText xml:space="preserve"> PAGEREF _Toc145883373 \h </w:instrText>
        </w:r>
        <w:r>
          <w:rPr>
            <w:noProof/>
            <w:webHidden/>
          </w:rPr>
        </w:r>
        <w:r>
          <w:rPr>
            <w:noProof/>
            <w:webHidden/>
          </w:rPr>
          <w:fldChar w:fldCharType="separate"/>
        </w:r>
        <w:r w:rsidR="00180E14">
          <w:rPr>
            <w:noProof/>
            <w:webHidden/>
          </w:rPr>
          <w:t>193</w:t>
        </w:r>
        <w:r>
          <w:rPr>
            <w:noProof/>
            <w:webHidden/>
          </w:rPr>
          <w:fldChar w:fldCharType="end"/>
        </w:r>
      </w:hyperlink>
    </w:p>
    <w:p w14:paraId="5BCABBF0" w14:textId="03C58E9A" w:rsidR="00B8116A" w:rsidRDefault="00B8116A" w:rsidP="009251AF">
      <w:r>
        <w:fldChar w:fldCharType="end"/>
      </w:r>
    </w:p>
    <w:p w14:paraId="032208BB" w14:textId="77777777" w:rsidR="00DF6230" w:rsidRDefault="00DF6230" w:rsidP="00DF6230">
      <w:pPr>
        <w:sectPr w:rsidR="00DF6230" w:rsidSect="000A7998">
          <w:pgSz w:w="11906" w:h="16838"/>
          <w:pgMar w:top="2268" w:right="1440" w:bottom="1440" w:left="1440" w:header="0" w:footer="708" w:gutter="0"/>
          <w:cols w:space="708"/>
          <w:docGrid w:linePitch="360"/>
        </w:sectPr>
      </w:pPr>
    </w:p>
    <w:p w14:paraId="389834CA" w14:textId="592EA5C6" w:rsidR="001431BC" w:rsidRDefault="001431BC" w:rsidP="009251AF">
      <w:pPr>
        <w:pStyle w:val="Heading1a"/>
      </w:pPr>
      <w:bookmarkStart w:id="3876" w:name="_Toc132650530"/>
      <w:bookmarkStart w:id="3877" w:name="_Toc146033559"/>
      <w:r>
        <w:lastRenderedPageBreak/>
        <w:t>Macroeconomic conditions affecting program outcomes</w:t>
      </w:r>
      <w:bookmarkEnd w:id="3876"/>
      <w:bookmarkEnd w:id="3877"/>
    </w:p>
    <w:p w14:paraId="5EF8200A" w14:textId="42BE3DCC" w:rsidR="00D0172A" w:rsidRDefault="00D0172A" w:rsidP="009251AF">
      <w:pPr>
        <w:pStyle w:val="Heading2a"/>
      </w:pPr>
      <w:bookmarkStart w:id="3878" w:name="_Toc132650531"/>
      <w:bookmarkStart w:id="3879" w:name="_Toc146033560"/>
      <w:r>
        <w:t>An underlying upward trend in economic growth, 2016</w:t>
      </w:r>
      <w:r w:rsidR="00FD0781">
        <w:t>–</w:t>
      </w:r>
      <w:r>
        <w:t>2020</w:t>
      </w:r>
      <w:bookmarkEnd w:id="3878"/>
      <w:bookmarkEnd w:id="3879"/>
    </w:p>
    <w:p w14:paraId="6FF2089B" w14:textId="121CDCD3" w:rsidR="00D0172A" w:rsidRDefault="00D0172A" w:rsidP="00D0172A">
      <w:r>
        <w:t xml:space="preserve">Prior to the bushfires and COVID-19, the Australian economy had experienced almost </w:t>
      </w:r>
      <w:r w:rsidR="00F8391B">
        <w:t>3</w:t>
      </w:r>
      <w:r>
        <w:t xml:space="preserve"> decades of growth, with employment growth recorded across a diverse range of jobs and at all skill levels. Accompanying this growth was structural change to the labour market, with a shift away from manufacturing, agriculture and related industries towards labour</w:t>
      </w:r>
      <w:r w:rsidR="00FD0781">
        <w:t>-</w:t>
      </w:r>
      <w:r>
        <w:t>intensive service industries, as well as higher skilled occupations (</w:t>
      </w:r>
      <w:r w:rsidRPr="009F0B87">
        <w:rPr>
          <w:b/>
          <w:bCs/>
        </w:rPr>
        <w:t>Australian Skills</w:t>
      </w:r>
      <w:r w:rsidRPr="00113962">
        <w:rPr>
          <w:b/>
          <w:bCs/>
        </w:rPr>
        <w:t xml:space="preserve"> Commission </w:t>
      </w:r>
      <w:r>
        <w:rPr>
          <w:b/>
          <w:bCs/>
        </w:rPr>
        <w:t>2019</w:t>
      </w:r>
      <w:r>
        <w:t>).</w:t>
      </w:r>
    </w:p>
    <w:p w14:paraId="33410E82" w14:textId="77777777" w:rsidR="00D0172A" w:rsidRDefault="00D0172A" w:rsidP="009251AF">
      <w:pPr>
        <w:spacing w:after="0"/>
      </w:pPr>
      <w:r>
        <w:t>The Skills Commission (</w:t>
      </w:r>
      <w:r w:rsidRPr="00BB14FF">
        <w:rPr>
          <w:b/>
          <w:bCs/>
        </w:rPr>
        <w:t>20</w:t>
      </w:r>
      <w:r>
        <w:rPr>
          <w:b/>
          <w:bCs/>
        </w:rPr>
        <w:t>19</w:t>
      </w:r>
      <w:r>
        <w:t>) identified a number of other trends:</w:t>
      </w:r>
    </w:p>
    <w:p w14:paraId="61D64FCA" w14:textId="78505787" w:rsidR="00D0172A" w:rsidRPr="0034179E" w:rsidRDefault="00D0172A" w:rsidP="007F37E0">
      <w:pPr>
        <w:pStyle w:val="ListBullet"/>
      </w:pPr>
      <w:r w:rsidRPr="00836D9A">
        <w:t>The shift towards service-</w:t>
      </w:r>
      <w:r w:rsidRPr="0034179E">
        <w:t>based industries and higher skilled occupations has meant that education has become increasingly important, and the population has become increasingly highly educated.</w:t>
      </w:r>
    </w:p>
    <w:p w14:paraId="75BFEBEB" w14:textId="77777777" w:rsidR="00D0172A" w:rsidRPr="0034179E" w:rsidRDefault="00D0172A" w:rsidP="007F37E0">
      <w:pPr>
        <w:pStyle w:val="ListBullet"/>
      </w:pPr>
      <w:r w:rsidRPr="0034179E">
        <w:t>Skills such as communication skills, relationship building, teamwork and collaboration and planning have also become increasingly valued by employers.</w:t>
      </w:r>
    </w:p>
    <w:p w14:paraId="5ECA9A05" w14:textId="77777777" w:rsidR="00D0172A" w:rsidRPr="0034179E" w:rsidRDefault="00D0172A" w:rsidP="007F37E0">
      <w:pPr>
        <w:pStyle w:val="ListBullet"/>
      </w:pPr>
      <w:r w:rsidRPr="0034179E">
        <w:t>Shortages of skilled workers have become more prevalent.</w:t>
      </w:r>
    </w:p>
    <w:p w14:paraId="1D839134" w14:textId="4CC8C475" w:rsidR="00D0172A" w:rsidRPr="0034179E" w:rsidRDefault="00D0172A" w:rsidP="007F37E0">
      <w:pPr>
        <w:pStyle w:val="ListBullet"/>
      </w:pPr>
      <w:r w:rsidRPr="0034179E">
        <w:t>More women and mature</w:t>
      </w:r>
      <w:r w:rsidR="00FD0781">
        <w:t>-</w:t>
      </w:r>
      <w:r w:rsidRPr="0034179E">
        <w:t xml:space="preserve">aged people are participating in the workforce. </w:t>
      </w:r>
    </w:p>
    <w:p w14:paraId="5B663422" w14:textId="6DE7290F" w:rsidR="00D0172A" w:rsidRPr="0034179E" w:rsidRDefault="00D0172A" w:rsidP="007F37E0">
      <w:pPr>
        <w:pStyle w:val="ListBullet"/>
      </w:pPr>
      <w:r w:rsidRPr="0034179E">
        <w:t>Part-time and casual work has increased, as has underemployment.</w:t>
      </w:r>
    </w:p>
    <w:p w14:paraId="7AEAD7B0" w14:textId="3141850D" w:rsidR="00D0172A" w:rsidRDefault="00D0172A" w:rsidP="00D0172A">
      <w:r>
        <w:t xml:space="preserve">While many have benefited from this growth, the impact has not been uniform, with some areas and groups – such as youth (particularly early school leavers), the </w:t>
      </w:r>
      <w:r w:rsidR="006150C6">
        <w:t>long-term</w:t>
      </w:r>
      <w:r>
        <w:t xml:space="preserve"> unemployed and unskilled workers – being adversely impacted.</w:t>
      </w:r>
    </w:p>
    <w:p w14:paraId="1E6164E3" w14:textId="3D3ABDD2" w:rsidR="00D0172A" w:rsidRDefault="00D0172A" w:rsidP="00D0172A">
      <w:r>
        <w:t xml:space="preserve">During the </w:t>
      </w:r>
      <w:r w:rsidR="00F8391B">
        <w:t>4</w:t>
      </w:r>
      <w:r>
        <w:t xml:space="preserve"> years from April 2016 to March 2020 labour market conditions in Australia strengthened considerably, with an </w:t>
      </w:r>
      <w:r w:rsidRPr="00E66519">
        <w:t>increase in the level of employment overall</w:t>
      </w:r>
      <w:r>
        <w:t xml:space="preserve"> (from 11.9 million to 13 million people)</w:t>
      </w:r>
      <w:r w:rsidRPr="00E66519">
        <w:t xml:space="preserve">, a </w:t>
      </w:r>
      <w:r>
        <w:t xml:space="preserve">slight </w:t>
      </w:r>
      <w:r w:rsidRPr="00E66519">
        <w:t>increase in the participation rate</w:t>
      </w:r>
      <w:r>
        <w:t xml:space="preserve"> (from 64.9% to 65.9%) and a decrease in the </w:t>
      </w:r>
      <w:r w:rsidRPr="00E05B4E">
        <w:t xml:space="preserve">unemployment </w:t>
      </w:r>
      <w:r w:rsidRPr="00D81F43">
        <w:t xml:space="preserve">rate </w:t>
      </w:r>
      <w:r w:rsidRPr="004A440A">
        <w:t>(</w:t>
      </w:r>
      <w:r w:rsidRPr="004A440A">
        <w:rPr>
          <w:b/>
          <w:bCs/>
        </w:rPr>
        <w:t xml:space="preserve">Figures </w:t>
      </w:r>
      <w:r w:rsidR="00D81F43" w:rsidRPr="004A440A">
        <w:rPr>
          <w:b/>
          <w:bCs/>
        </w:rPr>
        <w:t>4</w:t>
      </w:r>
      <w:r w:rsidR="004416CF">
        <w:rPr>
          <w:b/>
          <w:bCs/>
        </w:rPr>
        <w:t>2</w:t>
      </w:r>
      <w:r w:rsidR="00D81F43" w:rsidRPr="004A440A">
        <w:rPr>
          <w:b/>
          <w:bCs/>
        </w:rPr>
        <w:t xml:space="preserve"> </w:t>
      </w:r>
      <w:r w:rsidR="00FD0781">
        <w:rPr>
          <w:b/>
          <w:bCs/>
        </w:rPr>
        <w:t xml:space="preserve">to </w:t>
      </w:r>
      <w:r w:rsidR="004416CF">
        <w:rPr>
          <w:b/>
          <w:bCs/>
        </w:rPr>
        <w:t>44</w:t>
      </w:r>
      <w:r w:rsidRPr="004A440A">
        <w:t>).</w:t>
      </w:r>
    </w:p>
    <w:p w14:paraId="19682C50" w14:textId="2E3F843F" w:rsidR="00D0172A" w:rsidRDefault="00D0172A" w:rsidP="00D0172A">
      <w:pPr>
        <w:pStyle w:val="Caption"/>
        <w:keepNext/>
      </w:pPr>
      <w:bookmarkStart w:id="3880" w:name="_Toc132647883"/>
      <w:bookmarkStart w:id="3881" w:name="_Toc145883352"/>
      <w:bookmarkStart w:id="3882" w:name="_Hlk124856037"/>
      <w:r>
        <w:lastRenderedPageBreak/>
        <w:t xml:space="preserve">Figure </w:t>
      </w:r>
      <w:r w:rsidR="00BE71D4">
        <w:fldChar w:fldCharType="begin"/>
      </w:r>
      <w:r w:rsidR="00BE71D4">
        <w:instrText xml:space="preserve"> SEQ Figure \* ARABIC </w:instrText>
      </w:r>
      <w:r w:rsidR="00BE71D4">
        <w:fldChar w:fldCharType="separate"/>
      </w:r>
      <w:r w:rsidR="00180E14">
        <w:rPr>
          <w:noProof/>
        </w:rPr>
        <w:t>42</w:t>
      </w:r>
      <w:r w:rsidR="00BE71D4">
        <w:rPr>
          <w:noProof/>
        </w:rPr>
        <w:fldChar w:fldCharType="end"/>
      </w:r>
      <w:r>
        <w:t xml:space="preserve">: </w:t>
      </w:r>
      <w:r w:rsidRPr="009944CF">
        <w:t>Employed persons, seasonally adjusted, 2016</w:t>
      </w:r>
      <w:r w:rsidR="00FD0781">
        <w:t>–</w:t>
      </w:r>
      <w:r w:rsidRPr="009944CF">
        <w:t>2020</w:t>
      </w:r>
      <w:bookmarkEnd w:id="3880"/>
      <w:bookmarkEnd w:id="3881"/>
    </w:p>
    <w:bookmarkEnd w:id="3882"/>
    <w:p w14:paraId="4C78B65A" w14:textId="0B75BDCC" w:rsidR="00D0172A" w:rsidRPr="0084247C" w:rsidRDefault="0088479A" w:rsidP="00D0172A">
      <w:r>
        <w:rPr>
          <w:noProof/>
        </w:rPr>
        <w:drawing>
          <wp:inline distT="0" distB="0" distL="0" distR="0" wp14:anchorId="7F3EBB9B" wp14:editId="1681F097">
            <wp:extent cx="5718810" cy="3377565"/>
            <wp:effectExtent l="0" t="0" r="0" b="0"/>
            <wp:docPr id="109" name="Picture 109"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 showing the trends discussed in the preceding paragraphs."/>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18810" cy="3377565"/>
                    </a:xfrm>
                    <a:prstGeom prst="rect">
                      <a:avLst/>
                    </a:prstGeom>
                    <a:noFill/>
                  </pic:spPr>
                </pic:pic>
              </a:graphicData>
            </a:graphic>
          </wp:inline>
        </w:drawing>
      </w:r>
    </w:p>
    <w:p w14:paraId="4DF88ADD" w14:textId="61D08E82" w:rsidR="00D0172A" w:rsidRDefault="00D0172A" w:rsidP="00D0172A">
      <w:pPr>
        <w:pStyle w:val="SourceandNotes"/>
      </w:pPr>
      <w:r>
        <w:t xml:space="preserve">Source: ABS, </w:t>
      </w:r>
      <w:r w:rsidRPr="00E05B4E">
        <w:t>6291.0.55.001 Labour Force, Australia, Detailed</w:t>
      </w:r>
    </w:p>
    <w:p w14:paraId="18F80CC9" w14:textId="4FD0B6A9" w:rsidR="00F200DB" w:rsidRDefault="00F200DB" w:rsidP="00D0172A">
      <w:pPr>
        <w:pStyle w:val="SourceandNotes"/>
      </w:pPr>
      <w:r>
        <w:t>Note: A person is considered to be employed if they are in a paid job for one hour or more in a week</w:t>
      </w:r>
    </w:p>
    <w:p w14:paraId="52F416E7" w14:textId="7BA23842" w:rsidR="00D0172A" w:rsidRDefault="00D0172A" w:rsidP="00D0172A">
      <w:pPr>
        <w:pStyle w:val="Caption"/>
        <w:keepNext/>
      </w:pPr>
      <w:bookmarkStart w:id="3883" w:name="_Toc132647884"/>
      <w:bookmarkStart w:id="3884" w:name="_Toc145883353"/>
      <w:bookmarkStart w:id="3885" w:name="_Hlk124856000"/>
      <w:r>
        <w:t xml:space="preserve">Figure </w:t>
      </w:r>
      <w:r w:rsidR="00BE71D4">
        <w:fldChar w:fldCharType="begin"/>
      </w:r>
      <w:r w:rsidR="00BE71D4">
        <w:instrText xml:space="preserve"> SEQ Figure \* ARABIC </w:instrText>
      </w:r>
      <w:r w:rsidR="00BE71D4">
        <w:fldChar w:fldCharType="separate"/>
      </w:r>
      <w:r w:rsidR="00180E14">
        <w:rPr>
          <w:noProof/>
        </w:rPr>
        <w:t>43</w:t>
      </w:r>
      <w:r w:rsidR="00BE71D4">
        <w:rPr>
          <w:noProof/>
        </w:rPr>
        <w:fldChar w:fldCharType="end"/>
      </w:r>
      <w:r>
        <w:t xml:space="preserve">: Participation </w:t>
      </w:r>
      <w:r w:rsidR="00FD0781">
        <w:t>r</w:t>
      </w:r>
      <w:r>
        <w:t>ate, seasonally adjusted, 2016</w:t>
      </w:r>
      <w:r w:rsidR="00FD0781">
        <w:t>–</w:t>
      </w:r>
      <w:r>
        <w:t>2020</w:t>
      </w:r>
      <w:bookmarkEnd w:id="3883"/>
      <w:bookmarkEnd w:id="3884"/>
    </w:p>
    <w:p w14:paraId="791F74DB" w14:textId="009FF068" w:rsidR="00D0172A" w:rsidRPr="00E01E3D" w:rsidRDefault="0088479A" w:rsidP="00D0172A">
      <w:r>
        <w:rPr>
          <w:noProof/>
        </w:rPr>
        <w:drawing>
          <wp:inline distT="0" distB="0" distL="0" distR="0" wp14:anchorId="336A55C2" wp14:editId="62C71E14">
            <wp:extent cx="5706110" cy="2974975"/>
            <wp:effectExtent l="0" t="0" r="0" b="0"/>
            <wp:docPr id="110" name="Picture 110"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 showing the trends discussed in the preceding paragraphs."/>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06110" cy="2974975"/>
                    </a:xfrm>
                    <a:prstGeom prst="rect">
                      <a:avLst/>
                    </a:prstGeom>
                    <a:noFill/>
                  </pic:spPr>
                </pic:pic>
              </a:graphicData>
            </a:graphic>
          </wp:inline>
        </w:drawing>
      </w:r>
    </w:p>
    <w:bookmarkEnd w:id="3885"/>
    <w:p w14:paraId="46D2E6B3" w14:textId="4B59FBF3" w:rsidR="00D0172A" w:rsidRDefault="00D0172A" w:rsidP="00D0172A">
      <w:pPr>
        <w:pStyle w:val="SourceandNotes"/>
      </w:pPr>
      <w:r>
        <w:t xml:space="preserve">Source: ABS, </w:t>
      </w:r>
      <w:r w:rsidRPr="00E05B4E">
        <w:t>6291.0.55.001 Labour Force, Australia, Detailed</w:t>
      </w:r>
    </w:p>
    <w:p w14:paraId="56236D59" w14:textId="0EC00580" w:rsidR="00F200DB" w:rsidRDefault="00F200DB" w:rsidP="00D0172A">
      <w:pPr>
        <w:pStyle w:val="SourceandNotes"/>
      </w:pPr>
      <w:r>
        <w:t>Note: The participation rate is the percentage of people in the working age population who are in the labour force</w:t>
      </w:r>
    </w:p>
    <w:p w14:paraId="23E945A8" w14:textId="58B4B0E6" w:rsidR="00D0172A" w:rsidRDefault="00D0172A" w:rsidP="00D0172A">
      <w:r w:rsidRPr="00E05B4E">
        <w:t>National</w:t>
      </w:r>
      <w:r>
        <w:t>ly, the</w:t>
      </w:r>
      <w:r w:rsidRPr="00E05B4E">
        <w:t xml:space="preserve"> unemployment rate </w:t>
      </w:r>
      <w:r>
        <w:t xml:space="preserve">for all persons </w:t>
      </w:r>
      <w:r w:rsidRPr="00E05B4E">
        <w:t>dropp</w:t>
      </w:r>
      <w:r w:rsidR="00CE0CBD">
        <w:t>ed</w:t>
      </w:r>
      <w:r w:rsidRPr="00E05B4E">
        <w:t xml:space="preserve"> from </w:t>
      </w:r>
      <w:r>
        <w:t>5.7% to 5.3%.</w:t>
      </w:r>
      <w:r w:rsidRPr="00E05B4E">
        <w:t xml:space="preserve"> </w:t>
      </w:r>
      <w:r>
        <w:t>The u</w:t>
      </w:r>
      <w:r w:rsidRPr="00E05B4E">
        <w:t>nemp</w:t>
      </w:r>
      <w:r>
        <w:t>loyment</w:t>
      </w:r>
      <w:r w:rsidRPr="00E05B4E">
        <w:t xml:space="preserve"> rate for 15</w:t>
      </w:r>
      <w:r w:rsidR="00AF1795">
        <w:t>–</w:t>
      </w:r>
      <w:r w:rsidRPr="00E05B4E">
        <w:t>24</w:t>
      </w:r>
      <w:r>
        <w:t xml:space="preserve"> year olds fell proportionately slightly further, but was </w:t>
      </w:r>
      <w:r w:rsidRPr="00E05B4E">
        <w:t xml:space="preserve">more than double </w:t>
      </w:r>
      <w:r>
        <w:t xml:space="preserve">the rate for </w:t>
      </w:r>
      <w:r>
        <w:lastRenderedPageBreak/>
        <w:t>all persons</w:t>
      </w:r>
      <w:r w:rsidRPr="00E05B4E">
        <w:t xml:space="preserve"> and was more volatile, </w:t>
      </w:r>
      <w:r>
        <w:t xml:space="preserve">falling from </w:t>
      </w:r>
      <w:r w:rsidRPr="00E05B4E">
        <w:t>12</w:t>
      </w:r>
      <w:r>
        <w:t>.1</w:t>
      </w:r>
      <w:r w:rsidRPr="00E05B4E">
        <w:t xml:space="preserve">% to </w:t>
      </w:r>
      <w:r>
        <w:t>11.6</w:t>
      </w:r>
      <w:r w:rsidRPr="00D81F43">
        <w:t>% (</w:t>
      </w:r>
      <w:r w:rsidR="004416CF" w:rsidRPr="004416CF">
        <w:rPr>
          <w:b/>
          <w:bCs/>
        </w:rPr>
        <w:fldChar w:fldCharType="begin"/>
      </w:r>
      <w:r w:rsidR="004416CF" w:rsidRPr="004416CF">
        <w:rPr>
          <w:b/>
          <w:bCs/>
        </w:rPr>
        <w:instrText xml:space="preserve"> REF _Ref136531110 \h </w:instrText>
      </w:r>
      <w:r w:rsidR="004416CF">
        <w:rPr>
          <w:b/>
          <w:bCs/>
        </w:rPr>
        <w:instrText xml:space="preserve"> \* MERGEFORMAT </w:instrText>
      </w:r>
      <w:r w:rsidR="004416CF" w:rsidRPr="004416CF">
        <w:rPr>
          <w:b/>
          <w:bCs/>
        </w:rPr>
      </w:r>
      <w:r w:rsidR="004416CF" w:rsidRPr="004416CF">
        <w:rPr>
          <w:b/>
          <w:bCs/>
        </w:rPr>
        <w:fldChar w:fldCharType="separate"/>
      </w:r>
      <w:r w:rsidR="00180E14" w:rsidRPr="00180E14">
        <w:rPr>
          <w:b/>
          <w:bCs/>
        </w:rPr>
        <w:t xml:space="preserve">Figure </w:t>
      </w:r>
      <w:r w:rsidR="00180E14" w:rsidRPr="00180E14">
        <w:rPr>
          <w:b/>
          <w:bCs/>
          <w:noProof/>
        </w:rPr>
        <w:t>44</w:t>
      </w:r>
      <w:r w:rsidR="004416CF" w:rsidRPr="004416CF">
        <w:rPr>
          <w:b/>
          <w:bCs/>
        </w:rPr>
        <w:fldChar w:fldCharType="end"/>
      </w:r>
      <w:r w:rsidRPr="00D81F43">
        <w:t>).</w:t>
      </w:r>
      <w:r>
        <w:t xml:space="preserve"> The underemployment rate (the proportion of the labour force who are underemployed) rose slightly (from 8.4% to 8.8%), but for young people, the underemployment rate is more than double that of the employed population overall (rising from 17.3% to 19.2</w:t>
      </w:r>
      <w:r w:rsidRPr="00D81F43">
        <w:t>%) (</w:t>
      </w:r>
      <w:r w:rsidR="004416CF" w:rsidRPr="004416CF">
        <w:fldChar w:fldCharType="begin"/>
      </w:r>
      <w:r w:rsidR="004416CF" w:rsidRPr="004416CF">
        <w:instrText xml:space="preserve"> REF _Ref136531121 \h </w:instrText>
      </w:r>
      <w:r w:rsidR="004416CF">
        <w:instrText xml:space="preserve"> \* MERGEFORMAT </w:instrText>
      </w:r>
      <w:r w:rsidR="004416CF" w:rsidRPr="004416CF">
        <w:fldChar w:fldCharType="separate"/>
      </w:r>
      <w:r w:rsidR="00180E14">
        <w:t xml:space="preserve">Figure </w:t>
      </w:r>
      <w:r w:rsidR="00180E14">
        <w:rPr>
          <w:noProof/>
        </w:rPr>
        <w:t>45</w:t>
      </w:r>
      <w:r w:rsidR="004416CF" w:rsidRPr="004416CF">
        <w:fldChar w:fldCharType="end"/>
      </w:r>
      <w:r w:rsidRPr="00D81F43">
        <w:t>).</w:t>
      </w:r>
      <w:r>
        <w:t xml:space="preserve"> </w:t>
      </w:r>
    </w:p>
    <w:p w14:paraId="472215B2" w14:textId="76957A34" w:rsidR="00D0172A" w:rsidRDefault="00D0172A" w:rsidP="00D0172A">
      <w:pPr>
        <w:pStyle w:val="Caption"/>
        <w:keepNext/>
      </w:pPr>
      <w:bookmarkStart w:id="3886" w:name="_Ref136531110"/>
      <w:bookmarkStart w:id="3887" w:name="_Toc132647885"/>
      <w:bookmarkStart w:id="3888" w:name="_Toc145883354"/>
      <w:bookmarkStart w:id="3889" w:name="_Hlk124856052"/>
      <w:r>
        <w:t xml:space="preserve">Figure </w:t>
      </w:r>
      <w:r w:rsidR="00BE71D4">
        <w:fldChar w:fldCharType="begin"/>
      </w:r>
      <w:r w:rsidR="00BE71D4">
        <w:instrText xml:space="preserve"> SEQ Figure \* ARABIC </w:instrText>
      </w:r>
      <w:r w:rsidR="00BE71D4">
        <w:fldChar w:fldCharType="separate"/>
      </w:r>
      <w:r w:rsidR="00180E14">
        <w:rPr>
          <w:noProof/>
        </w:rPr>
        <w:t>44</w:t>
      </w:r>
      <w:r w:rsidR="00BE71D4">
        <w:rPr>
          <w:noProof/>
        </w:rPr>
        <w:fldChar w:fldCharType="end"/>
      </w:r>
      <w:bookmarkEnd w:id="3886"/>
      <w:r>
        <w:t xml:space="preserve">: </w:t>
      </w:r>
      <w:r w:rsidRPr="00CB7437">
        <w:t>Unemployment rate, seasonally adjusted, 2016</w:t>
      </w:r>
      <w:r w:rsidR="00FD0781">
        <w:t>–</w:t>
      </w:r>
      <w:r w:rsidRPr="00CB7437">
        <w:t>2020</w:t>
      </w:r>
      <w:bookmarkEnd w:id="3887"/>
      <w:bookmarkEnd w:id="3888"/>
    </w:p>
    <w:p w14:paraId="01A73B70" w14:textId="34BF94B5" w:rsidR="00D0172A" w:rsidRPr="00E01E3D" w:rsidRDefault="0088479A" w:rsidP="00D0172A">
      <w:r>
        <w:rPr>
          <w:noProof/>
        </w:rPr>
        <w:drawing>
          <wp:inline distT="0" distB="0" distL="0" distR="0" wp14:anchorId="190B14F2" wp14:editId="3326A66C">
            <wp:extent cx="5724525" cy="2737485"/>
            <wp:effectExtent l="0" t="0" r="0" b="0"/>
            <wp:docPr id="112" name="Picture 112"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 showing the trends discussed in the preceding paragraph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24525" cy="2737485"/>
                    </a:xfrm>
                    <a:prstGeom prst="rect">
                      <a:avLst/>
                    </a:prstGeom>
                    <a:noFill/>
                  </pic:spPr>
                </pic:pic>
              </a:graphicData>
            </a:graphic>
          </wp:inline>
        </w:drawing>
      </w:r>
    </w:p>
    <w:p w14:paraId="079FEF23" w14:textId="49FC5A5E" w:rsidR="00D0172A" w:rsidRDefault="00D0172A" w:rsidP="00D0172A">
      <w:pPr>
        <w:pStyle w:val="SourceandNotes"/>
      </w:pPr>
      <w:r>
        <w:t xml:space="preserve">Source: ABS, </w:t>
      </w:r>
      <w:r w:rsidRPr="00E05B4E">
        <w:t>6291.0.55.001 Labour Force, Australia, Detailed</w:t>
      </w:r>
    </w:p>
    <w:p w14:paraId="7123B731" w14:textId="38E42CB4" w:rsidR="00CE0CBD" w:rsidRDefault="00CE0CBD" w:rsidP="00D0172A">
      <w:pPr>
        <w:pStyle w:val="SourceandNotes"/>
      </w:pPr>
      <w:r>
        <w:t xml:space="preserve">Note: </w:t>
      </w:r>
      <w:r w:rsidR="00F200DB" w:rsidRPr="00F200DB">
        <w:t xml:space="preserve">The unemployment rate is percentage of people in the labour force </w:t>
      </w:r>
      <w:r w:rsidR="00F200DB">
        <w:t>who</w:t>
      </w:r>
      <w:r w:rsidR="00F200DB" w:rsidRPr="00F200DB">
        <w:t xml:space="preserve"> are unemployed.</w:t>
      </w:r>
      <w:r w:rsidR="00F200DB">
        <w:t xml:space="preserve"> </w:t>
      </w:r>
      <w:r w:rsidR="00F200DB" w:rsidRPr="00F200DB">
        <w:t>Unemployed people are defined as all those of working age who were not in employment</w:t>
      </w:r>
      <w:r w:rsidR="00F200DB">
        <w:t xml:space="preserve"> (not in any paid employment of self-employment)</w:t>
      </w:r>
      <w:r w:rsidR="00F200DB" w:rsidRPr="00F200DB">
        <w:t>, carried out activities to seek employment and were available to take up employment given a job opportunity</w:t>
      </w:r>
      <w:r w:rsidR="00F200DB">
        <w:t xml:space="preserve"> during the reference period</w:t>
      </w:r>
      <w:r w:rsidR="00F200DB" w:rsidRPr="00F200DB">
        <w:t>.</w:t>
      </w:r>
    </w:p>
    <w:p w14:paraId="1DA5D514" w14:textId="6B0E8F53" w:rsidR="00D0172A" w:rsidRDefault="00D0172A" w:rsidP="00D0172A">
      <w:pPr>
        <w:pStyle w:val="Caption"/>
        <w:keepNext/>
      </w:pPr>
      <w:bookmarkStart w:id="3890" w:name="_Ref136531121"/>
      <w:bookmarkStart w:id="3891" w:name="_Toc132647886"/>
      <w:bookmarkStart w:id="3892" w:name="_Toc145883355"/>
      <w:r>
        <w:t xml:space="preserve">Figure </w:t>
      </w:r>
      <w:r w:rsidR="00BE71D4">
        <w:fldChar w:fldCharType="begin"/>
      </w:r>
      <w:r w:rsidR="00BE71D4">
        <w:instrText xml:space="preserve"> SEQ Figure \* ARABIC </w:instrText>
      </w:r>
      <w:r w:rsidR="00BE71D4">
        <w:fldChar w:fldCharType="separate"/>
      </w:r>
      <w:r w:rsidR="00180E14">
        <w:rPr>
          <w:noProof/>
        </w:rPr>
        <w:t>45</w:t>
      </w:r>
      <w:r w:rsidR="00BE71D4">
        <w:rPr>
          <w:noProof/>
        </w:rPr>
        <w:fldChar w:fldCharType="end"/>
      </w:r>
      <w:bookmarkEnd w:id="3890"/>
      <w:r>
        <w:t xml:space="preserve">: </w:t>
      </w:r>
      <w:r w:rsidRPr="002E7777">
        <w:t>Underemployment rat</w:t>
      </w:r>
      <w:r>
        <w:t>e, seasonally adjusted, 2016</w:t>
      </w:r>
      <w:r w:rsidR="00FD0781">
        <w:t>–</w:t>
      </w:r>
      <w:r>
        <w:t>2020</w:t>
      </w:r>
      <w:bookmarkEnd w:id="3891"/>
      <w:bookmarkEnd w:id="3892"/>
    </w:p>
    <w:p w14:paraId="7DEC2A8E" w14:textId="2141EE63" w:rsidR="00D0172A" w:rsidRPr="00E01E3D" w:rsidRDefault="0088479A" w:rsidP="00D0172A">
      <w:r>
        <w:rPr>
          <w:noProof/>
        </w:rPr>
        <w:drawing>
          <wp:inline distT="0" distB="0" distL="0" distR="0" wp14:anchorId="221268E7" wp14:editId="4EE110B2">
            <wp:extent cx="5749290" cy="2792095"/>
            <wp:effectExtent l="0" t="0" r="0" b="0"/>
            <wp:docPr id="116" name="Picture 116"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 showing the trends discussed in the preceding paragraphs."/>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49290" cy="2792095"/>
                    </a:xfrm>
                    <a:prstGeom prst="rect">
                      <a:avLst/>
                    </a:prstGeom>
                    <a:noFill/>
                  </pic:spPr>
                </pic:pic>
              </a:graphicData>
            </a:graphic>
          </wp:inline>
        </w:drawing>
      </w:r>
    </w:p>
    <w:p w14:paraId="68297A50" w14:textId="56EF24CE" w:rsidR="00D0172A" w:rsidRDefault="00D0172A" w:rsidP="00D0172A">
      <w:pPr>
        <w:pStyle w:val="SourceandNotes"/>
      </w:pPr>
      <w:r>
        <w:t xml:space="preserve">Source: ABS, </w:t>
      </w:r>
      <w:r w:rsidRPr="00E05B4E">
        <w:t>6291.0.55.001 Labour Force, Australia, Detailed</w:t>
      </w:r>
    </w:p>
    <w:p w14:paraId="2F63D5AB" w14:textId="53FAEDB1" w:rsidR="00F200DB" w:rsidRDefault="00F200DB" w:rsidP="00D0172A">
      <w:pPr>
        <w:pStyle w:val="SourceandNotes"/>
      </w:pPr>
      <w:r>
        <w:t>Notes: T</w:t>
      </w:r>
      <w:r w:rsidRPr="00F200DB">
        <w:t xml:space="preserve">he underemployment rate is the </w:t>
      </w:r>
      <w:r>
        <w:t xml:space="preserve">percentage of </w:t>
      </w:r>
      <w:r w:rsidR="00C23CCF">
        <w:t>people</w:t>
      </w:r>
      <w:r>
        <w:t xml:space="preserve"> in the labour force who are </w:t>
      </w:r>
      <w:r w:rsidRPr="00F200DB">
        <w:t>underemployed.</w:t>
      </w:r>
      <w:r>
        <w:t xml:space="preserve"> </w:t>
      </w:r>
      <w:r w:rsidRPr="00F200DB">
        <w:t>Underemployed workers are employed people who would prefer, and are available for, more hours of work than they currently have</w:t>
      </w:r>
      <w:r>
        <w:t xml:space="preserve"> during the reference period</w:t>
      </w:r>
      <w:r w:rsidRPr="00F200DB">
        <w:t>.</w:t>
      </w:r>
    </w:p>
    <w:bookmarkEnd w:id="3889"/>
    <w:p w14:paraId="1A4646E0" w14:textId="430C41B4" w:rsidR="00D0172A" w:rsidRDefault="00D0172A" w:rsidP="00D0172A">
      <w:r>
        <w:lastRenderedPageBreak/>
        <w:t>While young people benefited from economic growth during this period, there is evidence to show that young people are more likely to be employed in part</w:t>
      </w:r>
      <w:r w:rsidR="00FD0781">
        <w:t>-</w:t>
      </w:r>
      <w:r>
        <w:t xml:space="preserve">time or casual jobs, more likely to be </w:t>
      </w:r>
      <w:r w:rsidR="006150C6">
        <w:t>long-term</w:t>
      </w:r>
      <w:r>
        <w:t xml:space="preserve"> unemployed, start their work careers in lower quality jobs, and need increasingly to compete for jobs through activities such as unpaid internships (</w:t>
      </w:r>
      <w:r w:rsidRPr="00815193">
        <w:rPr>
          <w:b/>
          <w:bCs/>
        </w:rPr>
        <w:t>Borland and Coelli 2021</w:t>
      </w:r>
      <w:r>
        <w:t>).</w:t>
      </w:r>
    </w:p>
    <w:p w14:paraId="1519C3DD" w14:textId="48416BE2" w:rsidR="00D0172A" w:rsidRDefault="00D0172A" w:rsidP="00D0172A">
      <w:r>
        <w:t xml:space="preserve">A catastrophic bushfire season beginning in December 2019, the COVID-19 pandemic which started in March 2020, and widespread flooding in </w:t>
      </w:r>
      <w:r w:rsidR="00FD0781">
        <w:t xml:space="preserve">New South Wales </w:t>
      </w:r>
      <w:r>
        <w:t>in March 2021 had a dramatic, if patchy</w:t>
      </w:r>
      <w:r>
        <w:rPr>
          <w:rStyle w:val="FootnoteReference"/>
        </w:rPr>
        <w:footnoteReference w:id="114"/>
      </w:r>
      <w:r>
        <w:t xml:space="preserve"> impact on the Australian economy and on individuals and businesses. </w:t>
      </w:r>
    </w:p>
    <w:p w14:paraId="187BA983" w14:textId="6CFF1D8A" w:rsidR="00D0172A" w:rsidRDefault="00D0172A" w:rsidP="009251AF">
      <w:pPr>
        <w:pStyle w:val="Heading2a"/>
      </w:pPr>
      <w:bookmarkStart w:id="3893" w:name="_Toc132650532"/>
      <w:bookmarkStart w:id="3894" w:name="_Toc146033561"/>
      <w:r>
        <w:t>The shock of COVID-19 and natural disasters</w:t>
      </w:r>
      <w:bookmarkEnd w:id="3893"/>
      <w:bookmarkEnd w:id="3894"/>
    </w:p>
    <w:p w14:paraId="5B22D138" w14:textId="267F53C0" w:rsidR="00D0172A" w:rsidRDefault="00D0172A" w:rsidP="00D0172A">
      <w:bookmarkStart w:id="3895" w:name="_Toc106711911"/>
      <w:r>
        <w:t>The COVID</w:t>
      </w:r>
      <w:r w:rsidR="0063524B">
        <w:t>-19</w:t>
      </w:r>
      <w:r>
        <w:t xml:space="preserve"> pandemic, on top of natural disasters, had an unprecedented impact on the labour market, with youth again disproportionately affected. In the initial months of the pandemic the unemployment rate rose from 5.3% to a peak of 7.4% in July 2020, with the JobKeeper scheme likely playing a significant role in moderating the increase in unemployment. Unemployment appeared to rebound as lockdowns stopped, with the unemployment rate falling to 5.1% in May 2021, below pre-pandemic </w:t>
      </w:r>
      <w:r w:rsidRPr="00D81F43">
        <w:t>levels (</w:t>
      </w:r>
      <w:r w:rsidR="004416CF" w:rsidRPr="00C239FD">
        <w:rPr>
          <w:b/>
          <w:bCs/>
        </w:rPr>
        <w:fldChar w:fldCharType="begin"/>
      </w:r>
      <w:r w:rsidR="004416CF" w:rsidRPr="00C239FD">
        <w:rPr>
          <w:b/>
          <w:bCs/>
        </w:rPr>
        <w:instrText xml:space="preserve"> REF _Ref136531167 \h  \* MERGEFORMAT </w:instrText>
      </w:r>
      <w:r w:rsidR="004416CF" w:rsidRPr="00C239FD">
        <w:rPr>
          <w:b/>
          <w:bCs/>
        </w:rPr>
      </w:r>
      <w:r w:rsidR="004416CF" w:rsidRPr="00C239FD">
        <w:rPr>
          <w:b/>
          <w:bCs/>
        </w:rPr>
        <w:fldChar w:fldCharType="separate"/>
      </w:r>
      <w:r w:rsidR="00180E14" w:rsidRPr="00180E14">
        <w:rPr>
          <w:b/>
          <w:bCs/>
        </w:rPr>
        <w:t xml:space="preserve">Figure </w:t>
      </w:r>
      <w:r w:rsidR="00180E14" w:rsidRPr="00180E14">
        <w:rPr>
          <w:b/>
          <w:bCs/>
          <w:noProof/>
        </w:rPr>
        <w:t>46</w:t>
      </w:r>
      <w:r w:rsidR="004416CF" w:rsidRPr="00C239FD">
        <w:rPr>
          <w:b/>
          <w:bCs/>
        </w:rPr>
        <w:fldChar w:fldCharType="end"/>
      </w:r>
      <w:r w:rsidRPr="00D81F43">
        <w:t>). COVID</w:t>
      </w:r>
      <w:r>
        <w:t xml:space="preserve">-19 also impacted the labour participation rate, which dropped in the initial stages of the pandemic, but also restabilised in the final quarter of </w:t>
      </w:r>
      <w:r w:rsidRPr="00D81F43">
        <w:t>2020 (</w:t>
      </w:r>
      <w:r w:rsidR="004416CF" w:rsidRPr="00C239FD">
        <w:rPr>
          <w:b/>
          <w:bCs/>
        </w:rPr>
        <w:fldChar w:fldCharType="begin"/>
      </w:r>
      <w:r w:rsidR="004416CF" w:rsidRPr="00C239FD">
        <w:rPr>
          <w:b/>
          <w:bCs/>
        </w:rPr>
        <w:instrText xml:space="preserve"> REF _Ref136531177 \h  \* MERGEFORMAT </w:instrText>
      </w:r>
      <w:r w:rsidR="004416CF" w:rsidRPr="00C239FD">
        <w:rPr>
          <w:b/>
          <w:bCs/>
        </w:rPr>
      </w:r>
      <w:r w:rsidR="004416CF" w:rsidRPr="00C239FD">
        <w:rPr>
          <w:b/>
          <w:bCs/>
        </w:rPr>
        <w:fldChar w:fldCharType="separate"/>
      </w:r>
      <w:r w:rsidR="00180E14" w:rsidRPr="00180E14">
        <w:rPr>
          <w:b/>
          <w:bCs/>
        </w:rPr>
        <w:t xml:space="preserve">Figure </w:t>
      </w:r>
      <w:r w:rsidR="00180E14" w:rsidRPr="00180E14">
        <w:rPr>
          <w:b/>
          <w:bCs/>
          <w:noProof/>
        </w:rPr>
        <w:t>47</w:t>
      </w:r>
      <w:r w:rsidR="004416CF" w:rsidRPr="00C239FD">
        <w:rPr>
          <w:b/>
          <w:bCs/>
        </w:rPr>
        <w:fldChar w:fldCharType="end"/>
      </w:r>
      <w:r w:rsidRPr="00D81F43">
        <w:t>).</w:t>
      </w:r>
    </w:p>
    <w:p w14:paraId="61C127E2" w14:textId="647958FD" w:rsidR="00D0172A" w:rsidRDefault="00D0172A" w:rsidP="00D0172A">
      <w:pPr>
        <w:spacing w:before="120" w:after="120"/>
      </w:pPr>
      <w:r>
        <w:t xml:space="preserve">Young people were again more severely affected, with youth employment contracting by 17% between March and May 2020, </w:t>
      </w:r>
      <w:r w:rsidR="00C23CCF">
        <w:t xml:space="preserve">and </w:t>
      </w:r>
      <w:r>
        <w:t>accounting for around 38% of the total decline in employment over the period. This is likely due to their over-representation in industries that were most severely affected by COVID, as well as being more vulnerable to retrenchment due to often having fewer skills and less experience than older workers (</w:t>
      </w:r>
      <w:r w:rsidR="00A010FE">
        <w:rPr>
          <w:b/>
          <w:bCs/>
        </w:rPr>
        <w:t xml:space="preserve">National </w:t>
      </w:r>
      <w:r w:rsidRPr="00113962">
        <w:rPr>
          <w:b/>
          <w:bCs/>
        </w:rPr>
        <w:t>Skills Commission 2021</w:t>
      </w:r>
      <w:r>
        <w:t xml:space="preserve">) and many having only casual work. </w:t>
      </w:r>
      <w:r w:rsidR="00FD0781">
        <w:t>The y</w:t>
      </w:r>
      <w:r w:rsidRPr="003F2393">
        <w:t xml:space="preserve">outh unemployment rate </w:t>
      </w:r>
      <w:r>
        <w:t xml:space="preserve">rose to a peak of 16.4% </w:t>
      </w:r>
      <w:r w:rsidRPr="003F2393">
        <w:t xml:space="preserve">in </w:t>
      </w:r>
      <w:r>
        <w:t>July</w:t>
      </w:r>
      <w:r w:rsidRPr="003F2393">
        <w:t xml:space="preserve"> 2020, </w:t>
      </w:r>
      <w:r>
        <w:t xml:space="preserve">falling to 11.7% in March 2021, just below the youth unemployment rate </w:t>
      </w:r>
      <w:r w:rsidR="003B705A">
        <w:t>before</w:t>
      </w:r>
      <w:r>
        <w:t xml:space="preserve"> the pandemic. Despite this fall, the youth unemployment rate remained almost double the rate recorded for all persons.</w:t>
      </w:r>
    </w:p>
    <w:p w14:paraId="4A240170" w14:textId="32D16706" w:rsidR="00D0172A" w:rsidRDefault="00D0172A" w:rsidP="00D0172A">
      <w:pPr>
        <w:pStyle w:val="Caption"/>
        <w:keepNext/>
      </w:pPr>
      <w:bookmarkStart w:id="3896" w:name="_Ref136531167"/>
      <w:bookmarkStart w:id="3897" w:name="_Toc132647887"/>
      <w:bookmarkStart w:id="3898" w:name="_Toc145883356"/>
      <w:bookmarkStart w:id="3899" w:name="_Hlk124856104"/>
      <w:r>
        <w:lastRenderedPageBreak/>
        <w:t xml:space="preserve">Figure </w:t>
      </w:r>
      <w:r w:rsidR="00BE71D4">
        <w:fldChar w:fldCharType="begin"/>
      </w:r>
      <w:r w:rsidR="00BE71D4">
        <w:instrText xml:space="preserve"> SEQ Figure \* ARABIC </w:instrText>
      </w:r>
      <w:r w:rsidR="00BE71D4">
        <w:fldChar w:fldCharType="separate"/>
      </w:r>
      <w:r w:rsidR="00180E14">
        <w:rPr>
          <w:noProof/>
        </w:rPr>
        <w:t>46</w:t>
      </w:r>
      <w:r w:rsidR="00BE71D4">
        <w:rPr>
          <w:noProof/>
        </w:rPr>
        <w:fldChar w:fldCharType="end"/>
      </w:r>
      <w:bookmarkEnd w:id="3896"/>
      <w:r>
        <w:t xml:space="preserve">: </w:t>
      </w:r>
      <w:r w:rsidRPr="00262C8D">
        <w:t xml:space="preserve">Unemployment rate, seasonally adjusted, </w:t>
      </w:r>
      <w:r>
        <w:t>post COVID</w:t>
      </w:r>
      <w:bookmarkEnd w:id="3897"/>
      <w:r w:rsidR="00FD0781">
        <w:t>-19</w:t>
      </w:r>
      <w:bookmarkEnd w:id="3898"/>
    </w:p>
    <w:p w14:paraId="6257F496" w14:textId="5F729F72" w:rsidR="00D0172A" w:rsidRPr="00E01E3D" w:rsidRDefault="0088479A" w:rsidP="00D0172A">
      <w:r>
        <w:rPr>
          <w:noProof/>
        </w:rPr>
        <w:drawing>
          <wp:inline distT="0" distB="0" distL="0" distR="0" wp14:anchorId="35B5931A" wp14:editId="5F32D588">
            <wp:extent cx="5718810" cy="2670175"/>
            <wp:effectExtent l="0" t="0" r="0" b="0"/>
            <wp:docPr id="117" name="Picture 117"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 showing the trends discussed in the preceding paragraphs."/>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18810" cy="2670175"/>
                    </a:xfrm>
                    <a:prstGeom prst="rect">
                      <a:avLst/>
                    </a:prstGeom>
                    <a:noFill/>
                  </pic:spPr>
                </pic:pic>
              </a:graphicData>
            </a:graphic>
          </wp:inline>
        </w:drawing>
      </w:r>
    </w:p>
    <w:bookmarkEnd w:id="3899"/>
    <w:p w14:paraId="634F0298" w14:textId="77777777" w:rsidR="00D0172A" w:rsidRDefault="00D0172A" w:rsidP="00D0172A">
      <w:pPr>
        <w:pStyle w:val="SourceandNotes"/>
      </w:pPr>
      <w:r>
        <w:t xml:space="preserve">Source: ABS, </w:t>
      </w:r>
      <w:r w:rsidRPr="00E05B4E">
        <w:t>6291.0.55.001 Labour Force, Australia, Detailed</w:t>
      </w:r>
    </w:p>
    <w:p w14:paraId="692374D5" w14:textId="12348137" w:rsidR="00D0172A" w:rsidRDefault="00D0172A" w:rsidP="00D0172A">
      <w:pPr>
        <w:pStyle w:val="Caption"/>
        <w:keepNext/>
      </w:pPr>
      <w:bookmarkStart w:id="3900" w:name="_Ref136531177"/>
      <w:bookmarkStart w:id="3901" w:name="_Toc132647888"/>
      <w:bookmarkStart w:id="3902" w:name="_Toc145883357"/>
      <w:bookmarkStart w:id="3903" w:name="_Hlk124856123"/>
      <w:r>
        <w:t xml:space="preserve">Figure </w:t>
      </w:r>
      <w:r w:rsidR="00BE71D4">
        <w:fldChar w:fldCharType="begin"/>
      </w:r>
      <w:r w:rsidR="00BE71D4">
        <w:instrText xml:space="preserve"> SEQ Figure \* ARABIC </w:instrText>
      </w:r>
      <w:r w:rsidR="00BE71D4">
        <w:fldChar w:fldCharType="separate"/>
      </w:r>
      <w:r w:rsidR="00180E14">
        <w:rPr>
          <w:noProof/>
        </w:rPr>
        <w:t>47</w:t>
      </w:r>
      <w:r w:rsidR="00BE71D4">
        <w:rPr>
          <w:noProof/>
        </w:rPr>
        <w:fldChar w:fldCharType="end"/>
      </w:r>
      <w:bookmarkEnd w:id="3900"/>
      <w:r>
        <w:t>: Participation rate, seasonally adjusted, post COVID-19</w:t>
      </w:r>
      <w:bookmarkEnd w:id="3901"/>
      <w:bookmarkEnd w:id="3902"/>
    </w:p>
    <w:p w14:paraId="1045F3A3" w14:textId="48041C9C" w:rsidR="00D0172A" w:rsidRDefault="0088479A" w:rsidP="00D0172A">
      <w:pPr>
        <w:spacing w:before="120" w:after="120"/>
      </w:pPr>
      <w:r>
        <w:rPr>
          <w:noProof/>
        </w:rPr>
        <w:drawing>
          <wp:inline distT="0" distB="0" distL="0" distR="0" wp14:anchorId="21D63D89" wp14:editId="191D0BA5">
            <wp:extent cx="5718810" cy="3060700"/>
            <wp:effectExtent l="0" t="0" r="0" b="0"/>
            <wp:docPr id="118" name="Picture 118"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 showing the trends discussed in the preceding paragraphs."/>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18810" cy="3060700"/>
                    </a:xfrm>
                    <a:prstGeom prst="rect">
                      <a:avLst/>
                    </a:prstGeom>
                    <a:noFill/>
                  </pic:spPr>
                </pic:pic>
              </a:graphicData>
            </a:graphic>
          </wp:inline>
        </w:drawing>
      </w:r>
    </w:p>
    <w:bookmarkEnd w:id="3903"/>
    <w:p w14:paraId="66A0690A" w14:textId="77777777" w:rsidR="00D0172A" w:rsidRDefault="00D0172A" w:rsidP="00D0172A">
      <w:pPr>
        <w:pStyle w:val="SourceandNotes"/>
      </w:pPr>
      <w:r>
        <w:t xml:space="preserve">Source: ABS, </w:t>
      </w:r>
      <w:r w:rsidRPr="00E05B4E">
        <w:t>6291.0.55.001 Labour Force, Australia, Detailed</w:t>
      </w:r>
    </w:p>
    <w:bookmarkEnd w:id="3895"/>
    <w:p w14:paraId="0C27AF94" w14:textId="77777777" w:rsidR="00752A83" w:rsidRDefault="00752A83" w:rsidP="00F241E2">
      <w:pPr>
        <w:pStyle w:val="Heading1a"/>
        <w:numPr>
          <w:ilvl w:val="0"/>
          <w:numId w:val="0"/>
        </w:numPr>
        <w:ind w:left="426"/>
        <w:sectPr w:rsidR="00752A83" w:rsidSect="000A7998">
          <w:pgSz w:w="11906" w:h="16838"/>
          <w:pgMar w:top="2268" w:right="1440" w:bottom="1440" w:left="1440" w:header="0" w:footer="708" w:gutter="0"/>
          <w:cols w:space="708"/>
          <w:docGrid w:linePitch="360"/>
        </w:sectPr>
      </w:pPr>
    </w:p>
    <w:p w14:paraId="5D5A0A40" w14:textId="67554D54" w:rsidR="00520B96" w:rsidRDefault="00520B96" w:rsidP="009251AF">
      <w:pPr>
        <w:pStyle w:val="Heading1a"/>
      </w:pPr>
      <w:bookmarkStart w:id="3904" w:name="_Toc106711914"/>
      <w:bookmarkStart w:id="3905" w:name="_Ref132649358"/>
      <w:bookmarkStart w:id="3906" w:name="_Ref132649363"/>
      <w:bookmarkStart w:id="3907" w:name="_Toc132650533"/>
      <w:bookmarkStart w:id="3908" w:name="_Toc146033562"/>
      <w:r>
        <w:lastRenderedPageBreak/>
        <w:t xml:space="preserve">Data </w:t>
      </w:r>
      <w:r w:rsidR="00AF1795">
        <w:t>s</w:t>
      </w:r>
      <w:r>
        <w:t>ources</w:t>
      </w:r>
      <w:bookmarkEnd w:id="3904"/>
      <w:bookmarkEnd w:id="3905"/>
      <w:bookmarkEnd w:id="3906"/>
      <w:bookmarkEnd w:id="3907"/>
      <w:bookmarkEnd w:id="3908"/>
    </w:p>
    <w:p w14:paraId="1C874764" w14:textId="7EBF2B44" w:rsidR="003032BE" w:rsidRPr="00390924" w:rsidRDefault="003032BE" w:rsidP="009251AF">
      <w:pPr>
        <w:pStyle w:val="Heading2a"/>
      </w:pPr>
      <w:bookmarkStart w:id="3909" w:name="_Toc106711915"/>
      <w:bookmarkStart w:id="3910" w:name="_Toc132650534"/>
      <w:bookmarkStart w:id="3911" w:name="_Toc146033563"/>
      <w:r>
        <w:t>Qualitative research</w:t>
      </w:r>
      <w:bookmarkEnd w:id="3909"/>
      <w:bookmarkEnd w:id="3910"/>
      <w:bookmarkEnd w:id="3911"/>
    </w:p>
    <w:p w14:paraId="266EBD1F" w14:textId="4A5B57EF" w:rsidR="007846B4" w:rsidRDefault="007846B4" w:rsidP="009251AF">
      <w:pPr>
        <w:pStyle w:val="Heading3a"/>
      </w:pPr>
      <w:bookmarkStart w:id="3912" w:name="_Toc132650535"/>
      <w:bookmarkStart w:id="3913" w:name="_Toc146033564"/>
      <w:r>
        <w:t>2021 participant</w:t>
      </w:r>
      <w:r w:rsidR="001413E9">
        <w:t>, provider and stakeholder interviews</w:t>
      </w:r>
      <w:bookmarkEnd w:id="3912"/>
      <w:bookmarkEnd w:id="3913"/>
    </w:p>
    <w:p w14:paraId="490BE30D" w14:textId="1190EACC" w:rsidR="002101C9" w:rsidRDefault="002101C9" w:rsidP="002101C9">
      <w:r>
        <w:t xml:space="preserve">The Social Research Centre and Murawin, a majority Aboriginal and/or Torres Strait Islander owned organisation </w:t>
      </w:r>
      <w:r w:rsidR="00AF1795">
        <w:t>that</w:t>
      </w:r>
      <w:r>
        <w:t xml:space="preserve"> specialises in working with Aboriginal and Torres Strait Islander communities, were commissioned to undertake qualitative research to inform this evaluation</w:t>
      </w:r>
      <w:r w:rsidRPr="00E73759">
        <w:t xml:space="preserve">. </w:t>
      </w:r>
      <w:r>
        <w:t>Given the high proportion of Aboriginal and/or Torres Strait Islander participants in the TtW population (32%), Murawin was engaged to ensure culturally safe and sensitive research methodology and practice.</w:t>
      </w:r>
    </w:p>
    <w:p w14:paraId="681240CA" w14:textId="7F8C4ED9" w:rsidR="002101C9" w:rsidRDefault="002101C9" w:rsidP="002101C9">
      <w:r>
        <w:t xml:space="preserve">The </w:t>
      </w:r>
      <w:r w:rsidRPr="00E73759">
        <w:t xml:space="preserve">qualitative component involved </w:t>
      </w:r>
      <w:r>
        <w:t xml:space="preserve">an investigation phase with young people to </w:t>
      </w:r>
      <w:r w:rsidRPr="00341F8F">
        <w:t xml:space="preserve">identify </w:t>
      </w:r>
      <w:r>
        <w:t>key topics and areas for exploration, and insights from this phase were used to inform the development of the discussion guides and participant survey</w:t>
      </w:r>
      <w:r w:rsidR="00D81F43">
        <w:t>.</w:t>
      </w:r>
      <w:r>
        <w:t xml:space="preserve"> This was followed by </w:t>
      </w:r>
      <w:r w:rsidRPr="00E73759">
        <w:t xml:space="preserve">in-depth interviews and focus groups (conducted </w:t>
      </w:r>
      <w:r>
        <w:t xml:space="preserve">both </w:t>
      </w:r>
      <w:r w:rsidRPr="00E73759">
        <w:t>via videoconferencing</w:t>
      </w:r>
      <w:r>
        <w:t xml:space="preserve"> and telephone and face to face) with TtW participants (64), as well as in-depth interviews with TtW providers (14) and peak body representatives (2).</w:t>
      </w:r>
    </w:p>
    <w:p w14:paraId="1F4C61C6" w14:textId="44B9EA9F" w:rsidR="002101C9" w:rsidRDefault="002101C9" w:rsidP="002101C9">
      <w:r>
        <w:t>The study population was drawn on 7 April 2021 from the TtW caseload and included only p</w:t>
      </w:r>
      <w:r w:rsidRPr="00131AAA">
        <w:t xml:space="preserve">articipants who had </w:t>
      </w:r>
      <w:r>
        <w:t xml:space="preserve">commenced, were currently in the program and had </w:t>
      </w:r>
      <w:r w:rsidRPr="00131AAA">
        <w:t>been in the TtW program for at least 6 months (cumulative)</w:t>
      </w:r>
      <w:r>
        <w:t xml:space="preserve"> </w:t>
      </w:r>
      <w:r w:rsidRPr="0008186A">
        <w:t>to ensure that participants had sufficient experience of the TtW service to reflect on its impact on them</w:t>
      </w:r>
      <w:r w:rsidRPr="00131AAA">
        <w:t>.</w:t>
      </w:r>
      <w:r>
        <w:t xml:space="preserve"> Qualitative fieldwork was conducted during April and May 2021.</w:t>
      </w:r>
    </w:p>
    <w:p w14:paraId="504F9AFB" w14:textId="0B612C19" w:rsidR="002101C9" w:rsidRDefault="002101C9" w:rsidP="002101C9">
      <w:r>
        <w:t xml:space="preserve">The purpose of the qualitative research was to enable </w:t>
      </w:r>
      <w:r w:rsidRPr="0086244B">
        <w:t>deeper examination of human capability development through TtW, and how this contributes to the success of the TtW program and the overall wellbeing of participants. It also examine</w:t>
      </w:r>
      <w:r>
        <w:t>d</w:t>
      </w:r>
      <w:r w:rsidRPr="0086244B">
        <w:t xml:space="preserve"> the impact of extending the duration of service to 18 months. </w:t>
      </w:r>
      <w:r w:rsidRPr="0008186A">
        <w:t>Measures were taken to ensure a wide range of participants were consulted</w:t>
      </w:r>
      <w:r w:rsidR="00FD0781">
        <w:t>;</w:t>
      </w:r>
      <w:r w:rsidRPr="0008186A">
        <w:t xml:space="preserve"> however</w:t>
      </w:r>
      <w:r w:rsidR="00FD0781">
        <w:t>,</w:t>
      </w:r>
      <w:r w:rsidRPr="0008186A">
        <w:t xml:space="preserve"> the views expressed by participants may not be representative of the wider population of TtW participants.</w:t>
      </w:r>
    </w:p>
    <w:p w14:paraId="50955B70" w14:textId="5E3AB227" w:rsidR="003032BE" w:rsidRDefault="003032BE" w:rsidP="009251AF">
      <w:pPr>
        <w:pStyle w:val="Heading2a"/>
      </w:pPr>
      <w:bookmarkStart w:id="3914" w:name="_Toc106711916"/>
      <w:bookmarkStart w:id="3915" w:name="_Toc132650536"/>
      <w:bookmarkStart w:id="3916" w:name="_Toc146033565"/>
      <w:r>
        <w:t>Quantitative research</w:t>
      </w:r>
      <w:bookmarkEnd w:id="3914"/>
      <w:bookmarkEnd w:id="3915"/>
      <w:bookmarkEnd w:id="3916"/>
    </w:p>
    <w:p w14:paraId="0CE1A744" w14:textId="30E8C586" w:rsidR="003032BE" w:rsidRDefault="003032BE" w:rsidP="009251AF">
      <w:pPr>
        <w:pStyle w:val="Heading3a"/>
      </w:pPr>
      <w:bookmarkStart w:id="3917" w:name="_Toc132650537"/>
      <w:bookmarkStart w:id="3918" w:name="_Toc146033566"/>
      <w:r>
        <w:t xml:space="preserve">2021 </w:t>
      </w:r>
      <w:r w:rsidRPr="00AD74F5">
        <w:t>TtW provider survey</w:t>
      </w:r>
      <w:bookmarkEnd w:id="3917"/>
      <w:bookmarkEnd w:id="3918"/>
    </w:p>
    <w:p w14:paraId="47DA8B6F" w14:textId="60F1DF94" w:rsidR="003032BE" w:rsidRDefault="006027A0">
      <w:r>
        <w:t>T</w:t>
      </w:r>
      <w:r w:rsidR="00F2144D">
        <w:t xml:space="preserve">he 2021 </w:t>
      </w:r>
      <w:r w:rsidR="00AF1795" w:rsidRPr="00AD74F5">
        <w:t xml:space="preserve">TtW </w:t>
      </w:r>
      <w:r w:rsidR="00AD74F5">
        <w:t>p</w:t>
      </w:r>
      <w:r w:rsidR="00F2144D" w:rsidRPr="00AD74F5">
        <w:t xml:space="preserve">rovider </w:t>
      </w:r>
      <w:r w:rsidR="00AD74F5">
        <w:t>s</w:t>
      </w:r>
      <w:r w:rsidR="00F2144D" w:rsidRPr="00AD74F5">
        <w:t>urvey</w:t>
      </w:r>
      <w:r w:rsidR="003032BE" w:rsidRPr="00D141BE">
        <w:t xml:space="preserve"> </w:t>
      </w:r>
      <w:r w:rsidR="00F2144D" w:rsidRPr="00D141BE">
        <w:t>w</w:t>
      </w:r>
      <w:r w:rsidR="00F2144D">
        <w:t>as</w:t>
      </w:r>
      <w:r w:rsidR="00F2144D" w:rsidRPr="00D141BE">
        <w:t xml:space="preserve"> </w:t>
      </w:r>
      <w:r w:rsidR="003032BE" w:rsidRPr="00D141BE">
        <w:t>conducted by the department</w:t>
      </w:r>
      <w:r w:rsidR="00F8391B">
        <w:t>’</w:t>
      </w:r>
      <w:r w:rsidR="003032BE">
        <w:t>s Evaluation, Research and Evidence Branch</w:t>
      </w:r>
      <w:r w:rsidR="003032BE" w:rsidRPr="00D141BE">
        <w:t xml:space="preserve"> between </w:t>
      </w:r>
      <w:r w:rsidR="00707543">
        <w:t>July and August</w:t>
      </w:r>
      <w:r w:rsidR="003032BE">
        <w:t xml:space="preserve"> 2021</w:t>
      </w:r>
      <w:r w:rsidR="003032BE" w:rsidRPr="00D141BE">
        <w:t>.</w:t>
      </w:r>
      <w:r w:rsidR="003032BE">
        <w:t xml:space="preserve"> The survey focused on </w:t>
      </w:r>
      <w:r w:rsidR="00F2144D">
        <w:t>understanding the impact of services on participant</w:t>
      </w:r>
      <w:r w:rsidR="00F8391B">
        <w:t>’</w:t>
      </w:r>
      <w:r w:rsidR="00F2144D">
        <w:t>s human capabilities, and which service elements were associated with any changes in human capability</w:t>
      </w:r>
      <w:r w:rsidR="00FD6E0B">
        <w:t>.</w:t>
      </w:r>
    </w:p>
    <w:p w14:paraId="2623EFDA" w14:textId="3BF0FCC8" w:rsidR="003032BE" w:rsidRPr="00F613BD" w:rsidRDefault="003032BE">
      <w:r>
        <w:t xml:space="preserve">The survey </w:t>
      </w:r>
      <w:r w:rsidR="00AF1795">
        <w:t>is</w:t>
      </w:r>
      <w:r>
        <w:t xml:space="preserve"> a census of providers operating full-time and part-time sites; those operating outreach sites were excluded. </w:t>
      </w:r>
      <w:r w:rsidR="0029658D">
        <w:t xml:space="preserve">Of the 292 sites invited to participate, 279 responses were received, giving an overall response rate of </w:t>
      </w:r>
      <w:r w:rsidR="0029658D">
        <w:rPr>
          <w:b/>
        </w:rPr>
        <w:t>96</w:t>
      </w:r>
      <w:r w:rsidR="0029658D" w:rsidRPr="002248B7">
        <w:rPr>
          <w:b/>
        </w:rPr>
        <w:t>%</w:t>
      </w:r>
      <w:r w:rsidR="0029658D">
        <w:t>.</w:t>
      </w:r>
    </w:p>
    <w:p w14:paraId="4BB53F75" w14:textId="1749C359" w:rsidR="003032BE" w:rsidRDefault="003032BE" w:rsidP="009251AF">
      <w:pPr>
        <w:pStyle w:val="Heading3a"/>
      </w:pPr>
      <w:bookmarkStart w:id="3919" w:name="_Toc132650538"/>
      <w:bookmarkStart w:id="3920" w:name="_Toc146033567"/>
      <w:r>
        <w:lastRenderedPageBreak/>
        <w:t xml:space="preserve">2021 </w:t>
      </w:r>
      <w:r w:rsidR="00A02B89">
        <w:t xml:space="preserve">TTW </w:t>
      </w:r>
      <w:r w:rsidRPr="00A02B89">
        <w:t>participant survey</w:t>
      </w:r>
      <w:bookmarkEnd w:id="3919"/>
      <w:bookmarkEnd w:id="3920"/>
    </w:p>
    <w:p w14:paraId="100E4C66" w14:textId="082969EC" w:rsidR="00544672" w:rsidRDefault="00544672">
      <w:r>
        <w:t xml:space="preserve">The Social Research </w:t>
      </w:r>
      <w:r w:rsidR="00075386">
        <w:t>Centre</w:t>
      </w:r>
      <w:r>
        <w:t xml:space="preserve"> was commissioned to undertake the 2021 participant survey, carried out in July and August 2021 </w:t>
      </w:r>
      <w:r w:rsidRPr="00946CEB">
        <w:t>using an online survey and Computer Assisted Telephone Interviewing</w:t>
      </w:r>
      <w:r w:rsidR="00706ED5">
        <w:t>.</w:t>
      </w:r>
    </w:p>
    <w:p w14:paraId="0F959157" w14:textId="2B6A9F1E" w:rsidR="00544672" w:rsidRDefault="00544672">
      <w:r w:rsidRPr="00F335BD">
        <w:t>This quantitative research involved surveying a representative sample of TtW participants, and a comparison sample of participants from jobactive selected to match the broad characteristics of the TtW group as closely as possible</w:t>
      </w:r>
      <w:r w:rsidR="001146CF">
        <w:t>.</w:t>
      </w:r>
      <w:r>
        <w:rPr>
          <w:rStyle w:val="FootnoteReference"/>
        </w:rPr>
        <w:footnoteReference w:id="115"/>
      </w:r>
      <w:r>
        <w:t xml:space="preserve"> The study population was drawn on 7 April 2021 from the TtW and jobactive caseloads. The population include</w:t>
      </w:r>
      <w:r w:rsidR="00BA01D5">
        <w:t>d</w:t>
      </w:r>
      <w:r>
        <w:t xml:space="preserve"> TtW </w:t>
      </w:r>
      <w:r w:rsidRPr="008516F6">
        <w:t xml:space="preserve">participants </w:t>
      </w:r>
      <w:r w:rsidRPr="008516F6">
        <w:rPr>
          <w:rFonts w:cs="Arial"/>
          <w:szCs w:val="20"/>
        </w:rPr>
        <w:t xml:space="preserve">who were commenced </w:t>
      </w:r>
      <w:r w:rsidR="00BA01D5">
        <w:rPr>
          <w:rFonts w:cs="Arial"/>
          <w:szCs w:val="20"/>
        </w:rPr>
        <w:t>and</w:t>
      </w:r>
      <w:r w:rsidR="009C429B">
        <w:rPr>
          <w:rFonts w:cs="Arial"/>
          <w:szCs w:val="20"/>
        </w:rPr>
        <w:t xml:space="preserve"> had been</w:t>
      </w:r>
      <w:r w:rsidR="00BA01D5" w:rsidRPr="008516F6">
        <w:rPr>
          <w:rFonts w:cs="Arial"/>
          <w:szCs w:val="20"/>
        </w:rPr>
        <w:t xml:space="preserve"> </w:t>
      </w:r>
      <w:r w:rsidRPr="008516F6">
        <w:rPr>
          <w:rFonts w:cs="Arial"/>
          <w:szCs w:val="20"/>
        </w:rPr>
        <w:t>in the program for at least 6 months (cumulative).</w:t>
      </w:r>
      <w:r>
        <w:rPr>
          <w:rFonts w:cs="Arial"/>
          <w:szCs w:val="20"/>
        </w:rPr>
        <w:t xml:space="preserve"> Participants from the jobactive comparison population must have </w:t>
      </w:r>
      <w:r w:rsidRPr="008516F6">
        <w:rPr>
          <w:rFonts w:cs="Arial"/>
          <w:szCs w:val="20"/>
        </w:rPr>
        <w:t>met the TtW eligibility criteria at their first jobactive referral</w:t>
      </w:r>
      <w:r>
        <w:rPr>
          <w:rFonts w:cs="Arial"/>
          <w:szCs w:val="20"/>
        </w:rPr>
        <w:t xml:space="preserve">. </w:t>
      </w:r>
      <w:r w:rsidRPr="00946CEB">
        <w:t xml:space="preserve">A total of </w:t>
      </w:r>
      <w:r>
        <w:t>2</w:t>
      </w:r>
      <w:r w:rsidRPr="00946CEB">
        <w:t>,082 surveys were completed (</w:t>
      </w:r>
      <w:r>
        <w:t xml:space="preserve">1,502 for TtW and 580 for jobactive). A larger number of TtW respondents were included to enable analysis of the different cohorts within TtW (including </w:t>
      </w:r>
      <w:r w:rsidR="00F32DAA">
        <w:t>TtW g</w:t>
      </w:r>
      <w:r>
        <w:t>roup, gender, education level, Indigenous identification).</w:t>
      </w:r>
    </w:p>
    <w:p w14:paraId="77F5777E" w14:textId="34671512" w:rsidR="00544672" w:rsidRDefault="00544672" w:rsidP="001431BC">
      <w:r w:rsidRPr="00946CEB">
        <w:t xml:space="preserve">The sample design </w:t>
      </w:r>
      <w:r>
        <w:t xml:space="preserve">ensured a representative sample was selected by using </w:t>
      </w:r>
      <w:r w:rsidRPr="00946CEB">
        <w:t xml:space="preserve">stratification by TtW </w:t>
      </w:r>
      <w:r w:rsidR="00F32DAA">
        <w:t>g</w:t>
      </w:r>
      <w:r w:rsidRPr="00946CEB">
        <w:t>roup (Group 1</w:t>
      </w:r>
      <w:r>
        <w:t xml:space="preserve"> (</w:t>
      </w:r>
      <w:r w:rsidR="009F1529" w:rsidRPr="00C239FD">
        <w:t xml:space="preserve">early school leavers </w:t>
      </w:r>
      <w:r>
        <w:t>/</w:t>
      </w:r>
      <w:r w:rsidR="009F1529">
        <w:t xml:space="preserve"> </w:t>
      </w:r>
      <w:r>
        <w:t>Aboriginal and/or Torres Strait Islander)</w:t>
      </w:r>
      <w:r w:rsidRPr="00946CEB">
        <w:t>, Group 2</w:t>
      </w:r>
      <w:r>
        <w:t xml:space="preserve"> (</w:t>
      </w:r>
      <w:r w:rsidR="00CB6658">
        <w:t>d</w:t>
      </w:r>
      <w:r>
        <w:t>isengaged)</w:t>
      </w:r>
      <w:r w:rsidRPr="00946CEB">
        <w:t>, Group 3</w:t>
      </w:r>
      <w:r>
        <w:t xml:space="preserve"> (Stream C/Tier 2 referrals</w:t>
      </w:r>
      <w:r w:rsidRPr="00946CEB">
        <w:t xml:space="preserve">) with other </w:t>
      </w:r>
      <w:r>
        <w:t>participant characteristics</w:t>
      </w:r>
      <w:r w:rsidRPr="00946CEB">
        <w:t xml:space="preserve"> such as age, gender, state, </w:t>
      </w:r>
      <w:r>
        <w:t>Aboriginal and/or Torres Strait Islander</w:t>
      </w:r>
      <w:r w:rsidRPr="00946CEB">
        <w:t xml:space="preserve"> status, current JSCI score, and ABS youth unemployment rate. The jobactive comparison group sample w</w:t>
      </w:r>
      <w:r>
        <w:t>as</w:t>
      </w:r>
      <w:r w:rsidRPr="00946CEB">
        <w:t xml:space="preserve"> selected to match the TtW group as closely as possible.</w:t>
      </w:r>
    </w:p>
    <w:p w14:paraId="1EF60227" w14:textId="37D14319" w:rsidR="00544672" w:rsidRDefault="00544672" w:rsidP="001431BC">
      <w:r>
        <w:t xml:space="preserve">The questionnaire was developed in collaboration with the </w:t>
      </w:r>
      <w:r w:rsidR="00706ED5">
        <w:t>d</w:t>
      </w:r>
      <w:r>
        <w:t xml:space="preserve">epartment and </w:t>
      </w:r>
      <w:r w:rsidR="00706ED5">
        <w:t xml:space="preserve">the Social Research </w:t>
      </w:r>
      <w:r w:rsidR="00AB5751">
        <w:t>Centre</w:t>
      </w:r>
      <w:r w:rsidR="00706ED5">
        <w:t xml:space="preserve"> </w:t>
      </w:r>
      <w:r>
        <w:t>and was informed by results from the qualitative research. The survey instrument underwent cognitive testing with TtW participants and was tested to determine comprehension (understanding of the question), judgment (consideration of what response to give), retrieval (recall of the appropriate information needed to provide a response) and response (ability to provide an honest response).</w:t>
      </w:r>
    </w:p>
    <w:p w14:paraId="5EBD62DD" w14:textId="77777777" w:rsidR="00544672" w:rsidRDefault="00544672" w:rsidP="001431BC">
      <w:r>
        <w:t>Several points should be kept in mind when considering the findings from the participant survey:</w:t>
      </w:r>
    </w:p>
    <w:p w14:paraId="2286AA2E" w14:textId="129F609A" w:rsidR="00544672" w:rsidRDefault="00C446F2" w:rsidP="007F37E0">
      <w:pPr>
        <w:pStyle w:val="ListBullet"/>
      </w:pPr>
      <w:r>
        <w:t>a</w:t>
      </w:r>
      <w:r w:rsidR="00544672">
        <w:t>ll data was weighted to match relevant population parameters</w:t>
      </w:r>
      <w:r w:rsidR="00544672">
        <w:rPr>
          <w:rStyle w:val="FootnoteReference"/>
        </w:rPr>
        <w:footnoteReference w:id="116"/>
      </w:r>
      <w:r w:rsidR="00544672">
        <w:t xml:space="preserve"> </w:t>
      </w:r>
    </w:p>
    <w:p w14:paraId="233B5DC9" w14:textId="336E8074" w:rsidR="00544672" w:rsidRDefault="00C446F2" w:rsidP="007F37E0">
      <w:pPr>
        <w:pStyle w:val="ListBullet"/>
      </w:pPr>
      <w:r>
        <w:t>a</w:t>
      </w:r>
      <w:r w:rsidR="00544672">
        <w:t>ll charts and tables, unless otherwise specified, show weighted survey estimates</w:t>
      </w:r>
    </w:p>
    <w:p w14:paraId="3789AEE7" w14:textId="3A336596" w:rsidR="00544672" w:rsidRDefault="00C446F2" w:rsidP="007F37E0">
      <w:pPr>
        <w:pStyle w:val="ListBullet"/>
      </w:pPr>
      <w:r>
        <w:t>a</w:t>
      </w:r>
      <w:r w:rsidR="00544672">
        <w:t>ll bases (n) shown in the participant survey tables and graphs are unweighted</w:t>
      </w:r>
    </w:p>
    <w:p w14:paraId="3807A750" w14:textId="71A01ED7" w:rsidR="00544672" w:rsidRDefault="00C446F2" w:rsidP="007F37E0">
      <w:pPr>
        <w:pStyle w:val="ListBullet"/>
      </w:pPr>
      <w:r>
        <w:t>s</w:t>
      </w:r>
      <w:r w:rsidR="00544672" w:rsidRPr="00DC025F">
        <w:t xml:space="preserve">tatistical tests were conducted to establish whether differences between </w:t>
      </w:r>
      <w:r w:rsidR="00544672">
        <w:t xml:space="preserve">TtW and jobactive participants </w:t>
      </w:r>
      <w:r w:rsidR="00544672" w:rsidRPr="00DC025F">
        <w:t>were genuine rather than simply due to random variation. Where differences are reported, unless otherwise noted, they are statistically significant at a 95% confidence level.</w:t>
      </w:r>
    </w:p>
    <w:p w14:paraId="18AA8846" w14:textId="26CC0D00" w:rsidR="00544672" w:rsidRDefault="00544672">
      <w:r>
        <w:t xml:space="preserve">The participant survey </w:t>
      </w:r>
      <w:r>
        <w:rPr>
          <w:bCs/>
        </w:rPr>
        <w:t>used a range of recognised scales to assess life satisfaction, personal wellbeing, psychological wellbeing and resilience.</w:t>
      </w:r>
    </w:p>
    <w:p w14:paraId="4558F305" w14:textId="7D1B8C3E" w:rsidR="003032BE" w:rsidRDefault="003032BE" w:rsidP="009251AF">
      <w:pPr>
        <w:pStyle w:val="Heading2a"/>
      </w:pPr>
      <w:bookmarkStart w:id="3921" w:name="_Toc132650539"/>
      <w:bookmarkStart w:id="3922" w:name="_Toc146033568"/>
      <w:bookmarkStart w:id="3923" w:name="_Toc106711917"/>
      <w:r>
        <w:lastRenderedPageBreak/>
        <w:t>Analysis of the department</w:t>
      </w:r>
      <w:r w:rsidR="00F8391B">
        <w:t>’</w:t>
      </w:r>
      <w:r>
        <w:t>s administrative data</w:t>
      </w:r>
      <w:bookmarkEnd w:id="3921"/>
      <w:bookmarkEnd w:id="3922"/>
      <w:bookmarkEnd w:id="3923"/>
    </w:p>
    <w:p w14:paraId="006FD053" w14:textId="24E01F29" w:rsidR="003032BE" w:rsidRPr="002725C4" w:rsidRDefault="003032BE" w:rsidP="003032BE">
      <w:pPr>
        <w:rPr>
          <w:bCs/>
        </w:rPr>
      </w:pPr>
      <w:r w:rsidRPr="002725C4">
        <w:t>Impact analysis using the department</w:t>
      </w:r>
      <w:r w:rsidR="00F8391B">
        <w:t>’</w:t>
      </w:r>
      <w:r w:rsidRPr="002725C4">
        <w:t xml:space="preserve">s administrative data and </w:t>
      </w:r>
      <w:r w:rsidR="00706ED5" w:rsidRPr="00ED6857">
        <w:rPr>
          <w:rFonts w:cstheme="minorHAnsi"/>
          <w:szCs w:val="20"/>
        </w:rPr>
        <w:t>Research and Evaluation Database</w:t>
      </w:r>
      <w:r w:rsidR="00706ED5" w:rsidRPr="002725C4">
        <w:rPr>
          <w:iCs/>
        </w:rPr>
        <w:t xml:space="preserve"> </w:t>
      </w:r>
      <w:r w:rsidR="00706ED5">
        <w:rPr>
          <w:iCs/>
        </w:rPr>
        <w:t>(</w:t>
      </w:r>
      <w:r w:rsidRPr="002725C4">
        <w:rPr>
          <w:iCs/>
        </w:rPr>
        <w:t>RED</w:t>
      </w:r>
      <w:r w:rsidR="00706ED5">
        <w:rPr>
          <w:iCs/>
        </w:rPr>
        <w:t>)</w:t>
      </w:r>
      <w:r w:rsidRPr="002725C4">
        <w:rPr>
          <w:iCs/>
        </w:rPr>
        <w:t xml:space="preserve"> income support data </w:t>
      </w:r>
      <w:r w:rsidRPr="002725C4">
        <w:t xml:space="preserve">was used to examine the </w:t>
      </w:r>
      <w:r w:rsidR="006150C6">
        <w:t>long-term</w:t>
      </w:r>
      <w:r w:rsidRPr="002725C4">
        <w:t xml:space="preserve"> impact of the program on participants</w:t>
      </w:r>
      <w:r w:rsidR="00FD3B33">
        <w:t>’</w:t>
      </w:r>
      <w:r w:rsidRPr="002725C4">
        <w:t xml:space="preserve"> </w:t>
      </w:r>
      <w:r w:rsidR="00A366D0">
        <w:rPr>
          <w:bCs/>
        </w:rPr>
        <w:t>labour market attachment</w:t>
      </w:r>
      <w:r w:rsidRPr="002725C4">
        <w:rPr>
          <w:bCs/>
        </w:rPr>
        <w:t xml:space="preserve">. This analysis extends the work undertaken during the </w:t>
      </w:r>
      <w:r w:rsidR="00FD3B33">
        <w:rPr>
          <w:bCs/>
        </w:rPr>
        <w:t>f</w:t>
      </w:r>
      <w:r w:rsidRPr="002725C4">
        <w:rPr>
          <w:bCs/>
        </w:rPr>
        <w:t>inal evaluation, using the same study populations from TtW and jobactive to enable attribution of impact to the TtW program.</w:t>
      </w:r>
    </w:p>
    <w:p w14:paraId="5C97BAE5" w14:textId="45182C74" w:rsidR="003032BE" w:rsidRPr="002725C4" w:rsidRDefault="003032BE" w:rsidP="003032BE">
      <w:pPr>
        <w:rPr>
          <w:bCs/>
        </w:rPr>
      </w:pPr>
      <w:r w:rsidRPr="002725C4">
        <w:rPr>
          <w:bCs/>
        </w:rPr>
        <w:t>Impact analysis using administrative and RED income support data was also used to examine the impact that changing the duration of engagement from 12 to 18 months had on participant outcomes.</w:t>
      </w:r>
    </w:p>
    <w:p w14:paraId="70A246E9" w14:textId="3F24AE84" w:rsidR="003032BE" w:rsidRDefault="003032BE" w:rsidP="003032BE">
      <w:r w:rsidRPr="004A440A">
        <w:rPr>
          <w:b/>
        </w:rPr>
        <w:t xml:space="preserve">Appendices </w:t>
      </w:r>
      <w:r w:rsidR="00D81F43">
        <w:rPr>
          <w:b/>
        </w:rPr>
        <w:t>3</w:t>
      </w:r>
      <w:r w:rsidR="00D81F43" w:rsidRPr="004A440A">
        <w:rPr>
          <w:b/>
        </w:rPr>
        <w:t xml:space="preserve"> </w:t>
      </w:r>
      <w:r w:rsidRPr="004A440A">
        <w:rPr>
          <w:b/>
        </w:rPr>
        <w:t xml:space="preserve">and </w:t>
      </w:r>
      <w:r w:rsidR="00D81F43">
        <w:rPr>
          <w:b/>
        </w:rPr>
        <w:t>4</w:t>
      </w:r>
      <w:r w:rsidR="00D81F43" w:rsidRPr="00D81F43">
        <w:rPr>
          <w:bCs/>
        </w:rPr>
        <w:t xml:space="preserve"> </w:t>
      </w:r>
      <w:r w:rsidRPr="00D81F43">
        <w:t>contain</w:t>
      </w:r>
      <w:r>
        <w:t xml:space="preserve"> further details regarding the impact analyses.</w:t>
      </w:r>
    </w:p>
    <w:p w14:paraId="0A422398" w14:textId="679B2C2A" w:rsidR="001C36CF" w:rsidRDefault="001C36CF" w:rsidP="00984A6F">
      <w:r>
        <w:br w:type="page"/>
      </w:r>
    </w:p>
    <w:p w14:paraId="5411EA30" w14:textId="05717A35" w:rsidR="00DE5CE3" w:rsidRDefault="006150C6" w:rsidP="009251AF">
      <w:pPr>
        <w:pStyle w:val="Heading1a"/>
      </w:pPr>
      <w:bookmarkStart w:id="3924" w:name="_Toc132650540"/>
      <w:bookmarkStart w:id="3925" w:name="_Toc146033569"/>
      <w:bookmarkStart w:id="3926" w:name="_Toc106711923"/>
      <w:r>
        <w:lastRenderedPageBreak/>
        <w:t>Long-term</w:t>
      </w:r>
      <w:r w:rsidR="00DE5CE3">
        <w:t xml:space="preserve"> impact analysis: study population methodology and demographics, </w:t>
      </w:r>
      <w:r w:rsidR="00A3133D">
        <w:t xml:space="preserve">analysis methodology </w:t>
      </w:r>
      <w:r w:rsidR="0058001F">
        <w:t xml:space="preserve">and </w:t>
      </w:r>
      <w:r w:rsidR="00A3133D">
        <w:t>data limitations</w:t>
      </w:r>
      <w:bookmarkEnd w:id="3924"/>
      <w:bookmarkEnd w:id="3925"/>
    </w:p>
    <w:p w14:paraId="79415D31" w14:textId="6EE2C515" w:rsidR="000E7DE2" w:rsidRDefault="000E7DE2" w:rsidP="009251AF">
      <w:pPr>
        <w:pStyle w:val="Heading2a"/>
      </w:pPr>
      <w:bookmarkStart w:id="3927" w:name="_Toc132650541"/>
      <w:bookmarkStart w:id="3928" w:name="_Toc146033570"/>
      <w:r>
        <w:t>Introduction</w:t>
      </w:r>
      <w:bookmarkEnd w:id="3927"/>
      <w:bookmarkEnd w:id="3928"/>
    </w:p>
    <w:p w14:paraId="3A2F70D2" w14:textId="6D6A08B6" w:rsidR="000E7DE2" w:rsidRPr="00122A56" w:rsidRDefault="000E7DE2" w:rsidP="000E7DE2">
      <w:r>
        <w:t xml:space="preserve">This appendix details how the study population for the analysis of </w:t>
      </w:r>
      <w:r w:rsidR="006150C6">
        <w:t>long-term</w:t>
      </w:r>
      <w:r>
        <w:t xml:space="preserve"> impact was constructed, and how the matched samples were selected. It then provides detail on the demographics of the study population, and the </w:t>
      </w:r>
      <w:r w:rsidR="00F8391B">
        <w:t>2</w:t>
      </w:r>
      <w:r>
        <w:t xml:space="preserve"> matched samples for comparison, outlining any notable differences that need to be considered when interpreting results. </w:t>
      </w:r>
      <w:r w:rsidR="00BC586C">
        <w:t xml:space="preserve">This appendix then discusses the construction of the </w:t>
      </w:r>
      <w:r w:rsidR="00F8391B">
        <w:t>‘</w:t>
      </w:r>
      <w:r w:rsidR="00BC586C">
        <w:t>positive</w:t>
      </w:r>
      <w:r w:rsidR="00F8391B">
        <w:t>’</w:t>
      </w:r>
      <w:r w:rsidR="00BC586C">
        <w:t xml:space="preserve"> </w:t>
      </w:r>
      <w:r w:rsidR="009F1529">
        <w:t>income support (</w:t>
      </w:r>
      <w:r w:rsidR="00BC586C" w:rsidRPr="009F1529">
        <w:t>IS</w:t>
      </w:r>
      <w:r w:rsidR="009F1529">
        <w:t>)</w:t>
      </w:r>
      <w:r w:rsidR="00BC586C">
        <w:t xml:space="preserve"> </w:t>
      </w:r>
      <w:r w:rsidR="00B90222">
        <w:t>indicator and outlines how the impact of COVID-19 has affected the analysis. Limitations of this analysis are then presented.</w:t>
      </w:r>
    </w:p>
    <w:p w14:paraId="4E521B36" w14:textId="4B6E3FB2" w:rsidR="00DE5CE3" w:rsidRDefault="00DE5CE3" w:rsidP="009251AF">
      <w:pPr>
        <w:pStyle w:val="Heading2a"/>
      </w:pPr>
      <w:bookmarkStart w:id="3929" w:name="_Toc132650542"/>
      <w:bookmarkStart w:id="3930" w:name="_Toc146033571"/>
      <w:r>
        <w:t>Construction of the study population</w:t>
      </w:r>
      <w:bookmarkEnd w:id="3929"/>
      <w:bookmarkEnd w:id="3930"/>
    </w:p>
    <w:p w14:paraId="3EEAD669" w14:textId="5F8E7C89" w:rsidR="00DE5CE3" w:rsidRDefault="00DE5CE3" w:rsidP="00DE5CE3">
      <w:r>
        <w:t xml:space="preserve">In order to allow comparability with the </w:t>
      </w:r>
      <w:r w:rsidR="0094404A">
        <w:t>f</w:t>
      </w:r>
      <w:r>
        <w:t xml:space="preserve">inal </w:t>
      </w:r>
      <w:r w:rsidR="0094404A">
        <w:t>e</w:t>
      </w:r>
      <w:r>
        <w:t xml:space="preserve">valuation, and to maximise the length of time available for analysis, this </w:t>
      </w:r>
      <w:r w:rsidR="006C2885">
        <w:t>s</w:t>
      </w:r>
      <w:r>
        <w:t>upplementary evaluation uses the same TtW study population used in the Stage 2 (</w:t>
      </w:r>
      <w:r w:rsidR="006C2885">
        <w:t>f</w:t>
      </w:r>
      <w:r>
        <w:t xml:space="preserve">inal) evaluation. This population was drawn from departmental administrative data and was the inflow population between 1 April 2016 and 31 March 2017. It included 26,994 participants (collectively with 27,241 periods of assistance). </w:t>
      </w:r>
      <w:r w:rsidRPr="009C4289">
        <w:t>An inflow population of jobactive participants was constructed for the same period as the TtW inflow</w:t>
      </w:r>
      <w:r>
        <w:t xml:space="preserve"> </w:t>
      </w:r>
      <w:r w:rsidRPr="009C4289">
        <w:t>population (between 1 April 2016 and 31 March 2017).</w:t>
      </w:r>
    </w:p>
    <w:p w14:paraId="52305448" w14:textId="37987E83" w:rsidR="00DE5CE3" w:rsidRDefault="00DE5CE3" w:rsidP="00DE5CE3">
      <w:r w:rsidRPr="009C4289">
        <w:t>Th</w:t>
      </w:r>
      <w:r>
        <w:t>e</w:t>
      </w:r>
      <w:r w:rsidRPr="009C4289">
        <w:t xml:space="preserve"> </w:t>
      </w:r>
      <w:r>
        <w:t>TtW inflow population</w:t>
      </w:r>
      <w:r w:rsidRPr="009C4289">
        <w:t xml:space="preserve"> consisted of new applicants for Youth Allowance (Other) (Group</w:t>
      </w:r>
      <w:r w:rsidR="0091011B">
        <w:t xml:space="preserve"> 1</w:t>
      </w:r>
      <w:r w:rsidRPr="009C4289">
        <w:t>)</w:t>
      </w:r>
      <w:r w:rsidR="00A63F86">
        <w:t>;</w:t>
      </w:r>
      <w:r w:rsidRPr="009C4289">
        <w:t xml:space="preserve"> disengaged young people recruited by providers</w:t>
      </w:r>
      <w:r w:rsidR="00792987">
        <w:t>,</w:t>
      </w:r>
      <w:r w:rsidRPr="009C4289">
        <w:t xml:space="preserve"> and other eligible young people receiving non-activity-tested income support payments (Group </w:t>
      </w:r>
      <w:r w:rsidR="0091011B">
        <w:t>2</w:t>
      </w:r>
      <w:r w:rsidRPr="009C4289">
        <w:t>)</w:t>
      </w:r>
      <w:r w:rsidR="00A63F86">
        <w:t>;</w:t>
      </w:r>
      <w:r w:rsidRPr="009C4289">
        <w:t xml:space="preserve"> and suitable Stream C participants referred from jobactive (Group </w:t>
      </w:r>
      <w:r w:rsidR="0091011B">
        <w:t>3</w:t>
      </w:r>
      <w:r w:rsidRPr="009C4289">
        <w:t>).</w:t>
      </w:r>
      <w:r>
        <w:t xml:space="preserve"> </w:t>
      </w:r>
      <w:r w:rsidRPr="009C4289">
        <w:t>Th</w:t>
      </w:r>
      <w:r>
        <w:t>e jobactive</w:t>
      </w:r>
      <w:r w:rsidRPr="009C4289">
        <w:t xml:space="preserve"> population was restricted to Stream B participants aged under 22</w:t>
      </w:r>
      <w:r w:rsidR="00792987">
        <w:t> </w:t>
      </w:r>
      <w:r w:rsidRPr="009C4289">
        <w:t>years at referral</w:t>
      </w:r>
      <w:r>
        <w:t xml:space="preserve"> to ensure comparability</w:t>
      </w:r>
      <w:r w:rsidRPr="009C4289">
        <w:t>.</w:t>
      </w:r>
    </w:p>
    <w:p w14:paraId="231E3BB4" w14:textId="784C6AAF" w:rsidR="00DE5CE3" w:rsidRDefault="00DE5CE3" w:rsidP="00DE5CE3">
      <w:r>
        <w:t>To ensure that data was robust and outcomes could be reasonably attributed to TtW, the sample was limited to population members who had c</w:t>
      </w:r>
      <w:r w:rsidRPr="009C4289">
        <w:t>ommenced in the TtW or jobactive programs within 90 days from their initial referral dates</w:t>
      </w:r>
      <w:r>
        <w:t>, and</w:t>
      </w:r>
      <w:r w:rsidRPr="009C4289">
        <w:t xml:space="preserve"> participated in TtW</w:t>
      </w:r>
      <w:r>
        <w:t xml:space="preserve"> </w:t>
      </w:r>
      <w:r w:rsidRPr="009C4289">
        <w:t>or jobactive programs for at least 28</w:t>
      </w:r>
      <w:r w:rsidR="00792987">
        <w:t> </w:t>
      </w:r>
      <w:r w:rsidRPr="009C4289">
        <w:t>days</w:t>
      </w:r>
      <w:r>
        <w:t>. Participants also needed to have been on</w:t>
      </w:r>
      <w:r w:rsidR="000959C0">
        <w:t xml:space="preserve"> an</w:t>
      </w:r>
      <w:r w:rsidRPr="009C4289">
        <w:t xml:space="preserve"> income support payment at day 28 from their commencement dates. In addition, for jobactive participants, </w:t>
      </w:r>
      <w:r w:rsidRPr="001431BC">
        <w:t>they must not have</w:t>
      </w:r>
      <w:r w:rsidR="000959C0">
        <w:t xml:space="preserve"> had</w:t>
      </w:r>
      <w:r w:rsidRPr="001431BC">
        <w:t xml:space="preserve"> experience in TtW between 1 April 2016 and 31 March 2017</w:t>
      </w:r>
      <w:r w:rsidRPr="009E625B">
        <w:t>.</w:t>
      </w:r>
      <w:r w:rsidRPr="009C4289">
        <w:t xml:space="preserve"> Further to these restrictions, if a </w:t>
      </w:r>
      <w:r w:rsidR="00B4034B">
        <w:t>participant</w:t>
      </w:r>
      <w:r w:rsidR="00B4034B" w:rsidRPr="009C4289">
        <w:t xml:space="preserve"> </w:t>
      </w:r>
      <w:r w:rsidRPr="009C4289">
        <w:t xml:space="preserve">had multiple </w:t>
      </w:r>
      <w:r>
        <w:t>period</w:t>
      </w:r>
      <w:r w:rsidR="00706ED5">
        <w:t>s</w:t>
      </w:r>
      <w:r>
        <w:t xml:space="preserve"> of service</w:t>
      </w:r>
      <w:r w:rsidR="00706ED5">
        <w:t xml:space="preserve"> (POS)</w:t>
      </w:r>
      <w:r w:rsidRPr="009C4289">
        <w:t xml:space="preserve"> in TtW or jobactive, only the first </w:t>
      </w:r>
      <w:r>
        <w:t>POS</w:t>
      </w:r>
      <w:r w:rsidRPr="009C4289">
        <w:t xml:space="preserve"> was kept in the analysis. </w:t>
      </w:r>
      <w:r>
        <w:t>POS is the length of time measured from participant</w:t>
      </w:r>
      <w:r w:rsidR="00F8391B">
        <w:t>’</w:t>
      </w:r>
      <w:r>
        <w:t xml:space="preserve">s commencement date to exit from the program date. </w:t>
      </w:r>
      <w:r w:rsidRPr="009C4289">
        <w:t xml:space="preserve">The evaluation followed participants for up to </w:t>
      </w:r>
      <w:r w:rsidR="00F8391B">
        <w:t>4</w:t>
      </w:r>
      <w:r w:rsidRPr="009C4289">
        <w:t xml:space="preserve"> years from their commencement date.</w:t>
      </w:r>
    </w:p>
    <w:p w14:paraId="59E5314B" w14:textId="26A5B064" w:rsidR="00DE5CE3" w:rsidRPr="009251AF" w:rsidRDefault="00DE5CE3" w:rsidP="003F3CFA">
      <w:pPr>
        <w:pStyle w:val="Heading4a"/>
      </w:pPr>
      <w:r w:rsidRPr="009251AF">
        <w:t>TtW population characteristics (</w:t>
      </w:r>
      <w:r w:rsidR="009F1529">
        <w:t>t</w:t>
      </w:r>
      <w:r w:rsidRPr="009F1529">
        <w:t xml:space="preserve">reatment </w:t>
      </w:r>
      <w:r w:rsidR="009F1529">
        <w:t>g</w:t>
      </w:r>
      <w:r w:rsidRPr="009F1529">
        <w:t>roup</w:t>
      </w:r>
      <w:r w:rsidRPr="009251AF">
        <w:t>)</w:t>
      </w:r>
    </w:p>
    <w:p w14:paraId="48A10055" w14:textId="7F181EBF" w:rsidR="00DE5CE3" w:rsidRDefault="00DE5CE3" w:rsidP="007F37E0">
      <w:pPr>
        <w:pStyle w:val="ListBullet"/>
      </w:pPr>
      <w:r>
        <w:t>Inflow population referred to the program between 1 April 2016 and 31 March 2017</w:t>
      </w:r>
    </w:p>
    <w:p w14:paraId="6396A0E8" w14:textId="77777777" w:rsidR="00DE5CE3" w:rsidRDefault="00DE5CE3" w:rsidP="007F37E0">
      <w:pPr>
        <w:pStyle w:val="ListBullet"/>
      </w:pPr>
      <w:r>
        <w:t>Excludes initial caseload referrals from jobactive</w:t>
      </w:r>
    </w:p>
    <w:p w14:paraId="24A7D0EE" w14:textId="5B607D32" w:rsidR="00DE5CE3" w:rsidRDefault="00F756B0" w:rsidP="007F37E0">
      <w:pPr>
        <w:pStyle w:val="ListBullet"/>
      </w:pPr>
      <w:r>
        <w:t>C</w:t>
      </w:r>
      <w:r w:rsidR="00DE5CE3">
        <w:t>ommenced in service within 90 days from initial referral date</w:t>
      </w:r>
    </w:p>
    <w:p w14:paraId="5506FC79" w14:textId="77777777" w:rsidR="00DE5CE3" w:rsidRDefault="00DE5CE3" w:rsidP="007F37E0">
      <w:pPr>
        <w:pStyle w:val="ListBullet"/>
      </w:pPr>
      <w:r>
        <w:lastRenderedPageBreak/>
        <w:t>From groups 1, 2 and 3</w:t>
      </w:r>
    </w:p>
    <w:p w14:paraId="081088C6" w14:textId="77777777" w:rsidR="00DE5CE3" w:rsidRDefault="00DE5CE3" w:rsidP="007F37E0">
      <w:pPr>
        <w:pStyle w:val="ListBullet"/>
      </w:pPr>
      <w:r>
        <w:t>Participated in the program for at least 28 days of service from commencement date</w:t>
      </w:r>
    </w:p>
    <w:p w14:paraId="7D5BCD19" w14:textId="23D73AD1" w:rsidR="00DE5CE3" w:rsidRDefault="00F756B0" w:rsidP="007F37E0">
      <w:pPr>
        <w:pStyle w:val="ListBullet"/>
      </w:pPr>
      <w:r>
        <w:t>O</w:t>
      </w:r>
      <w:r w:rsidR="00DE5CE3">
        <w:t>n income support at day 28 from commencement</w:t>
      </w:r>
    </w:p>
    <w:p w14:paraId="45D828A0" w14:textId="3D6CA6B3" w:rsidR="00DE5CE3" w:rsidRPr="009251AF" w:rsidRDefault="00DE5CE3" w:rsidP="003F3CFA">
      <w:pPr>
        <w:pStyle w:val="Heading4a"/>
      </w:pPr>
      <w:r w:rsidRPr="009251AF">
        <w:t>jobactive population characteristics (</w:t>
      </w:r>
      <w:r w:rsidR="009F1529">
        <w:t>c</w:t>
      </w:r>
      <w:r w:rsidRPr="009F1529">
        <w:t xml:space="preserve">omparison </w:t>
      </w:r>
      <w:r w:rsidR="009F1529">
        <w:t>g</w:t>
      </w:r>
      <w:r w:rsidRPr="009F1529">
        <w:t>roup</w:t>
      </w:r>
      <w:r w:rsidRPr="009251AF">
        <w:t>)</w:t>
      </w:r>
    </w:p>
    <w:p w14:paraId="109B5560" w14:textId="77777777" w:rsidR="00DE5CE3" w:rsidRDefault="00DE5CE3" w:rsidP="007F37E0">
      <w:pPr>
        <w:pStyle w:val="ListBullet"/>
      </w:pPr>
      <w:r>
        <w:t>Inflow population referred to the program between 1 April 2016 and 31 March 2017</w:t>
      </w:r>
    </w:p>
    <w:p w14:paraId="3226EFC9" w14:textId="77777777" w:rsidR="00DE5CE3" w:rsidRDefault="00DE5CE3" w:rsidP="007F37E0">
      <w:pPr>
        <w:pStyle w:val="ListBullet"/>
      </w:pPr>
      <w:r>
        <w:t>Stream B participants aged under 22 years at referral</w:t>
      </w:r>
    </w:p>
    <w:p w14:paraId="1AC9B66F" w14:textId="532F36D9" w:rsidR="00DE5CE3" w:rsidRDefault="00F756B0" w:rsidP="007F37E0">
      <w:pPr>
        <w:pStyle w:val="ListBullet"/>
      </w:pPr>
      <w:r>
        <w:t>C</w:t>
      </w:r>
      <w:r w:rsidR="00DE5CE3">
        <w:t>ommenced in the program within 90 days from initial referral date</w:t>
      </w:r>
    </w:p>
    <w:p w14:paraId="47686D95" w14:textId="77777777" w:rsidR="00DE5CE3" w:rsidRDefault="00DE5CE3" w:rsidP="007F37E0">
      <w:pPr>
        <w:pStyle w:val="ListBullet"/>
      </w:pPr>
      <w:r>
        <w:t>Participated in the program for at least 28 days of service from commencement date</w:t>
      </w:r>
    </w:p>
    <w:p w14:paraId="0C40BBE2" w14:textId="555817A5" w:rsidR="00DE5CE3" w:rsidRDefault="00F756B0" w:rsidP="007F37E0">
      <w:pPr>
        <w:pStyle w:val="ListBullet"/>
      </w:pPr>
      <w:r>
        <w:t>O</w:t>
      </w:r>
      <w:r w:rsidR="00DE5CE3">
        <w:t>n income support at day 28 from commencement</w:t>
      </w:r>
    </w:p>
    <w:p w14:paraId="2A747CE8" w14:textId="7D042A49" w:rsidR="00DE5CE3" w:rsidRDefault="00DE5CE3" w:rsidP="007F37E0">
      <w:pPr>
        <w:pStyle w:val="ListBullet"/>
      </w:pPr>
      <w:r>
        <w:t>Ha</w:t>
      </w:r>
      <w:r w:rsidR="00E66352">
        <w:t>d</w:t>
      </w:r>
      <w:r>
        <w:t xml:space="preserve"> not </w:t>
      </w:r>
      <w:r w:rsidR="00BE71D4">
        <w:t>previously participated in the TtW program</w:t>
      </w:r>
    </w:p>
    <w:p w14:paraId="51E8A5C6" w14:textId="77777777" w:rsidR="00DE5CE3" w:rsidRDefault="00DE5CE3" w:rsidP="009251AF">
      <w:pPr>
        <w:pStyle w:val="Heading4a"/>
      </w:pPr>
      <w:r>
        <w:t>Matched TtW and jobactive samples construction</w:t>
      </w:r>
    </w:p>
    <w:p w14:paraId="652C806F" w14:textId="0FB84492" w:rsidR="00DE5CE3" w:rsidRDefault="00DE5CE3" w:rsidP="00DE5CE3">
      <w:r>
        <w:t xml:space="preserve">Matched samples of TtW and jobactive participants were constructed for the purpose of the impact analysis. This enables comparison of the effects of the TtW service model on labour market and educational outcomes for TtW participants, compared to the </w:t>
      </w:r>
      <w:r w:rsidR="00F8391B">
        <w:t>‘</w:t>
      </w:r>
      <w:r>
        <w:t>no TtW</w:t>
      </w:r>
      <w:r w:rsidR="00F8391B">
        <w:t>’</w:t>
      </w:r>
      <w:r>
        <w:t xml:space="preserve"> situation, which for these participants would have been the jobactive program. The base populations used for the matching process were the TtW and jobactive inflow population</w:t>
      </w:r>
      <w:r w:rsidR="00E66352">
        <w:t>s</w:t>
      </w:r>
      <w:r>
        <w:t xml:space="preserve"> outlined </w:t>
      </w:r>
      <w:r w:rsidRPr="00D81F43">
        <w:t xml:space="preserve">above. </w:t>
      </w:r>
      <w:r w:rsidR="004416CF" w:rsidRPr="004416CF">
        <w:fldChar w:fldCharType="begin"/>
      </w:r>
      <w:r w:rsidR="004416CF" w:rsidRPr="004416CF">
        <w:instrText xml:space="preserve"> REF _Ref136531256 \h </w:instrText>
      </w:r>
      <w:r w:rsidR="004416CF">
        <w:instrText xml:space="preserve"> \* MERGEFORMAT </w:instrText>
      </w:r>
      <w:r w:rsidR="004416CF" w:rsidRPr="004416CF">
        <w:fldChar w:fldCharType="separate"/>
      </w:r>
      <w:r w:rsidR="00180E14">
        <w:t xml:space="preserve">Figure </w:t>
      </w:r>
      <w:r w:rsidR="00180E14">
        <w:rPr>
          <w:noProof/>
        </w:rPr>
        <w:t>48</w:t>
      </w:r>
      <w:r w:rsidR="004416CF" w:rsidRPr="004416CF">
        <w:fldChar w:fldCharType="end"/>
      </w:r>
      <w:r w:rsidR="004416CF">
        <w:rPr>
          <w:b/>
          <w:bCs/>
        </w:rPr>
        <w:t xml:space="preserve"> </w:t>
      </w:r>
      <w:r w:rsidRPr="00D81F43">
        <w:t>provides</w:t>
      </w:r>
      <w:r>
        <w:t xml:space="preserve"> a flowchart for study population and sample selection.</w:t>
      </w:r>
    </w:p>
    <w:p w14:paraId="7748048D" w14:textId="6940ACA5" w:rsidR="00DE5CE3" w:rsidRDefault="00DE5CE3" w:rsidP="00DE5CE3">
      <w:r>
        <w:t>The TtW and jobactive sample populations were matched on their education attainment (under Year</w:t>
      </w:r>
      <w:r w:rsidR="00E66352">
        <w:t> </w:t>
      </w:r>
      <w:r>
        <w:t xml:space="preserve">12 or Year 12 and above) and JSCI score group (JSCI scores were distributed into </w:t>
      </w:r>
      <w:r w:rsidR="00F8391B">
        <w:t>4</w:t>
      </w:r>
      <w:r>
        <w:t xml:space="preserve"> groups). This minimises the characteristics that need to be controlled for when undertaking regression analyses between these </w:t>
      </w:r>
      <w:r w:rsidR="00F8391B">
        <w:t>2</w:t>
      </w:r>
      <w:r>
        <w:t xml:space="preserve"> groups. It </w:t>
      </w:r>
      <w:r w:rsidR="00E66352">
        <w:t>is</w:t>
      </w:r>
      <w:r>
        <w:t xml:space="preserve"> important to note that participants in one service may still have been different in some ways from those in the other. For instance, young people who are less motivated or face greater barriers to workforce participation, such as poor language skills, mental illness or homelessness, may opt to go or be referred to jobactive rather than participate in the 12</w:t>
      </w:r>
      <w:r w:rsidR="00E66352">
        <w:t> </w:t>
      </w:r>
      <w:r>
        <w:t>months of activity-intensive services offered in TtW. The logistic regression analysis aims to mitigate differences between the TtW and jobactive participant samples by including a range of control factors (independent variables).</w:t>
      </w:r>
    </w:p>
    <w:p w14:paraId="20E39A73" w14:textId="7CE93B76" w:rsidR="00DE5CE3" w:rsidRDefault="00DE5CE3" w:rsidP="00DE5CE3">
      <w:r>
        <w:t xml:space="preserve">The matched samples were followed for </w:t>
      </w:r>
      <w:r w:rsidR="00F8391B">
        <w:t>4</w:t>
      </w:r>
      <w:r>
        <w:t xml:space="preserve"> years from commencement for the purpose of </w:t>
      </w:r>
      <w:r w:rsidR="006150C6">
        <w:t>long-term</w:t>
      </w:r>
      <w:r>
        <w:t xml:space="preserve"> impact analysis. The </w:t>
      </w:r>
      <w:r w:rsidR="00F8391B">
        <w:t>4</w:t>
      </w:r>
      <w:r w:rsidR="0099473F">
        <w:t>-</w:t>
      </w:r>
      <w:r>
        <w:t>year follow</w:t>
      </w:r>
      <w:r w:rsidR="0099473F">
        <w:t>-</w:t>
      </w:r>
      <w:r>
        <w:t>up period included the COVID</w:t>
      </w:r>
      <w:r w:rsidR="00E12C32">
        <w:t>-19</w:t>
      </w:r>
      <w:r>
        <w:t xml:space="preserve"> pandemic period.</w:t>
      </w:r>
    </w:p>
    <w:p w14:paraId="56A8DFC1" w14:textId="32913B3F" w:rsidR="00DE5CE3" w:rsidRDefault="00DE5CE3" w:rsidP="00DE5CE3">
      <w:pPr>
        <w:pStyle w:val="Caption"/>
        <w:keepNext/>
      </w:pPr>
      <w:bookmarkStart w:id="3931" w:name="_Ref136531256"/>
      <w:bookmarkStart w:id="3932" w:name="_Toc132647889"/>
      <w:bookmarkStart w:id="3933" w:name="_Toc145883358"/>
      <w:r>
        <w:lastRenderedPageBreak/>
        <w:t xml:space="preserve">Figure </w:t>
      </w:r>
      <w:r w:rsidR="00BE71D4">
        <w:fldChar w:fldCharType="begin"/>
      </w:r>
      <w:r w:rsidR="00BE71D4">
        <w:instrText xml:space="preserve"> SEQ Figure \* ARABIC </w:instrText>
      </w:r>
      <w:r w:rsidR="00BE71D4">
        <w:fldChar w:fldCharType="separate"/>
      </w:r>
      <w:r w:rsidR="00180E14">
        <w:rPr>
          <w:noProof/>
        </w:rPr>
        <w:t>48</w:t>
      </w:r>
      <w:r w:rsidR="00BE71D4">
        <w:rPr>
          <w:noProof/>
        </w:rPr>
        <w:fldChar w:fldCharType="end"/>
      </w:r>
      <w:bookmarkEnd w:id="3931"/>
      <w:r>
        <w:t xml:space="preserve">: </w:t>
      </w:r>
      <w:r w:rsidRPr="00C23C03">
        <w:t>Study population construction flowchart</w:t>
      </w:r>
      <w:bookmarkEnd w:id="3932"/>
      <w:bookmarkEnd w:id="3933"/>
    </w:p>
    <w:p w14:paraId="0A8D6714" w14:textId="5DBD55A1" w:rsidR="001A1DCF" w:rsidRPr="001A1DCF" w:rsidRDefault="001A1DCF" w:rsidP="001A1DCF">
      <w:r>
        <w:rPr>
          <w:noProof/>
        </w:rPr>
        <w:drawing>
          <wp:inline distT="0" distB="0" distL="0" distR="0" wp14:anchorId="4B513415" wp14:editId="6E00C007">
            <wp:extent cx="5857240" cy="6047740"/>
            <wp:effectExtent l="0" t="0" r="0" b="0"/>
            <wp:docPr id="35" name="Picture 35" descr="Flowchart describing the construction of the study population, broken down for both TtW and the comparison population (drawn from jobactive). &#10;Total population: TtW 26,822, jobactive 23, 184. &#10;Individuals excluded based on POS=&gt; 28 days and commenced &lt;80 days form referral: TtW 1,566, jobactive 3,6594&#10;Individuals excluded as they were not on income support at measurement date: TtW 6,170, jobactive 2,171&#10;Matching based on education and JSCI score – matched samples: TtW 8361, jobactive comparison sample 8,3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lowchart describing the construction of the study population, broken down for both TtW and the comparison population (drawn from jobactive). &#10;Total population: TtW 26,822, jobactive 23, 184. &#10;Individuals excluded based on POS=&gt; 28 days and commenced &lt;80 days form referral: TtW 1,566, jobactive 3,6594&#10;Individuals excluded as they were not on income support at measurement date: TtW 6,170, jobactive 2,171&#10;Matching based on education and JSCI score – matched samples: TtW 8361, jobactive comparison sample 8,361&#1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57240" cy="6047740"/>
                    </a:xfrm>
                    <a:prstGeom prst="rect">
                      <a:avLst/>
                    </a:prstGeom>
                    <a:noFill/>
                  </pic:spPr>
                </pic:pic>
              </a:graphicData>
            </a:graphic>
          </wp:inline>
        </w:drawing>
      </w:r>
    </w:p>
    <w:p w14:paraId="279CCEE0" w14:textId="1A9B2052" w:rsidR="00DE5CE3" w:rsidRPr="006A7488" w:rsidRDefault="00DE5CE3" w:rsidP="00DE5CE3">
      <w:pPr>
        <w:rPr>
          <w:sz w:val="16"/>
          <w:szCs w:val="16"/>
        </w:rPr>
      </w:pPr>
      <w:r w:rsidRPr="006A7488">
        <w:rPr>
          <w:sz w:val="16"/>
          <w:szCs w:val="16"/>
        </w:rPr>
        <w:t xml:space="preserve">Note: Commence_dt is the earliest commencement date of the JSA/JACT placements in the </w:t>
      </w:r>
      <w:r>
        <w:rPr>
          <w:sz w:val="16"/>
          <w:szCs w:val="16"/>
        </w:rPr>
        <w:t>POS</w:t>
      </w:r>
    </w:p>
    <w:p w14:paraId="45B92018" w14:textId="5267DB95" w:rsidR="00DE5CE3" w:rsidRDefault="00DE5CE3" w:rsidP="009251AF">
      <w:pPr>
        <w:pStyle w:val="Heading2a"/>
      </w:pPr>
      <w:bookmarkStart w:id="3934" w:name="_Toc132650543"/>
      <w:bookmarkStart w:id="3935" w:name="_Toc146033572"/>
      <w:r>
        <w:t>Population and sample demographics</w:t>
      </w:r>
      <w:bookmarkEnd w:id="3934"/>
      <w:bookmarkEnd w:id="3935"/>
    </w:p>
    <w:p w14:paraId="6A1125D0" w14:textId="77777777" w:rsidR="00DE5CE3" w:rsidRDefault="00DE5CE3" w:rsidP="009251AF">
      <w:pPr>
        <w:pStyle w:val="Heading3a"/>
      </w:pPr>
      <w:bookmarkStart w:id="3936" w:name="_Toc132650544"/>
      <w:bookmarkStart w:id="3937" w:name="_Toc146033573"/>
      <w:r>
        <w:t>The study samples are matched and very similar</w:t>
      </w:r>
      <w:bookmarkEnd w:id="3936"/>
      <w:bookmarkEnd w:id="3937"/>
    </w:p>
    <w:p w14:paraId="2EE48863" w14:textId="7483BB98" w:rsidR="00DE5CE3" w:rsidRDefault="00DE5CE3" w:rsidP="00DE5CE3">
      <w:r>
        <w:t xml:space="preserve">The TtW and jobactive participants were matched on their education attainment and JSCI score and display very similar characteristics across the majority of other factors including Aboriginal and/or Torres Strait Islander status, disability, access to transport, ex-offender status and housing stability. There were a number of small discrepancies. In the TtW sample there were slightly fewer </w:t>
      </w:r>
      <w:r w:rsidR="003A0923">
        <w:t>women</w:t>
      </w:r>
      <w:r>
        <w:t xml:space="preserve"> (TtW 44%, jobactive 48%) and TtW participants had slightly higher English capability (poor English </w:t>
      </w:r>
      <w:r>
        <w:lastRenderedPageBreak/>
        <w:t>capability: TtW 7%, jobactive 12%). The TtW sample was also slightly younger (age at commencement 15</w:t>
      </w:r>
      <w:r w:rsidR="00A8535D">
        <w:t>–</w:t>
      </w:r>
      <w:r>
        <w:t>18: TtW 44%, jobactive 38%). These differences were controlled for through regression analysis.</w:t>
      </w:r>
    </w:p>
    <w:p w14:paraId="1051000E" w14:textId="77777777" w:rsidR="00DE5CE3" w:rsidRDefault="00DE5CE3" w:rsidP="009251AF">
      <w:pPr>
        <w:pStyle w:val="Heading4a"/>
      </w:pPr>
      <w:r>
        <w:t>TtW participants are largely representative of the TtW study population</w:t>
      </w:r>
    </w:p>
    <w:p w14:paraId="0E7BD482" w14:textId="0C43E79D" w:rsidR="00DE5CE3" w:rsidRDefault="00DE5CE3" w:rsidP="00DE5CE3">
      <w:r>
        <w:t xml:space="preserve">While largely representative of the TtW study population, the TtW sample is slightly more disadvantaged (high JSCI: TtW sample 35%, population 22%) and has a slightly higher proportion of </w:t>
      </w:r>
      <w:r w:rsidR="003A0923">
        <w:t>women</w:t>
      </w:r>
      <w:r>
        <w:t xml:space="preserve"> (sample 4</w:t>
      </w:r>
      <w:r w:rsidR="007E7177">
        <w:t>4</w:t>
      </w:r>
      <w:r>
        <w:t>%, population 4</w:t>
      </w:r>
      <w:r w:rsidR="007E7177">
        <w:t>0</w:t>
      </w:r>
      <w:r>
        <w:t>%) and non-Aboriginal and/or Torres Strait Islander participants (sample 23%, population 19%).</w:t>
      </w:r>
    </w:p>
    <w:p w14:paraId="3F943447" w14:textId="2419298F" w:rsidR="00DE5CE3" w:rsidRDefault="00DE5CE3" w:rsidP="00DE5CE3">
      <w:r>
        <w:t xml:space="preserve">There are </w:t>
      </w:r>
      <w:r w:rsidR="00F8391B">
        <w:t>2</w:t>
      </w:r>
      <w:r>
        <w:t xml:space="preserve"> larger differences between the TtW sample and the TtW population.</w:t>
      </w:r>
    </w:p>
    <w:p w14:paraId="33A65259" w14:textId="67DFA94E" w:rsidR="00DE5CE3" w:rsidRDefault="00DE5CE3" w:rsidP="007F37E0">
      <w:pPr>
        <w:pStyle w:val="ListBullet"/>
      </w:pPr>
      <w:r>
        <w:t xml:space="preserve">The TtW sample had a higher level of education overall. </w:t>
      </w:r>
      <w:r w:rsidR="002032B0">
        <w:t>Four-fifths (</w:t>
      </w:r>
      <w:r>
        <w:t>82%</w:t>
      </w:r>
      <w:r w:rsidR="002032B0">
        <w:t>)</w:t>
      </w:r>
      <w:r>
        <w:t xml:space="preserve"> of the TtW study population have not completed </w:t>
      </w:r>
      <w:r w:rsidR="00D72C75">
        <w:t>Y</w:t>
      </w:r>
      <w:r>
        <w:t>ear 12 or an equivalent level of study</w:t>
      </w:r>
      <w:r w:rsidR="00123A9D">
        <w:t>,</w:t>
      </w:r>
      <w:r>
        <w:t xml:space="preserve"> compared to </w:t>
      </w:r>
      <w:r w:rsidR="002032B0">
        <w:t>two-thirds (</w:t>
      </w:r>
      <w:r>
        <w:t>66%</w:t>
      </w:r>
      <w:r w:rsidR="002032B0">
        <w:t>)</w:t>
      </w:r>
      <w:r>
        <w:t xml:space="preserve"> of the TtW sample. TtW targets young people who have not completed </w:t>
      </w:r>
      <w:r w:rsidR="00D72C75">
        <w:t>Y</w:t>
      </w:r>
      <w:r>
        <w:t xml:space="preserve">ear 12 or an equivalent level of study, so significantly more of the TtW population have lower levels of education than the jobactive population. In order to maximise sample size, this was not used as a determining characteristic during the matching process. </w:t>
      </w:r>
      <w:r w:rsidR="008C590B">
        <w:t>Regressi</w:t>
      </w:r>
      <w:r w:rsidR="003F7A3C">
        <w:t>o</w:t>
      </w:r>
      <w:r w:rsidR="008C590B">
        <w:t>n analysis was used to control for this difference</w:t>
      </w:r>
      <w:r w:rsidR="003F7A3C">
        <w:t>.</w:t>
      </w:r>
    </w:p>
    <w:p w14:paraId="0EB1EFE9" w14:textId="745C1D46" w:rsidR="00DE5CE3" w:rsidRDefault="00EA1FB0" w:rsidP="007F37E0">
      <w:pPr>
        <w:pStyle w:val="ListBullet"/>
      </w:pPr>
      <w:r>
        <w:t>T</w:t>
      </w:r>
      <w:r w:rsidR="00C55CDC">
        <w:t>he indicator</w:t>
      </w:r>
      <w:r>
        <w:t>s</w:t>
      </w:r>
      <w:r w:rsidR="00C55CDC">
        <w:t xml:space="preserve"> used for the </w:t>
      </w:r>
      <w:r w:rsidR="006150C6">
        <w:t>long-term</w:t>
      </w:r>
      <w:r w:rsidR="00C55CDC">
        <w:t xml:space="preserve"> analysis w</w:t>
      </w:r>
      <w:r>
        <w:t>ere related</w:t>
      </w:r>
      <w:r w:rsidR="00C55CDC">
        <w:t xml:space="preserve"> to income support</w:t>
      </w:r>
      <w:r>
        <w:t xml:space="preserve">. It was therefore necessary </w:t>
      </w:r>
      <w:r w:rsidR="003F509D">
        <w:t>for the analysis that</w:t>
      </w:r>
      <w:r w:rsidR="008A4C28">
        <w:t xml:space="preserve"> sample participants </w:t>
      </w:r>
      <w:r w:rsidR="003F509D">
        <w:t>were</w:t>
      </w:r>
      <w:r w:rsidR="008A4C28">
        <w:t xml:space="preserve"> on income support </w:t>
      </w:r>
      <w:r w:rsidR="0046654E">
        <w:t>28</w:t>
      </w:r>
      <w:r w:rsidR="004843B5">
        <w:t> </w:t>
      </w:r>
      <w:r w:rsidR="0046654E">
        <w:t>days from commencement</w:t>
      </w:r>
      <w:r w:rsidR="003F509D">
        <w:t xml:space="preserve">. </w:t>
      </w:r>
      <w:r w:rsidR="0046654E">
        <w:t>This is in contrast to a</w:t>
      </w:r>
      <w:r w:rsidR="00DE5CE3">
        <w:t>lmost one</w:t>
      </w:r>
      <w:r w:rsidR="00466273">
        <w:t>-</w:t>
      </w:r>
      <w:r w:rsidR="00DE5CE3">
        <w:t xml:space="preserve">quarter </w:t>
      </w:r>
      <w:r w:rsidR="00DE5CE3" w:rsidRPr="00071ABC">
        <w:t>(24%)</w:t>
      </w:r>
      <w:r w:rsidR="00DE5CE3">
        <w:t xml:space="preserve"> of the TtW study population not </w:t>
      </w:r>
      <w:r w:rsidR="0046654E">
        <w:t xml:space="preserve">being </w:t>
      </w:r>
      <w:r w:rsidR="00DE5CE3">
        <w:t xml:space="preserve">on income support </w:t>
      </w:r>
      <w:r w:rsidR="00596C1B">
        <w:t>28 days from</w:t>
      </w:r>
      <w:r w:rsidR="00DE5CE3">
        <w:t xml:space="preserve"> commencement.</w:t>
      </w:r>
      <w:r w:rsidR="0046654E">
        <w:t xml:space="preserve"> </w:t>
      </w:r>
      <w:r w:rsidR="006C11F0">
        <w:t xml:space="preserve">Group 2 participants are by definition not on income support at commencement, so </w:t>
      </w:r>
      <w:r w:rsidR="008C590B">
        <w:t xml:space="preserve">findings from the </w:t>
      </w:r>
      <w:r w:rsidR="006150C6">
        <w:t>long-term</w:t>
      </w:r>
      <w:r w:rsidR="008C590B">
        <w:t xml:space="preserve"> outcome analysis should not be taken to represent outcomes for Group 2 participants.</w:t>
      </w:r>
    </w:p>
    <w:p w14:paraId="03D32F2F" w14:textId="32FDC786" w:rsidR="00DE5CE3" w:rsidRPr="00BF6D3D" w:rsidRDefault="004416CF" w:rsidP="00DE5CE3">
      <w:pPr>
        <w:rPr>
          <w:b/>
          <w:bCs/>
        </w:rPr>
      </w:pPr>
      <w:r w:rsidRPr="004416CF">
        <w:rPr>
          <w:b/>
          <w:bCs/>
        </w:rPr>
        <w:fldChar w:fldCharType="begin"/>
      </w:r>
      <w:r w:rsidRPr="004416CF">
        <w:rPr>
          <w:b/>
          <w:bCs/>
        </w:rPr>
        <w:instrText xml:space="preserve"> REF _Ref136531291 \h  \* MERGEFORMAT </w:instrText>
      </w:r>
      <w:r w:rsidRPr="004416CF">
        <w:rPr>
          <w:b/>
          <w:bCs/>
        </w:rPr>
      </w:r>
      <w:r w:rsidRPr="004416CF">
        <w:rPr>
          <w:b/>
          <w:bCs/>
        </w:rPr>
        <w:fldChar w:fldCharType="separate"/>
      </w:r>
      <w:r w:rsidR="00180E14" w:rsidRPr="00180E14">
        <w:rPr>
          <w:b/>
          <w:bCs/>
        </w:rPr>
        <w:t xml:space="preserve">Table </w:t>
      </w:r>
      <w:r w:rsidR="00180E14" w:rsidRPr="00180E14">
        <w:rPr>
          <w:b/>
          <w:bCs/>
          <w:noProof/>
        </w:rPr>
        <w:t>25</w:t>
      </w:r>
      <w:r w:rsidRPr="004416CF">
        <w:rPr>
          <w:b/>
          <w:bCs/>
        </w:rPr>
        <w:fldChar w:fldCharType="end"/>
      </w:r>
      <w:r>
        <w:rPr>
          <w:b/>
          <w:bCs/>
        </w:rPr>
        <w:t xml:space="preserve"> </w:t>
      </w:r>
      <w:r w:rsidR="00DE5CE3">
        <w:t>allows comparison of the demographic characteristics of the TtW inflow population, the TtW sample and the jobactive matched sample. Statistics for Australian young people for a number of characteristics are also provided for context.</w:t>
      </w:r>
    </w:p>
    <w:p w14:paraId="57C5C8C8" w14:textId="5111FBAC" w:rsidR="00DE5CE3" w:rsidRDefault="00DE5CE3" w:rsidP="00DE5CE3">
      <w:pPr>
        <w:pStyle w:val="Caption"/>
        <w:keepNext/>
      </w:pPr>
      <w:bookmarkStart w:id="3938" w:name="_Ref136531291"/>
      <w:bookmarkStart w:id="3939" w:name="_Toc132647800"/>
      <w:bookmarkStart w:id="3940" w:name="_Toc145877314"/>
      <w:r>
        <w:t xml:space="preserve">Table </w:t>
      </w:r>
      <w:r>
        <w:fldChar w:fldCharType="begin"/>
      </w:r>
      <w:r>
        <w:instrText>SEQ Table \* ARABIC</w:instrText>
      </w:r>
      <w:r>
        <w:fldChar w:fldCharType="separate"/>
      </w:r>
      <w:r w:rsidR="00180E14">
        <w:rPr>
          <w:noProof/>
        </w:rPr>
        <w:t>25</w:t>
      </w:r>
      <w:r>
        <w:fldChar w:fldCharType="end"/>
      </w:r>
      <w:bookmarkEnd w:id="3938"/>
      <w:r>
        <w:t>: Demographic characteristics of TtW inflow population and matched TtW and jobactive samples at commencement (1 April 2016 to 31 March 2017)</w:t>
      </w:r>
      <w:bookmarkEnd w:id="3939"/>
      <w:bookmarkEnd w:id="3940"/>
    </w:p>
    <w:tbl>
      <w:tblPr>
        <w:tblStyle w:val="TtWReportTableTemplate2"/>
        <w:tblW w:w="8931" w:type="dxa"/>
        <w:tblLook w:val="04A0" w:firstRow="1" w:lastRow="0" w:firstColumn="1" w:lastColumn="0" w:noHBand="0" w:noVBand="1"/>
      </w:tblPr>
      <w:tblGrid>
        <w:gridCol w:w="1701"/>
        <w:gridCol w:w="1111"/>
        <w:gridCol w:w="893"/>
        <w:gridCol w:w="967"/>
        <w:gridCol w:w="765"/>
        <w:gridCol w:w="967"/>
        <w:gridCol w:w="765"/>
        <w:gridCol w:w="1762"/>
      </w:tblGrid>
      <w:tr w:rsidR="00D7444C" w:rsidRPr="00F2712D" w14:paraId="275B15FA" w14:textId="77777777" w:rsidTr="00046630">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5D7A38"/>
            <w:noWrap/>
            <w:hideMark/>
          </w:tcPr>
          <w:p w14:paraId="6C8DA258" w14:textId="5D1F5FEA" w:rsidR="00D7444C" w:rsidRPr="001963F3" w:rsidRDefault="00D7444C" w:rsidP="00D11E39">
            <w:pPr>
              <w:rPr>
                <w:rFonts w:asciiTheme="minorHAnsi" w:hAnsiTheme="minorHAnsi" w:cs="Arial"/>
                <w:b w:val="0"/>
                <w:sz w:val="16"/>
                <w:szCs w:val="16"/>
              </w:rPr>
            </w:pPr>
            <w:r w:rsidRPr="00F2712D">
              <w:rPr>
                <w:rFonts w:asciiTheme="minorHAnsi" w:hAnsiTheme="minorHAnsi" w:cs="Arial"/>
                <w:sz w:val="16"/>
                <w:szCs w:val="16"/>
              </w:rPr>
              <w:t>Factor/</w:t>
            </w:r>
            <w:r w:rsidR="004843B5">
              <w:rPr>
                <w:rFonts w:asciiTheme="minorHAnsi" w:hAnsiTheme="minorHAnsi" w:cs="Arial"/>
                <w:sz w:val="16"/>
                <w:szCs w:val="16"/>
              </w:rPr>
              <w:t>l</w:t>
            </w:r>
            <w:r w:rsidRPr="00F2712D">
              <w:rPr>
                <w:rFonts w:asciiTheme="minorHAnsi" w:hAnsiTheme="minorHAnsi" w:cs="Arial"/>
                <w:sz w:val="16"/>
                <w:szCs w:val="16"/>
              </w:rPr>
              <w:t>evel</w:t>
            </w:r>
          </w:p>
        </w:tc>
        <w:tc>
          <w:tcPr>
            <w:tcW w:w="2004" w:type="dxa"/>
            <w:gridSpan w:val="2"/>
            <w:shd w:val="clear" w:color="auto" w:fill="5D7A38"/>
            <w:hideMark/>
          </w:tcPr>
          <w:p w14:paraId="109A02E8" w14:textId="77777777" w:rsidR="00D7444C" w:rsidRPr="00F2712D" w:rsidRDefault="00D7444C" w:rsidP="00D11E39">
            <w:pP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F2712D">
              <w:rPr>
                <w:rFonts w:asciiTheme="minorHAnsi" w:hAnsiTheme="minorHAnsi" w:cs="Arial"/>
                <w:sz w:val="16"/>
                <w:szCs w:val="16"/>
              </w:rPr>
              <w:t xml:space="preserve">TtW inflow population n=26,822 </w:t>
            </w:r>
          </w:p>
        </w:tc>
        <w:tc>
          <w:tcPr>
            <w:tcW w:w="1732" w:type="dxa"/>
            <w:gridSpan w:val="2"/>
            <w:shd w:val="clear" w:color="auto" w:fill="5D7A38"/>
            <w:hideMark/>
          </w:tcPr>
          <w:p w14:paraId="7F6E3859" w14:textId="77777777" w:rsidR="00D7444C" w:rsidRPr="00F2712D" w:rsidRDefault="00D7444C" w:rsidP="00D11E39">
            <w:pP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F2712D">
              <w:rPr>
                <w:rFonts w:asciiTheme="minorHAnsi" w:hAnsiTheme="minorHAnsi" w:cs="Arial"/>
                <w:sz w:val="16"/>
                <w:szCs w:val="16"/>
              </w:rPr>
              <w:t>TtW matched sample n=8,361</w:t>
            </w:r>
          </w:p>
        </w:tc>
        <w:tc>
          <w:tcPr>
            <w:tcW w:w="1732" w:type="dxa"/>
            <w:gridSpan w:val="2"/>
            <w:shd w:val="clear" w:color="auto" w:fill="5D7A38"/>
            <w:hideMark/>
          </w:tcPr>
          <w:p w14:paraId="4274A5C5" w14:textId="77777777" w:rsidR="00D7444C" w:rsidRPr="00F2712D" w:rsidRDefault="00D7444C" w:rsidP="00D11E39">
            <w:pP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F2712D">
              <w:rPr>
                <w:rFonts w:asciiTheme="minorHAnsi" w:hAnsiTheme="minorHAnsi" w:cs="Arial"/>
                <w:sz w:val="16"/>
                <w:szCs w:val="16"/>
              </w:rPr>
              <w:t>jobactive matched sample n=8,361</w:t>
            </w:r>
          </w:p>
        </w:tc>
        <w:tc>
          <w:tcPr>
            <w:tcW w:w="1762" w:type="dxa"/>
            <w:shd w:val="clear" w:color="auto" w:fill="5D7A38"/>
          </w:tcPr>
          <w:p w14:paraId="10083EBA" w14:textId="17AF7D96" w:rsidR="00D7444C" w:rsidRPr="00F2712D" w:rsidRDefault="00D7444C" w:rsidP="00D11E39">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Australian population, 15</w:t>
            </w:r>
            <w:r w:rsidR="004843B5">
              <w:rPr>
                <w:rFonts w:cs="Arial"/>
                <w:sz w:val="16"/>
                <w:szCs w:val="16"/>
              </w:rPr>
              <w:t>–</w:t>
            </w:r>
            <w:r>
              <w:rPr>
                <w:rFonts w:cs="Arial"/>
                <w:sz w:val="16"/>
                <w:szCs w:val="16"/>
              </w:rPr>
              <w:t>24 years old</w:t>
            </w:r>
          </w:p>
        </w:tc>
      </w:tr>
      <w:tr w:rsidR="00F975E8" w:rsidRPr="001963F3" w14:paraId="540A9EC8" w14:textId="77777777" w:rsidTr="00046630">
        <w:trPr>
          <w:cnfStyle w:val="100000000000" w:firstRow="1" w:lastRow="0" w:firstColumn="0" w:lastColumn="0" w:oddVBand="0" w:evenVBand="0" w:oddHBand="0" w:evenHBand="0" w:firstRowFirstColumn="0" w:firstRowLastColumn="0" w:lastRowFirstColumn="0" w:lastRowLastColumn="0"/>
          <w:trHeight w:val="57"/>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5D7A38"/>
            <w:noWrap/>
          </w:tcPr>
          <w:p w14:paraId="6C66D855" w14:textId="77777777" w:rsidR="00D7444C" w:rsidRPr="001963F3" w:rsidRDefault="00D7444C" w:rsidP="00D11E39">
            <w:pPr>
              <w:rPr>
                <w:rFonts w:cs="Arial"/>
                <w:b w:val="0"/>
                <w:bCs/>
                <w:sz w:val="16"/>
                <w:szCs w:val="16"/>
              </w:rPr>
            </w:pPr>
          </w:p>
        </w:tc>
        <w:tc>
          <w:tcPr>
            <w:tcW w:w="1111" w:type="dxa"/>
            <w:shd w:val="clear" w:color="auto" w:fill="5D7A38"/>
          </w:tcPr>
          <w:p w14:paraId="40861DC7" w14:textId="77777777" w:rsidR="00D7444C" w:rsidRPr="001963F3" w:rsidRDefault="00D7444C" w:rsidP="00D11E39">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F2712D">
              <w:rPr>
                <w:rFonts w:cs="Arial"/>
                <w:sz w:val="16"/>
                <w:szCs w:val="16"/>
              </w:rPr>
              <w:t>(no)</w:t>
            </w:r>
          </w:p>
        </w:tc>
        <w:tc>
          <w:tcPr>
            <w:tcW w:w="893" w:type="dxa"/>
            <w:shd w:val="clear" w:color="auto" w:fill="5D7A38"/>
          </w:tcPr>
          <w:p w14:paraId="74314085" w14:textId="77777777" w:rsidR="00D7444C" w:rsidRPr="001963F3" w:rsidRDefault="00D7444C" w:rsidP="00D11E39">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F2712D">
              <w:rPr>
                <w:rFonts w:cs="Arial"/>
                <w:sz w:val="16"/>
                <w:szCs w:val="16"/>
              </w:rPr>
              <w:t>(%)</w:t>
            </w:r>
          </w:p>
        </w:tc>
        <w:tc>
          <w:tcPr>
            <w:tcW w:w="967" w:type="dxa"/>
            <w:shd w:val="clear" w:color="auto" w:fill="5D7A38"/>
          </w:tcPr>
          <w:p w14:paraId="2085175E" w14:textId="77777777" w:rsidR="00D7444C" w:rsidRPr="001963F3" w:rsidRDefault="00D7444C" w:rsidP="00D11E39">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F2712D">
              <w:rPr>
                <w:rFonts w:cs="Arial"/>
                <w:sz w:val="16"/>
                <w:szCs w:val="16"/>
              </w:rPr>
              <w:t>(no)</w:t>
            </w:r>
          </w:p>
        </w:tc>
        <w:tc>
          <w:tcPr>
            <w:tcW w:w="765" w:type="dxa"/>
            <w:shd w:val="clear" w:color="auto" w:fill="5D7A38"/>
          </w:tcPr>
          <w:p w14:paraId="2CDE3E1A" w14:textId="77777777" w:rsidR="00D7444C" w:rsidRPr="001963F3" w:rsidRDefault="00D7444C" w:rsidP="00D11E39">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F2712D">
              <w:rPr>
                <w:rFonts w:cs="Arial"/>
                <w:sz w:val="16"/>
                <w:szCs w:val="16"/>
              </w:rPr>
              <w:t>(%)</w:t>
            </w:r>
          </w:p>
        </w:tc>
        <w:tc>
          <w:tcPr>
            <w:tcW w:w="967" w:type="dxa"/>
            <w:shd w:val="clear" w:color="auto" w:fill="5D7A38"/>
          </w:tcPr>
          <w:p w14:paraId="650133D3" w14:textId="77777777" w:rsidR="00D7444C" w:rsidRPr="001963F3" w:rsidRDefault="00D7444C" w:rsidP="00D11E39">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F2712D">
              <w:rPr>
                <w:rFonts w:cs="Arial"/>
                <w:sz w:val="16"/>
                <w:szCs w:val="16"/>
              </w:rPr>
              <w:t>(no)</w:t>
            </w:r>
          </w:p>
        </w:tc>
        <w:tc>
          <w:tcPr>
            <w:tcW w:w="765" w:type="dxa"/>
            <w:shd w:val="clear" w:color="auto" w:fill="5D7A38"/>
          </w:tcPr>
          <w:p w14:paraId="7A2E1152" w14:textId="77777777" w:rsidR="00D7444C" w:rsidRPr="001963F3" w:rsidRDefault="00D7444C" w:rsidP="00D11E39">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F2712D">
              <w:rPr>
                <w:rFonts w:cs="Arial"/>
                <w:sz w:val="16"/>
                <w:szCs w:val="16"/>
              </w:rPr>
              <w:t>(%)</w:t>
            </w:r>
          </w:p>
        </w:tc>
        <w:tc>
          <w:tcPr>
            <w:tcW w:w="1762" w:type="dxa"/>
            <w:shd w:val="clear" w:color="auto" w:fill="5D7A38"/>
          </w:tcPr>
          <w:p w14:paraId="545B77AA" w14:textId="77777777" w:rsidR="00D7444C" w:rsidRPr="001963F3" w:rsidRDefault="00D7444C" w:rsidP="00D11E39">
            <w:pPr>
              <w:cnfStyle w:val="100000000000" w:firstRow="1" w:lastRow="0" w:firstColumn="0" w:lastColumn="0" w:oddVBand="0" w:evenVBand="0" w:oddHBand="0" w:evenHBand="0" w:firstRowFirstColumn="0" w:firstRowLastColumn="0" w:lastRowFirstColumn="0" w:lastRowLastColumn="0"/>
              <w:rPr>
                <w:rFonts w:cs="Arial"/>
                <w:sz w:val="16"/>
                <w:szCs w:val="16"/>
              </w:rPr>
            </w:pPr>
          </w:p>
        </w:tc>
      </w:tr>
      <w:tr w:rsidR="00D7444C" w:rsidRPr="00F2712D" w14:paraId="61B85412" w14:textId="77777777" w:rsidTr="0004663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67A3952" w14:textId="77777777" w:rsidR="00D7444C" w:rsidRPr="001963F3" w:rsidRDefault="00D7444C" w:rsidP="00D11E39">
            <w:pPr>
              <w:rPr>
                <w:rFonts w:cs="Arial"/>
                <w:b w:val="0"/>
                <w:bCs/>
                <w:sz w:val="16"/>
                <w:szCs w:val="16"/>
              </w:rPr>
            </w:pPr>
            <w:r w:rsidRPr="001963F3">
              <w:rPr>
                <w:rFonts w:cs="Arial"/>
                <w:bCs/>
                <w:sz w:val="16"/>
                <w:szCs w:val="16"/>
              </w:rPr>
              <w:t>Gender</w:t>
            </w:r>
          </w:p>
        </w:tc>
        <w:tc>
          <w:tcPr>
            <w:tcW w:w="1111" w:type="dxa"/>
            <w:noWrap/>
          </w:tcPr>
          <w:p w14:paraId="09F5D064"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893" w:type="dxa"/>
            <w:noWrap/>
          </w:tcPr>
          <w:p w14:paraId="36483863"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967" w:type="dxa"/>
          </w:tcPr>
          <w:p w14:paraId="0BA8005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765" w:type="dxa"/>
          </w:tcPr>
          <w:p w14:paraId="4720C87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967" w:type="dxa"/>
          </w:tcPr>
          <w:p w14:paraId="4FB6668D"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765" w:type="dxa"/>
            <w:hideMark/>
          </w:tcPr>
          <w:p w14:paraId="2388FE59"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1762" w:type="dxa"/>
          </w:tcPr>
          <w:p w14:paraId="59926EFA"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r>
      <w:tr w:rsidR="00D7444C" w:rsidRPr="00F2712D" w14:paraId="0AC0264C"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77E1BEA" w14:textId="77777777" w:rsidR="00D7444C" w:rsidRPr="001963F3" w:rsidRDefault="00D7444C" w:rsidP="00D11E39">
            <w:pPr>
              <w:jc w:val="right"/>
              <w:rPr>
                <w:rFonts w:cs="Arial"/>
                <w:sz w:val="16"/>
                <w:szCs w:val="16"/>
              </w:rPr>
            </w:pPr>
            <w:r w:rsidRPr="001963F3">
              <w:rPr>
                <w:rFonts w:cs="Arial"/>
                <w:sz w:val="16"/>
                <w:szCs w:val="16"/>
              </w:rPr>
              <w:t>Male</w:t>
            </w:r>
          </w:p>
        </w:tc>
        <w:tc>
          <w:tcPr>
            <w:tcW w:w="1111" w:type="dxa"/>
            <w:noWrap/>
            <w:hideMark/>
          </w:tcPr>
          <w:p w14:paraId="3C01D6FF"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16</w:t>
            </w:r>
            <w:r>
              <w:rPr>
                <w:rFonts w:cs="Arial"/>
                <w:sz w:val="16"/>
                <w:szCs w:val="16"/>
              </w:rPr>
              <w:t>,</w:t>
            </w:r>
            <w:r w:rsidRPr="00F2712D">
              <w:rPr>
                <w:rFonts w:cs="Arial"/>
                <w:sz w:val="16"/>
                <w:szCs w:val="16"/>
              </w:rPr>
              <w:t>025</w:t>
            </w:r>
          </w:p>
        </w:tc>
        <w:tc>
          <w:tcPr>
            <w:tcW w:w="893" w:type="dxa"/>
            <w:noWrap/>
            <w:hideMark/>
          </w:tcPr>
          <w:p w14:paraId="2DA1B933"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59.7</w:t>
            </w:r>
          </w:p>
        </w:tc>
        <w:tc>
          <w:tcPr>
            <w:tcW w:w="967" w:type="dxa"/>
            <w:hideMark/>
          </w:tcPr>
          <w:p w14:paraId="304A94B9" w14:textId="77777777" w:rsidR="00D7444C" w:rsidRPr="0004684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046847">
              <w:rPr>
                <w:sz w:val="16"/>
                <w:szCs w:val="16"/>
              </w:rPr>
              <w:t>4</w:t>
            </w:r>
            <w:r>
              <w:rPr>
                <w:sz w:val="16"/>
                <w:szCs w:val="16"/>
              </w:rPr>
              <w:t>,</w:t>
            </w:r>
            <w:r w:rsidRPr="00046847">
              <w:rPr>
                <w:sz w:val="16"/>
                <w:szCs w:val="16"/>
              </w:rPr>
              <w:t>671</w:t>
            </w:r>
          </w:p>
        </w:tc>
        <w:tc>
          <w:tcPr>
            <w:tcW w:w="765" w:type="dxa"/>
            <w:hideMark/>
          </w:tcPr>
          <w:p w14:paraId="383843B7" w14:textId="77777777" w:rsidR="00D7444C" w:rsidRPr="0004684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046847">
              <w:rPr>
                <w:sz w:val="16"/>
                <w:szCs w:val="16"/>
              </w:rPr>
              <w:t>55.9</w:t>
            </w:r>
          </w:p>
        </w:tc>
        <w:tc>
          <w:tcPr>
            <w:tcW w:w="967" w:type="dxa"/>
            <w:hideMark/>
          </w:tcPr>
          <w:p w14:paraId="618A9A65" w14:textId="77777777" w:rsidR="00D7444C" w:rsidRPr="0004684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046847">
              <w:rPr>
                <w:sz w:val="16"/>
                <w:szCs w:val="16"/>
              </w:rPr>
              <w:t>4</w:t>
            </w:r>
            <w:r>
              <w:rPr>
                <w:sz w:val="16"/>
                <w:szCs w:val="16"/>
              </w:rPr>
              <w:t>,</w:t>
            </w:r>
            <w:r w:rsidRPr="00046847">
              <w:rPr>
                <w:sz w:val="16"/>
                <w:szCs w:val="16"/>
              </w:rPr>
              <w:t>333</w:t>
            </w:r>
          </w:p>
        </w:tc>
        <w:tc>
          <w:tcPr>
            <w:tcW w:w="765" w:type="dxa"/>
            <w:hideMark/>
          </w:tcPr>
          <w:p w14:paraId="1D520982" w14:textId="77777777" w:rsidR="00D7444C" w:rsidRPr="0004684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046847">
              <w:rPr>
                <w:sz w:val="16"/>
                <w:szCs w:val="16"/>
              </w:rPr>
              <w:t>51.8</w:t>
            </w:r>
          </w:p>
        </w:tc>
        <w:tc>
          <w:tcPr>
            <w:tcW w:w="1762" w:type="dxa"/>
          </w:tcPr>
          <w:p w14:paraId="6F437A85" w14:textId="7B0EAA04"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51%</w:t>
            </w:r>
            <w:r w:rsidRPr="003D1A6C">
              <w:rPr>
                <w:rFonts w:eastAsia="Times New Roman" w:cs="Arial"/>
                <w:color w:val="000000"/>
                <w:szCs w:val="18"/>
                <w:vertAlign w:val="superscript"/>
                <w:lang w:eastAsia="en-AU"/>
              </w:rPr>
              <w:t xml:space="preserve"> </w:t>
            </w:r>
            <w:r w:rsidR="00282861">
              <w:rPr>
                <w:rFonts w:eastAsia="Times New Roman" w:cs="Arial"/>
                <w:color w:val="000000"/>
                <w:szCs w:val="18"/>
                <w:vertAlign w:val="superscript"/>
                <w:lang w:eastAsia="en-AU"/>
              </w:rPr>
              <w:t>b</w:t>
            </w:r>
          </w:p>
        </w:tc>
      </w:tr>
      <w:tr w:rsidR="00D7444C" w:rsidRPr="00F2712D" w14:paraId="6FEB754C"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889ED55" w14:textId="77777777" w:rsidR="00D7444C" w:rsidRPr="001963F3" w:rsidRDefault="00D7444C" w:rsidP="00D11E39">
            <w:pPr>
              <w:jc w:val="right"/>
              <w:rPr>
                <w:rFonts w:cs="Arial"/>
                <w:sz w:val="16"/>
                <w:szCs w:val="16"/>
              </w:rPr>
            </w:pPr>
            <w:r w:rsidRPr="001963F3">
              <w:rPr>
                <w:rFonts w:cs="Arial"/>
                <w:sz w:val="16"/>
                <w:szCs w:val="16"/>
              </w:rPr>
              <w:t>Female</w:t>
            </w:r>
          </w:p>
        </w:tc>
        <w:tc>
          <w:tcPr>
            <w:tcW w:w="1111" w:type="dxa"/>
            <w:noWrap/>
            <w:hideMark/>
          </w:tcPr>
          <w:p w14:paraId="2E62807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10</w:t>
            </w:r>
            <w:r>
              <w:rPr>
                <w:rFonts w:cs="Arial"/>
                <w:sz w:val="16"/>
                <w:szCs w:val="16"/>
              </w:rPr>
              <w:t>,</w:t>
            </w:r>
            <w:r w:rsidRPr="00F2712D">
              <w:rPr>
                <w:rFonts w:cs="Arial"/>
                <w:sz w:val="16"/>
                <w:szCs w:val="16"/>
              </w:rPr>
              <w:t>797</w:t>
            </w:r>
          </w:p>
        </w:tc>
        <w:tc>
          <w:tcPr>
            <w:tcW w:w="893" w:type="dxa"/>
            <w:noWrap/>
            <w:hideMark/>
          </w:tcPr>
          <w:p w14:paraId="13E62920"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40</w:t>
            </w:r>
            <w:r>
              <w:rPr>
                <w:rFonts w:cs="Arial"/>
                <w:sz w:val="16"/>
                <w:szCs w:val="16"/>
              </w:rPr>
              <w:t>.3</w:t>
            </w:r>
          </w:p>
        </w:tc>
        <w:tc>
          <w:tcPr>
            <w:tcW w:w="967" w:type="dxa"/>
            <w:hideMark/>
          </w:tcPr>
          <w:p w14:paraId="7FC45B55" w14:textId="77777777" w:rsidR="00D7444C" w:rsidRPr="0004684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046847">
              <w:rPr>
                <w:sz w:val="16"/>
                <w:szCs w:val="16"/>
              </w:rPr>
              <w:t>3</w:t>
            </w:r>
            <w:r>
              <w:rPr>
                <w:sz w:val="16"/>
                <w:szCs w:val="16"/>
              </w:rPr>
              <w:t>,</w:t>
            </w:r>
            <w:r w:rsidRPr="00046847">
              <w:rPr>
                <w:sz w:val="16"/>
                <w:szCs w:val="16"/>
              </w:rPr>
              <w:t>690</w:t>
            </w:r>
          </w:p>
        </w:tc>
        <w:tc>
          <w:tcPr>
            <w:tcW w:w="765" w:type="dxa"/>
            <w:hideMark/>
          </w:tcPr>
          <w:p w14:paraId="2AF0BA40" w14:textId="77777777" w:rsidR="00D7444C" w:rsidRPr="0004684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046847">
              <w:rPr>
                <w:sz w:val="16"/>
                <w:szCs w:val="16"/>
              </w:rPr>
              <w:t>44.1</w:t>
            </w:r>
          </w:p>
        </w:tc>
        <w:tc>
          <w:tcPr>
            <w:tcW w:w="967" w:type="dxa"/>
            <w:hideMark/>
          </w:tcPr>
          <w:p w14:paraId="7025F227" w14:textId="77777777" w:rsidR="00D7444C" w:rsidRPr="0004684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046847">
              <w:rPr>
                <w:sz w:val="16"/>
                <w:szCs w:val="16"/>
              </w:rPr>
              <w:t>4</w:t>
            </w:r>
            <w:r>
              <w:rPr>
                <w:sz w:val="16"/>
                <w:szCs w:val="16"/>
              </w:rPr>
              <w:t>,</w:t>
            </w:r>
            <w:r w:rsidRPr="00046847">
              <w:rPr>
                <w:sz w:val="16"/>
                <w:szCs w:val="16"/>
              </w:rPr>
              <w:t>028</w:t>
            </w:r>
          </w:p>
        </w:tc>
        <w:tc>
          <w:tcPr>
            <w:tcW w:w="765" w:type="dxa"/>
            <w:hideMark/>
          </w:tcPr>
          <w:p w14:paraId="7AC7B840" w14:textId="77777777" w:rsidR="00D7444C" w:rsidRPr="0004684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046847">
              <w:rPr>
                <w:sz w:val="16"/>
                <w:szCs w:val="16"/>
              </w:rPr>
              <w:t>48.2</w:t>
            </w:r>
          </w:p>
        </w:tc>
        <w:tc>
          <w:tcPr>
            <w:tcW w:w="1762" w:type="dxa"/>
          </w:tcPr>
          <w:p w14:paraId="5AF479A4" w14:textId="381A9883"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49%</w:t>
            </w:r>
            <w:r w:rsidRPr="003D1A6C">
              <w:rPr>
                <w:rFonts w:eastAsia="Times New Roman" w:cs="Arial"/>
                <w:color w:val="000000"/>
                <w:szCs w:val="18"/>
                <w:vertAlign w:val="superscript"/>
                <w:lang w:eastAsia="en-AU"/>
              </w:rPr>
              <w:t xml:space="preserve"> </w:t>
            </w:r>
            <w:r w:rsidR="00282861">
              <w:rPr>
                <w:rFonts w:eastAsia="Times New Roman" w:cs="Arial"/>
                <w:color w:val="000000"/>
                <w:szCs w:val="18"/>
                <w:vertAlign w:val="superscript"/>
                <w:lang w:eastAsia="en-AU"/>
              </w:rPr>
              <w:t>b</w:t>
            </w:r>
          </w:p>
        </w:tc>
      </w:tr>
      <w:tr w:rsidR="00D7444C" w:rsidRPr="00F2712D" w14:paraId="56D84C63"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36FFD3F4" w14:textId="75681BCA" w:rsidR="00D7444C" w:rsidRPr="001963F3" w:rsidRDefault="00D7444C" w:rsidP="00D11E39">
            <w:pPr>
              <w:jc w:val="right"/>
              <w:rPr>
                <w:rFonts w:cs="Arial"/>
                <w:sz w:val="16"/>
                <w:szCs w:val="16"/>
              </w:rPr>
            </w:pPr>
            <w:r>
              <w:rPr>
                <w:rFonts w:cs="Arial"/>
                <w:sz w:val="16"/>
                <w:szCs w:val="16"/>
              </w:rPr>
              <w:t>Unknow</w:t>
            </w:r>
            <w:r w:rsidR="004843B5">
              <w:rPr>
                <w:rFonts w:cs="Arial"/>
                <w:sz w:val="16"/>
                <w:szCs w:val="16"/>
              </w:rPr>
              <w:t>n</w:t>
            </w:r>
          </w:p>
        </w:tc>
        <w:tc>
          <w:tcPr>
            <w:tcW w:w="1111" w:type="dxa"/>
            <w:noWrap/>
          </w:tcPr>
          <w:p w14:paraId="0F730E7C"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1</w:t>
            </w:r>
          </w:p>
        </w:tc>
        <w:tc>
          <w:tcPr>
            <w:tcW w:w="893" w:type="dxa"/>
            <w:noWrap/>
          </w:tcPr>
          <w:p w14:paraId="4BFF7287"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0</w:t>
            </w:r>
          </w:p>
        </w:tc>
        <w:tc>
          <w:tcPr>
            <w:tcW w:w="967" w:type="dxa"/>
          </w:tcPr>
          <w:p w14:paraId="21D989D3"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tcPr>
          <w:p w14:paraId="318922E5"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tcPr>
          <w:p w14:paraId="750C6A5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tcPr>
          <w:p w14:paraId="7859039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09ECA73C" w14:textId="77777777" w:rsidR="00D7444C"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1C099E25" w14:textId="77777777" w:rsidTr="0004663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2F75685" w14:textId="44E0B36B" w:rsidR="00D7444C" w:rsidRPr="001963F3" w:rsidRDefault="00D7444C" w:rsidP="00D11E39">
            <w:pPr>
              <w:rPr>
                <w:rFonts w:cs="Arial"/>
                <w:b w:val="0"/>
                <w:bCs/>
                <w:sz w:val="16"/>
                <w:szCs w:val="16"/>
              </w:rPr>
            </w:pPr>
            <w:r w:rsidRPr="001963F3">
              <w:rPr>
                <w:rFonts w:cs="Arial"/>
                <w:bCs/>
                <w:sz w:val="16"/>
                <w:szCs w:val="16"/>
              </w:rPr>
              <w:t xml:space="preserve">JSCI </w:t>
            </w:r>
            <w:r w:rsidR="004843B5">
              <w:rPr>
                <w:rFonts w:cs="Arial"/>
                <w:bCs/>
                <w:sz w:val="16"/>
                <w:szCs w:val="16"/>
              </w:rPr>
              <w:t>s</w:t>
            </w:r>
            <w:r w:rsidRPr="001963F3">
              <w:rPr>
                <w:rFonts w:cs="Arial"/>
                <w:bCs/>
                <w:sz w:val="16"/>
                <w:szCs w:val="16"/>
              </w:rPr>
              <w:t>core</w:t>
            </w:r>
            <w:r>
              <w:rPr>
                <w:rFonts w:cs="Arial"/>
                <w:bCs/>
                <w:sz w:val="16"/>
                <w:szCs w:val="16"/>
              </w:rPr>
              <w:t xml:space="preserve"> </w:t>
            </w:r>
            <w:r w:rsidR="004843B5">
              <w:rPr>
                <w:rFonts w:cs="Arial"/>
                <w:bCs/>
                <w:sz w:val="16"/>
                <w:szCs w:val="16"/>
              </w:rPr>
              <w:t>g</w:t>
            </w:r>
            <w:r>
              <w:rPr>
                <w:rFonts w:cs="Arial"/>
                <w:bCs/>
                <w:sz w:val="16"/>
                <w:szCs w:val="16"/>
              </w:rPr>
              <w:t>roup</w:t>
            </w:r>
          </w:p>
        </w:tc>
        <w:tc>
          <w:tcPr>
            <w:tcW w:w="1111" w:type="dxa"/>
            <w:noWrap/>
            <w:hideMark/>
          </w:tcPr>
          <w:p w14:paraId="25BEFD04"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893" w:type="dxa"/>
            <w:noWrap/>
            <w:hideMark/>
          </w:tcPr>
          <w:p w14:paraId="2AFD4DFC"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noWrap/>
            <w:hideMark/>
          </w:tcPr>
          <w:p w14:paraId="52A5739E"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765" w:type="dxa"/>
            <w:hideMark/>
          </w:tcPr>
          <w:p w14:paraId="305161A5"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noWrap/>
            <w:hideMark/>
          </w:tcPr>
          <w:p w14:paraId="3D1BCA56"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765" w:type="dxa"/>
            <w:hideMark/>
          </w:tcPr>
          <w:p w14:paraId="6E2E2573"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1762" w:type="dxa"/>
          </w:tcPr>
          <w:p w14:paraId="7B5F8F4E"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02E682A2"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804C031" w14:textId="071D7697" w:rsidR="00D7444C" w:rsidRPr="001963F3" w:rsidRDefault="00F37ED3" w:rsidP="00D11E39">
            <w:pPr>
              <w:jc w:val="right"/>
              <w:rPr>
                <w:rFonts w:cs="Arial"/>
                <w:sz w:val="16"/>
                <w:szCs w:val="16"/>
              </w:rPr>
            </w:pPr>
            <w:r>
              <w:rPr>
                <w:rFonts w:cs="Arial"/>
                <w:sz w:val="16"/>
                <w:szCs w:val="16"/>
              </w:rPr>
              <w:lastRenderedPageBreak/>
              <w:t>Medium</w:t>
            </w:r>
          </w:p>
        </w:tc>
        <w:tc>
          <w:tcPr>
            <w:tcW w:w="1111" w:type="dxa"/>
            <w:noWrap/>
            <w:hideMark/>
          </w:tcPr>
          <w:p w14:paraId="294DEDF8"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20,025</w:t>
            </w:r>
          </w:p>
        </w:tc>
        <w:tc>
          <w:tcPr>
            <w:tcW w:w="893" w:type="dxa"/>
            <w:noWrap/>
            <w:hideMark/>
          </w:tcPr>
          <w:p w14:paraId="2DAF1897"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74.7</w:t>
            </w:r>
          </w:p>
        </w:tc>
        <w:tc>
          <w:tcPr>
            <w:tcW w:w="967" w:type="dxa"/>
            <w:noWrap/>
            <w:hideMark/>
          </w:tcPr>
          <w:p w14:paraId="314F1600" w14:textId="77777777" w:rsidR="00D7444C" w:rsidRPr="00EF0C6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0C6D">
              <w:rPr>
                <w:sz w:val="16"/>
                <w:szCs w:val="16"/>
              </w:rPr>
              <w:t>5</w:t>
            </w:r>
            <w:r>
              <w:rPr>
                <w:sz w:val="16"/>
                <w:szCs w:val="16"/>
              </w:rPr>
              <w:t>,</w:t>
            </w:r>
            <w:r w:rsidRPr="00EF0C6D">
              <w:rPr>
                <w:sz w:val="16"/>
                <w:szCs w:val="16"/>
              </w:rPr>
              <w:t>406</w:t>
            </w:r>
          </w:p>
        </w:tc>
        <w:tc>
          <w:tcPr>
            <w:tcW w:w="765" w:type="dxa"/>
            <w:hideMark/>
          </w:tcPr>
          <w:p w14:paraId="420BB9DE" w14:textId="77777777" w:rsidR="00D7444C" w:rsidRPr="00EF0C6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0C6D">
              <w:rPr>
                <w:sz w:val="16"/>
                <w:szCs w:val="16"/>
              </w:rPr>
              <w:t>64.7</w:t>
            </w:r>
          </w:p>
        </w:tc>
        <w:tc>
          <w:tcPr>
            <w:tcW w:w="967" w:type="dxa"/>
            <w:noWrap/>
            <w:hideMark/>
          </w:tcPr>
          <w:p w14:paraId="56E65882" w14:textId="77777777" w:rsidR="00D7444C" w:rsidRPr="00EF0C6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0C6D">
              <w:rPr>
                <w:sz w:val="16"/>
                <w:szCs w:val="16"/>
              </w:rPr>
              <w:t>5</w:t>
            </w:r>
            <w:r>
              <w:rPr>
                <w:sz w:val="16"/>
                <w:szCs w:val="16"/>
              </w:rPr>
              <w:t>,</w:t>
            </w:r>
            <w:r w:rsidRPr="00EF0C6D">
              <w:rPr>
                <w:sz w:val="16"/>
                <w:szCs w:val="16"/>
              </w:rPr>
              <w:t>406</w:t>
            </w:r>
          </w:p>
        </w:tc>
        <w:tc>
          <w:tcPr>
            <w:tcW w:w="765" w:type="dxa"/>
            <w:hideMark/>
          </w:tcPr>
          <w:p w14:paraId="5DDE4B6A" w14:textId="77777777" w:rsidR="00D7444C" w:rsidRPr="00EF0C6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0C6D">
              <w:rPr>
                <w:sz w:val="16"/>
                <w:szCs w:val="16"/>
              </w:rPr>
              <w:t>64.7</w:t>
            </w:r>
          </w:p>
        </w:tc>
        <w:tc>
          <w:tcPr>
            <w:tcW w:w="1762" w:type="dxa"/>
          </w:tcPr>
          <w:p w14:paraId="340019B2"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36BB1B30"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02E2078" w14:textId="7B4FF758" w:rsidR="00D7444C" w:rsidRPr="001963F3" w:rsidRDefault="004D387C" w:rsidP="00D11E39">
            <w:pPr>
              <w:jc w:val="right"/>
              <w:rPr>
                <w:rFonts w:cs="Arial"/>
                <w:sz w:val="16"/>
                <w:szCs w:val="16"/>
              </w:rPr>
            </w:pPr>
            <w:r>
              <w:rPr>
                <w:rFonts w:cs="Arial"/>
                <w:sz w:val="16"/>
                <w:szCs w:val="16"/>
              </w:rPr>
              <w:t>H</w:t>
            </w:r>
            <w:r w:rsidR="00D7444C" w:rsidRPr="001963F3">
              <w:rPr>
                <w:rFonts w:cs="Arial"/>
                <w:sz w:val="16"/>
                <w:szCs w:val="16"/>
              </w:rPr>
              <w:t>igh</w:t>
            </w:r>
          </w:p>
        </w:tc>
        <w:tc>
          <w:tcPr>
            <w:tcW w:w="1111" w:type="dxa"/>
            <w:noWrap/>
            <w:hideMark/>
          </w:tcPr>
          <w:p w14:paraId="64A08E76"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6,012</w:t>
            </w:r>
          </w:p>
        </w:tc>
        <w:tc>
          <w:tcPr>
            <w:tcW w:w="893" w:type="dxa"/>
            <w:noWrap/>
            <w:hideMark/>
          </w:tcPr>
          <w:p w14:paraId="7E8620CD"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22.4</w:t>
            </w:r>
          </w:p>
        </w:tc>
        <w:tc>
          <w:tcPr>
            <w:tcW w:w="967" w:type="dxa"/>
            <w:noWrap/>
            <w:hideMark/>
          </w:tcPr>
          <w:p w14:paraId="7AA553CD" w14:textId="77777777" w:rsidR="00D7444C" w:rsidRPr="00EF0C6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0C6D">
              <w:rPr>
                <w:sz w:val="16"/>
                <w:szCs w:val="16"/>
              </w:rPr>
              <w:t>2</w:t>
            </w:r>
            <w:r>
              <w:rPr>
                <w:sz w:val="16"/>
                <w:szCs w:val="16"/>
              </w:rPr>
              <w:t>,</w:t>
            </w:r>
            <w:r w:rsidRPr="00EF0C6D">
              <w:rPr>
                <w:sz w:val="16"/>
                <w:szCs w:val="16"/>
              </w:rPr>
              <w:t>886</w:t>
            </w:r>
          </w:p>
        </w:tc>
        <w:tc>
          <w:tcPr>
            <w:tcW w:w="765" w:type="dxa"/>
            <w:hideMark/>
          </w:tcPr>
          <w:p w14:paraId="338CDF14" w14:textId="77777777" w:rsidR="00D7444C" w:rsidRPr="00EF0C6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0C6D">
              <w:rPr>
                <w:sz w:val="16"/>
                <w:szCs w:val="16"/>
              </w:rPr>
              <w:t>34.5</w:t>
            </w:r>
          </w:p>
        </w:tc>
        <w:tc>
          <w:tcPr>
            <w:tcW w:w="967" w:type="dxa"/>
            <w:noWrap/>
            <w:hideMark/>
          </w:tcPr>
          <w:p w14:paraId="3E56C2A1" w14:textId="77777777" w:rsidR="00D7444C" w:rsidRPr="00EF0C6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0C6D">
              <w:rPr>
                <w:sz w:val="16"/>
                <w:szCs w:val="16"/>
              </w:rPr>
              <w:t>2</w:t>
            </w:r>
            <w:r>
              <w:rPr>
                <w:sz w:val="16"/>
                <w:szCs w:val="16"/>
              </w:rPr>
              <w:t>,</w:t>
            </w:r>
            <w:r w:rsidRPr="00EF0C6D">
              <w:rPr>
                <w:sz w:val="16"/>
                <w:szCs w:val="16"/>
              </w:rPr>
              <w:t>886</w:t>
            </w:r>
          </w:p>
        </w:tc>
        <w:tc>
          <w:tcPr>
            <w:tcW w:w="765" w:type="dxa"/>
            <w:hideMark/>
          </w:tcPr>
          <w:p w14:paraId="21757574" w14:textId="77777777" w:rsidR="00D7444C" w:rsidRPr="00EF0C6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0C6D">
              <w:rPr>
                <w:sz w:val="16"/>
                <w:szCs w:val="16"/>
              </w:rPr>
              <w:t>34.5</w:t>
            </w:r>
          </w:p>
        </w:tc>
        <w:tc>
          <w:tcPr>
            <w:tcW w:w="1762" w:type="dxa"/>
          </w:tcPr>
          <w:p w14:paraId="3227AA40"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04817375"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30ED448" w14:textId="77777777" w:rsidR="00D7444C" w:rsidRPr="001963F3" w:rsidRDefault="00D7444C" w:rsidP="00D11E39">
            <w:pPr>
              <w:jc w:val="right"/>
              <w:rPr>
                <w:rFonts w:cs="Arial"/>
                <w:sz w:val="16"/>
                <w:szCs w:val="16"/>
              </w:rPr>
            </w:pPr>
            <w:r>
              <w:rPr>
                <w:rFonts w:cs="Arial"/>
                <w:sz w:val="16"/>
                <w:szCs w:val="16"/>
              </w:rPr>
              <w:t>Unknown</w:t>
            </w:r>
          </w:p>
        </w:tc>
        <w:tc>
          <w:tcPr>
            <w:tcW w:w="1111" w:type="dxa"/>
            <w:noWrap/>
            <w:hideMark/>
          </w:tcPr>
          <w:p w14:paraId="2AF2B1D0"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785</w:t>
            </w:r>
          </w:p>
        </w:tc>
        <w:tc>
          <w:tcPr>
            <w:tcW w:w="893" w:type="dxa"/>
            <w:noWrap/>
            <w:hideMark/>
          </w:tcPr>
          <w:p w14:paraId="3B9C425E"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2.9</w:t>
            </w:r>
          </w:p>
        </w:tc>
        <w:tc>
          <w:tcPr>
            <w:tcW w:w="967" w:type="dxa"/>
            <w:noWrap/>
            <w:hideMark/>
          </w:tcPr>
          <w:p w14:paraId="74AAE6C3" w14:textId="77777777" w:rsidR="00D7444C" w:rsidRPr="00EF0C6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0C6D">
              <w:rPr>
                <w:sz w:val="16"/>
                <w:szCs w:val="16"/>
              </w:rPr>
              <w:t>69</w:t>
            </w:r>
          </w:p>
        </w:tc>
        <w:tc>
          <w:tcPr>
            <w:tcW w:w="765" w:type="dxa"/>
            <w:hideMark/>
          </w:tcPr>
          <w:p w14:paraId="5B63C624" w14:textId="77777777" w:rsidR="00D7444C" w:rsidRPr="00EF0C6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0C6D">
              <w:rPr>
                <w:sz w:val="16"/>
                <w:szCs w:val="16"/>
              </w:rPr>
              <w:t>0.8</w:t>
            </w:r>
          </w:p>
        </w:tc>
        <w:tc>
          <w:tcPr>
            <w:tcW w:w="967" w:type="dxa"/>
            <w:noWrap/>
            <w:hideMark/>
          </w:tcPr>
          <w:p w14:paraId="1DB5444C" w14:textId="77777777" w:rsidR="00D7444C" w:rsidRPr="00EF0C6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0C6D">
              <w:rPr>
                <w:sz w:val="16"/>
                <w:szCs w:val="16"/>
              </w:rPr>
              <w:t>69</w:t>
            </w:r>
          </w:p>
        </w:tc>
        <w:tc>
          <w:tcPr>
            <w:tcW w:w="765" w:type="dxa"/>
            <w:hideMark/>
          </w:tcPr>
          <w:p w14:paraId="4E09DCB1" w14:textId="77777777" w:rsidR="00D7444C" w:rsidRPr="00EF0C6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0C6D">
              <w:rPr>
                <w:sz w:val="16"/>
                <w:szCs w:val="16"/>
              </w:rPr>
              <w:t>0.8</w:t>
            </w:r>
          </w:p>
        </w:tc>
        <w:tc>
          <w:tcPr>
            <w:tcW w:w="1762" w:type="dxa"/>
          </w:tcPr>
          <w:p w14:paraId="6B645E45"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13233546" w14:textId="77777777" w:rsidTr="0004663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53702AD" w14:textId="45D0E540" w:rsidR="00D7444C" w:rsidRPr="001963F3" w:rsidRDefault="00D7444C" w:rsidP="00D11E39">
            <w:pPr>
              <w:rPr>
                <w:rFonts w:cs="Arial"/>
                <w:b w:val="0"/>
                <w:bCs/>
                <w:sz w:val="16"/>
                <w:szCs w:val="16"/>
              </w:rPr>
            </w:pPr>
            <w:r w:rsidRPr="001963F3">
              <w:rPr>
                <w:rFonts w:cs="Arial"/>
                <w:bCs/>
                <w:sz w:val="16"/>
                <w:szCs w:val="16"/>
              </w:rPr>
              <w:t xml:space="preserve">Education </w:t>
            </w:r>
            <w:r w:rsidR="004D387C">
              <w:rPr>
                <w:rFonts w:cs="Arial"/>
                <w:bCs/>
                <w:sz w:val="16"/>
                <w:szCs w:val="16"/>
              </w:rPr>
              <w:t>l</w:t>
            </w:r>
            <w:r w:rsidRPr="001963F3">
              <w:rPr>
                <w:rFonts w:cs="Arial"/>
                <w:bCs/>
                <w:sz w:val="16"/>
                <w:szCs w:val="16"/>
              </w:rPr>
              <w:t>evel</w:t>
            </w:r>
          </w:p>
        </w:tc>
        <w:tc>
          <w:tcPr>
            <w:tcW w:w="1111" w:type="dxa"/>
            <w:noWrap/>
            <w:hideMark/>
          </w:tcPr>
          <w:p w14:paraId="5A6EA95F"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893" w:type="dxa"/>
            <w:noWrap/>
            <w:hideMark/>
          </w:tcPr>
          <w:p w14:paraId="62648B89"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noWrap/>
            <w:hideMark/>
          </w:tcPr>
          <w:p w14:paraId="4649E16F"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765" w:type="dxa"/>
            <w:hideMark/>
          </w:tcPr>
          <w:p w14:paraId="1B5A30EC"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noWrap/>
            <w:hideMark/>
          </w:tcPr>
          <w:p w14:paraId="6E13A027"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765" w:type="dxa"/>
            <w:hideMark/>
          </w:tcPr>
          <w:p w14:paraId="01F3F0E2"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1762" w:type="dxa"/>
          </w:tcPr>
          <w:p w14:paraId="066CB332" w14:textId="2E96010F" w:rsidR="00D7444C" w:rsidRPr="007108B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r w:rsidRPr="007108B3">
              <w:rPr>
                <w:rFonts w:cs="Arial"/>
                <w:b/>
                <w:bCs/>
                <w:sz w:val="16"/>
                <w:szCs w:val="16"/>
              </w:rPr>
              <w:t>20</w:t>
            </w:r>
            <w:r w:rsidR="004D387C">
              <w:rPr>
                <w:rFonts w:cs="Arial"/>
                <w:b/>
                <w:bCs/>
                <w:sz w:val="16"/>
                <w:szCs w:val="16"/>
              </w:rPr>
              <w:t>–</w:t>
            </w:r>
            <w:r w:rsidRPr="007108B3">
              <w:rPr>
                <w:rFonts w:cs="Arial"/>
                <w:b/>
                <w:bCs/>
                <w:sz w:val="16"/>
                <w:szCs w:val="16"/>
              </w:rPr>
              <w:t xml:space="preserve">24 </w:t>
            </w:r>
            <w:r w:rsidR="001F2478">
              <w:rPr>
                <w:rFonts w:cs="Arial"/>
                <w:b/>
                <w:bCs/>
                <w:sz w:val="16"/>
                <w:szCs w:val="16"/>
              </w:rPr>
              <w:t>y/o</w:t>
            </w:r>
          </w:p>
        </w:tc>
      </w:tr>
      <w:tr w:rsidR="00D7444C" w:rsidRPr="00F2712D" w14:paraId="608EF81B"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8BF7A10" w14:textId="77777777" w:rsidR="00D7444C" w:rsidRPr="001963F3" w:rsidRDefault="00D7444C" w:rsidP="00D11E39">
            <w:pPr>
              <w:jc w:val="right"/>
              <w:rPr>
                <w:rFonts w:cs="Arial"/>
                <w:sz w:val="16"/>
                <w:szCs w:val="16"/>
              </w:rPr>
            </w:pPr>
            <w:r w:rsidRPr="001963F3">
              <w:rPr>
                <w:rFonts w:cs="Arial"/>
                <w:sz w:val="16"/>
                <w:szCs w:val="16"/>
              </w:rPr>
              <w:t>&lt;Y12</w:t>
            </w:r>
          </w:p>
        </w:tc>
        <w:tc>
          <w:tcPr>
            <w:tcW w:w="1111" w:type="dxa"/>
            <w:noWrap/>
            <w:hideMark/>
          </w:tcPr>
          <w:p w14:paraId="74BA98E1"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21</w:t>
            </w:r>
            <w:r>
              <w:rPr>
                <w:rFonts w:cs="Arial"/>
                <w:sz w:val="16"/>
                <w:szCs w:val="16"/>
              </w:rPr>
              <w:t>,</w:t>
            </w:r>
            <w:r w:rsidRPr="00F2712D">
              <w:rPr>
                <w:rFonts w:cs="Arial"/>
                <w:sz w:val="16"/>
                <w:szCs w:val="16"/>
              </w:rPr>
              <w:t>984</w:t>
            </w:r>
          </w:p>
        </w:tc>
        <w:tc>
          <w:tcPr>
            <w:tcW w:w="893" w:type="dxa"/>
            <w:noWrap/>
            <w:hideMark/>
          </w:tcPr>
          <w:p w14:paraId="3587E8D3"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82</w:t>
            </w:r>
            <w:r>
              <w:rPr>
                <w:rFonts w:cs="Arial"/>
                <w:sz w:val="16"/>
                <w:szCs w:val="16"/>
              </w:rPr>
              <w:t>.0</w:t>
            </w:r>
          </w:p>
        </w:tc>
        <w:tc>
          <w:tcPr>
            <w:tcW w:w="967" w:type="dxa"/>
            <w:noWrap/>
            <w:hideMark/>
          </w:tcPr>
          <w:p w14:paraId="39FBAE82"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5</w:t>
            </w:r>
            <w:r>
              <w:rPr>
                <w:sz w:val="16"/>
                <w:szCs w:val="16"/>
              </w:rPr>
              <w:t>,</w:t>
            </w:r>
            <w:r w:rsidRPr="00EB2406">
              <w:rPr>
                <w:sz w:val="16"/>
                <w:szCs w:val="16"/>
              </w:rPr>
              <w:t>528</w:t>
            </w:r>
          </w:p>
        </w:tc>
        <w:tc>
          <w:tcPr>
            <w:tcW w:w="765" w:type="dxa"/>
            <w:hideMark/>
          </w:tcPr>
          <w:p w14:paraId="0762927D"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66.1</w:t>
            </w:r>
          </w:p>
        </w:tc>
        <w:tc>
          <w:tcPr>
            <w:tcW w:w="967" w:type="dxa"/>
            <w:noWrap/>
            <w:hideMark/>
          </w:tcPr>
          <w:p w14:paraId="6B9A700B"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5</w:t>
            </w:r>
            <w:r>
              <w:rPr>
                <w:sz w:val="16"/>
                <w:szCs w:val="16"/>
              </w:rPr>
              <w:t>,</w:t>
            </w:r>
            <w:r w:rsidRPr="00EB2406">
              <w:rPr>
                <w:sz w:val="16"/>
                <w:szCs w:val="16"/>
              </w:rPr>
              <w:t>528</w:t>
            </w:r>
          </w:p>
        </w:tc>
        <w:tc>
          <w:tcPr>
            <w:tcW w:w="765" w:type="dxa"/>
            <w:hideMark/>
          </w:tcPr>
          <w:p w14:paraId="1EC93D66"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66.1</w:t>
            </w:r>
          </w:p>
        </w:tc>
        <w:tc>
          <w:tcPr>
            <w:tcW w:w="1762" w:type="dxa"/>
          </w:tcPr>
          <w:p w14:paraId="29453F02" w14:textId="594E59A8"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10.5</w:t>
            </w:r>
            <w:r w:rsidRPr="003D1A6C">
              <w:rPr>
                <w:rFonts w:cs="Arial"/>
                <w:sz w:val="16"/>
                <w:szCs w:val="16"/>
              </w:rPr>
              <w:t>%</w:t>
            </w:r>
            <w:r w:rsidRPr="003D1A6C">
              <w:rPr>
                <w:rFonts w:eastAsia="Times New Roman" w:cs="Arial"/>
                <w:color w:val="000000"/>
                <w:szCs w:val="18"/>
                <w:lang w:eastAsia="en-AU"/>
              </w:rPr>
              <w:t xml:space="preserve"> </w:t>
            </w:r>
            <w:r w:rsidR="00282861">
              <w:rPr>
                <w:rFonts w:eastAsia="Times New Roman" w:cs="Arial"/>
                <w:color w:val="000000"/>
                <w:szCs w:val="18"/>
                <w:vertAlign w:val="superscript"/>
                <w:lang w:eastAsia="en-AU"/>
              </w:rPr>
              <w:t>a</w:t>
            </w:r>
          </w:p>
        </w:tc>
      </w:tr>
      <w:tr w:rsidR="00D7444C" w:rsidRPr="00F2712D" w14:paraId="7D91FDB4"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7D10F7A" w14:textId="77777777" w:rsidR="00D7444C" w:rsidRPr="001963F3" w:rsidRDefault="00D7444C" w:rsidP="00D11E39">
            <w:pPr>
              <w:jc w:val="right"/>
              <w:rPr>
                <w:rFonts w:cs="Arial"/>
                <w:sz w:val="16"/>
                <w:szCs w:val="16"/>
              </w:rPr>
            </w:pPr>
            <w:r w:rsidRPr="001963F3">
              <w:rPr>
                <w:rFonts w:cs="Arial"/>
                <w:sz w:val="16"/>
                <w:szCs w:val="16"/>
              </w:rPr>
              <w:t>*=&gt;Y12</w:t>
            </w:r>
          </w:p>
        </w:tc>
        <w:tc>
          <w:tcPr>
            <w:tcW w:w="1111" w:type="dxa"/>
            <w:noWrap/>
            <w:hideMark/>
          </w:tcPr>
          <w:p w14:paraId="5A4BBC32"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4</w:t>
            </w:r>
            <w:r>
              <w:rPr>
                <w:rFonts w:cs="Arial"/>
                <w:sz w:val="16"/>
                <w:szCs w:val="16"/>
              </w:rPr>
              <w:t>,</w:t>
            </w:r>
            <w:r w:rsidRPr="00F2712D">
              <w:rPr>
                <w:rFonts w:cs="Arial"/>
                <w:sz w:val="16"/>
                <w:szCs w:val="16"/>
              </w:rPr>
              <w:t>052</w:t>
            </w:r>
          </w:p>
        </w:tc>
        <w:tc>
          <w:tcPr>
            <w:tcW w:w="893" w:type="dxa"/>
            <w:noWrap/>
            <w:hideMark/>
          </w:tcPr>
          <w:p w14:paraId="267FB43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15</w:t>
            </w:r>
            <w:r>
              <w:rPr>
                <w:rFonts w:cs="Arial"/>
                <w:sz w:val="16"/>
                <w:szCs w:val="16"/>
              </w:rPr>
              <w:t>.1</w:t>
            </w:r>
          </w:p>
        </w:tc>
        <w:tc>
          <w:tcPr>
            <w:tcW w:w="967" w:type="dxa"/>
            <w:noWrap/>
            <w:hideMark/>
          </w:tcPr>
          <w:p w14:paraId="0C30701B"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2</w:t>
            </w:r>
            <w:r>
              <w:rPr>
                <w:sz w:val="16"/>
                <w:szCs w:val="16"/>
              </w:rPr>
              <w:t>,</w:t>
            </w:r>
            <w:r w:rsidRPr="00EB2406">
              <w:rPr>
                <w:sz w:val="16"/>
                <w:szCs w:val="16"/>
              </w:rPr>
              <w:t>764</w:t>
            </w:r>
          </w:p>
        </w:tc>
        <w:tc>
          <w:tcPr>
            <w:tcW w:w="765" w:type="dxa"/>
            <w:hideMark/>
          </w:tcPr>
          <w:p w14:paraId="3949670B"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33.1</w:t>
            </w:r>
          </w:p>
        </w:tc>
        <w:tc>
          <w:tcPr>
            <w:tcW w:w="967" w:type="dxa"/>
            <w:noWrap/>
            <w:hideMark/>
          </w:tcPr>
          <w:p w14:paraId="5002E36B"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2</w:t>
            </w:r>
            <w:r>
              <w:rPr>
                <w:sz w:val="16"/>
                <w:szCs w:val="16"/>
              </w:rPr>
              <w:t>,</w:t>
            </w:r>
            <w:r w:rsidRPr="00EB2406">
              <w:rPr>
                <w:sz w:val="16"/>
                <w:szCs w:val="16"/>
              </w:rPr>
              <w:t>764</w:t>
            </w:r>
          </w:p>
        </w:tc>
        <w:tc>
          <w:tcPr>
            <w:tcW w:w="765" w:type="dxa"/>
            <w:hideMark/>
          </w:tcPr>
          <w:p w14:paraId="19DB5238"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33.1</w:t>
            </w:r>
          </w:p>
        </w:tc>
        <w:tc>
          <w:tcPr>
            <w:tcW w:w="1762" w:type="dxa"/>
          </w:tcPr>
          <w:p w14:paraId="0DEDF9BA" w14:textId="7C7CB043"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89.5</w:t>
            </w:r>
            <w:r w:rsidRPr="003D1A6C">
              <w:rPr>
                <w:rFonts w:cs="Arial"/>
                <w:sz w:val="16"/>
                <w:szCs w:val="16"/>
              </w:rPr>
              <w:t>%</w:t>
            </w:r>
            <w:r w:rsidRPr="003D1A6C">
              <w:rPr>
                <w:rFonts w:eastAsia="Times New Roman" w:cs="Arial"/>
                <w:color w:val="000000"/>
                <w:szCs w:val="18"/>
                <w:lang w:eastAsia="en-AU"/>
              </w:rPr>
              <w:t xml:space="preserve"> </w:t>
            </w:r>
            <w:r w:rsidR="00282861">
              <w:rPr>
                <w:rFonts w:eastAsia="Times New Roman" w:cs="Arial"/>
                <w:color w:val="000000"/>
                <w:szCs w:val="18"/>
                <w:vertAlign w:val="superscript"/>
                <w:lang w:eastAsia="en-AU"/>
              </w:rPr>
              <w:t>a</w:t>
            </w:r>
          </w:p>
        </w:tc>
      </w:tr>
      <w:tr w:rsidR="00D7444C" w:rsidRPr="00F2712D" w14:paraId="6C40E8AB"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4BED7E0" w14:textId="77777777" w:rsidR="00D7444C" w:rsidRPr="001963F3" w:rsidRDefault="00D7444C" w:rsidP="00D11E39">
            <w:pPr>
              <w:jc w:val="right"/>
              <w:rPr>
                <w:rFonts w:cs="Arial"/>
                <w:sz w:val="16"/>
                <w:szCs w:val="16"/>
              </w:rPr>
            </w:pPr>
            <w:r w:rsidRPr="001963F3">
              <w:rPr>
                <w:rFonts w:cs="Arial"/>
                <w:sz w:val="16"/>
                <w:szCs w:val="16"/>
              </w:rPr>
              <w:t>Unknown</w:t>
            </w:r>
          </w:p>
        </w:tc>
        <w:tc>
          <w:tcPr>
            <w:tcW w:w="1111" w:type="dxa"/>
            <w:noWrap/>
            <w:hideMark/>
          </w:tcPr>
          <w:p w14:paraId="086CA563"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786</w:t>
            </w:r>
          </w:p>
        </w:tc>
        <w:tc>
          <w:tcPr>
            <w:tcW w:w="893" w:type="dxa"/>
            <w:noWrap/>
            <w:hideMark/>
          </w:tcPr>
          <w:p w14:paraId="4B1187D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2.9</w:t>
            </w:r>
          </w:p>
        </w:tc>
        <w:tc>
          <w:tcPr>
            <w:tcW w:w="967" w:type="dxa"/>
            <w:noWrap/>
            <w:hideMark/>
          </w:tcPr>
          <w:p w14:paraId="7A959B92"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69</w:t>
            </w:r>
          </w:p>
        </w:tc>
        <w:tc>
          <w:tcPr>
            <w:tcW w:w="765" w:type="dxa"/>
            <w:hideMark/>
          </w:tcPr>
          <w:p w14:paraId="587E2706"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0.8</w:t>
            </w:r>
          </w:p>
        </w:tc>
        <w:tc>
          <w:tcPr>
            <w:tcW w:w="967" w:type="dxa"/>
            <w:noWrap/>
            <w:hideMark/>
          </w:tcPr>
          <w:p w14:paraId="7AABFC19"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69</w:t>
            </w:r>
          </w:p>
        </w:tc>
        <w:tc>
          <w:tcPr>
            <w:tcW w:w="765" w:type="dxa"/>
            <w:hideMark/>
          </w:tcPr>
          <w:p w14:paraId="32F35301"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0.8</w:t>
            </w:r>
          </w:p>
        </w:tc>
        <w:tc>
          <w:tcPr>
            <w:tcW w:w="1762" w:type="dxa"/>
          </w:tcPr>
          <w:p w14:paraId="3BC41405"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1E6544FD" w14:textId="77777777" w:rsidTr="0004663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437" w:type="dxa"/>
            <w:gridSpan w:val="5"/>
            <w:noWrap/>
            <w:hideMark/>
          </w:tcPr>
          <w:p w14:paraId="112AD4B2" w14:textId="77777777" w:rsidR="00D7444C" w:rsidRPr="00EB2406" w:rsidRDefault="00D7444C" w:rsidP="00D11E39">
            <w:pPr>
              <w:rPr>
                <w:rFonts w:cs="Arial"/>
                <w:b w:val="0"/>
                <w:bCs/>
                <w:sz w:val="16"/>
                <w:szCs w:val="16"/>
              </w:rPr>
            </w:pPr>
            <w:r w:rsidRPr="00EB2406">
              <w:rPr>
                <w:rFonts w:cs="Arial"/>
                <w:bCs/>
                <w:sz w:val="16"/>
                <w:szCs w:val="16"/>
              </w:rPr>
              <w:t>Identifies as Aboriginal and/or Torres Strait Islander</w:t>
            </w:r>
          </w:p>
        </w:tc>
        <w:tc>
          <w:tcPr>
            <w:tcW w:w="967" w:type="dxa"/>
            <w:hideMark/>
          </w:tcPr>
          <w:p w14:paraId="332E6BC9"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765" w:type="dxa"/>
            <w:hideMark/>
          </w:tcPr>
          <w:p w14:paraId="16E9BD90"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1762" w:type="dxa"/>
          </w:tcPr>
          <w:p w14:paraId="2019F1FD"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77FF3BA7"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E145BBA" w14:textId="77777777" w:rsidR="00D7444C" w:rsidRPr="001963F3" w:rsidRDefault="00D7444C" w:rsidP="00D11E39">
            <w:pPr>
              <w:jc w:val="right"/>
              <w:rPr>
                <w:rFonts w:cs="Arial"/>
                <w:sz w:val="16"/>
                <w:szCs w:val="16"/>
              </w:rPr>
            </w:pPr>
            <w:r w:rsidRPr="001963F3">
              <w:rPr>
                <w:rFonts w:cs="Arial"/>
                <w:sz w:val="16"/>
                <w:szCs w:val="16"/>
              </w:rPr>
              <w:t>Yes</w:t>
            </w:r>
          </w:p>
        </w:tc>
        <w:tc>
          <w:tcPr>
            <w:tcW w:w="1111" w:type="dxa"/>
            <w:noWrap/>
            <w:hideMark/>
          </w:tcPr>
          <w:p w14:paraId="5E0FC2C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5</w:t>
            </w:r>
            <w:r>
              <w:rPr>
                <w:rFonts w:cs="Arial"/>
                <w:sz w:val="16"/>
                <w:szCs w:val="16"/>
              </w:rPr>
              <w:t>,</w:t>
            </w:r>
            <w:r w:rsidRPr="00F2712D">
              <w:rPr>
                <w:rFonts w:cs="Arial"/>
                <w:sz w:val="16"/>
                <w:szCs w:val="16"/>
              </w:rPr>
              <w:t>046</w:t>
            </w:r>
          </w:p>
        </w:tc>
        <w:tc>
          <w:tcPr>
            <w:tcW w:w="893" w:type="dxa"/>
            <w:noWrap/>
            <w:hideMark/>
          </w:tcPr>
          <w:p w14:paraId="1DB09F85"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1</w:t>
            </w:r>
            <w:r>
              <w:rPr>
                <w:rFonts w:cs="Arial"/>
                <w:sz w:val="16"/>
                <w:szCs w:val="16"/>
              </w:rPr>
              <w:t>8.8</w:t>
            </w:r>
          </w:p>
        </w:tc>
        <w:tc>
          <w:tcPr>
            <w:tcW w:w="967" w:type="dxa"/>
            <w:hideMark/>
          </w:tcPr>
          <w:p w14:paraId="1BE46685"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w:t>
            </w:r>
            <w:r>
              <w:rPr>
                <w:sz w:val="16"/>
                <w:szCs w:val="16"/>
              </w:rPr>
              <w:t>,</w:t>
            </w:r>
            <w:r w:rsidRPr="00EB2406">
              <w:rPr>
                <w:sz w:val="16"/>
                <w:szCs w:val="16"/>
              </w:rPr>
              <w:t>922</w:t>
            </w:r>
          </w:p>
        </w:tc>
        <w:tc>
          <w:tcPr>
            <w:tcW w:w="765" w:type="dxa"/>
            <w:hideMark/>
          </w:tcPr>
          <w:p w14:paraId="243DAE72"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23.0</w:t>
            </w:r>
          </w:p>
        </w:tc>
        <w:tc>
          <w:tcPr>
            <w:tcW w:w="967" w:type="dxa"/>
            <w:hideMark/>
          </w:tcPr>
          <w:p w14:paraId="6D5A12BE"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w:t>
            </w:r>
            <w:r>
              <w:rPr>
                <w:sz w:val="16"/>
                <w:szCs w:val="16"/>
              </w:rPr>
              <w:t>,</w:t>
            </w:r>
            <w:r w:rsidRPr="00EB2406">
              <w:rPr>
                <w:sz w:val="16"/>
                <w:szCs w:val="16"/>
              </w:rPr>
              <w:t>925</w:t>
            </w:r>
          </w:p>
        </w:tc>
        <w:tc>
          <w:tcPr>
            <w:tcW w:w="765" w:type="dxa"/>
            <w:hideMark/>
          </w:tcPr>
          <w:p w14:paraId="338E003B"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23.0</w:t>
            </w:r>
          </w:p>
        </w:tc>
        <w:tc>
          <w:tcPr>
            <w:tcW w:w="1762" w:type="dxa"/>
          </w:tcPr>
          <w:p w14:paraId="69AB9EFD" w14:textId="0D0653EE"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3D1A6C">
              <w:rPr>
                <w:rFonts w:cs="Arial"/>
                <w:sz w:val="16"/>
                <w:szCs w:val="16"/>
              </w:rPr>
              <w:t>4%</w:t>
            </w:r>
            <w:r w:rsidRPr="003D1A6C">
              <w:rPr>
                <w:rFonts w:eastAsia="Times New Roman" w:cs="Arial"/>
                <w:color w:val="000000"/>
                <w:szCs w:val="18"/>
                <w:vertAlign w:val="superscript"/>
                <w:lang w:eastAsia="en-AU"/>
              </w:rPr>
              <w:t xml:space="preserve"> </w:t>
            </w:r>
            <w:r w:rsidR="00C239FD">
              <w:rPr>
                <w:rFonts w:eastAsia="Times New Roman" w:cs="Arial"/>
                <w:color w:val="000000"/>
                <w:szCs w:val="18"/>
                <w:vertAlign w:val="superscript"/>
                <w:lang w:eastAsia="en-AU"/>
              </w:rPr>
              <w:t>b</w:t>
            </w:r>
          </w:p>
        </w:tc>
      </w:tr>
      <w:tr w:rsidR="00D7444C" w:rsidRPr="00F2712D" w14:paraId="6D9BEA73"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5A07D84" w14:textId="77777777" w:rsidR="00D7444C" w:rsidRPr="001963F3" w:rsidRDefault="00D7444C" w:rsidP="00D11E39">
            <w:pPr>
              <w:jc w:val="right"/>
              <w:rPr>
                <w:rFonts w:cs="Arial"/>
                <w:sz w:val="16"/>
                <w:szCs w:val="16"/>
              </w:rPr>
            </w:pPr>
            <w:r w:rsidRPr="001963F3">
              <w:rPr>
                <w:rFonts w:cs="Arial"/>
                <w:sz w:val="16"/>
                <w:szCs w:val="16"/>
              </w:rPr>
              <w:t>No</w:t>
            </w:r>
          </w:p>
        </w:tc>
        <w:tc>
          <w:tcPr>
            <w:tcW w:w="1111" w:type="dxa"/>
            <w:noWrap/>
            <w:hideMark/>
          </w:tcPr>
          <w:p w14:paraId="48FBF09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21</w:t>
            </w:r>
            <w:r>
              <w:rPr>
                <w:rFonts w:cs="Arial"/>
                <w:sz w:val="16"/>
                <w:szCs w:val="16"/>
              </w:rPr>
              <w:t>,</w:t>
            </w:r>
            <w:r w:rsidRPr="00F2712D">
              <w:rPr>
                <w:rFonts w:cs="Arial"/>
                <w:sz w:val="16"/>
                <w:szCs w:val="16"/>
              </w:rPr>
              <w:t>77</w:t>
            </w:r>
            <w:r>
              <w:rPr>
                <w:rFonts w:cs="Arial"/>
                <w:sz w:val="16"/>
                <w:szCs w:val="16"/>
              </w:rPr>
              <w:t>6</w:t>
            </w:r>
          </w:p>
        </w:tc>
        <w:tc>
          <w:tcPr>
            <w:tcW w:w="893" w:type="dxa"/>
            <w:noWrap/>
            <w:hideMark/>
          </w:tcPr>
          <w:p w14:paraId="0448CCB0"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81</w:t>
            </w:r>
            <w:r>
              <w:rPr>
                <w:rFonts w:cs="Arial"/>
                <w:sz w:val="16"/>
                <w:szCs w:val="16"/>
              </w:rPr>
              <w:t>.2</w:t>
            </w:r>
          </w:p>
        </w:tc>
        <w:tc>
          <w:tcPr>
            <w:tcW w:w="967" w:type="dxa"/>
            <w:hideMark/>
          </w:tcPr>
          <w:p w14:paraId="77E11F86"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w:t>
            </w:r>
            <w:r>
              <w:rPr>
                <w:sz w:val="16"/>
                <w:szCs w:val="16"/>
              </w:rPr>
              <w:t>,</w:t>
            </w:r>
            <w:r w:rsidRPr="00EB2406">
              <w:rPr>
                <w:sz w:val="16"/>
                <w:szCs w:val="16"/>
              </w:rPr>
              <w:t>439</w:t>
            </w:r>
          </w:p>
        </w:tc>
        <w:tc>
          <w:tcPr>
            <w:tcW w:w="765" w:type="dxa"/>
            <w:hideMark/>
          </w:tcPr>
          <w:p w14:paraId="1283629A"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77.0</w:t>
            </w:r>
          </w:p>
        </w:tc>
        <w:tc>
          <w:tcPr>
            <w:tcW w:w="967" w:type="dxa"/>
            <w:hideMark/>
          </w:tcPr>
          <w:p w14:paraId="556A586E"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w:t>
            </w:r>
            <w:r>
              <w:rPr>
                <w:sz w:val="16"/>
                <w:szCs w:val="16"/>
              </w:rPr>
              <w:t>,</w:t>
            </w:r>
            <w:r w:rsidRPr="00EB2406">
              <w:rPr>
                <w:sz w:val="16"/>
                <w:szCs w:val="16"/>
              </w:rPr>
              <w:t>436</w:t>
            </w:r>
          </w:p>
        </w:tc>
        <w:tc>
          <w:tcPr>
            <w:tcW w:w="765" w:type="dxa"/>
            <w:hideMark/>
          </w:tcPr>
          <w:p w14:paraId="6BCF4D6C"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77.0</w:t>
            </w:r>
          </w:p>
        </w:tc>
        <w:tc>
          <w:tcPr>
            <w:tcW w:w="1762" w:type="dxa"/>
          </w:tcPr>
          <w:p w14:paraId="0ADA23CB"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F37ED3" w:rsidRPr="00F2712D" w14:paraId="45232236" w14:textId="77777777" w:rsidTr="00046630">
        <w:trPr>
          <w:cnfStyle w:val="000000010000" w:firstRow="0" w:lastRow="0" w:firstColumn="0" w:lastColumn="0" w:oddVBand="0" w:evenVBand="0" w:oddHBand="0" w:evenHBand="1"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4672" w:type="dxa"/>
            <w:gridSpan w:val="4"/>
            <w:noWrap/>
            <w:hideMark/>
          </w:tcPr>
          <w:p w14:paraId="3222831C" w14:textId="196873D1" w:rsidR="00F37ED3" w:rsidRPr="00EB2406" w:rsidRDefault="00F37ED3" w:rsidP="00F37ED3">
            <w:pPr>
              <w:rPr>
                <w:rFonts w:cs="Arial"/>
                <w:sz w:val="16"/>
                <w:szCs w:val="16"/>
              </w:rPr>
            </w:pPr>
            <w:r>
              <w:rPr>
                <w:rFonts w:cs="Arial"/>
                <w:bCs/>
                <w:sz w:val="16"/>
                <w:szCs w:val="16"/>
              </w:rPr>
              <w:t>Reduced work capacity due to disability or medical condition</w:t>
            </w:r>
          </w:p>
        </w:tc>
        <w:tc>
          <w:tcPr>
            <w:tcW w:w="765" w:type="dxa"/>
            <w:hideMark/>
          </w:tcPr>
          <w:p w14:paraId="710C8975" w14:textId="77777777" w:rsidR="00F37ED3" w:rsidRPr="00EB2406"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hideMark/>
          </w:tcPr>
          <w:p w14:paraId="090247DE" w14:textId="77777777" w:rsidR="00F37ED3" w:rsidRPr="00EB2406"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2527" w:type="dxa"/>
            <w:gridSpan w:val="2"/>
            <w:hideMark/>
          </w:tcPr>
          <w:p w14:paraId="059BCD64" w14:textId="75602AE9" w:rsidR="00F37ED3" w:rsidRPr="007108B3"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r>
              <w:rPr>
                <w:rFonts w:cs="Arial"/>
                <w:b/>
                <w:bCs/>
                <w:sz w:val="16"/>
                <w:szCs w:val="16"/>
              </w:rPr>
              <w:t xml:space="preserve">Disability </w:t>
            </w:r>
            <w:r w:rsidRPr="007108B3">
              <w:rPr>
                <w:rFonts w:cs="Arial"/>
                <w:b/>
                <w:bCs/>
                <w:sz w:val="16"/>
                <w:szCs w:val="16"/>
              </w:rPr>
              <w:t>15–22</w:t>
            </w:r>
            <w:r>
              <w:rPr>
                <w:rFonts w:cs="Arial"/>
                <w:b/>
                <w:bCs/>
                <w:sz w:val="16"/>
                <w:szCs w:val="16"/>
              </w:rPr>
              <w:t xml:space="preserve"> y/o</w:t>
            </w:r>
          </w:p>
        </w:tc>
      </w:tr>
      <w:tr w:rsidR="00D7444C" w:rsidRPr="00F2712D" w14:paraId="31640795"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FE443E3" w14:textId="77777777" w:rsidR="00D7444C" w:rsidRPr="001963F3" w:rsidRDefault="00D7444C" w:rsidP="00D11E39">
            <w:pPr>
              <w:jc w:val="right"/>
              <w:rPr>
                <w:rFonts w:cs="Arial"/>
                <w:sz w:val="16"/>
                <w:szCs w:val="16"/>
              </w:rPr>
            </w:pPr>
            <w:r w:rsidRPr="001963F3">
              <w:rPr>
                <w:rFonts w:cs="Arial"/>
                <w:sz w:val="16"/>
                <w:szCs w:val="16"/>
              </w:rPr>
              <w:t>Yes</w:t>
            </w:r>
          </w:p>
        </w:tc>
        <w:tc>
          <w:tcPr>
            <w:tcW w:w="1111" w:type="dxa"/>
            <w:noWrap/>
            <w:hideMark/>
          </w:tcPr>
          <w:p w14:paraId="230D463D" w14:textId="77777777" w:rsidR="00D7444C" w:rsidRPr="001963F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1,422</w:t>
            </w:r>
          </w:p>
        </w:tc>
        <w:tc>
          <w:tcPr>
            <w:tcW w:w="893" w:type="dxa"/>
            <w:noWrap/>
            <w:hideMark/>
          </w:tcPr>
          <w:p w14:paraId="4F4C65DB"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5.3</w:t>
            </w:r>
          </w:p>
        </w:tc>
        <w:tc>
          <w:tcPr>
            <w:tcW w:w="967" w:type="dxa"/>
            <w:hideMark/>
          </w:tcPr>
          <w:p w14:paraId="40EC5847"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613</w:t>
            </w:r>
          </w:p>
        </w:tc>
        <w:tc>
          <w:tcPr>
            <w:tcW w:w="765" w:type="dxa"/>
            <w:hideMark/>
          </w:tcPr>
          <w:p w14:paraId="46036DD7"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7.3</w:t>
            </w:r>
          </w:p>
        </w:tc>
        <w:tc>
          <w:tcPr>
            <w:tcW w:w="967" w:type="dxa"/>
            <w:hideMark/>
          </w:tcPr>
          <w:p w14:paraId="0C99A6FA"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617</w:t>
            </w:r>
          </w:p>
        </w:tc>
        <w:tc>
          <w:tcPr>
            <w:tcW w:w="765" w:type="dxa"/>
            <w:hideMark/>
          </w:tcPr>
          <w:p w14:paraId="7DA77E70"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7.4</w:t>
            </w:r>
          </w:p>
        </w:tc>
        <w:tc>
          <w:tcPr>
            <w:tcW w:w="1762" w:type="dxa"/>
          </w:tcPr>
          <w:p w14:paraId="1DAA82AE" w14:textId="7A534DED"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3D1A6C">
              <w:rPr>
                <w:rFonts w:cs="Arial"/>
                <w:sz w:val="16"/>
                <w:szCs w:val="16"/>
              </w:rPr>
              <w:t>2%</w:t>
            </w:r>
            <w:r w:rsidRPr="003D1A6C">
              <w:rPr>
                <w:rFonts w:eastAsia="Times New Roman" w:cs="Arial"/>
                <w:color w:val="000000"/>
                <w:szCs w:val="18"/>
                <w:vertAlign w:val="superscript"/>
                <w:lang w:eastAsia="en-AU"/>
              </w:rPr>
              <w:t xml:space="preserve"> </w:t>
            </w:r>
            <w:r w:rsidR="00C239FD">
              <w:rPr>
                <w:rFonts w:eastAsia="Times New Roman" w:cs="Arial"/>
                <w:color w:val="000000"/>
                <w:szCs w:val="18"/>
                <w:vertAlign w:val="superscript"/>
                <w:lang w:eastAsia="en-AU"/>
              </w:rPr>
              <w:t>b</w:t>
            </w:r>
          </w:p>
        </w:tc>
      </w:tr>
      <w:tr w:rsidR="00D7444C" w:rsidRPr="00F2712D" w14:paraId="54D5CDEC"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583A5B6" w14:textId="77777777" w:rsidR="00D7444C" w:rsidRPr="001963F3" w:rsidRDefault="00D7444C" w:rsidP="00D11E39">
            <w:pPr>
              <w:jc w:val="right"/>
              <w:rPr>
                <w:rFonts w:cs="Arial"/>
                <w:sz w:val="16"/>
                <w:szCs w:val="16"/>
              </w:rPr>
            </w:pPr>
            <w:r w:rsidRPr="001963F3">
              <w:rPr>
                <w:rFonts w:cs="Arial"/>
                <w:sz w:val="16"/>
                <w:szCs w:val="16"/>
              </w:rPr>
              <w:t>No</w:t>
            </w:r>
          </w:p>
        </w:tc>
        <w:tc>
          <w:tcPr>
            <w:tcW w:w="1111" w:type="dxa"/>
            <w:noWrap/>
            <w:hideMark/>
          </w:tcPr>
          <w:p w14:paraId="06791502" w14:textId="77777777" w:rsidR="00D7444C" w:rsidRPr="001963F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1963F3">
              <w:rPr>
                <w:rFonts w:cs="Arial"/>
                <w:sz w:val="16"/>
                <w:szCs w:val="16"/>
              </w:rPr>
              <w:t>2</w:t>
            </w:r>
            <w:r>
              <w:rPr>
                <w:rFonts w:cs="Arial"/>
                <w:sz w:val="16"/>
                <w:szCs w:val="16"/>
              </w:rPr>
              <w:t>4,445</w:t>
            </w:r>
          </w:p>
        </w:tc>
        <w:tc>
          <w:tcPr>
            <w:tcW w:w="893" w:type="dxa"/>
            <w:noWrap/>
            <w:hideMark/>
          </w:tcPr>
          <w:p w14:paraId="6E2791B1"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9</w:t>
            </w:r>
            <w:r>
              <w:rPr>
                <w:rFonts w:cs="Arial"/>
                <w:sz w:val="16"/>
                <w:szCs w:val="16"/>
              </w:rPr>
              <w:t>1.1</w:t>
            </w:r>
          </w:p>
        </w:tc>
        <w:tc>
          <w:tcPr>
            <w:tcW w:w="967" w:type="dxa"/>
            <w:hideMark/>
          </w:tcPr>
          <w:p w14:paraId="7F0D1454"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617</w:t>
            </w:r>
          </w:p>
        </w:tc>
        <w:tc>
          <w:tcPr>
            <w:tcW w:w="765" w:type="dxa"/>
            <w:hideMark/>
          </w:tcPr>
          <w:p w14:paraId="33D1E369"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91.1</w:t>
            </w:r>
          </w:p>
        </w:tc>
        <w:tc>
          <w:tcPr>
            <w:tcW w:w="967" w:type="dxa"/>
            <w:hideMark/>
          </w:tcPr>
          <w:p w14:paraId="160E0797"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552</w:t>
            </w:r>
          </w:p>
        </w:tc>
        <w:tc>
          <w:tcPr>
            <w:tcW w:w="765" w:type="dxa"/>
            <w:hideMark/>
          </w:tcPr>
          <w:p w14:paraId="3345FA88"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90.3</w:t>
            </w:r>
          </w:p>
        </w:tc>
        <w:tc>
          <w:tcPr>
            <w:tcW w:w="1762" w:type="dxa"/>
          </w:tcPr>
          <w:p w14:paraId="1EA9029C"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0F7927CF"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2949B9DE" w14:textId="77777777" w:rsidR="00D7444C" w:rsidRPr="001963F3" w:rsidRDefault="00D7444C" w:rsidP="00D11E39">
            <w:pPr>
              <w:jc w:val="right"/>
              <w:rPr>
                <w:rFonts w:cs="Arial"/>
                <w:sz w:val="16"/>
                <w:szCs w:val="16"/>
              </w:rPr>
            </w:pPr>
            <w:r>
              <w:rPr>
                <w:rFonts w:cs="Arial"/>
                <w:sz w:val="16"/>
                <w:szCs w:val="16"/>
              </w:rPr>
              <w:t>Decline to answer</w:t>
            </w:r>
          </w:p>
        </w:tc>
        <w:tc>
          <w:tcPr>
            <w:tcW w:w="1111" w:type="dxa"/>
            <w:noWrap/>
          </w:tcPr>
          <w:p w14:paraId="0C6C390B" w14:textId="77777777" w:rsidR="00D7444C" w:rsidRPr="001963F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170</w:t>
            </w:r>
          </w:p>
        </w:tc>
        <w:tc>
          <w:tcPr>
            <w:tcW w:w="893" w:type="dxa"/>
            <w:noWrap/>
          </w:tcPr>
          <w:p w14:paraId="2ED501BC"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0.6</w:t>
            </w:r>
          </w:p>
        </w:tc>
        <w:tc>
          <w:tcPr>
            <w:tcW w:w="967" w:type="dxa"/>
          </w:tcPr>
          <w:p w14:paraId="3CB05F9D"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62</w:t>
            </w:r>
          </w:p>
        </w:tc>
        <w:tc>
          <w:tcPr>
            <w:tcW w:w="765" w:type="dxa"/>
          </w:tcPr>
          <w:p w14:paraId="5550ED77"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0.7</w:t>
            </w:r>
          </w:p>
        </w:tc>
        <w:tc>
          <w:tcPr>
            <w:tcW w:w="967" w:type="dxa"/>
          </w:tcPr>
          <w:p w14:paraId="1CB2C97F"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123</w:t>
            </w:r>
          </w:p>
        </w:tc>
        <w:tc>
          <w:tcPr>
            <w:tcW w:w="765" w:type="dxa"/>
          </w:tcPr>
          <w:p w14:paraId="11E8C9C2"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1.5</w:t>
            </w:r>
          </w:p>
        </w:tc>
        <w:tc>
          <w:tcPr>
            <w:tcW w:w="1762" w:type="dxa"/>
          </w:tcPr>
          <w:p w14:paraId="2A90C8EE"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0D21C1C1"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35F8DF68" w14:textId="77777777" w:rsidR="00D7444C" w:rsidRPr="001963F3" w:rsidRDefault="00D7444C" w:rsidP="00D11E39">
            <w:pPr>
              <w:jc w:val="right"/>
              <w:rPr>
                <w:rFonts w:cs="Arial"/>
                <w:sz w:val="16"/>
                <w:szCs w:val="16"/>
              </w:rPr>
            </w:pPr>
            <w:r>
              <w:rPr>
                <w:rFonts w:cs="Arial"/>
                <w:sz w:val="16"/>
                <w:szCs w:val="16"/>
              </w:rPr>
              <w:t>Unknown</w:t>
            </w:r>
          </w:p>
        </w:tc>
        <w:tc>
          <w:tcPr>
            <w:tcW w:w="1111" w:type="dxa"/>
            <w:noWrap/>
            <w:vAlign w:val="bottom"/>
          </w:tcPr>
          <w:p w14:paraId="279F5CE5" w14:textId="77777777" w:rsidR="00D7444C" w:rsidRPr="001963F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9D380E">
              <w:rPr>
                <w:rFonts w:cs="Arial"/>
                <w:sz w:val="16"/>
                <w:szCs w:val="16"/>
              </w:rPr>
              <w:t>785</w:t>
            </w:r>
          </w:p>
        </w:tc>
        <w:tc>
          <w:tcPr>
            <w:tcW w:w="893" w:type="dxa"/>
            <w:noWrap/>
            <w:vAlign w:val="bottom"/>
          </w:tcPr>
          <w:p w14:paraId="27BB74F1"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9D380E">
              <w:rPr>
                <w:rFonts w:cs="Arial"/>
                <w:sz w:val="16"/>
                <w:szCs w:val="16"/>
              </w:rPr>
              <w:t>2.9</w:t>
            </w:r>
          </w:p>
        </w:tc>
        <w:tc>
          <w:tcPr>
            <w:tcW w:w="967" w:type="dxa"/>
          </w:tcPr>
          <w:p w14:paraId="5D81FA6B"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69</w:t>
            </w:r>
          </w:p>
        </w:tc>
        <w:tc>
          <w:tcPr>
            <w:tcW w:w="765" w:type="dxa"/>
          </w:tcPr>
          <w:p w14:paraId="5E70D5E7"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0.8</w:t>
            </w:r>
          </w:p>
        </w:tc>
        <w:tc>
          <w:tcPr>
            <w:tcW w:w="967" w:type="dxa"/>
          </w:tcPr>
          <w:p w14:paraId="29CAE280"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69</w:t>
            </w:r>
          </w:p>
        </w:tc>
        <w:tc>
          <w:tcPr>
            <w:tcW w:w="765" w:type="dxa"/>
          </w:tcPr>
          <w:p w14:paraId="67600B55"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0.8</w:t>
            </w:r>
          </w:p>
        </w:tc>
        <w:tc>
          <w:tcPr>
            <w:tcW w:w="1762" w:type="dxa"/>
          </w:tcPr>
          <w:p w14:paraId="6A9FBCF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40DBDABA" w14:textId="77777777" w:rsidTr="0004663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312B10C" w14:textId="055B13C0" w:rsidR="00D7444C" w:rsidRPr="001963F3" w:rsidRDefault="00D7444C" w:rsidP="00D11E39">
            <w:pPr>
              <w:rPr>
                <w:rFonts w:cs="Arial"/>
                <w:b w:val="0"/>
                <w:bCs/>
                <w:sz w:val="16"/>
                <w:szCs w:val="16"/>
              </w:rPr>
            </w:pPr>
            <w:r>
              <w:rPr>
                <w:rFonts w:cs="Arial"/>
                <w:bCs/>
                <w:sz w:val="16"/>
                <w:szCs w:val="16"/>
              </w:rPr>
              <w:t xml:space="preserve">Work </w:t>
            </w:r>
            <w:r w:rsidR="001F2478">
              <w:rPr>
                <w:rFonts w:cs="Arial"/>
                <w:bCs/>
                <w:sz w:val="16"/>
                <w:szCs w:val="16"/>
              </w:rPr>
              <w:t>h</w:t>
            </w:r>
            <w:r>
              <w:rPr>
                <w:rFonts w:cs="Arial"/>
                <w:bCs/>
                <w:sz w:val="16"/>
                <w:szCs w:val="16"/>
              </w:rPr>
              <w:t>istory</w:t>
            </w:r>
          </w:p>
        </w:tc>
        <w:tc>
          <w:tcPr>
            <w:tcW w:w="1111" w:type="dxa"/>
            <w:noWrap/>
            <w:hideMark/>
          </w:tcPr>
          <w:p w14:paraId="5F1F127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c>
          <w:tcPr>
            <w:tcW w:w="893" w:type="dxa"/>
            <w:noWrap/>
            <w:hideMark/>
          </w:tcPr>
          <w:p w14:paraId="46136745"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noWrap/>
            <w:hideMark/>
          </w:tcPr>
          <w:p w14:paraId="716DA352"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765" w:type="dxa"/>
            <w:hideMark/>
          </w:tcPr>
          <w:p w14:paraId="161F7827"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noWrap/>
            <w:hideMark/>
          </w:tcPr>
          <w:p w14:paraId="50513148"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765" w:type="dxa"/>
            <w:hideMark/>
          </w:tcPr>
          <w:p w14:paraId="55DC6B13"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1762" w:type="dxa"/>
          </w:tcPr>
          <w:p w14:paraId="0404A287" w14:textId="77777777" w:rsidR="00D7444C" w:rsidRPr="007108B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b/>
                <w:bCs/>
                <w:sz w:val="16"/>
                <w:szCs w:val="16"/>
              </w:rPr>
            </w:pPr>
          </w:p>
        </w:tc>
      </w:tr>
      <w:tr w:rsidR="00D7444C" w:rsidRPr="00F2712D" w14:paraId="0DD9FBE2"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4D62E890" w14:textId="12115DD5" w:rsidR="00D7444C" w:rsidRDefault="00D7444C" w:rsidP="00D11E39">
            <w:pPr>
              <w:jc w:val="right"/>
              <w:rPr>
                <w:rFonts w:cs="Arial"/>
                <w:sz w:val="16"/>
                <w:szCs w:val="16"/>
              </w:rPr>
            </w:pPr>
            <w:r>
              <w:rPr>
                <w:rFonts w:cs="Arial"/>
                <w:sz w:val="16"/>
                <w:szCs w:val="16"/>
              </w:rPr>
              <w:t>P</w:t>
            </w:r>
            <w:r w:rsidRPr="003462ED">
              <w:rPr>
                <w:rFonts w:cs="Arial"/>
                <w:sz w:val="16"/>
                <w:szCs w:val="16"/>
              </w:rPr>
              <w:t>aid</w:t>
            </w:r>
            <w:r>
              <w:rPr>
                <w:rFonts w:cs="Arial"/>
                <w:sz w:val="16"/>
                <w:szCs w:val="16"/>
              </w:rPr>
              <w:t xml:space="preserve"> </w:t>
            </w:r>
            <w:r w:rsidR="001F2478">
              <w:rPr>
                <w:rFonts w:cs="Arial"/>
                <w:sz w:val="16"/>
                <w:szCs w:val="16"/>
              </w:rPr>
              <w:t>w</w:t>
            </w:r>
            <w:r w:rsidRPr="003462ED">
              <w:rPr>
                <w:rFonts w:cs="Arial"/>
                <w:sz w:val="16"/>
                <w:szCs w:val="16"/>
              </w:rPr>
              <w:t>ork</w:t>
            </w:r>
          </w:p>
        </w:tc>
        <w:tc>
          <w:tcPr>
            <w:tcW w:w="1111" w:type="dxa"/>
            <w:noWrap/>
          </w:tcPr>
          <w:p w14:paraId="6680B1BB" w14:textId="77777777" w:rsidR="00D7444C" w:rsidRPr="009D380E"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3462ED">
              <w:rPr>
                <w:rFonts w:cs="Arial"/>
                <w:sz w:val="16"/>
                <w:szCs w:val="16"/>
              </w:rPr>
              <w:t>7</w:t>
            </w:r>
            <w:r>
              <w:rPr>
                <w:rFonts w:cs="Arial"/>
                <w:sz w:val="16"/>
                <w:szCs w:val="16"/>
              </w:rPr>
              <w:t>,</w:t>
            </w:r>
            <w:r w:rsidRPr="003462ED">
              <w:rPr>
                <w:rFonts w:cs="Arial"/>
                <w:sz w:val="16"/>
                <w:szCs w:val="16"/>
              </w:rPr>
              <w:t>351</w:t>
            </w:r>
          </w:p>
        </w:tc>
        <w:tc>
          <w:tcPr>
            <w:tcW w:w="893" w:type="dxa"/>
            <w:noWrap/>
          </w:tcPr>
          <w:p w14:paraId="722F2F78" w14:textId="77777777" w:rsidR="00D7444C" w:rsidRPr="00EF72CA"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F72CA">
              <w:rPr>
                <w:sz w:val="16"/>
                <w:szCs w:val="16"/>
              </w:rPr>
              <w:t>27.4</w:t>
            </w:r>
          </w:p>
        </w:tc>
        <w:tc>
          <w:tcPr>
            <w:tcW w:w="967" w:type="dxa"/>
          </w:tcPr>
          <w:p w14:paraId="173CF4F3"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w:t>
            </w:r>
            <w:r>
              <w:rPr>
                <w:sz w:val="16"/>
                <w:szCs w:val="16"/>
              </w:rPr>
              <w:t>,</w:t>
            </w:r>
            <w:r w:rsidRPr="00EB2406">
              <w:rPr>
                <w:sz w:val="16"/>
                <w:szCs w:val="16"/>
              </w:rPr>
              <w:t>886</w:t>
            </w:r>
          </w:p>
        </w:tc>
        <w:tc>
          <w:tcPr>
            <w:tcW w:w="765" w:type="dxa"/>
          </w:tcPr>
          <w:p w14:paraId="188DC68D"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22.6</w:t>
            </w:r>
          </w:p>
        </w:tc>
        <w:tc>
          <w:tcPr>
            <w:tcW w:w="967" w:type="dxa"/>
          </w:tcPr>
          <w:p w14:paraId="1206D283"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w:t>
            </w:r>
            <w:r>
              <w:rPr>
                <w:sz w:val="16"/>
                <w:szCs w:val="16"/>
              </w:rPr>
              <w:t>,</w:t>
            </w:r>
            <w:r w:rsidRPr="00EB2406">
              <w:rPr>
                <w:sz w:val="16"/>
                <w:szCs w:val="16"/>
              </w:rPr>
              <w:t>494</w:t>
            </w:r>
          </w:p>
        </w:tc>
        <w:tc>
          <w:tcPr>
            <w:tcW w:w="765" w:type="dxa"/>
          </w:tcPr>
          <w:p w14:paraId="2AC6A36A"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17.9</w:t>
            </w:r>
          </w:p>
        </w:tc>
        <w:tc>
          <w:tcPr>
            <w:tcW w:w="1762" w:type="dxa"/>
          </w:tcPr>
          <w:p w14:paraId="2177D959"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2F8CF346"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7EA0CAB0" w14:textId="3F4966E2" w:rsidR="00D7444C" w:rsidRDefault="00D7444C" w:rsidP="00D11E39">
            <w:pPr>
              <w:jc w:val="right"/>
              <w:rPr>
                <w:rFonts w:cs="Arial"/>
                <w:sz w:val="16"/>
                <w:szCs w:val="16"/>
              </w:rPr>
            </w:pPr>
            <w:r>
              <w:rPr>
                <w:rFonts w:cs="Arial"/>
                <w:sz w:val="16"/>
                <w:szCs w:val="16"/>
              </w:rPr>
              <w:t>U</w:t>
            </w:r>
            <w:r w:rsidRPr="003462ED">
              <w:rPr>
                <w:rFonts w:cs="Arial"/>
                <w:sz w:val="16"/>
                <w:szCs w:val="16"/>
              </w:rPr>
              <w:t>npaid</w:t>
            </w:r>
            <w:r>
              <w:rPr>
                <w:rFonts w:cs="Arial"/>
                <w:sz w:val="16"/>
                <w:szCs w:val="16"/>
              </w:rPr>
              <w:t xml:space="preserve"> </w:t>
            </w:r>
            <w:r w:rsidR="001F2478">
              <w:rPr>
                <w:rFonts w:cs="Arial"/>
                <w:sz w:val="16"/>
                <w:szCs w:val="16"/>
              </w:rPr>
              <w:t>w</w:t>
            </w:r>
            <w:r w:rsidRPr="003462ED">
              <w:rPr>
                <w:rFonts w:cs="Arial"/>
                <w:sz w:val="16"/>
                <w:szCs w:val="16"/>
              </w:rPr>
              <w:t>ork</w:t>
            </w:r>
          </w:p>
        </w:tc>
        <w:tc>
          <w:tcPr>
            <w:tcW w:w="1111" w:type="dxa"/>
            <w:noWrap/>
          </w:tcPr>
          <w:p w14:paraId="798CCDFA" w14:textId="77777777" w:rsidR="00D7444C" w:rsidRPr="009D380E"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3462ED">
              <w:rPr>
                <w:rFonts w:cs="Arial"/>
                <w:sz w:val="16"/>
                <w:szCs w:val="16"/>
              </w:rPr>
              <w:t>171</w:t>
            </w:r>
          </w:p>
        </w:tc>
        <w:tc>
          <w:tcPr>
            <w:tcW w:w="893" w:type="dxa"/>
            <w:noWrap/>
          </w:tcPr>
          <w:p w14:paraId="29C6DC65" w14:textId="77777777" w:rsidR="00D7444C" w:rsidRPr="00EF72C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72CA">
              <w:rPr>
                <w:sz w:val="16"/>
                <w:szCs w:val="16"/>
              </w:rPr>
              <w:t>0.6</w:t>
            </w:r>
          </w:p>
        </w:tc>
        <w:tc>
          <w:tcPr>
            <w:tcW w:w="967" w:type="dxa"/>
          </w:tcPr>
          <w:p w14:paraId="4D01C9CF"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65</w:t>
            </w:r>
          </w:p>
        </w:tc>
        <w:tc>
          <w:tcPr>
            <w:tcW w:w="765" w:type="dxa"/>
          </w:tcPr>
          <w:p w14:paraId="58A7F01A"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967" w:type="dxa"/>
          </w:tcPr>
          <w:p w14:paraId="3DB2F07C"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74</w:t>
            </w:r>
          </w:p>
        </w:tc>
        <w:tc>
          <w:tcPr>
            <w:tcW w:w="765" w:type="dxa"/>
          </w:tcPr>
          <w:p w14:paraId="14C09320"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0.9</w:t>
            </w:r>
          </w:p>
        </w:tc>
        <w:tc>
          <w:tcPr>
            <w:tcW w:w="1762" w:type="dxa"/>
          </w:tcPr>
          <w:p w14:paraId="3AD8F07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39225459"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4D5D7E33" w14:textId="77777777" w:rsidR="00D7444C" w:rsidRDefault="00D7444C" w:rsidP="00D11E39">
            <w:pPr>
              <w:jc w:val="right"/>
              <w:rPr>
                <w:rFonts w:cs="Arial"/>
                <w:sz w:val="16"/>
                <w:szCs w:val="16"/>
              </w:rPr>
            </w:pPr>
            <w:r>
              <w:rPr>
                <w:rFonts w:cs="Arial"/>
                <w:sz w:val="16"/>
                <w:szCs w:val="16"/>
              </w:rPr>
              <w:t>None</w:t>
            </w:r>
          </w:p>
        </w:tc>
        <w:tc>
          <w:tcPr>
            <w:tcW w:w="1111" w:type="dxa"/>
            <w:noWrap/>
            <w:vAlign w:val="bottom"/>
          </w:tcPr>
          <w:p w14:paraId="16BF4618" w14:textId="77777777" w:rsidR="00D7444C" w:rsidRPr="009D380E"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A77631">
              <w:rPr>
                <w:rFonts w:cs="Arial"/>
                <w:sz w:val="16"/>
                <w:szCs w:val="16"/>
              </w:rPr>
              <w:t>18</w:t>
            </w:r>
            <w:r>
              <w:rPr>
                <w:rFonts w:cs="Arial"/>
                <w:sz w:val="16"/>
                <w:szCs w:val="16"/>
              </w:rPr>
              <w:t>,</w:t>
            </w:r>
            <w:r w:rsidRPr="00A77631">
              <w:rPr>
                <w:rFonts w:cs="Arial"/>
                <w:sz w:val="16"/>
                <w:szCs w:val="16"/>
              </w:rPr>
              <w:t>515</w:t>
            </w:r>
          </w:p>
        </w:tc>
        <w:tc>
          <w:tcPr>
            <w:tcW w:w="893" w:type="dxa"/>
            <w:noWrap/>
            <w:vAlign w:val="bottom"/>
          </w:tcPr>
          <w:p w14:paraId="42F0B8D9" w14:textId="77777777" w:rsidR="00D7444C" w:rsidRPr="009D380E"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69.0</w:t>
            </w:r>
          </w:p>
        </w:tc>
        <w:tc>
          <w:tcPr>
            <w:tcW w:w="967" w:type="dxa"/>
          </w:tcPr>
          <w:p w14:paraId="27F0242A"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w:t>
            </w:r>
            <w:r>
              <w:rPr>
                <w:sz w:val="16"/>
                <w:szCs w:val="16"/>
              </w:rPr>
              <w:t>,</w:t>
            </w:r>
            <w:r w:rsidRPr="00EB2406">
              <w:rPr>
                <w:sz w:val="16"/>
                <w:szCs w:val="16"/>
              </w:rPr>
              <w:t>341</w:t>
            </w:r>
          </w:p>
        </w:tc>
        <w:tc>
          <w:tcPr>
            <w:tcW w:w="765" w:type="dxa"/>
          </w:tcPr>
          <w:p w14:paraId="42A8361A"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75.8</w:t>
            </w:r>
          </w:p>
        </w:tc>
        <w:tc>
          <w:tcPr>
            <w:tcW w:w="967" w:type="dxa"/>
          </w:tcPr>
          <w:p w14:paraId="4A304AED"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w:t>
            </w:r>
            <w:r>
              <w:rPr>
                <w:sz w:val="16"/>
                <w:szCs w:val="16"/>
              </w:rPr>
              <w:t>,</w:t>
            </w:r>
            <w:r w:rsidRPr="00EB2406">
              <w:rPr>
                <w:sz w:val="16"/>
                <w:szCs w:val="16"/>
              </w:rPr>
              <w:t>724</w:t>
            </w:r>
          </w:p>
        </w:tc>
        <w:tc>
          <w:tcPr>
            <w:tcW w:w="765" w:type="dxa"/>
          </w:tcPr>
          <w:p w14:paraId="39B74AE0"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80.4</w:t>
            </w:r>
          </w:p>
        </w:tc>
        <w:tc>
          <w:tcPr>
            <w:tcW w:w="1762" w:type="dxa"/>
          </w:tcPr>
          <w:p w14:paraId="47C058F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03088185"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750AB8E3" w14:textId="77777777" w:rsidR="00D7444C" w:rsidRDefault="00D7444C" w:rsidP="00D11E39">
            <w:pPr>
              <w:jc w:val="right"/>
              <w:rPr>
                <w:rFonts w:cs="Arial"/>
                <w:sz w:val="16"/>
                <w:szCs w:val="16"/>
              </w:rPr>
            </w:pPr>
            <w:r>
              <w:rPr>
                <w:rFonts w:cs="Arial"/>
                <w:sz w:val="16"/>
                <w:szCs w:val="16"/>
              </w:rPr>
              <w:t>Unknown</w:t>
            </w:r>
          </w:p>
        </w:tc>
        <w:tc>
          <w:tcPr>
            <w:tcW w:w="1111" w:type="dxa"/>
            <w:noWrap/>
            <w:vAlign w:val="bottom"/>
          </w:tcPr>
          <w:p w14:paraId="3763E582" w14:textId="77777777" w:rsidR="00D7444C" w:rsidRPr="009D380E"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785</w:t>
            </w:r>
          </w:p>
        </w:tc>
        <w:tc>
          <w:tcPr>
            <w:tcW w:w="893" w:type="dxa"/>
            <w:noWrap/>
            <w:vAlign w:val="bottom"/>
          </w:tcPr>
          <w:p w14:paraId="0E688E9C" w14:textId="77777777" w:rsidR="00D7444C" w:rsidRPr="009D380E"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2.9</w:t>
            </w:r>
          </w:p>
        </w:tc>
        <w:tc>
          <w:tcPr>
            <w:tcW w:w="967" w:type="dxa"/>
          </w:tcPr>
          <w:p w14:paraId="5C33BD1A"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69</w:t>
            </w:r>
          </w:p>
        </w:tc>
        <w:tc>
          <w:tcPr>
            <w:tcW w:w="765" w:type="dxa"/>
          </w:tcPr>
          <w:p w14:paraId="47EA84C2"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967" w:type="dxa"/>
          </w:tcPr>
          <w:p w14:paraId="0AF3D90D"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69</w:t>
            </w:r>
          </w:p>
        </w:tc>
        <w:tc>
          <w:tcPr>
            <w:tcW w:w="765" w:type="dxa"/>
          </w:tcPr>
          <w:p w14:paraId="47DA81A4"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1762" w:type="dxa"/>
          </w:tcPr>
          <w:p w14:paraId="24AC5A14"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39477B6D" w14:textId="77777777" w:rsidTr="00046630">
        <w:trPr>
          <w:cnfStyle w:val="000000010000" w:firstRow="0" w:lastRow="0" w:firstColumn="0" w:lastColumn="0" w:oddVBand="0" w:evenVBand="0" w:oddHBand="0" w:evenHBand="1"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85D6D08" w14:textId="77777777" w:rsidR="00D7444C" w:rsidRPr="001963F3" w:rsidRDefault="00D7444C" w:rsidP="00D11E39">
            <w:pPr>
              <w:rPr>
                <w:rFonts w:cs="Arial"/>
                <w:b w:val="0"/>
                <w:bCs/>
                <w:sz w:val="16"/>
                <w:szCs w:val="16"/>
              </w:rPr>
            </w:pPr>
            <w:r w:rsidRPr="001963F3">
              <w:rPr>
                <w:rFonts w:cs="Arial"/>
                <w:bCs/>
                <w:sz w:val="16"/>
                <w:szCs w:val="16"/>
              </w:rPr>
              <w:t>Transport</w:t>
            </w:r>
          </w:p>
        </w:tc>
        <w:tc>
          <w:tcPr>
            <w:tcW w:w="1111" w:type="dxa"/>
            <w:noWrap/>
            <w:hideMark/>
          </w:tcPr>
          <w:p w14:paraId="332CC212"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p>
        </w:tc>
        <w:tc>
          <w:tcPr>
            <w:tcW w:w="893" w:type="dxa"/>
            <w:noWrap/>
            <w:hideMark/>
          </w:tcPr>
          <w:p w14:paraId="571E082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hideMark/>
          </w:tcPr>
          <w:p w14:paraId="362C85CF"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hideMark/>
          </w:tcPr>
          <w:p w14:paraId="65161968"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hideMark/>
          </w:tcPr>
          <w:p w14:paraId="1BD9A85D"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hideMark/>
          </w:tcPr>
          <w:p w14:paraId="081CBBC0"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515B5E8F"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16A03ED6"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656D885" w14:textId="77777777" w:rsidR="00D7444C" w:rsidRPr="00A41E33" w:rsidRDefault="00D7444C" w:rsidP="00D11E39">
            <w:pPr>
              <w:jc w:val="right"/>
              <w:rPr>
                <w:rFonts w:cs="Arial"/>
                <w:sz w:val="16"/>
                <w:szCs w:val="16"/>
              </w:rPr>
            </w:pPr>
            <w:r>
              <w:rPr>
                <w:sz w:val="16"/>
                <w:szCs w:val="16"/>
              </w:rPr>
              <w:t>P</w:t>
            </w:r>
            <w:r w:rsidRPr="00A41E33">
              <w:rPr>
                <w:sz w:val="16"/>
                <w:szCs w:val="16"/>
              </w:rPr>
              <w:t>rivate</w:t>
            </w:r>
          </w:p>
        </w:tc>
        <w:tc>
          <w:tcPr>
            <w:tcW w:w="1111" w:type="dxa"/>
            <w:noWrap/>
            <w:hideMark/>
          </w:tcPr>
          <w:p w14:paraId="4CBD2A93" w14:textId="77777777" w:rsidR="00D7444C" w:rsidRPr="00A41E3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41E33">
              <w:rPr>
                <w:sz w:val="16"/>
                <w:szCs w:val="16"/>
              </w:rPr>
              <w:t>9</w:t>
            </w:r>
            <w:r>
              <w:rPr>
                <w:sz w:val="16"/>
                <w:szCs w:val="16"/>
              </w:rPr>
              <w:t>,</w:t>
            </w:r>
            <w:r w:rsidRPr="00A41E33">
              <w:rPr>
                <w:sz w:val="16"/>
                <w:szCs w:val="16"/>
              </w:rPr>
              <w:t>915</w:t>
            </w:r>
          </w:p>
        </w:tc>
        <w:tc>
          <w:tcPr>
            <w:tcW w:w="893" w:type="dxa"/>
            <w:noWrap/>
            <w:hideMark/>
          </w:tcPr>
          <w:p w14:paraId="10173574" w14:textId="77777777" w:rsidR="00D7444C" w:rsidRPr="00A41E3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41E33">
              <w:rPr>
                <w:sz w:val="16"/>
                <w:szCs w:val="16"/>
              </w:rPr>
              <w:t>37</w:t>
            </w:r>
          </w:p>
        </w:tc>
        <w:tc>
          <w:tcPr>
            <w:tcW w:w="967" w:type="dxa"/>
            <w:hideMark/>
          </w:tcPr>
          <w:p w14:paraId="656A53C4"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2</w:t>
            </w:r>
            <w:r>
              <w:rPr>
                <w:sz w:val="16"/>
                <w:szCs w:val="16"/>
              </w:rPr>
              <w:t>,</w:t>
            </w:r>
            <w:r w:rsidRPr="00EB2406">
              <w:rPr>
                <w:sz w:val="16"/>
                <w:szCs w:val="16"/>
              </w:rPr>
              <w:t>891</w:t>
            </w:r>
          </w:p>
        </w:tc>
        <w:tc>
          <w:tcPr>
            <w:tcW w:w="765" w:type="dxa"/>
            <w:hideMark/>
          </w:tcPr>
          <w:p w14:paraId="3B1C81FC"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34.6</w:t>
            </w:r>
          </w:p>
        </w:tc>
        <w:tc>
          <w:tcPr>
            <w:tcW w:w="967" w:type="dxa"/>
            <w:hideMark/>
          </w:tcPr>
          <w:p w14:paraId="4FB37D15"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3</w:t>
            </w:r>
            <w:r>
              <w:rPr>
                <w:sz w:val="16"/>
                <w:szCs w:val="16"/>
              </w:rPr>
              <w:t>,</w:t>
            </w:r>
            <w:r w:rsidRPr="00EB2406">
              <w:rPr>
                <w:sz w:val="16"/>
                <w:szCs w:val="16"/>
              </w:rPr>
              <w:t>199</w:t>
            </w:r>
          </w:p>
        </w:tc>
        <w:tc>
          <w:tcPr>
            <w:tcW w:w="765" w:type="dxa"/>
            <w:hideMark/>
          </w:tcPr>
          <w:p w14:paraId="33D274FB"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38.3</w:t>
            </w:r>
          </w:p>
        </w:tc>
        <w:tc>
          <w:tcPr>
            <w:tcW w:w="1762" w:type="dxa"/>
          </w:tcPr>
          <w:p w14:paraId="2BDE9FAB"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32C3CD7A"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C9757CF" w14:textId="77777777" w:rsidR="00D7444C" w:rsidRPr="00A41E33" w:rsidRDefault="00D7444C" w:rsidP="00D11E39">
            <w:pPr>
              <w:jc w:val="right"/>
              <w:rPr>
                <w:rFonts w:cs="Arial"/>
                <w:sz w:val="16"/>
                <w:szCs w:val="16"/>
              </w:rPr>
            </w:pPr>
            <w:r>
              <w:rPr>
                <w:sz w:val="16"/>
                <w:szCs w:val="16"/>
              </w:rPr>
              <w:t>P</w:t>
            </w:r>
            <w:r w:rsidRPr="00A41E33">
              <w:rPr>
                <w:sz w:val="16"/>
                <w:szCs w:val="16"/>
              </w:rPr>
              <w:t>ublic</w:t>
            </w:r>
          </w:p>
        </w:tc>
        <w:tc>
          <w:tcPr>
            <w:tcW w:w="1111" w:type="dxa"/>
            <w:noWrap/>
            <w:hideMark/>
          </w:tcPr>
          <w:p w14:paraId="75105F49" w14:textId="77777777" w:rsidR="00D7444C" w:rsidRPr="00A41E3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A41E33">
              <w:rPr>
                <w:sz w:val="16"/>
                <w:szCs w:val="16"/>
              </w:rPr>
              <w:t>14</w:t>
            </w:r>
            <w:r>
              <w:rPr>
                <w:sz w:val="16"/>
                <w:szCs w:val="16"/>
              </w:rPr>
              <w:t>,</w:t>
            </w:r>
            <w:r w:rsidRPr="00A41E33">
              <w:rPr>
                <w:sz w:val="16"/>
                <w:szCs w:val="16"/>
              </w:rPr>
              <w:t>636</w:t>
            </w:r>
          </w:p>
        </w:tc>
        <w:tc>
          <w:tcPr>
            <w:tcW w:w="893" w:type="dxa"/>
            <w:noWrap/>
            <w:hideMark/>
          </w:tcPr>
          <w:p w14:paraId="1024717A" w14:textId="77777777" w:rsidR="00D7444C" w:rsidRPr="00A41E3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A41E33">
              <w:rPr>
                <w:sz w:val="16"/>
                <w:szCs w:val="16"/>
              </w:rPr>
              <w:t>54.6</w:t>
            </w:r>
          </w:p>
        </w:tc>
        <w:tc>
          <w:tcPr>
            <w:tcW w:w="967" w:type="dxa"/>
            <w:hideMark/>
          </w:tcPr>
          <w:p w14:paraId="612215D5"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4</w:t>
            </w:r>
            <w:r>
              <w:rPr>
                <w:sz w:val="16"/>
                <w:szCs w:val="16"/>
              </w:rPr>
              <w:t>,</w:t>
            </w:r>
            <w:r w:rsidRPr="00EB2406">
              <w:rPr>
                <w:sz w:val="16"/>
                <w:szCs w:val="16"/>
              </w:rPr>
              <w:t>838</w:t>
            </w:r>
          </w:p>
        </w:tc>
        <w:tc>
          <w:tcPr>
            <w:tcW w:w="765" w:type="dxa"/>
            <w:hideMark/>
          </w:tcPr>
          <w:p w14:paraId="73AC7547"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57.9</w:t>
            </w:r>
          </w:p>
        </w:tc>
        <w:tc>
          <w:tcPr>
            <w:tcW w:w="967" w:type="dxa"/>
            <w:hideMark/>
          </w:tcPr>
          <w:p w14:paraId="3A1C0A06"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4</w:t>
            </w:r>
            <w:r>
              <w:rPr>
                <w:sz w:val="16"/>
                <w:szCs w:val="16"/>
              </w:rPr>
              <w:t>,</w:t>
            </w:r>
            <w:r w:rsidRPr="00EB2406">
              <w:rPr>
                <w:sz w:val="16"/>
                <w:szCs w:val="16"/>
              </w:rPr>
              <w:t>436</w:t>
            </w:r>
          </w:p>
        </w:tc>
        <w:tc>
          <w:tcPr>
            <w:tcW w:w="765" w:type="dxa"/>
            <w:hideMark/>
          </w:tcPr>
          <w:p w14:paraId="60B94AF0"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53.1</w:t>
            </w:r>
          </w:p>
        </w:tc>
        <w:tc>
          <w:tcPr>
            <w:tcW w:w="1762" w:type="dxa"/>
          </w:tcPr>
          <w:p w14:paraId="3F7CD352"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10662710"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1CAE8F40" w14:textId="77777777" w:rsidR="00D7444C" w:rsidRPr="00A41E33" w:rsidRDefault="00D7444C" w:rsidP="00D11E39">
            <w:pPr>
              <w:jc w:val="right"/>
              <w:rPr>
                <w:rFonts w:cs="Arial"/>
                <w:sz w:val="16"/>
                <w:szCs w:val="16"/>
              </w:rPr>
            </w:pPr>
            <w:r>
              <w:rPr>
                <w:sz w:val="16"/>
                <w:szCs w:val="16"/>
              </w:rPr>
              <w:t>N</w:t>
            </w:r>
            <w:r w:rsidRPr="00A41E33">
              <w:rPr>
                <w:sz w:val="16"/>
                <w:szCs w:val="16"/>
              </w:rPr>
              <w:t>o</w:t>
            </w:r>
            <w:r>
              <w:rPr>
                <w:sz w:val="16"/>
                <w:szCs w:val="16"/>
              </w:rPr>
              <w:t>ne</w:t>
            </w:r>
          </w:p>
        </w:tc>
        <w:tc>
          <w:tcPr>
            <w:tcW w:w="1111" w:type="dxa"/>
            <w:noWrap/>
          </w:tcPr>
          <w:p w14:paraId="6FBA3A20" w14:textId="77777777" w:rsidR="00D7444C" w:rsidRPr="00A41E3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41E33">
              <w:rPr>
                <w:sz w:val="16"/>
                <w:szCs w:val="16"/>
              </w:rPr>
              <w:t>1</w:t>
            </w:r>
            <w:r>
              <w:rPr>
                <w:sz w:val="16"/>
                <w:szCs w:val="16"/>
              </w:rPr>
              <w:t>,</w:t>
            </w:r>
            <w:r w:rsidRPr="00A41E33">
              <w:rPr>
                <w:sz w:val="16"/>
                <w:szCs w:val="16"/>
              </w:rPr>
              <w:t>486</w:t>
            </w:r>
          </w:p>
        </w:tc>
        <w:tc>
          <w:tcPr>
            <w:tcW w:w="893" w:type="dxa"/>
            <w:noWrap/>
          </w:tcPr>
          <w:p w14:paraId="5654E073" w14:textId="77777777" w:rsidR="00D7444C" w:rsidRPr="00A41E3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41E33">
              <w:rPr>
                <w:sz w:val="16"/>
                <w:szCs w:val="16"/>
              </w:rPr>
              <w:t>5.5</w:t>
            </w:r>
          </w:p>
        </w:tc>
        <w:tc>
          <w:tcPr>
            <w:tcW w:w="967" w:type="dxa"/>
          </w:tcPr>
          <w:p w14:paraId="11337B50"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563</w:t>
            </w:r>
          </w:p>
        </w:tc>
        <w:tc>
          <w:tcPr>
            <w:tcW w:w="765" w:type="dxa"/>
          </w:tcPr>
          <w:p w14:paraId="7F0E763D"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6.7</w:t>
            </w:r>
          </w:p>
        </w:tc>
        <w:tc>
          <w:tcPr>
            <w:tcW w:w="967" w:type="dxa"/>
          </w:tcPr>
          <w:p w14:paraId="68DAFB9E"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657</w:t>
            </w:r>
          </w:p>
        </w:tc>
        <w:tc>
          <w:tcPr>
            <w:tcW w:w="765" w:type="dxa"/>
          </w:tcPr>
          <w:p w14:paraId="33F3C72C"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7.9</w:t>
            </w:r>
          </w:p>
        </w:tc>
        <w:tc>
          <w:tcPr>
            <w:tcW w:w="1762" w:type="dxa"/>
          </w:tcPr>
          <w:p w14:paraId="2A2CB69B"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4B2474B5"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39F5409E" w14:textId="77777777" w:rsidR="00D7444C" w:rsidRPr="00A41E33" w:rsidRDefault="00D7444C" w:rsidP="00D11E39">
            <w:pPr>
              <w:jc w:val="right"/>
              <w:rPr>
                <w:rFonts w:cs="Arial"/>
                <w:sz w:val="16"/>
                <w:szCs w:val="16"/>
              </w:rPr>
            </w:pPr>
            <w:r>
              <w:rPr>
                <w:rFonts w:cs="Arial"/>
                <w:sz w:val="16"/>
                <w:szCs w:val="16"/>
              </w:rPr>
              <w:t>Unknown</w:t>
            </w:r>
          </w:p>
        </w:tc>
        <w:tc>
          <w:tcPr>
            <w:tcW w:w="1111" w:type="dxa"/>
            <w:noWrap/>
          </w:tcPr>
          <w:p w14:paraId="10BCC2E5" w14:textId="77777777" w:rsidR="00D7444C" w:rsidRPr="00A41E3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A41E33">
              <w:rPr>
                <w:sz w:val="16"/>
                <w:szCs w:val="16"/>
              </w:rPr>
              <w:t>785</w:t>
            </w:r>
          </w:p>
        </w:tc>
        <w:tc>
          <w:tcPr>
            <w:tcW w:w="893" w:type="dxa"/>
            <w:noWrap/>
          </w:tcPr>
          <w:p w14:paraId="348D8855" w14:textId="77777777" w:rsidR="00D7444C" w:rsidRPr="00A41E3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A41E33">
              <w:rPr>
                <w:sz w:val="16"/>
                <w:szCs w:val="16"/>
              </w:rPr>
              <w:t>2.9</w:t>
            </w:r>
          </w:p>
        </w:tc>
        <w:tc>
          <w:tcPr>
            <w:tcW w:w="967" w:type="dxa"/>
          </w:tcPr>
          <w:p w14:paraId="34B4071C"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69</w:t>
            </w:r>
          </w:p>
        </w:tc>
        <w:tc>
          <w:tcPr>
            <w:tcW w:w="765" w:type="dxa"/>
          </w:tcPr>
          <w:p w14:paraId="79819C07"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0.8</w:t>
            </w:r>
          </w:p>
        </w:tc>
        <w:tc>
          <w:tcPr>
            <w:tcW w:w="967" w:type="dxa"/>
          </w:tcPr>
          <w:p w14:paraId="7C4BB718"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69</w:t>
            </w:r>
          </w:p>
        </w:tc>
        <w:tc>
          <w:tcPr>
            <w:tcW w:w="765" w:type="dxa"/>
          </w:tcPr>
          <w:p w14:paraId="7FBC0BFA"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0.8</w:t>
            </w:r>
          </w:p>
        </w:tc>
        <w:tc>
          <w:tcPr>
            <w:tcW w:w="1762" w:type="dxa"/>
          </w:tcPr>
          <w:p w14:paraId="6C246430"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6D41F542" w14:textId="77777777" w:rsidTr="0004663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4672" w:type="dxa"/>
            <w:gridSpan w:val="4"/>
            <w:noWrap/>
            <w:hideMark/>
          </w:tcPr>
          <w:p w14:paraId="509E138D" w14:textId="7DFCAFE9" w:rsidR="00D7444C" w:rsidRPr="00EB2406" w:rsidRDefault="00D7444C" w:rsidP="00D11E39">
            <w:pPr>
              <w:rPr>
                <w:rFonts w:cs="Arial"/>
                <w:b w:val="0"/>
                <w:bCs/>
                <w:sz w:val="16"/>
                <w:szCs w:val="16"/>
              </w:rPr>
            </w:pPr>
            <w:r w:rsidRPr="00EB2406">
              <w:rPr>
                <w:rFonts w:cs="Arial"/>
                <w:bCs/>
                <w:sz w:val="16"/>
                <w:szCs w:val="16"/>
              </w:rPr>
              <w:t>Ex-</w:t>
            </w:r>
            <w:r w:rsidR="001F2478">
              <w:rPr>
                <w:rFonts w:cs="Arial"/>
                <w:bCs/>
                <w:sz w:val="16"/>
                <w:szCs w:val="16"/>
              </w:rPr>
              <w:t>o</w:t>
            </w:r>
            <w:r w:rsidRPr="00EB2406">
              <w:rPr>
                <w:rFonts w:cs="Arial"/>
                <w:bCs/>
                <w:sz w:val="16"/>
                <w:szCs w:val="16"/>
              </w:rPr>
              <w:t xml:space="preserve">ffender status </w:t>
            </w:r>
          </w:p>
        </w:tc>
        <w:tc>
          <w:tcPr>
            <w:tcW w:w="765" w:type="dxa"/>
            <w:hideMark/>
          </w:tcPr>
          <w:p w14:paraId="5B60F338"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hideMark/>
          </w:tcPr>
          <w:p w14:paraId="315F93DF"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765" w:type="dxa"/>
            <w:hideMark/>
          </w:tcPr>
          <w:p w14:paraId="3AB89466"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1762" w:type="dxa"/>
          </w:tcPr>
          <w:p w14:paraId="5621E458"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468D0FD8"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66AD765" w14:textId="77777777" w:rsidR="00D7444C" w:rsidRPr="001963F3" w:rsidRDefault="00D7444C" w:rsidP="00D11E39">
            <w:pPr>
              <w:jc w:val="right"/>
              <w:rPr>
                <w:rFonts w:cs="Arial"/>
                <w:sz w:val="16"/>
                <w:szCs w:val="16"/>
              </w:rPr>
            </w:pPr>
            <w:r w:rsidRPr="001963F3">
              <w:rPr>
                <w:rFonts w:cs="Arial"/>
                <w:sz w:val="16"/>
                <w:szCs w:val="16"/>
              </w:rPr>
              <w:t>Yes</w:t>
            </w:r>
          </w:p>
        </w:tc>
        <w:tc>
          <w:tcPr>
            <w:tcW w:w="1111" w:type="dxa"/>
            <w:noWrap/>
            <w:hideMark/>
          </w:tcPr>
          <w:p w14:paraId="1BD5FF42"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2</w:t>
            </w:r>
            <w:r>
              <w:rPr>
                <w:rFonts w:cs="Arial"/>
                <w:sz w:val="16"/>
                <w:szCs w:val="16"/>
              </w:rPr>
              <w:t>,</w:t>
            </w:r>
            <w:r w:rsidRPr="00F2712D">
              <w:rPr>
                <w:rFonts w:cs="Arial"/>
                <w:sz w:val="16"/>
                <w:szCs w:val="16"/>
              </w:rPr>
              <w:t>171</w:t>
            </w:r>
          </w:p>
        </w:tc>
        <w:tc>
          <w:tcPr>
            <w:tcW w:w="893" w:type="dxa"/>
            <w:noWrap/>
            <w:hideMark/>
          </w:tcPr>
          <w:p w14:paraId="7BAE37F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8</w:t>
            </w:r>
            <w:r>
              <w:rPr>
                <w:rFonts w:cs="Arial"/>
                <w:sz w:val="16"/>
                <w:szCs w:val="16"/>
              </w:rPr>
              <w:t>.1</w:t>
            </w:r>
          </w:p>
        </w:tc>
        <w:tc>
          <w:tcPr>
            <w:tcW w:w="967" w:type="dxa"/>
            <w:hideMark/>
          </w:tcPr>
          <w:p w14:paraId="65A66A14"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753</w:t>
            </w:r>
          </w:p>
        </w:tc>
        <w:tc>
          <w:tcPr>
            <w:tcW w:w="765" w:type="dxa"/>
            <w:hideMark/>
          </w:tcPr>
          <w:p w14:paraId="3C406FA3"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9.0</w:t>
            </w:r>
          </w:p>
        </w:tc>
        <w:tc>
          <w:tcPr>
            <w:tcW w:w="967" w:type="dxa"/>
            <w:hideMark/>
          </w:tcPr>
          <w:p w14:paraId="0F07890C"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761</w:t>
            </w:r>
          </w:p>
        </w:tc>
        <w:tc>
          <w:tcPr>
            <w:tcW w:w="765" w:type="dxa"/>
            <w:hideMark/>
          </w:tcPr>
          <w:p w14:paraId="2F215A1E"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9.1</w:t>
            </w:r>
          </w:p>
        </w:tc>
        <w:tc>
          <w:tcPr>
            <w:tcW w:w="1762" w:type="dxa"/>
          </w:tcPr>
          <w:p w14:paraId="2D8AF2B0" w14:textId="3C4BD06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3D1A6C">
              <w:rPr>
                <w:rFonts w:cs="Arial"/>
                <w:sz w:val="16"/>
                <w:szCs w:val="16"/>
              </w:rPr>
              <w:t>2.3%</w:t>
            </w:r>
            <w:r w:rsidR="001F2478" w:rsidRPr="00C239FD">
              <w:rPr>
                <w:rFonts w:cs="Arial"/>
                <w:sz w:val="16"/>
                <w:szCs w:val="16"/>
                <w:vertAlign w:val="superscript"/>
              </w:rPr>
              <w:t xml:space="preserve"> </w:t>
            </w:r>
            <w:r w:rsidR="000052A9">
              <w:rPr>
                <w:rFonts w:eastAsia="Times New Roman" w:cs="Arial"/>
                <w:color w:val="000000"/>
                <w:szCs w:val="18"/>
                <w:vertAlign w:val="superscript"/>
                <w:lang w:eastAsia="en-AU"/>
              </w:rPr>
              <w:t>c</w:t>
            </w:r>
          </w:p>
        </w:tc>
      </w:tr>
      <w:tr w:rsidR="00D7444C" w:rsidRPr="00F2712D" w14:paraId="58C46E16"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CA5BD5E" w14:textId="77777777" w:rsidR="00D7444C" w:rsidRPr="001963F3" w:rsidRDefault="00D7444C" w:rsidP="00D11E39">
            <w:pPr>
              <w:jc w:val="right"/>
              <w:rPr>
                <w:rFonts w:cs="Arial"/>
                <w:sz w:val="16"/>
                <w:szCs w:val="16"/>
              </w:rPr>
            </w:pPr>
            <w:r w:rsidRPr="001963F3">
              <w:rPr>
                <w:rFonts w:cs="Arial"/>
                <w:sz w:val="16"/>
                <w:szCs w:val="16"/>
              </w:rPr>
              <w:t>No</w:t>
            </w:r>
          </w:p>
        </w:tc>
        <w:tc>
          <w:tcPr>
            <w:tcW w:w="1111" w:type="dxa"/>
            <w:noWrap/>
            <w:hideMark/>
          </w:tcPr>
          <w:p w14:paraId="6D5E8833" w14:textId="77777777" w:rsidR="00D7444C" w:rsidRPr="00C02BCB"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C02BCB">
              <w:rPr>
                <w:sz w:val="16"/>
                <w:szCs w:val="16"/>
              </w:rPr>
              <w:t>23</w:t>
            </w:r>
            <w:r>
              <w:rPr>
                <w:sz w:val="16"/>
                <w:szCs w:val="16"/>
              </w:rPr>
              <w:t>,</w:t>
            </w:r>
            <w:r w:rsidRPr="00C02BCB">
              <w:rPr>
                <w:sz w:val="16"/>
                <w:szCs w:val="16"/>
              </w:rPr>
              <w:t>389</w:t>
            </w:r>
          </w:p>
        </w:tc>
        <w:tc>
          <w:tcPr>
            <w:tcW w:w="893" w:type="dxa"/>
            <w:noWrap/>
            <w:hideMark/>
          </w:tcPr>
          <w:p w14:paraId="5E9C108D" w14:textId="77777777" w:rsidR="00D7444C" w:rsidRPr="00C02BCB"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C02BCB">
              <w:rPr>
                <w:sz w:val="16"/>
                <w:szCs w:val="16"/>
              </w:rPr>
              <w:t>87.2</w:t>
            </w:r>
          </w:p>
        </w:tc>
        <w:tc>
          <w:tcPr>
            <w:tcW w:w="967" w:type="dxa"/>
            <w:hideMark/>
          </w:tcPr>
          <w:p w14:paraId="2433CD29"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368</w:t>
            </w:r>
          </w:p>
        </w:tc>
        <w:tc>
          <w:tcPr>
            <w:tcW w:w="765" w:type="dxa"/>
            <w:hideMark/>
          </w:tcPr>
          <w:p w14:paraId="725272DC"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88.1</w:t>
            </w:r>
          </w:p>
        </w:tc>
        <w:tc>
          <w:tcPr>
            <w:tcW w:w="967" w:type="dxa"/>
            <w:hideMark/>
          </w:tcPr>
          <w:p w14:paraId="600D6160"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272</w:t>
            </w:r>
          </w:p>
        </w:tc>
        <w:tc>
          <w:tcPr>
            <w:tcW w:w="765" w:type="dxa"/>
            <w:hideMark/>
          </w:tcPr>
          <w:p w14:paraId="7C5D78A9"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87</w:t>
            </w:r>
          </w:p>
        </w:tc>
        <w:tc>
          <w:tcPr>
            <w:tcW w:w="1762" w:type="dxa"/>
          </w:tcPr>
          <w:p w14:paraId="28EAF4F7"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5B2CD9A2"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02C03157" w14:textId="77777777" w:rsidR="00D7444C" w:rsidRPr="001963F3" w:rsidRDefault="00D7444C" w:rsidP="00D11E39">
            <w:pPr>
              <w:jc w:val="right"/>
              <w:rPr>
                <w:rFonts w:cs="Arial"/>
                <w:sz w:val="16"/>
                <w:szCs w:val="16"/>
              </w:rPr>
            </w:pPr>
            <w:r>
              <w:rPr>
                <w:rFonts w:cs="Arial"/>
                <w:sz w:val="16"/>
                <w:szCs w:val="16"/>
              </w:rPr>
              <w:lastRenderedPageBreak/>
              <w:t>Decline to answer</w:t>
            </w:r>
          </w:p>
        </w:tc>
        <w:tc>
          <w:tcPr>
            <w:tcW w:w="1111" w:type="dxa"/>
            <w:noWrap/>
          </w:tcPr>
          <w:p w14:paraId="223186F0" w14:textId="77777777" w:rsidR="00D7444C" w:rsidRPr="00C02BCB"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C02BCB">
              <w:rPr>
                <w:sz w:val="16"/>
                <w:szCs w:val="16"/>
              </w:rPr>
              <w:t>477</w:t>
            </w:r>
          </w:p>
        </w:tc>
        <w:tc>
          <w:tcPr>
            <w:tcW w:w="893" w:type="dxa"/>
            <w:noWrap/>
          </w:tcPr>
          <w:p w14:paraId="61125EBC" w14:textId="77777777" w:rsidR="00D7444C" w:rsidRPr="00C02BCB"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C02BCB">
              <w:rPr>
                <w:sz w:val="16"/>
                <w:szCs w:val="16"/>
              </w:rPr>
              <w:t>1.8</w:t>
            </w:r>
          </w:p>
        </w:tc>
        <w:tc>
          <w:tcPr>
            <w:tcW w:w="967" w:type="dxa"/>
          </w:tcPr>
          <w:p w14:paraId="18C92FF6"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171</w:t>
            </w:r>
          </w:p>
        </w:tc>
        <w:tc>
          <w:tcPr>
            <w:tcW w:w="765" w:type="dxa"/>
          </w:tcPr>
          <w:p w14:paraId="7941A5CA"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2.0</w:t>
            </w:r>
          </w:p>
        </w:tc>
        <w:tc>
          <w:tcPr>
            <w:tcW w:w="967" w:type="dxa"/>
          </w:tcPr>
          <w:p w14:paraId="668223C7"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259</w:t>
            </w:r>
          </w:p>
        </w:tc>
        <w:tc>
          <w:tcPr>
            <w:tcW w:w="765" w:type="dxa"/>
          </w:tcPr>
          <w:p w14:paraId="29A36AA0"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3.1</w:t>
            </w:r>
          </w:p>
        </w:tc>
        <w:tc>
          <w:tcPr>
            <w:tcW w:w="1762" w:type="dxa"/>
          </w:tcPr>
          <w:p w14:paraId="7D3E5416"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46CF36CA"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62A60F9D" w14:textId="77777777" w:rsidR="00D7444C" w:rsidRPr="001963F3" w:rsidRDefault="00D7444C" w:rsidP="00D11E39">
            <w:pPr>
              <w:jc w:val="right"/>
              <w:rPr>
                <w:rFonts w:cs="Arial"/>
                <w:sz w:val="16"/>
                <w:szCs w:val="16"/>
              </w:rPr>
            </w:pPr>
            <w:r>
              <w:rPr>
                <w:rFonts w:cs="Arial"/>
                <w:sz w:val="16"/>
                <w:szCs w:val="16"/>
              </w:rPr>
              <w:t>Unknown</w:t>
            </w:r>
          </w:p>
        </w:tc>
        <w:tc>
          <w:tcPr>
            <w:tcW w:w="1111" w:type="dxa"/>
            <w:noWrap/>
          </w:tcPr>
          <w:p w14:paraId="17B1EC3B"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41E33">
              <w:rPr>
                <w:sz w:val="16"/>
                <w:szCs w:val="16"/>
              </w:rPr>
              <w:t>785</w:t>
            </w:r>
          </w:p>
        </w:tc>
        <w:tc>
          <w:tcPr>
            <w:tcW w:w="893" w:type="dxa"/>
            <w:noWrap/>
          </w:tcPr>
          <w:p w14:paraId="1FC04005"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41E33">
              <w:rPr>
                <w:sz w:val="16"/>
                <w:szCs w:val="16"/>
              </w:rPr>
              <w:t>2.9</w:t>
            </w:r>
          </w:p>
        </w:tc>
        <w:tc>
          <w:tcPr>
            <w:tcW w:w="967" w:type="dxa"/>
          </w:tcPr>
          <w:p w14:paraId="2D64B637"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69</w:t>
            </w:r>
          </w:p>
        </w:tc>
        <w:tc>
          <w:tcPr>
            <w:tcW w:w="765" w:type="dxa"/>
          </w:tcPr>
          <w:p w14:paraId="0BAF30E1"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967" w:type="dxa"/>
          </w:tcPr>
          <w:p w14:paraId="5AF2D37F"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69</w:t>
            </w:r>
          </w:p>
        </w:tc>
        <w:tc>
          <w:tcPr>
            <w:tcW w:w="765" w:type="dxa"/>
          </w:tcPr>
          <w:p w14:paraId="30A88BF9"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1762" w:type="dxa"/>
          </w:tcPr>
          <w:p w14:paraId="4D0EAB52"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1B7B94D7" w14:textId="77777777" w:rsidTr="00046630">
        <w:trPr>
          <w:cnfStyle w:val="000000010000" w:firstRow="0" w:lastRow="0" w:firstColumn="0" w:lastColumn="0" w:oddVBand="0" w:evenVBand="0" w:oddHBand="0" w:evenHBand="1"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437" w:type="dxa"/>
            <w:gridSpan w:val="5"/>
            <w:noWrap/>
            <w:hideMark/>
          </w:tcPr>
          <w:p w14:paraId="1675C099" w14:textId="77777777" w:rsidR="00D7444C" w:rsidRPr="00EB2406" w:rsidRDefault="00D7444C" w:rsidP="00D11E39">
            <w:pPr>
              <w:rPr>
                <w:rFonts w:cs="Arial"/>
                <w:b w:val="0"/>
                <w:bCs/>
                <w:sz w:val="16"/>
                <w:szCs w:val="16"/>
              </w:rPr>
            </w:pPr>
            <w:r w:rsidRPr="00EB2406">
              <w:rPr>
                <w:rFonts w:cs="Arial"/>
                <w:bCs/>
                <w:sz w:val="16"/>
                <w:szCs w:val="16"/>
              </w:rPr>
              <w:t>English level (speak, read, write)</w:t>
            </w:r>
          </w:p>
        </w:tc>
        <w:tc>
          <w:tcPr>
            <w:tcW w:w="967" w:type="dxa"/>
            <w:hideMark/>
          </w:tcPr>
          <w:p w14:paraId="3E6A5F8F"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hideMark/>
          </w:tcPr>
          <w:p w14:paraId="11E0D0B6"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78B38ED6"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3C245B70"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F09C190" w14:textId="77777777" w:rsidR="00D7444C" w:rsidRPr="001963F3" w:rsidRDefault="00D7444C" w:rsidP="00D11E39">
            <w:pPr>
              <w:jc w:val="right"/>
              <w:rPr>
                <w:rFonts w:cs="Arial"/>
                <w:sz w:val="16"/>
                <w:szCs w:val="16"/>
              </w:rPr>
            </w:pPr>
            <w:r w:rsidRPr="001963F3">
              <w:rPr>
                <w:rFonts w:cs="Arial"/>
                <w:sz w:val="16"/>
                <w:szCs w:val="16"/>
              </w:rPr>
              <w:t>Good</w:t>
            </w:r>
          </w:p>
        </w:tc>
        <w:tc>
          <w:tcPr>
            <w:tcW w:w="1111" w:type="dxa"/>
            <w:noWrap/>
            <w:hideMark/>
          </w:tcPr>
          <w:p w14:paraId="645399C3"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24</w:t>
            </w:r>
            <w:r>
              <w:rPr>
                <w:rFonts w:cs="Arial"/>
                <w:sz w:val="16"/>
                <w:szCs w:val="16"/>
              </w:rPr>
              <w:t>,</w:t>
            </w:r>
            <w:r w:rsidRPr="00F2712D">
              <w:rPr>
                <w:rFonts w:cs="Arial"/>
                <w:sz w:val="16"/>
                <w:szCs w:val="16"/>
              </w:rPr>
              <w:t>745</w:t>
            </w:r>
          </w:p>
        </w:tc>
        <w:tc>
          <w:tcPr>
            <w:tcW w:w="893" w:type="dxa"/>
            <w:noWrap/>
            <w:hideMark/>
          </w:tcPr>
          <w:p w14:paraId="763EAFC5"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92</w:t>
            </w:r>
            <w:r>
              <w:rPr>
                <w:rFonts w:cs="Arial"/>
                <w:sz w:val="16"/>
                <w:szCs w:val="16"/>
              </w:rPr>
              <w:t>.3</w:t>
            </w:r>
          </w:p>
        </w:tc>
        <w:tc>
          <w:tcPr>
            <w:tcW w:w="967" w:type="dxa"/>
            <w:hideMark/>
          </w:tcPr>
          <w:p w14:paraId="5DEA01EA"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785</w:t>
            </w:r>
          </w:p>
        </w:tc>
        <w:tc>
          <w:tcPr>
            <w:tcW w:w="765" w:type="dxa"/>
            <w:hideMark/>
          </w:tcPr>
          <w:p w14:paraId="755856D4"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93.1</w:t>
            </w:r>
          </w:p>
        </w:tc>
        <w:tc>
          <w:tcPr>
            <w:tcW w:w="967" w:type="dxa"/>
            <w:hideMark/>
          </w:tcPr>
          <w:p w14:paraId="590807A3"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382</w:t>
            </w:r>
          </w:p>
        </w:tc>
        <w:tc>
          <w:tcPr>
            <w:tcW w:w="765" w:type="dxa"/>
            <w:hideMark/>
          </w:tcPr>
          <w:p w14:paraId="2419E58A"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88.3</w:t>
            </w:r>
          </w:p>
        </w:tc>
        <w:tc>
          <w:tcPr>
            <w:tcW w:w="1762" w:type="dxa"/>
          </w:tcPr>
          <w:p w14:paraId="10879323"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776FEFDC"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9D4BA97" w14:textId="77777777" w:rsidR="00D7444C" w:rsidRPr="001963F3" w:rsidRDefault="00D7444C" w:rsidP="00D11E39">
            <w:pPr>
              <w:jc w:val="right"/>
              <w:rPr>
                <w:rFonts w:cs="Arial"/>
                <w:sz w:val="16"/>
                <w:szCs w:val="16"/>
              </w:rPr>
            </w:pPr>
            <w:r w:rsidRPr="001963F3">
              <w:rPr>
                <w:rFonts w:cs="Arial"/>
                <w:sz w:val="16"/>
                <w:szCs w:val="16"/>
              </w:rPr>
              <w:t>Poor</w:t>
            </w:r>
          </w:p>
        </w:tc>
        <w:tc>
          <w:tcPr>
            <w:tcW w:w="1111" w:type="dxa"/>
            <w:noWrap/>
            <w:hideMark/>
          </w:tcPr>
          <w:p w14:paraId="51072A11"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1,292</w:t>
            </w:r>
          </w:p>
        </w:tc>
        <w:tc>
          <w:tcPr>
            <w:tcW w:w="893" w:type="dxa"/>
            <w:noWrap/>
            <w:hideMark/>
          </w:tcPr>
          <w:p w14:paraId="1AE5A7A5"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4.8</w:t>
            </w:r>
          </w:p>
        </w:tc>
        <w:tc>
          <w:tcPr>
            <w:tcW w:w="967" w:type="dxa"/>
            <w:hideMark/>
          </w:tcPr>
          <w:p w14:paraId="775D13C5"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507</w:t>
            </w:r>
          </w:p>
        </w:tc>
        <w:tc>
          <w:tcPr>
            <w:tcW w:w="765" w:type="dxa"/>
            <w:hideMark/>
          </w:tcPr>
          <w:p w14:paraId="48CC5A90"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6.1</w:t>
            </w:r>
          </w:p>
        </w:tc>
        <w:tc>
          <w:tcPr>
            <w:tcW w:w="967" w:type="dxa"/>
            <w:hideMark/>
          </w:tcPr>
          <w:p w14:paraId="62BB12AA"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910</w:t>
            </w:r>
          </w:p>
        </w:tc>
        <w:tc>
          <w:tcPr>
            <w:tcW w:w="765" w:type="dxa"/>
            <w:hideMark/>
          </w:tcPr>
          <w:p w14:paraId="3DC7E11E"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10.9</w:t>
            </w:r>
          </w:p>
        </w:tc>
        <w:tc>
          <w:tcPr>
            <w:tcW w:w="1762" w:type="dxa"/>
          </w:tcPr>
          <w:p w14:paraId="3814222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271BC00B"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1C51D11F" w14:textId="77777777" w:rsidR="00D7444C" w:rsidRPr="001963F3" w:rsidRDefault="00D7444C" w:rsidP="00D11E39">
            <w:pPr>
              <w:jc w:val="right"/>
              <w:rPr>
                <w:rFonts w:cs="Arial"/>
                <w:sz w:val="16"/>
                <w:szCs w:val="16"/>
              </w:rPr>
            </w:pPr>
            <w:r>
              <w:rPr>
                <w:rFonts w:cs="Arial"/>
                <w:sz w:val="16"/>
                <w:szCs w:val="16"/>
              </w:rPr>
              <w:t>Unknown</w:t>
            </w:r>
          </w:p>
        </w:tc>
        <w:tc>
          <w:tcPr>
            <w:tcW w:w="1111" w:type="dxa"/>
            <w:noWrap/>
          </w:tcPr>
          <w:p w14:paraId="09D05208" w14:textId="77777777" w:rsidR="00D7444C"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41E33">
              <w:rPr>
                <w:sz w:val="16"/>
                <w:szCs w:val="16"/>
              </w:rPr>
              <w:t>785</w:t>
            </w:r>
          </w:p>
        </w:tc>
        <w:tc>
          <w:tcPr>
            <w:tcW w:w="893" w:type="dxa"/>
            <w:noWrap/>
          </w:tcPr>
          <w:p w14:paraId="17E7A020" w14:textId="77777777" w:rsidR="00D7444C"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41E33">
              <w:rPr>
                <w:sz w:val="16"/>
                <w:szCs w:val="16"/>
              </w:rPr>
              <w:t>2.9</w:t>
            </w:r>
          </w:p>
        </w:tc>
        <w:tc>
          <w:tcPr>
            <w:tcW w:w="967" w:type="dxa"/>
          </w:tcPr>
          <w:p w14:paraId="2BF6AD57"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69</w:t>
            </w:r>
          </w:p>
        </w:tc>
        <w:tc>
          <w:tcPr>
            <w:tcW w:w="765" w:type="dxa"/>
          </w:tcPr>
          <w:p w14:paraId="3164A18C"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967" w:type="dxa"/>
          </w:tcPr>
          <w:p w14:paraId="7C964183"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69</w:t>
            </w:r>
          </w:p>
        </w:tc>
        <w:tc>
          <w:tcPr>
            <w:tcW w:w="765" w:type="dxa"/>
          </w:tcPr>
          <w:p w14:paraId="2B5C2DA3"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1762" w:type="dxa"/>
          </w:tcPr>
          <w:p w14:paraId="0A4F8130"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358DBC83"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6404" w:type="dxa"/>
            <w:gridSpan w:val="6"/>
            <w:noWrap/>
            <w:hideMark/>
          </w:tcPr>
          <w:p w14:paraId="6EA322E9" w14:textId="77777777" w:rsidR="00D7444C" w:rsidRPr="00EB2406" w:rsidRDefault="00D7444C" w:rsidP="00D11E39">
            <w:pPr>
              <w:rPr>
                <w:rFonts w:cs="Arial"/>
                <w:b w:val="0"/>
                <w:bCs/>
                <w:sz w:val="16"/>
                <w:szCs w:val="16"/>
              </w:rPr>
            </w:pPr>
            <w:r w:rsidRPr="00EB2406">
              <w:rPr>
                <w:rFonts w:cs="Arial"/>
                <w:bCs/>
                <w:sz w:val="16"/>
                <w:szCs w:val="16"/>
              </w:rPr>
              <w:t>Residence</w:t>
            </w:r>
          </w:p>
        </w:tc>
        <w:tc>
          <w:tcPr>
            <w:tcW w:w="765" w:type="dxa"/>
            <w:hideMark/>
          </w:tcPr>
          <w:p w14:paraId="037F3856"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42A1001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3F0685E1"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985C9FB" w14:textId="77777777" w:rsidR="00D7444C" w:rsidRPr="001963F3" w:rsidRDefault="00D7444C" w:rsidP="00D11E39">
            <w:pPr>
              <w:jc w:val="right"/>
              <w:rPr>
                <w:rFonts w:cs="Arial"/>
                <w:sz w:val="16"/>
                <w:szCs w:val="16"/>
              </w:rPr>
            </w:pPr>
            <w:r w:rsidRPr="001963F3">
              <w:rPr>
                <w:rFonts w:cs="Arial"/>
                <w:sz w:val="16"/>
                <w:szCs w:val="16"/>
              </w:rPr>
              <w:t>Stable</w:t>
            </w:r>
          </w:p>
        </w:tc>
        <w:tc>
          <w:tcPr>
            <w:tcW w:w="1111" w:type="dxa"/>
            <w:noWrap/>
            <w:hideMark/>
          </w:tcPr>
          <w:p w14:paraId="3CA2543C"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23</w:t>
            </w:r>
            <w:r>
              <w:rPr>
                <w:rFonts w:cs="Arial"/>
                <w:sz w:val="16"/>
                <w:szCs w:val="16"/>
              </w:rPr>
              <w:t>,</w:t>
            </w:r>
            <w:r w:rsidRPr="00F2712D">
              <w:rPr>
                <w:rFonts w:cs="Arial"/>
                <w:sz w:val="16"/>
                <w:szCs w:val="16"/>
              </w:rPr>
              <w:t>494</w:t>
            </w:r>
          </w:p>
        </w:tc>
        <w:tc>
          <w:tcPr>
            <w:tcW w:w="893" w:type="dxa"/>
            <w:noWrap/>
            <w:hideMark/>
          </w:tcPr>
          <w:p w14:paraId="3A866886"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8</w:t>
            </w:r>
            <w:r>
              <w:rPr>
                <w:rFonts w:cs="Arial"/>
                <w:sz w:val="16"/>
                <w:szCs w:val="16"/>
              </w:rPr>
              <w:t>7.6</w:t>
            </w:r>
          </w:p>
        </w:tc>
        <w:tc>
          <w:tcPr>
            <w:tcW w:w="967" w:type="dxa"/>
            <w:hideMark/>
          </w:tcPr>
          <w:p w14:paraId="5164B7A4"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265</w:t>
            </w:r>
          </w:p>
        </w:tc>
        <w:tc>
          <w:tcPr>
            <w:tcW w:w="765" w:type="dxa"/>
            <w:hideMark/>
          </w:tcPr>
          <w:p w14:paraId="1FE5FC0D"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86.9</w:t>
            </w:r>
          </w:p>
        </w:tc>
        <w:tc>
          <w:tcPr>
            <w:tcW w:w="967" w:type="dxa"/>
            <w:hideMark/>
          </w:tcPr>
          <w:p w14:paraId="550340A9"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094</w:t>
            </w:r>
          </w:p>
        </w:tc>
        <w:tc>
          <w:tcPr>
            <w:tcW w:w="765" w:type="dxa"/>
            <w:hideMark/>
          </w:tcPr>
          <w:p w14:paraId="78D4673C"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84.8</w:t>
            </w:r>
          </w:p>
        </w:tc>
        <w:tc>
          <w:tcPr>
            <w:tcW w:w="1762" w:type="dxa"/>
          </w:tcPr>
          <w:p w14:paraId="078972D2"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552383A7"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84AED4A" w14:textId="77777777" w:rsidR="00D7444C" w:rsidRPr="001963F3" w:rsidRDefault="00D7444C" w:rsidP="00D11E39">
            <w:pPr>
              <w:jc w:val="right"/>
              <w:rPr>
                <w:rFonts w:cs="Arial"/>
                <w:sz w:val="16"/>
                <w:szCs w:val="16"/>
              </w:rPr>
            </w:pPr>
            <w:r w:rsidRPr="001963F3">
              <w:rPr>
                <w:rFonts w:cs="Arial"/>
                <w:sz w:val="16"/>
                <w:szCs w:val="16"/>
              </w:rPr>
              <w:t>Unstable</w:t>
            </w:r>
          </w:p>
        </w:tc>
        <w:tc>
          <w:tcPr>
            <w:tcW w:w="1111" w:type="dxa"/>
            <w:noWrap/>
            <w:hideMark/>
          </w:tcPr>
          <w:p w14:paraId="6D7E26F1"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2</w:t>
            </w:r>
            <w:r>
              <w:rPr>
                <w:rFonts w:cs="Arial"/>
                <w:sz w:val="16"/>
                <w:szCs w:val="16"/>
              </w:rPr>
              <w:t>,</w:t>
            </w:r>
            <w:r w:rsidRPr="00F2712D">
              <w:rPr>
                <w:rFonts w:cs="Arial"/>
                <w:sz w:val="16"/>
                <w:szCs w:val="16"/>
              </w:rPr>
              <w:t>543</w:t>
            </w:r>
          </w:p>
        </w:tc>
        <w:tc>
          <w:tcPr>
            <w:tcW w:w="893" w:type="dxa"/>
            <w:noWrap/>
            <w:hideMark/>
          </w:tcPr>
          <w:p w14:paraId="1BA8DD85"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rFonts w:cs="Arial"/>
                <w:sz w:val="16"/>
                <w:szCs w:val="16"/>
              </w:rPr>
              <w:t>9.5</w:t>
            </w:r>
          </w:p>
        </w:tc>
        <w:tc>
          <w:tcPr>
            <w:tcW w:w="967" w:type="dxa"/>
            <w:hideMark/>
          </w:tcPr>
          <w:p w14:paraId="3846F56F"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w:t>
            </w:r>
            <w:r>
              <w:rPr>
                <w:sz w:val="16"/>
                <w:szCs w:val="16"/>
              </w:rPr>
              <w:t>,</w:t>
            </w:r>
            <w:r w:rsidRPr="00EB2406">
              <w:rPr>
                <w:sz w:val="16"/>
                <w:szCs w:val="16"/>
              </w:rPr>
              <w:t>027</w:t>
            </w:r>
          </w:p>
        </w:tc>
        <w:tc>
          <w:tcPr>
            <w:tcW w:w="765" w:type="dxa"/>
            <w:hideMark/>
          </w:tcPr>
          <w:p w14:paraId="15426D0E"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12.3</w:t>
            </w:r>
          </w:p>
        </w:tc>
        <w:tc>
          <w:tcPr>
            <w:tcW w:w="967" w:type="dxa"/>
            <w:hideMark/>
          </w:tcPr>
          <w:p w14:paraId="305E81BC"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w:t>
            </w:r>
            <w:r>
              <w:rPr>
                <w:sz w:val="16"/>
                <w:szCs w:val="16"/>
              </w:rPr>
              <w:t>,</w:t>
            </w:r>
            <w:r w:rsidRPr="00EB2406">
              <w:rPr>
                <w:sz w:val="16"/>
                <w:szCs w:val="16"/>
              </w:rPr>
              <w:t>198</w:t>
            </w:r>
          </w:p>
        </w:tc>
        <w:tc>
          <w:tcPr>
            <w:tcW w:w="765" w:type="dxa"/>
            <w:hideMark/>
          </w:tcPr>
          <w:p w14:paraId="34A3E65C"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14.3</w:t>
            </w:r>
          </w:p>
        </w:tc>
        <w:tc>
          <w:tcPr>
            <w:tcW w:w="1762" w:type="dxa"/>
          </w:tcPr>
          <w:p w14:paraId="0EC921D4" w14:textId="20C77A1E"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3D1A6C">
              <w:rPr>
                <w:rFonts w:cs="Arial"/>
                <w:sz w:val="16"/>
                <w:szCs w:val="16"/>
              </w:rPr>
              <w:t>&lt;1%</w:t>
            </w:r>
            <w:r w:rsidRPr="003D1A6C">
              <w:rPr>
                <w:rFonts w:eastAsia="Times New Roman" w:cs="Arial"/>
                <w:color w:val="000000"/>
                <w:szCs w:val="18"/>
                <w:vertAlign w:val="superscript"/>
                <w:lang w:eastAsia="en-AU"/>
              </w:rPr>
              <w:t xml:space="preserve"> </w:t>
            </w:r>
            <w:r w:rsidR="000052A9">
              <w:rPr>
                <w:rFonts w:eastAsia="Times New Roman" w:cs="Arial"/>
                <w:color w:val="000000"/>
                <w:szCs w:val="18"/>
                <w:vertAlign w:val="superscript"/>
                <w:lang w:eastAsia="en-AU"/>
              </w:rPr>
              <w:t>d</w:t>
            </w:r>
          </w:p>
        </w:tc>
      </w:tr>
      <w:tr w:rsidR="00D7444C" w:rsidRPr="00F2712D" w14:paraId="0061790E"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E7E7C01" w14:textId="77777777" w:rsidR="00D7444C" w:rsidRPr="001963F3" w:rsidRDefault="00D7444C" w:rsidP="00D11E39">
            <w:pPr>
              <w:jc w:val="right"/>
              <w:rPr>
                <w:rFonts w:cs="Arial"/>
                <w:sz w:val="16"/>
                <w:szCs w:val="16"/>
              </w:rPr>
            </w:pPr>
            <w:r w:rsidRPr="001963F3">
              <w:rPr>
                <w:rFonts w:cs="Arial"/>
                <w:sz w:val="16"/>
                <w:szCs w:val="16"/>
              </w:rPr>
              <w:t>Unknown</w:t>
            </w:r>
          </w:p>
        </w:tc>
        <w:tc>
          <w:tcPr>
            <w:tcW w:w="1111" w:type="dxa"/>
            <w:noWrap/>
            <w:hideMark/>
          </w:tcPr>
          <w:p w14:paraId="65680023"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785</w:t>
            </w:r>
          </w:p>
        </w:tc>
        <w:tc>
          <w:tcPr>
            <w:tcW w:w="893" w:type="dxa"/>
            <w:noWrap/>
            <w:hideMark/>
          </w:tcPr>
          <w:p w14:paraId="61DA2D62"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2.9</w:t>
            </w:r>
          </w:p>
        </w:tc>
        <w:tc>
          <w:tcPr>
            <w:tcW w:w="967" w:type="dxa"/>
            <w:hideMark/>
          </w:tcPr>
          <w:p w14:paraId="0A0BED4F"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69</w:t>
            </w:r>
          </w:p>
        </w:tc>
        <w:tc>
          <w:tcPr>
            <w:tcW w:w="765" w:type="dxa"/>
            <w:hideMark/>
          </w:tcPr>
          <w:p w14:paraId="069BA7F9"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967" w:type="dxa"/>
            <w:hideMark/>
          </w:tcPr>
          <w:p w14:paraId="1C87BEBF"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69</w:t>
            </w:r>
          </w:p>
        </w:tc>
        <w:tc>
          <w:tcPr>
            <w:tcW w:w="765" w:type="dxa"/>
            <w:hideMark/>
          </w:tcPr>
          <w:p w14:paraId="1EAD5D36"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0.8</w:t>
            </w:r>
          </w:p>
        </w:tc>
        <w:tc>
          <w:tcPr>
            <w:tcW w:w="1762" w:type="dxa"/>
          </w:tcPr>
          <w:p w14:paraId="7BDDA074"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31ED0629"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6404" w:type="dxa"/>
            <w:gridSpan w:val="6"/>
            <w:noWrap/>
            <w:hideMark/>
          </w:tcPr>
          <w:p w14:paraId="366DCBC1" w14:textId="1E60483E" w:rsidR="00D7444C" w:rsidRPr="00EB2406" w:rsidRDefault="00D7444C" w:rsidP="00D11E39">
            <w:pPr>
              <w:rPr>
                <w:rFonts w:cs="Arial"/>
                <w:b w:val="0"/>
                <w:bCs/>
                <w:sz w:val="16"/>
                <w:szCs w:val="16"/>
              </w:rPr>
            </w:pPr>
            <w:r w:rsidRPr="00EB2406">
              <w:rPr>
                <w:rFonts w:cs="Arial"/>
                <w:bCs/>
                <w:sz w:val="16"/>
                <w:szCs w:val="16"/>
              </w:rPr>
              <w:t xml:space="preserve">Personal </w:t>
            </w:r>
            <w:r w:rsidR="001F2478">
              <w:rPr>
                <w:rFonts w:cs="Arial"/>
                <w:bCs/>
                <w:sz w:val="16"/>
                <w:szCs w:val="16"/>
              </w:rPr>
              <w:t>r</w:t>
            </w:r>
            <w:r w:rsidRPr="00EB2406">
              <w:rPr>
                <w:rFonts w:cs="Arial"/>
                <w:bCs/>
                <w:sz w:val="16"/>
                <w:szCs w:val="16"/>
              </w:rPr>
              <w:t xml:space="preserve">eason </w:t>
            </w:r>
            <w:r w:rsidR="001F2478">
              <w:rPr>
                <w:rFonts w:cs="Arial"/>
                <w:bCs/>
                <w:sz w:val="16"/>
                <w:szCs w:val="16"/>
              </w:rPr>
              <w:t>i</w:t>
            </w:r>
            <w:r w:rsidRPr="00EB2406">
              <w:rPr>
                <w:rFonts w:cs="Arial"/>
                <w:bCs/>
                <w:sz w:val="16"/>
                <w:szCs w:val="16"/>
              </w:rPr>
              <w:t>mpact</w:t>
            </w:r>
          </w:p>
        </w:tc>
        <w:tc>
          <w:tcPr>
            <w:tcW w:w="765" w:type="dxa"/>
            <w:hideMark/>
          </w:tcPr>
          <w:p w14:paraId="2D2E7166"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69C12673"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6B32004C"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D121A73" w14:textId="6EC045B1" w:rsidR="00D7444C" w:rsidRPr="00651009" w:rsidRDefault="00D7444C" w:rsidP="00D11E39">
            <w:pPr>
              <w:jc w:val="right"/>
              <w:rPr>
                <w:rFonts w:cs="Arial"/>
                <w:sz w:val="16"/>
                <w:szCs w:val="16"/>
              </w:rPr>
            </w:pPr>
            <w:r w:rsidRPr="00651009">
              <w:rPr>
                <w:sz w:val="16"/>
                <w:szCs w:val="16"/>
              </w:rPr>
              <w:t xml:space="preserve">No </w:t>
            </w:r>
            <w:r w:rsidR="001F2478">
              <w:rPr>
                <w:sz w:val="16"/>
                <w:szCs w:val="16"/>
              </w:rPr>
              <w:t>i</w:t>
            </w:r>
            <w:r w:rsidRPr="00651009">
              <w:rPr>
                <w:sz w:val="16"/>
                <w:szCs w:val="16"/>
              </w:rPr>
              <w:t>mpact</w:t>
            </w:r>
          </w:p>
        </w:tc>
        <w:tc>
          <w:tcPr>
            <w:tcW w:w="1111" w:type="dxa"/>
            <w:noWrap/>
            <w:hideMark/>
          </w:tcPr>
          <w:p w14:paraId="6A8D9986" w14:textId="77777777" w:rsidR="00D7444C" w:rsidRPr="00AB32DB"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B32DB">
              <w:rPr>
                <w:sz w:val="16"/>
                <w:szCs w:val="16"/>
              </w:rPr>
              <w:t>23</w:t>
            </w:r>
            <w:r>
              <w:rPr>
                <w:sz w:val="16"/>
                <w:szCs w:val="16"/>
              </w:rPr>
              <w:t>,</w:t>
            </w:r>
            <w:r w:rsidRPr="00AB32DB">
              <w:rPr>
                <w:sz w:val="16"/>
                <w:szCs w:val="16"/>
              </w:rPr>
              <w:t>905</w:t>
            </w:r>
          </w:p>
        </w:tc>
        <w:tc>
          <w:tcPr>
            <w:tcW w:w="893" w:type="dxa"/>
            <w:noWrap/>
            <w:hideMark/>
          </w:tcPr>
          <w:p w14:paraId="55478B4F" w14:textId="77777777" w:rsidR="00D7444C" w:rsidRPr="00AB32DB"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AB32DB">
              <w:rPr>
                <w:sz w:val="16"/>
                <w:szCs w:val="16"/>
              </w:rPr>
              <w:t>89.1</w:t>
            </w:r>
          </w:p>
        </w:tc>
        <w:tc>
          <w:tcPr>
            <w:tcW w:w="967" w:type="dxa"/>
            <w:hideMark/>
          </w:tcPr>
          <w:p w14:paraId="34B8498A"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245</w:t>
            </w:r>
          </w:p>
        </w:tc>
        <w:tc>
          <w:tcPr>
            <w:tcW w:w="765" w:type="dxa"/>
            <w:hideMark/>
          </w:tcPr>
          <w:p w14:paraId="1CEA05EE"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86.7</w:t>
            </w:r>
          </w:p>
        </w:tc>
        <w:tc>
          <w:tcPr>
            <w:tcW w:w="967" w:type="dxa"/>
            <w:hideMark/>
          </w:tcPr>
          <w:p w14:paraId="58F24A49"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7</w:t>
            </w:r>
            <w:r>
              <w:rPr>
                <w:sz w:val="16"/>
                <w:szCs w:val="16"/>
              </w:rPr>
              <w:t>,</w:t>
            </w:r>
            <w:r w:rsidRPr="00EB2406">
              <w:rPr>
                <w:sz w:val="16"/>
                <w:szCs w:val="16"/>
              </w:rPr>
              <w:t>616</w:t>
            </w:r>
          </w:p>
        </w:tc>
        <w:tc>
          <w:tcPr>
            <w:tcW w:w="765" w:type="dxa"/>
            <w:hideMark/>
          </w:tcPr>
          <w:p w14:paraId="6218AFA7" w14:textId="77777777" w:rsidR="00D7444C" w:rsidRPr="00EB240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B2406">
              <w:rPr>
                <w:sz w:val="16"/>
                <w:szCs w:val="16"/>
              </w:rPr>
              <w:t>91.1</w:t>
            </w:r>
          </w:p>
        </w:tc>
        <w:tc>
          <w:tcPr>
            <w:tcW w:w="1762" w:type="dxa"/>
          </w:tcPr>
          <w:p w14:paraId="68179167"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68328AC2"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8424251" w14:textId="613E88F7" w:rsidR="00D7444C" w:rsidRPr="00651009" w:rsidRDefault="00D7444C" w:rsidP="00D11E39">
            <w:pPr>
              <w:jc w:val="right"/>
              <w:rPr>
                <w:rFonts w:cs="Arial"/>
                <w:sz w:val="16"/>
                <w:szCs w:val="16"/>
              </w:rPr>
            </w:pPr>
            <w:r w:rsidRPr="00651009">
              <w:rPr>
                <w:sz w:val="16"/>
                <w:szCs w:val="16"/>
              </w:rPr>
              <w:t xml:space="preserve">Some </w:t>
            </w:r>
            <w:r w:rsidR="001F2478">
              <w:rPr>
                <w:sz w:val="16"/>
                <w:szCs w:val="16"/>
              </w:rPr>
              <w:t>i</w:t>
            </w:r>
            <w:r w:rsidRPr="00651009">
              <w:rPr>
                <w:sz w:val="16"/>
                <w:szCs w:val="16"/>
              </w:rPr>
              <w:t>mpact</w:t>
            </w:r>
          </w:p>
        </w:tc>
        <w:tc>
          <w:tcPr>
            <w:tcW w:w="1111" w:type="dxa"/>
            <w:noWrap/>
            <w:hideMark/>
          </w:tcPr>
          <w:p w14:paraId="20F70E0C" w14:textId="77777777" w:rsidR="00D7444C" w:rsidRPr="00AB32DB"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AB32DB">
              <w:rPr>
                <w:sz w:val="16"/>
                <w:szCs w:val="16"/>
              </w:rPr>
              <w:t>2</w:t>
            </w:r>
            <w:r>
              <w:rPr>
                <w:sz w:val="16"/>
                <w:szCs w:val="16"/>
              </w:rPr>
              <w:t>,</w:t>
            </w:r>
            <w:r w:rsidRPr="00AB32DB">
              <w:rPr>
                <w:sz w:val="16"/>
                <w:szCs w:val="16"/>
              </w:rPr>
              <w:t>132</w:t>
            </w:r>
          </w:p>
        </w:tc>
        <w:tc>
          <w:tcPr>
            <w:tcW w:w="893" w:type="dxa"/>
            <w:noWrap/>
            <w:hideMark/>
          </w:tcPr>
          <w:p w14:paraId="40E29623" w14:textId="77777777" w:rsidR="00D7444C" w:rsidRPr="00AB32DB"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AB32DB">
              <w:rPr>
                <w:sz w:val="16"/>
                <w:szCs w:val="16"/>
              </w:rPr>
              <w:t>7.9</w:t>
            </w:r>
          </w:p>
        </w:tc>
        <w:tc>
          <w:tcPr>
            <w:tcW w:w="967" w:type="dxa"/>
            <w:hideMark/>
          </w:tcPr>
          <w:p w14:paraId="4FA683E5"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w:t>
            </w:r>
            <w:r>
              <w:rPr>
                <w:sz w:val="16"/>
                <w:szCs w:val="16"/>
              </w:rPr>
              <w:t>,</w:t>
            </w:r>
            <w:r w:rsidRPr="00EB2406">
              <w:rPr>
                <w:sz w:val="16"/>
                <w:szCs w:val="16"/>
              </w:rPr>
              <w:t>047</w:t>
            </w:r>
          </w:p>
        </w:tc>
        <w:tc>
          <w:tcPr>
            <w:tcW w:w="765" w:type="dxa"/>
            <w:hideMark/>
          </w:tcPr>
          <w:p w14:paraId="421ED776"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12.5</w:t>
            </w:r>
          </w:p>
        </w:tc>
        <w:tc>
          <w:tcPr>
            <w:tcW w:w="967" w:type="dxa"/>
            <w:hideMark/>
          </w:tcPr>
          <w:p w14:paraId="343C9998"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672</w:t>
            </w:r>
          </w:p>
        </w:tc>
        <w:tc>
          <w:tcPr>
            <w:tcW w:w="765" w:type="dxa"/>
            <w:hideMark/>
          </w:tcPr>
          <w:p w14:paraId="13DD19E3" w14:textId="77777777" w:rsidR="00D7444C" w:rsidRPr="00EB240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EB2406">
              <w:rPr>
                <w:sz w:val="16"/>
                <w:szCs w:val="16"/>
              </w:rPr>
              <w:t>8</w:t>
            </w:r>
          </w:p>
        </w:tc>
        <w:tc>
          <w:tcPr>
            <w:tcW w:w="1762" w:type="dxa"/>
          </w:tcPr>
          <w:p w14:paraId="2436DFC0" w14:textId="7250EDEA"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296CD01F"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60235A6" w14:textId="77777777" w:rsidR="00D7444C" w:rsidRPr="001963F3" w:rsidRDefault="00D7444C" w:rsidP="00D11E39">
            <w:pPr>
              <w:jc w:val="right"/>
              <w:rPr>
                <w:rFonts w:cs="Arial"/>
                <w:sz w:val="16"/>
                <w:szCs w:val="16"/>
              </w:rPr>
            </w:pPr>
            <w:r w:rsidRPr="001963F3">
              <w:rPr>
                <w:rFonts w:cs="Arial"/>
                <w:sz w:val="16"/>
                <w:szCs w:val="16"/>
              </w:rPr>
              <w:t>Unknown</w:t>
            </w:r>
          </w:p>
        </w:tc>
        <w:tc>
          <w:tcPr>
            <w:tcW w:w="1111" w:type="dxa"/>
            <w:noWrap/>
            <w:hideMark/>
          </w:tcPr>
          <w:p w14:paraId="4DD12733"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785</w:t>
            </w:r>
          </w:p>
        </w:tc>
        <w:tc>
          <w:tcPr>
            <w:tcW w:w="893" w:type="dxa"/>
            <w:noWrap/>
            <w:hideMark/>
          </w:tcPr>
          <w:p w14:paraId="6BD9C024"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2.9</w:t>
            </w:r>
          </w:p>
        </w:tc>
        <w:tc>
          <w:tcPr>
            <w:tcW w:w="967" w:type="dxa"/>
            <w:hideMark/>
          </w:tcPr>
          <w:p w14:paraId="1BAD2582"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0C6D">
              <w:rPr>
                <w:sz w:val="16"/>
                <w:szCs w:val="16"/>
              </w:rPr>
              <w:t>69</w:t>
            </w:r>
          </w:p>
        </w:tc>
        <w:tc>
          <w:tcPr>
            <w:tcW w:w="765" w:type="dxa"/>
            <w:hideMark/>
          </w:tcPr>
          <w:p w14:paraId="5C84AC97"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0C6D">
              <w:rPr>
                <w:sz w:val="16"/>
                <w:szCs w:val="16"/>
              </w:rPr>
              <w:t>0.8</w:t>
            </w:r>
          </w:p>
        </w:tc>
        <w:tc>
          <w:tcPr>
            <w:tcW w:w="967" w:type="dxa"/>
            <w:hideMark/>
          </w:tcPr>
          <w:p w14:paraId="68DDF7D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0C6D">
              <w:rPr>
                <w:sz w:val="16"/>
                <w:szCs w:val="16"/>
              </w:rPr>
              <w:t>69</w:t>
            </w:r>
          </w:p>
        </w:tc>
        <w:tc>
          <w:tcPr>
            <w:tcW w:w="765" w:type="dxa"/>
            <w:hideMark/>
          </w:tcPr>
          <w:p w14:paraId="2678FA66"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EF0C6D">
              <w:rPr>
                <w:sz w:val="16"/>
                <w:szCs w:val="16"/>
              </w:rPr>
              <w:t>0.8</w:t>
            </w:r>
          </w:p>
        </w:tc>
        <w:tc>
          <w:tcPr>
            <w:tcW w:w="1762" w:type="dxa"/>
          </w:tcPr>
          <w:p w14:paraId="0A2ADCFF"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F37ED3" w:rsidRPr="00F2712D" w14:paraId="17540A2D"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812" w:type="dxa"/>
            <w:gridSpan w:val="2"/>
            <w:noWrap/>
          </w:tcPr>
          <w:p w14:paraId="10FDFB65" w14:textId="76AC9D15" w:rsidR="00F37ED3" w:rsidRPr="00F2712D" w:rsidRDefault="00F37ED3" w:rsidP="00F37ED3">
            <w:pPr>
              <w:rPr>
                <w:rFonts w:cs="Arial"/>
                <w:sz w:val="16"/>
                <w:szCs w:val="16"/>
              </w:rPr>
            </w:pPr>
            <w:r>
              <w:rPr>
                <w:rFonts w:cs="Arial"/>
                <w:sz w:val="16"/>
                <w:szCs w:val="16"/>
              </w:rPr>
              <w:t>Income support history</w:t>
            </w:r>
          </w:p>
        </w:tc>
        <w:tc>
          <w:tcPr>
            <w:tcW w:w="893" w:type="dxa"/>
            <w:noWrap/>
          </w:tcPr>
          <w:p w14:paraId="7AA201F1" w14:textId="77777777" w:rsidR="00F37ED3"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tcPr>
          <w:p w14:paraId="343179DB" w14:textId="77777777" w:rsidR="00F37ED3" w:rsidRPr="00EF0C6D" w:rsidRDefault="00F37ED3"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765" w:type="dxa"/>
          </w:tcPr>
          <w:p w14:paraId="691C9169" w14:textId="77777777" w:rsidR="00F37ED3" w:rsidRPr="00EF0C6D" w:rsidRDefault="00F37ED3"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967" w:type="dxa"/>
          </w:tcPr>
          <w:p w14:paraId="08035498" w14:textId="77777777" w:rsidR="00F37ED3" w:rsidRPr="00EF0C6D" w:rsidRDefault="00F37ED3"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765" w:type="dxa"/>
          </w:tcPr>
          <w:p w14:paraId="02D110D5" w14:textId="77777777" w:rsidR="00F37ED3" w:rsidRPr="00EF0C6D" w:rsidRDefault="00F37ED3"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1762" w:type="dxa"/>
          </w:tcPr>
          <w:p w14:paraId="297F650A" w14:textId="77777777" w:rsidR="00F37ED3" w:rsidRPr="00F2712D"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6C8F3A65"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0E172D27" w14:textId="7C879BAC" w:rsidR="00D7444C" w:rsidRPr="00FA68B1" w:rsidRDefault="00D7444C" w:rsidP="00D11E39">
            <w:pPr>
              <w:jc w:val="right"/>
              <w:rPr>
                <w:rFonts w:cs="Arial"/>
                <w:b w:val="0"/>
                <w:sz w:val="16"/>
                <w:szCs w:val="16"/>
              </w:rPr>
            </w:pPr>
            <w:r>
              <w:rPr>
                <w:rFonts w:cs="Arial"/>
                <w:sz w:val="16"/>
                <w:szCs w:val="16"/>
              </w:rPr>
              <w:t xml:space="preserve">More than </w:t>
            </w:r>
            <w:r w:rsidR="001F2478">
              <w:rPr>
                <w:rFonts w:cs="Arial"/>
                <w:sz w:val="16"/>
                <w:szCs w:val="16"/>
              </w:rPr>
              <w:t>o</w:t>
            </w:r>
            <w:r>
              <w:rPr>
                <w:rFonts w:cs="Arial"/>
                <w:sz w:val="16"/>
                <w:szCs w:val="16"/>
              </w:rPr>
              <w:t>nce</w:t>
            </w:r>
          </w:p>
        </w:tc>
        <w:tc>
          <w:tcPr>
            <w:tcW w:w="1111" w:type="dxa"/>
            <w:noWrap/>
          </w:tcPr>
          <w:p w14:paraId="2A2BEB9D"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7E5533">
              <w:rPr>
                <w:sz w:val="16"/>
                <w:szCs w:val="16"/>
              </w:rPr>
              <w:t>4,714</w:t>
            </w:r>
          </w:p>
        </w:tc>
        <w:tc>
          <w:tcPr>
            <w:tcW w:w="893" w:type="dxa"/>
            <w:noWrap/>
          </w:tcPr>
          <w:p w14:paraId="71FAB395"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7E5533">
              <w:rPr>
                <w:sz w:val="16"/>
                <w:szCs w:val="16"/>
              </w:rPr>
              <w:t>17.6</w:t>
            </w:r>
          </w:p>
        </w:tc>
        <w:tc>
          <w:tcPr>
            <w:tcW w:w="967" w:type="dxa"/>
          </w:tcPr>
          <w:p w14:paraId="39C85B42"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7E5533">
              <w:rPr>
                <w:sz w:val="16"/>
                <w:szCs w:val="16"/>
              </w:rPr>
              <w:t>1</w:t>
            </w:r>
            <w:r>
              <w:rPr>
                <w:sz w:val="16"/>
                <w:szCs w:val="16"/>
              </w:rPr>
              <w:t>,</w:t>
            </w:r>
            <w:r w:rsidRPr="007E5533">
              <w:rPr>
                <w:sz w:val="16"/>
                <w:szCs w:val="16"/>
              </w:rPr>
              <w:t>859</w:t>
            </w:r>
          </w:p>
        </w:tc>
        <w:tc>
          <w:tcPr>
            <w:tcW w:w="765" w:type="dxa"/>
          </w:tcPr>
          <w:p w14:paraId="5661BDD4"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7E5533">
              <w:rPr>
                <w:sz w:val="16"/>
                <w:szCs w:val="16"/>
              </w:rPr>
              <w:t>22.2</w:t>
            </w:r>
          </w:p>
        </w:tc>
        <w:tc>
          <w:tcPr>
            <w:tcW w:w="967" w:type="dxa"/>
          </w:tcPr>
          <w:p w14:paraId="7EBC5976"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7E5533">
              <w:rPr>
                <w:sz w:val="16"/>
                <w:szCs w:val="16"/>
              </w:rPr>
              <w:t>1</w:t>
            </w:r>
            <w:r>
              <w:rPr>
                <w:sz w:val="16"/>
                <w:szCs w:val="16"/>
              </w:rPr>
              <w:t>,</w:t>
            </w:r>
            <w:r w:rsidRPr="007E5533">
              <w:rPr>
                <w:sz w:val="16"/>
                <w:szCs w:val="16"/>
              </w:rPr>
              <w:t>737</w:t>
            </w:r>
          </w:p>
        </w:tc>
        <w:tc>
          <w:tcPr>
            <w:tcW w:w="765" w:type="dxa"/>
          </w:tcPr>
          <w:p w14:paraId="1AC0EFD7"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7E5533">
              <w:rPr>
                <w:sz w:val="16"/>
                <w:szCs w:val="16"/>
              </w:rPr>
              <w:t>20.8</w:t>
            </w:r>
          </w:p>
        </w:tc>
        <w:tc>
          <w:tcPr>
            <w:tcW w:w="1762" w:type="dxa"/>
          </w:tcPr>
          <w:p w14:paraId="76BDDB33"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21846239"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4DC03318" w14:textId="77777777" w:rsidR="00D7444C" w:rsidRPr="001963F3" w:rsidRDefault="00D7444C" w:rsidP="00D11E39">
            <w:pPr>
              <w:jc w:val="right"/>
              <w:rPr>
                <w:rFonts w:cs="Arial"/>
                <w:sz w:val="16"/>
                <w:szCs w:val="16"/>
              </w:rPr>
            </w:pPr>
            <w:r>
              <w:rPr>
                <w:rFonts w:cs="Arial"/>
                <w:sz w:val="16"/>
                <w:szCs w:val="16"/>
              </w:rPr>
              <w:t>Others</w:t>
            </w:r>
          </w:p>
        </w:tc>
        <w:tc>
          <w:tcPr>
            <w:tcW w:w="1111" w:type="dxa"/>
            <w:noWrap/>
          </w:tcPr>
          <w:p w14:paraId="61750A0A" w14:textId="77777777" w:rsidR="00D7444C" w:rsidRPr="007E553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7E5533">
              <w:rPr>
                <w:sz w:val="16"/>
                <w:szCs w:val="16"/>
              </w:rPr>
              <w:t>21,323</w:t>
            </w:r>
          </w:p>
        </w:tc>
        <w:tc>
          <w:tcPr>
            <w:tcW w:w="893" w:type="dxa"/>
            <w:noWrap/>
          </w:tcPr>
          <w:p w14:paraId="620F182B" w14:textId="77777777" w:rsidR="00D7444C" w:rsidRPr="007E553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7E5533">
              <w:rPr>
                <w:sz w:val="16"/>
                <w:szCs w:val="16"/>
              </w:rPr>
              <w:t>79.5</w:t>
            </w:r>
          </w:p>
        </w:tc>
        <w:tc>
          <w:tcPr>
            <w:tcW w:w="967" w:type="dxa"/>
          </w:tcPr>
          <w:p w14:paraId="781F1118" w14:textId="77777777" w:rsidR="00D7444C" w:rsidRPr="007E5533"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r w:rsidRPr="007E5533">
              <w:rPr>
                <w:sz w:val="16"/>
                <w:szCs w:val="16"/>
              </w:rPr>
              <w:t>6</w:t>
            </w:r>
            <w:r>
              <w:rPr>
                <w:sz w:val="16"/>
                <w:szCs w:val="16"/>
              </w:rPr>
              <w:t>,</w:t>
            </w:r>
            <w:r w:rsidRPr="007E5533">
              <w:rPr>
                <w:sz w:val="16"/>
                <w:szCs w:val="16"/>
              </w:rPr>
              <w:t>433</w:t>
            </w:r>
          </w:p>
        </w:tc>
        <w:tc>
          <w:tcPr>
            <w:tcW w:w="765" w:type="dxa"/>
          </w:tcPr>
          <w:p w14:paraId="5ADFC000" w14:textId="77777777" w:rsidR="00D7444C" w:rsidRPr="007E5533"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r w:rsidRPr="007E5533">
              <w:rPr>
                <w:sz w:val="16"/>
                <w:szCs w:val="16"/>
              </w:rPr>
              <w:t>76.9</w:t>
            </w:r>
          </w:p>
        </w:tc>
        <w:tc>
          <w:tcPr>
            <w:tcW w:w="967" w:type="dxa"/>
          </w:tcPr>
          <w:p w14:paraId="54D5AA9F" w14:textId="77777777" w:rsidR="00D7444C" w:rsidRPr="007E5533"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r w:rsidRPr="007E5533">
              <w:rPr>
                <w:sz w:val="16"/>
                <w:szCs w:val="16"/>
              </w:rPr>
              <w:t>6</w:t>
            </w:r>
            <w:r>
              <w:rPr>
                <w:sz w:val="16"/>
                <w:szCs w:val="16"/>
              </w:rPr>
              <w:t>,</w:t>
            </w:r>
            <w:r w:rsidRPr="007E5533">
              <w:rPr>
                <w:sz w:val="16"/>
                <w:szCs w:val="16"/>
              </w:rPr>
              <w:t>555</w:t>
            </w:r>
          </w:p>
        </w:tc>
        <w:tc>
          <w:tcPr>
            <w:tcW w:w="765" w:type="dxa"/>
          </w:tcPr>
          <w:p w14:paraId="23FF81CF" w14:textId="77777777" w:rsidR="00D7444C" w:rsidRPr="007E5533"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r w:rsidRPr="007E5533">
              <w:rPr>
                <w:sz w:val="16"/>
                <w:szCs w:val="16"/>
              </w:rPr>
              <w:t>78.4</w:t>
            </w:r>
          </w:p>
        </w:tc>
        <w:tc>
          <w:tcPr>
            <w:tcW w:w="1762" w:type="dxa"/>
          </w:tcPr>
          <w:p w14:paraId="1C23B932"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5084E1C0"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6EB8DAE1" w14:textId="77777777" w:rsidR="00D7444C" w:rsidRPr="001963F3" w:rsidRDefault="00D7444C" w:rsidP="00D11E39">
            <w:pPr>
              <w:jc w:val="right"/>
              <w:rPr>
                <w:rFonts w:cs="Arial"/>
                <w:sz w:val="16"/>
                <w:szCs w:val="16"/>
              </w:rPr>
            </w:pPr>
            <w:r>
              <w:rPr>
                <w:rFonts w:cs="Arial"/>
                <w:sz w:val="16"/>
                <w:szCs w:val="16"/>
              </w:rPr>
              <w:t>Unknown</w:t>
            </w:r>
          </w:p>
        </w:tc>
        <w:tc>
          <w:tcPr>
            <w:tcW w:w="1111" w:type="dxa"/>
            <w:noWrap/>
          </w:tcPr>
          <w:p w14:paraId="44B1D017"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7E5533">
              <w:rPr>
                <w:sz w:val="16"/>
                <w:szCs w:val="16"/>
              </w:rPr>
              <w:t>785</w:t>
            </w:r>
          </w:p>
        </w:tc>
        <w:tc>
          <w:tcPr>
            <w:tcW w:w="893" w:type="dxa"/>
            <w:noWrap/>
          </w:tcPr>
          <w:p w14:paraId="7488E0FD"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7E5533">
              <w:rPr>
                <w:sz w:val="16"/>
                <w:szCs w:val="16"/>
              </w:rPr>
              <w:t>2.9</w:t>
            </w:r>
          </w:p>
        </w:tc>
        <w:tc>
          <w:tcPr>
            <w:tcW w:w="967" w:type="dxa"/>
          </w:tcPr>
          <w:p w14:paraId="422C338F"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7E5533">
              <w:rPr>
                <w:sz w:val="16"/>
                <w:szCs w:val="16"/>
              </w:rPr>
              <w:t>69</w:t>
            </w:r>
          </w:p>
        </w:tc>
        <w:tc>
          <w:tcPr>
            <w:tcW w:w="765" w:type="dxa"/>
          </w:tcPr>
          <w:p w14:paraId="34C2D349"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7E5533">
              <w:rPr>
                <w:sz w:val="16"/>
                <w:szCs w:val="16"/>
              </w:rPr>
              <w:t>0.8</w:t>
            </w:r>
          </w:p>
        </w:tc>
        <w:tc>
          <w:tcPr>
            <w:tcW w:w="967" w:type="dxa"/>
          </w:tcPr>
          <w:p w14:paraId="3130654C"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7E5533">
              <w:rPr>
                <w:sz w:val="16"/>
                <w:szCs w:val="16"/>
              </w:rPr>
              <w:t>69</w:t>
            </w:r>
          </w:p>
        </w:tc>
        <w:tc>
          <w:tcPr>
            <w:tcW w:w="765" w:type="dxa"/>
          </w:tcPr>
          <w:p w14:paraId="28AADCEB" w14:textId="77777777" w:rsidR="00D7444C" w:rsidRPr="007E5533"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7E5533">
              <w:rPr>
                <w:sz w:val="16"/>
                <w:szCs w:val="16"/>
              </w:rPr>
              <w:t>0.8</w:t>
            </w:r>
          </w:p>
        </w:tc>
        <w:tc>
          <w:tcPr>
            <w:tcW w:w="1762" w:type="dxa"/>
          </w:tcPr>
          <w:p w14:paraId="3DE9E1B6"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0AB038A0"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4D56C67" w14:textId="796C00A1" w:rsidR="00D7444C" w:rsidRPr="001963F3" w:rsidRDefault="00D7444C" w:rsidP="00D11E39">
            <w:pPr>
              <w:rPr>
                <w:rFonts w:cs="Arial"/>
                <w:b w:val="0"/>
                <w:bCs/>
                <w:sz w:val="16"/>
                <w:szCs w:val="16"/>
              </w:rPr>
            </w:pPr>
            <w:r w:rsidRPr="001963F3">
              <w:rPr>
                <w:rFonts w:cs="Arial"/>
                <w:bCs/>
                <w:sz w:val="16"/>
                <w:szCs w:val="16"/>
              </w:rPr>
              <w:t xml:space="preserve">TtW </w:t>
            </w:r>
            <w:r w:rsidR="001F2478">
              <w:rPr>
                <w:rFonts w:cs="Arial"/>
                <w:bCs/>
                <w:sz w:val="16"/>
                <w:szCs w:val="16"/>
              </w:rPr>
              <w:t>g</w:t>
            </w:r>
            <w:r w:rsidRPr="001963F3">
              <w:rPr>
                <w:rFonts w:cs="Arial"/>
                <w:bCs/>
                <w:sz w:val="16"/>
                <w:szCs w:val="16"/>
              </w:rPr>
              <w:t>roup</w:t>
            </w:r>
          </w:p>
        </w:tc>
        <w:tc>
          <w:tcPr>
            <w:tcW w:w="1111" w:type="dxa"/>
            <w:noWrap/>
            <w:hideMark/>
          </w:tcPr>
          <w:p w14:paraId="5AAC633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p>
        </w:tc>
        <w:tc>
          <w:tcPr>
            <w:tcW w:w="893" w:type="dxa"/>
            <w:noWrap/>
            <w:hideMark/>
          </w:tcPr>
          <w:p w14:paraId="2268015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tcPr>
          <w:p w14:paraId="0B091D56"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tcPr>
          <w:p w14:paraId="77B729D5"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tcPr>
          <w:p w14:paraId="48CCB60E"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tcPr>
          <w:p w14:paraId="707123A8"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3F71C570"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762EF5FE"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5790AEC" w14:textId="77777777" w:rsidR="00D7444C" w:rsidRPr="001963F3" w:rsidRDefault="00D7444C" w:rsidP="00D11E39">
            <w:pPr>
              <w:jc w:val="right"/>
              <w:rPr>
                <w:rFonts w:cs="Arial"/>
                <w:sz w:val="16"/>
                <w:szCs w:val="16"/>
              </w:rPr>
            </w:pPr>
            <w:r w:rsidRPr="001963F3">
              <w:rPr>
                <w:rFonts w:cs="Arial"/>
                <w:sz w:val="16"/>
                <w:szCs w:val="16"/>
              </w:rPr>
              <w:t>Group 1</w:t>
            </w:r>
          </w:p>
        </w:tc>
        <w:tc>
          <w:tcPr>
            <w:tcW w:w="1111" w:type="dxa"/>
            <w:noWrap/>
            <w:hideMark/>
          </w:tcPr>
          <w:p w14:paraId="2FA4CD70"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23</w:t>
            </w:r>
            <w:r>
              <w:rPr>
                <w:rFonts w:cs="Arial"/>
                <w:sz w:val="16"/>
                <w:szCs w:val="16"/>
              </w:rPr>
              <w:t>,</w:t>
            </w:r>
            <w:r w:rsidRPr="00F2712D">
              <w:rPr>
                <w:rFonts w:cs="Arial"/>
                <w:sz w:val="16"/>
                <w:szCs w:val="16"/>
              </w:rPr>
              <w:t>64</w:t>
            </w:r>
            <w:r>
              <w:rPr>
                <w:rFonts w:cs="Arial"/>
                <w:sz w:val="16"/>
                <w:szCs w:val="16"/>
              </w:rPr>
              <w:t>4</w:t>
            </w:r>
          </w:p>
        </w:tc>
        <w:tc>
          <w:tcPr>
            <w:tcW w:w="893" w:type="dxa"/>
            <w:noWrap/>
            <w:hideMark/>
          </w:tcPr>
          <w:p w14:paraId="606A0306"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88</w:t>
            </w:r>
            <w:r>
              <w:rPr>
                <w:rFonts w:cs="Arial"/>
                <w:sz w:val="16"/>
                <w:szCs w:val="16"/>
              </w:rPr>
              <w:t>.1</w:t>
            </w:r>
          </w:p>
        </w:tc>
        <w:tc>
          <w:tcPr>
            <w:tcW w:w="967" w:type="dxa"/>
            <w:hideMark/>
          </w:tcPr>
          <w:p w14:paraId="5E02E601"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7</w:t>
            </w:r>
            <w:r>
              <w:rPr>
                <w:sz w:val="16"/>
                <w:szCs w:val="16"/>
              </w:rPr>
              <w:t>,</w:t>
            </w:r>
            <w:r w:rsidRPr="00D337FF">
              <w:rPr>
                <w:sz w:val="16"/>
                <w:szCs w:val="16"/>
              </w:rPr>
              <w:t>758</w:t>
            </w:r>
          </w:p>
        </w:tc>
        <w:tc>
          <w:tcPr>
            <w:tcW w:w="765" w:type="dxa"/>
            <w:hideMark/>
          </w:tcPr>
          <w:p w14:paraId="303E92A0"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92.8</w:t>
            </w:r>
          </w:p>
        </w:tc>
        <w:tc>
          <w:tcPr>
            <w:tcW w:w="967" w:type="dxa"/>
            <w:hideMark/>
          </w:tcPr>
          <w:p w14:paraId="6B8BCAEE"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0</w:t>
            </w:r>
          </w:p>
        </w:tc>
        <w:tc>
          <w:tcPr>
            <w:tcW w:w="765" w:type="dxa"/>
            <w:hideMark/>
          </w:tcPr>
          <w:p w14:paraId="6CF4FF40"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0</w:t>
            </w:r>
          </w:p>
        </w:tc>
        <w:tc>
          <w:tcPr>
            <w:tcW w:w="1762" w:type="dxa"/>
          </w:tcPr>
          <w:p w14:paraId="0DF11E95"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45F34C99"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2A01680" w14:textId="77777777" w:rsidR="00D7444C" w:rsidRPr="001963F3" w:rsidRDefault="00D7444C" w:rsidP="00D11E39">
            <w:pPr>
              <w:jc w:val="right"/>
              <w:rPr>
                <w:rFonts w:cs="Arial"/>
                <w:sz w:val="16"/>
                <w:szCs w:val="16"/>
              </w:rPr>
            </w:pPr>
            <w:r w:rsidRPr="001963F3">
              <w:rPr>
                <w:rFonts w:cs="Arial"/>
                <w:sz w:val="16"/>
                <w:szCs w:val="16"/>
              </w:rPr>
              <w:t>Group 2</w:t>
            </w:r>
          </w:p>
        </w:tc>
        <w:tc>
          <w:tcPr>
            <w:tcW w:w="1111" w:type="dxa"/>
            <w:noWrap/>
            <w:hideMark/>
          </w:tcPr>
          <w:p w14:paraId="528BDE7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2</w:t>
            </w:r>
            <w:r>
              <w:rPr>
                <w:rFonts w:cs="Arial"/>
                <w:sz w:val="16"/>
                <w:szCs w:val="16"/>
              </w:rPr>
              <w:t>,</w:t>
            </w:r>
            <w:r w:rsidRPr="00F2712D">
              <w:rPr>
                <w:rFonts w:cs="Arial"/>
                <w:sz w:val="16"/>
                <w:szCs w:val="16"/>
              </w:rPr>
              <w:t>433</w:t>
            </w:r>
          </w:p>
        </w:tc>
        <w:tc>
          <w:tcPr>
            <w:tcW w:w="893" w:type="dxa"/>
            <w:noWrap/>
            <w:hideMark/>
          </w:tcPr>
          <w:p w14:paraId="5AE2CE14"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9</w:t>
            </w:r>
            <w:r>
              <w:rPr>
                <w:rFonts w:cs="Arial"/>
                <w:sz w:val="16"/>
                <w:szCs w:val="16"/>
              </w:rPr>
              <w:t>.1</w:t>
            </w:r>
          </w:p>
        </w:tc>
        <w:tc>
          <w:tcPr>
            <w:tcW w:w="967" w:type="dxa"/>
            <w:hideMark/>
          </w:tcPr>
          <w:p w14:paraId="4A08CB5A"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D337FF">
              <w:rPr>
                <w:sz w:val="16"/>
                <w:szCs w:val="16"/>
              </w:rPr>
              <w:t>198</w:t>
            </w:r>
          </w:p>
        </w:tc>
        <w:tc>
          <w:tcPr>
            <w:tcW w:w="765" w:type="dxa"/>
            <w:hideMark/>
          </w:tcPr>
          <w:p w14:paraId="4E6E1FB9"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D337FF">
              <w:rPr>
                <w:sz w:val="16"/>
                <w:szCs w:val="16"/>
              </w:rPr>
              <w:t>2.4</w:t>
            </w:r>
          </w:p>
        </w:tc>
        <w:tc>
          <w:tcPr>
            <w:tcW w:w="967" w:type="dxa"/>
            <w:hideMark/>
          </w:tcPr>
          <w:p w14:paraId="71C3E8DA"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0</w:t>
            </w:r>
          </w:p>
        </w:tc>
        <w:tc>
          <w:tcPr>
            <w:tcW w:w="765" w:type="dxa"/>
            <w:hideMark/>
          </w:tcPr>
          <w:p w14:paraId="03C8DB93"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0</w:t>
            </w:r>
          </w:p>
        </w:tc>
        <w:tc>
          <w:tcPr>
            <w:tcW w:w="1762" w:type="dxa"/>
          </w:tcPr>
          <w:p w14:paraId="4B9C4AE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04D7C34E"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1CE7601" w14:textId="77777777" w:rsidR="00D7444C" w:rsidRPr="001963F3" w:rsidRDefault="00D7444C" w:rsidP="00D11E39">
            <w:pPr>
              <w:jc w:val="right"/>
              <w:rPr>
                <w:rFonts w:cs="Arial"/>
                <w:sz w:val="16"/>
                <w:szCs w:val="16"/>
              </w:rPr>
            </w:pPr>
            <w:r w:rsidRPr="001963F3">
              <w:rPr>
                <w:rFonts w:cs="Arial"/>
                <w:sz w:val="16"/>
                <w:szCs w:val="16"/>
              </w:rPr>
              <w:t>Group 3</w:t>
            </w:r>
          </w:p>
        </w:tc>
        <w:tc>
          <w:tcPr>
            <w:tcW w:w="1111" w:type="dxa"/>
            <w:noWrap/>
            <w:hideMark/>
          </w:tcPr>
          <w:p w14:paraId="0891D7D6"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745</w:t>
            </w:r>
          </w:p>
        </w:tc>
        <w:tc>
          <w:tcPr>
            <w:tcW w:w="893" w:type="dxa"/>
            <w:noWrap/>
            <w:hideMark/>
          </w:tcPr>
          <w:p w14:paraId="5E11ED8E"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2.8</w:t>
            </w:r>
          </w:p>
        </w:tc>
        <w:tc>
          <w:tcPr>
            <w:tcW w:w="967" w:type="dxa"/>
            <w:hideMark/>
          </w:tcPr>
          <w:p w14:paraId="70D33EFE"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404</w:t>
            </w:r>
          </w:p>
        </w:tc>
        <w:tc>
          <w:tcPr>
            <w:tcW w:w="765" w:type="dxa"/>
            <w:hideMark/>
          </w:tcPr>
          <w:p w14:paraId="73249161"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4.8</w:t>
            </w:r>
          </w:p>
        </w:tc>
        <w:tc>
          <w:tcPr>
            <w:tcW w:w="967" w:type="dxa"/>
            <w:hideMark/>
          </w:tcPr>
          <w:p w14:paraId="5CEA20DC"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0</w:t>
            </w:r>
          </w:p>
        </w:tc>
        <w:tc>
          <w:tcPr>
            <w:tcW w:w="765" w:type="dxa"/>
            <w:hideMark/>
          </w:tcPr>
          <w:p w14:paraId="1CFB840C"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0</w:t>
            </w:r>
          </w:p>
        </w:tc>
        <w:tc>
          <w:tcPr>
            <w:tcW w:w="1762" w:type="dxa"/>
          </w:tcPr>
          <w:p w14:paraId="780577F4"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0B0680B4"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646C3DF5" w14:textId="77777777" w:rsidR="00D7444C" w:rsidRPr="001963F3" w:rsidRDefault="00D7444C" w:rsidP="00D11E39">
            <w:pPr>
              <w:rPr>
                <w:rFonts w:cs="Arial"/>
                <w:sz w:val="16"/>
                <w:szCs w:val="16"/>
              </w:rPr>
            </w:pPr>
            <w:r w:rsidRPr="00BD67E6">
              <w:rPr>
                <w:rFonts w:cstheme="minorHAnsi"/>
                <w:sz w:val="16"/>
                <w:szCs w:val="16"/>
              </w:rPr>
              <w:t>Locality type</w:t>
            </w:r>
          </w:p>
        </w:tc>
        <w:tc>
          <w:tcPr>
            <w:tcW w:w="1111" w:type="dxa"/>
            <w:noWrap/>
          </w:tcPr>
          <w:p w14:paraId="2791C9CE"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893" w:type="dxa"/>
            <w:noWrap/>
          </w:tcPr>
          <w:p w14:paraId="1EF7A999" w14:textId="77777777" w:rsidR="00D7444C"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tcPr>
          <w:p w14:paraId="1E320A2E"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765" w:type="dxa"/>
          </w:tcPr>
          <w:p w14:paraId="00BD5803"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967" w:type="dxa"/>
          </w:tcPr>
          <w:p w14:paraId="7AE621A2"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tcPr>
          <w:p w14:paraId="69A54D0B"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05899ADB"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3A65A92E"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13843543" w14:textId="3F61171A" w:rsidR="00D7444C" w:rsidRPr="001963F3" w:rsidRDefault="00D7444C" w:rsidP="00D11E39">
            <w:pPr>
              <w:jc w:val="right"/>
              <w:rPr>
                <w:rFonts w:cs="Arial"/>
                <w:sz w:val="16"/>
                <w:szCs w:val="16"/>
              </w:rPr>
            </w:pPr>
            <w:r w:rsidRPr="00BD67E6">
              <w:rPr>
                <w:rFonts w:cstheme="minorHAnsi"/>
                <w:bCs/>
                <w:sz w:val="16"/>
                <w:szCs w:val="16"/>
              </w:rPr>
              <w:t xml:space="preserve">Major </w:t>
            </w:r>
            <w:r w:rsidR="001F2478">
              <w:rPr>
                <w:rFonts w:cstheme="minorHAnsi"/>
                <w:bCs/>
                <w:sz w:val="16"/>
                <w:szCs w:val="16"/>
              </w:rPr>
              <w:t>C</w:t>
            </w:r>
            <w:r w:rsidRPr="00BD67E6">
              <w:rPr>
                <w:rFonts w:cstheme="minorHAnsi"/>
                <w:bCs/>
                <w:sz w:val="16"/>
                <w:szCs w:val="16"/>
              </w:rPr>
              <w:t>ity/Inner Regional</w:t>
            </w:r>
          </w:p>
        </w:tc>
        <w:tc>
          <w:tcPr>
            <w:tcW w:w="1111" w:type="dxa"/>
            <w:noWrap/>
          </w:tcPr>
          <w:p w14:paraId="51FC03D6"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B412A">
              <w:rPr>
                <w:sz w:val="16"/>
                <w:szCs w:val="16"/>
              </w:rPr>
              <w:t>22</w:t>
            </w:r>
            <w:r>
              <w:rPr>
                <w:sz w:val="16"/>
                <w:szCs w:val="16"/>
              </w:rPr>
              <w:t>,</w:t>
            </w:r>
            <w:r w:rsidRPr="008B412A">
              <w:rPr>
                <w:sz w:val="16"/>
                <w:szCs w:val="16"/>
              </w:rPr>
              <w:t>622</w:t>
            </w:r>
          </w:p>
        </w:tc>
        <w:tc>
          <w:tcPr>
            <w:tcW w:w="893" w:type="dxa"/>
            <w:noWrap/>
          </w:tcPr>
          <w:p w14:paraId="4C2C00EF"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B412A">
              <w:rPr>
                <w:sz w:val="16"/>
                <w:szCs w:val="16"/>
              </w:rPr>
              <w:t>84.3</w:t>
            </w:r>
          </w:p>
        </w:tc>
        <w:tc>
          <w:tcPr>
            <w:tcW w:w="967" w:type="dxa"/>
          </w:tcPr>
          <w:p w14:paraId="4F2CA2A5"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8B412A">
              <w:rPr>
                <w:sz w:val="16"/>
                <w:szCs w:val="16"/>
              </w:rPr>
              <w:t>6</w:t>
            </w:r>
            <w:r>
              <w:rPr>
                <w:sz w:val="16"/>
                <w:szCs w:val="16"/>
              </w:rPr>
              <w:t>,</w:t>
            </w:r>
            <w:r w:rsidRPr="008B412A">
              <w:rPr>
                <w:sz w:val="16"/>
                <w:szCs w:val="16"/>
              </w:rPr>
              <w:t>951</w:t>
            </w:r>
          </w:p>
        </w:tc>
        <w:tc>
          <w:tcPr>
            <w:tcW w:w="765" w:type="dxa"/>
          </w:tcPr>
          <w:p w14:paraId="7E687B44"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8B412A">
              <w:rPr>
                <w:sz w:val="16"/>
                <w:szCs w:val="16"/>
              </w:rPr>
              <w:t>83.1</w:t>
            </w:r>
          </w:p>
        </w:tc>
        <w:tc>
          <w:tcPr>
            <w:tcW w:w="967" w:type="dxa"/>
          </w:tcPr>
          <w:p w14:paraId="094DCC0E"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B412A">
              <w:rPr>
                <w:sz w:val="16"/>
                <w:szCs w:val="16"/>
              </w:rPr>
              <w:t>6</w:t>
            </w:r>
            <w:r>
              <w:rPr>
                <w:sz w:val="16"/>
                <w:szCs w:val="16"/>
              </w:rPr>
              <w:t>,</w:t>
            </w:r>
            <w:r w:rsidRPr="008B412A">
              <w:rPr>
                <w:sz w:val="16"/>
                <w:szCs w:val="16"/>
              </w:rPr>
              <w:t>908</w:t>
            </w:r>
          </w:p>
        </w:tc>
        <w:tc>
          <w:tcPr>
            <w:tcW w:w="765" w:type="dxa"/>
          </w:tcPr>
          <w:p w14:paraId="0899DB61"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B412A">
              <w:rPr>
                <w:sz w:val="16"/>
                <w:szCs w:val="16"/>
              </w:rPr>
              <w:t>82.6</w:t>
            </w:r>
          </w:p>
        </w:tc>
        <w:tc>
          <w:tcPr>
            <w:tcW w:w="1762" w:type="dxa"/>
          </w:tcPr>
          <w:p w14:paraId="1181C4C0"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473F3853"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691822B9" w14:textId="0AC0089B" w:rsidR="00D7444C" w:rsidRPr="001963F3" w:rsidRDefault="00D7444C" w:rsidP="00D11E39">
            <w:pPr>
              <w:jc w:val="right"/>
              <w:rPr>
                <w:rFonts w:cs="Arial"/>
                <w:sz w:val="16"/>
                <w:szCs w:val="16"/>
              </w:rPr>
            </w:pPr>
            <w:r w:rsidRPr="00BD67E6">
              <w:rPr>
                <w:rFonts w:cstheme="minorHAnsi"/>
                <w:bCs/>
                <w:sz w:val="16"/>
                <w:szCs w:val="16"/>
              </w:rPr>
              <w:t xml:space="preserve">Outer Regional/ Remote/Very </w:t>
            </w:r>
            <w:r w:rsidR="001F2478">
              <w:rPr>
                <w:rFonts w:cstheme="minorHAnsi"/>
                <w:bCs/>
                <w:sz w:val="16"/>
                <w:szCs w:val="16"/>
              </w:rPr>
              <w:t>R</w:t>
            </w:r>
            <w:r w:rsidRPr="00BD67E6">
              <w:rPr>
                <w:rFonts w:cstheme="minorHAnsi"/>
                <w:bCs/>
                <w:sz w:val="16"/>
                <w:szCs w:val="16"/>
              </w:rPr>
              <w:t>emote</w:t>
            </w:r>
          </w:p>
        </w:tc>
        <w:tc>
          <w:tcPr>
            <w:tcW w:w="1111" w:type="dxa"/>
            <w:noWrap/>
          </w:tcPr>
          <w:p w14:paraId="5DF90B51" w14:textId="77777777" w:rsidR="00D7444C" w:rsidRPr="008B412A"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8B412A">
              <w:rPr>
                <w:sz w:val="16"/>
                <w:szCs w:val="16"/>
              </w:rPr>
              <w:t>4</w:t>
            </w:r>
            <w:r>
              <w:rPr>
                <w:sz w:val="16"/>
                <w:szCs w:val="16"/>
              </w:rPr>
              <w:t>,</w:t>
            </w:r>
            <w:r w:rsidRPr="008B412A">
              <w:rPr>
                <w:sz w:val="16"/>
                <w:szCs w:val="16"/>
              </w:rPr>
              <w:t>128</w:t>
            </w:r>
          </w:p>
        </w:tc>
        <w:tc>
          <w:tcPr>
            <w:tcW w:w="893" w:type="dxa"/>
            <w:noWrap/>
          </w:tcPr>
          <w:p w14:paraId="363402C9" w14:textId="77777777" w:rsidR="00D7444C" w:rsidRPr="008B412A"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8B412A">
              <w:rPr>
                <w:sz w:val="16"/>
                <w:szCs w:val="16"/>
              </w:rPr>
              <w:t>15.4</w:t>
            </w:r>
          </w:p>
        </w:tc>
        <w:tc>
          <w:tcPr>
            <w:tcW w:w="967" w:type="dxa"/>
          </w:tcPr>
          <w:p w14:paraId="045BA321" w14:textId="77777777" w:rsidR="00D7444C" w:rsidRPr="008B412A"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r w:rsidRPr="008B412A">
              <w:rPr>
                <w:sz w:val="16"/>
                <w:szCs w:val="16"/>
              </w:rPr>
              <w:t>1</w:t>
            </w:r>
            <w:r>
              <w:rPr>
                <w:sz w:val="16"/>
                <w:szCs w:val="16"/>
              </w:rPr>
              <w:t>,</w:t>
            </w:r>
            <w:r w:rsidRPr="008B412A">
              <w:rPr>
                <w:sz w:val="16"/>
                <w:szCs w:val="16"/>
              </w:rPr>
              <w:t>389</w:t>
            </w:r>
          </w:p>
        </w:tc>
        <w:tc>
          <w:tcPr>
            <w:tcW w:w="765" w:type="dxa"/>
          </w:tcPr>
          <w:p w14:paraId="4A8DCEC0" w14:textId="77777777" w:rsidR="00D7444C" w:rsidRPr="008B412A"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r w:rsidRPr="008B412A">
              <w:rPr>
                <w:sz w:val="16"/>
                <w:szCs w:val="16"/>
              </w:rPr>
              <w:t>16.6</w:t>
            </w:r>
          </w:p>
        </w:tc>
        <w:tc>
          <w:tcPr>
            <w:tcW w:w="967" w:type="dxa"/>
          </w:tcPr>
          <w:p w14:paraId="3D418A92" w14:textId="77777777" w:rsidR="00D7444C" w:rsidRPr="008B412A"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8B412A">
              <w:rPr>
                <w:sz w:val="16"/>
                <w:szCs w:val="16"/>
              </w:rPr>
              <w:t>1</w:t>
            </w:r>
            <w:r>
              <w:rPr>
                <w:sz w:val="16"/>
                <w:szCs w:val="16"/>
              </w:rPr>
              <w:t>,</w:t>
            </w:r>
            <w:r w:rsidRPr="008B412A">
              <w:rPr>
                <w:sz w:val="16"/>
                <w:szCs w:val="16"/>
              </w:rPr>
              <w:t>433</w:t>
            </w:r>
          </w:p>
        </w:tc>
        <w:tc>
          <w:tcPr>
            <w:tcW w:w="765" w:type="dxa"/>
          </w:tcPr>
          <w:p w14:paraId="166DCF52" w14:textId="77777777" w:rsidR="00D7444C" w:rsidRPr="008B412A"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8B412A">
              <w:rPr>
                <w:sz w:val="16"/>
                <w:szCs w:val="16"/>
              </w:rPr>
              <w:t>17.1</w:t>
            </w:r>
          </w:p>
        </w:tc>
        <w:tc>
          <w:tcPr>
            <w:tcW w:w="1762" w:type="dxa"/>
          </w:tcPr>
          <w:p w14:paraId="0DB72CD2"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75497839"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5F609F4B" w14:textId="77777777" w:rsidR="00D7444C" w:rsidRPr="001963F3" w:rsidRDefault="00D7444C" w:rsidP="00D11E39">
            <w:pPr>
              <w:jc w:val="right"/>
              <w:rPr>
                <w:rFonts w:cs="Arial"/>
                <w:sz w:val="16"/>
                <w:szCs w:val="16"/>
              </w:rPr>
            </w:pPr>
            <w:r>
              <w:rPr>
                <w:rFonts w:cstheme="minorHAnsi"/>
                <w:bCs/>
                <w:sz w:val="16"/>
                <w:szCs w:val="16"/>
              </w:rPr>
              <w:t>Unknown</w:t>
            </w:r>
          </w:p>
        </w:tc>
        <w:tc>
          <w:tcPr>
            <w:tcW w:w="1111" w:type="dxa"/>
            <w:noWrap/>
          </w:tcPr>
          <w:p w14:paraId="18CBE39B"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B412A">
              <w:rPr>
                <w:sz w:val="16"/>
                <w:szCs w:val="16"/>
              </w:rPr>
              <w:t>72</w:t>
            </w:r>
          </w:p>
        </w:tc>
        <w:tc>
          <w:tcPr>
            <w:tcW w:w="893" w:type="dxa"/>
            <w:noWrap/>
          </w:tcPr>
          <w:p w14:paraId="60E75F3D"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B412A">
              <w:rPr>
                <w:sz w:val="16"/>
                <w:szCs w:val="16"/>
              </w:rPr>
              <w:t>0.3</w:t>
            </w:r>
          </w:p>
        </w:tc>
        <w:tc>
          <w:tcPr>
            <w:tcW w:w="967" w:type="dxa"/>
          </w:tcPr>
          <w:p w14:paraId="273D8E43"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8B412A">
              <w:rPr>
                <w:sz w:val="16"/>
                <w:szCs w:val="16"/>
              </w:rPr>
              <w:t>21</w:t>
            </w:r>
          </w:p>
        </w:tc>
        <w:tc>
          <w:tcPr>
            <w:tcW w:w="765" w:type="dxa"/>
          </w:tcPr>
          <w:p w14:paraId="7F8777C7"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8B412A">
              <w:rPr>
                <w:sz w:val="16"/>
                <w:szCs w:val="16"/>
              </w:rPr>
              <w:t>0.3</w:t>
            </w:r>
          </w:p>
        </w:tc>
        <w:tc>
          <w:tcPr>
            <w:tcW w:w="967" w:type="dxa"/>
          </w:tcPr>
          <w:p w14:paraId="0B0B0C86"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B412A">
              <w:rPr>
                <w:sz w:val="16"/>
                <w:szCs w:val="16"/>
              </w:rPr>
              <w:t>20</w:t>
            </w:r>
          </w:p>
        </w:tc>
        <w:tc>
          <w:tcPr>
            <w:tcW w:w="765" w:type="dxa"/>
          </w:tcPr>
          <w:p w14:paraId="41EC34A4" w14:textId="77777777" w:rsidR="00D7444C" w:rsidRPr="008B412A"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B412A">
              <w:rPr>
                <w:sz w:val="16"/>
                <w:szCs w:val="16"/>
              </w:rPr>
              <w:t>0.2</w:t>
            </w:r>
          </w:p>
        </w:tc>
        <w:tc>
          <w:tcPr>
            <w:tcW w:w="1762" w:type="dxa"/>
          </w:tcPr>
          <w:p w14:paraId="1DAC47C1"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7F181533"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3705" w:type="dxa"/>
            <w:gridSpan w:val="3"/>
            <w:noWrap/>
          </w:tcPr>
          <w:p w14:paraId="1E961CFE" w14:textId="0416D2B7" w:rsidR="00D7444C" w:rsidRDefault="00D7444C" w:rsidP="00D11E39">
            <w:pPr>
              <w:rPr>
                <w:rFonts w:cs="Arial"/>
                <w:sz w:val="16"/>
                <w:szCs w:val="16"/>
              </w:rPr>
            </w:pPr>
            <w:r w:rsidRPr="001963F3">
              <w:rPr>
                <w:rFonts w:cs="Arial"/>
                <w:bCs/>
                <w:sz w:val="16"/>
                <w:szCs w:val="16"/>
              </w:rPr>
              <w:t xml:space="preserve">Income </w:t>
            </w:r>
            <w:r w:rsidR="006F579D">
              <w:rPr>
                <w:rFonts w:cs="Arial"/>
                <w:bCs/>
                <w:sz w:val="16"/>
                <w:szCs w:val="16"/>
              </w:rPr>
              <w:t>s</w:t>
            </w:r>
            <w:r w:rsidRPr="001963F3">
              <w:rPr>
                <w:rFonts w:cs="Arial"/>
                <w:bCs/>
                <w:sz w:val="16"/>
                <w:szCs w:val="16"/>
              </w:rPr>
              <w:t>upport rate at commencement</w:t>
            </w:r>
          </w:p>
        </w:tc>
        <w:tc>
          <w:tcPr>
            <w:tcW w:w="967" w:type="dxa"/>
          </w:tcPr>
          <w:p w14:paraId="7FE30088" w14:textId="77777777" w:rsidR="00D7444C" w:rsidRPr="00F760B3" w:rsidRDefault="00D7444C" w:rsidP="00D11E39">
            <w:pPr>
              <w:jc w:val="right"/>
              <w:cnfStyle w:val="000000010000" w:firstRow="0" w:lastRow="0" w:firstColumn="0" w:lastColumn="0" w:oddVBand="0" w:evenVBand="0" w:oddHBand="0" w:evenHBand="1" w:firstRowFirstColumn="0" w:firstRowLastColumn="0" w:lastRowFirstColumn="0" w:lastRowLastColumn="0"/>
            </w:pPr>
          </w:p>
        </w:tc>
        <w:tc>
          <w:tcPr>
            <w:tcW w:w="765" w:type="dxa"/>
          </w:tcPr>
          <w:p w14:paraId="42984D74" w14:textId="77777777" w:rsidR="00D7444C" w:rsidRPr="00F760B3" w:rsidRDefault="00D7444C" w:rsidP="00D11E39">
            <w:pPr>
              <w:jc w:val="right"/>
              <w:cnfStyle w:val="000000010000" w:firstRow="0" w:lastRow="0" w:firstColumn="0" w:lastColumn="0" w:oddVBand="0" w:evenVBand="0" w:oddHBand="0" w:evenHBand="1" w:firstRowFirstColumn="0" w:firstRowLastColumn="0" w:lastRowFirstColumn="0" w:lastRowLastColumn="0"/>
            </w:pPr>
          </w:p>
        </w:tc>
        <w:tc>
          <w:tcPr>
            <w:tcW w:w="967" w:type="dxa"/>
          </w:tcPr>
          <w:p w14:paraId="67E03248"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tcPr>
          <w:p w14:paraId="1EF5D783"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585990E2"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0CB45A80"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59F24355" w14:textId="77777777" w:rsidR="00D7444C" w:rsidRPr="001963F3" w:rsidRDefault="00D7444C" w:rsidP="00D11E39">
            <w:pPr>
              <w:jc w:val="right"/>
              <w:rPr>
                <w:rFonts w:cs="Arial"/>
                <w:sz w:val="16"/>
                <w:szCs w:val="16"/>
              </w:rPr>
            </w:pPr>
            <w:r w:rsidRPr="001963F3">
              <w:rPr>
                <w:rFonts w:cs="Arial"/>
                <w:bCs/>
                <w:sz w:val="16"/>
                <w:szCs w:val="16"/>
              </w:rPr>
              <w:lastRenderedPageBreak/>
              <w:t>Full</w:t>
            </w:r>
          </w:p>
        </w:tc>
        <w:tc>
          <w:tcPr>
            <w:tcW w:w="1111" w:type="dxa"/>
            <w:noWrap/>
          </w:tcPr>
          <w:p w14:paraId="3E0DECD2"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17</w:t>
            </w:r>
            <w:r>
              <w:rPr>
                <w:sz w:val="16"/>
                <w:szCs w:val="16"/>
              </w:rPr>
              <w:t>,</w:t>
            </w:r>
            <w:r w:rsidRPr="00D337FF">
              <w:rPr>
                <w:sz w:val="16"/>
                <w:szCs w:val="16"/>
              </w:rPr>
              <w:t>544</w:t>
            </w:r>
          </w:p>
        </w:tc>
        <w:tc>
          <w:tcPr>
            <w:tcW w:w="893" w:type="dxa"/>
            <w:noWrap/>
          </w:tcPr>
          <w:p w14:paraId="3742FF11"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65.4</w:t>
            </w:r>
          </w:p>
        </w:tc>
        <w:tc>
          <w:tcPr>
            <w:tcW w:w="967" w:type="dxa"/>
          </w:tcPr>
          <w:p w14:paraId="204013A8"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D337FF">
              <w:rPr>
                <w:sz w:val="16"/>
                <w:szCs w:val="16"/>
              </w:rPr>
              <w:t>7</w:t>
            </w:r>
            <w:r>
              <w:rPr>
                <w:sz w:val="16"/>
                <w:szCs w:val="16"/>
              </w:rPr>
              <w:t>,</w:t>
            </w:r>
            <w:r w:rsidRPr="00D337FF">
              <w:rPr>
                <w:sz w:val="16"/>
                <w:szCs w:val="16"/>
              </w:rPr>
              <w:t>045</w:t>
            </w:r>
          </w:p>
        </w:tc>
        <w:tc>
          <w:tcPr>
            <w:tcW w:w="765" w:type="dxa"/>
          </w:tcPr>
          <w:p w14:paraId="553EDDC2"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D337FF">
              <w:rPr>
                <w:sz w:val="16"/>
                <w:szCs w:val="16"/>
              </w:rPr>
              <w:t>84.3</w:t>
            </w:r>
          </w:p>
        </w:tc>
        <w:tc>
          <w:tcPr>
            <w:tcW w:w="967" w:type="dxa"/>
          </w:tcPr>
          <w:p w14:paraId="67CE517D"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7</w:t>
            </w:r>
            <w:r>
              <w:rPr>
                <w:sz w:val="16"/>
                <w:szCs w:val="16"/>
              </w:rPr>
              <w:t>,</w:t>
            </w:r>
            <w:r w:rsidRPr="00D337FF">
              <w:rPr>
                <w:sz w:val="16"/>
                <w:szCs w:val="16"/>
              </w:rPr>
              <w:t>201</w:t>
            </w:r>
          </w:p>
        </w:tc>
        <w:tc>
          <w:tcPr>
            <w:tcW w:w="765" w:type="dxa"/>
          </w:tcPr>
          <w:p w14:paraId="71190578"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86.1</w:t>
            </w:r>
          </w:p>
        </w:tc>
        <w:tc>
          <w:tcPr>
            <w:tcW w:w="1762" w:type="dxa"/>
          </w:tcPr>
          <w:p w14:paraId="67F3BD5C"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342D1EC8"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7E009F70" w14:textId="77777777" w:rsidR="00D7444C" w:rsidRPr="001963F3" w:rsidRDefault="00D7444C" w:rsidP="00D11E39">
            <w:pPr>
              <w:jc w:val="right"/>
              <w:rPr>
                <w:rFonts w:cs="Arial"/>
                <w:sz w:val="16"/>
                <w:szCs w:val="16"/>
              </w:rPr>
            </w:pPr>
            <w:r w:rsidRPr="001963F3">
              <w:rPr>
                <w:rFonts w:cs="Arial"/>
                <w:bCs/>
                <w:sz w:val="16"/>
                <w:szCs w:val="16"/>
              </w:rPr>
              <w:t>Part</w:t>
            </w:r>
          </w:p>
        </w:tc>
        <w:tc>
          <w:tcPr>
            <w:tcW w:w="1111" w:type="dxa"/>
            <w:noWrap/>
          </w:tcPr>
          <w:p w14:paraId="78F17BB4"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D337FF">
              <w:rPr>
                <w:sz w:val="16"/>
                <w:szCs w:val="16"/>
              </w:rPr>
              <w:t>2</w:t>
            </w:r>
            <w:r>
              <w:rPr>
                <w:sz w:val="16"/>
                <w:szCs w:val="16"/>
              </w:rPr>
              <w:t>,</w:t>
            </w:r>
            <w:r w:rsidRPr="00D337FF">
              <w:rPr>
                <w:sz w:val="16"/>
                <w:szCs w:val="16"/>
              </w:rPr>
              <w:t>923</w:t>
            </w:r>
          </w:p>
        </w:tc>
        <w:tc>
          <w:tcPr>
            <w:tcW w:w="893" w:type="dxa"/>
            <w:noWrap/>
          </w:tcPr>
          <w:p w14:paraId="63239782"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D337FF">
              <w:rPr>
                <w:sz w:val="16"/>
                <w:szCs w:val="16"/>
              </w:rPr>
              <w:t>10.9</w:t>
            </w:r>
          </w:p>
        </w:tc>
        <w:tc>
          <w:tcPr>
            <w:tcW w:w="967" w:type="dxa"/>
          </w:tcPr>
          <w:p w14:paraId="67783E73"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r w:rsidRPr="00D337FF">
              <w:rPr>
                <w:sz w:val="16"/>
                <w:szCs w:val="16"/>
              </w:rPr>
              <w:t>1</w:t>
            </w:r>
            <w:r>
              <w:rPr>
                <w:sz w:val="16"/>
                <w:szCs w:val="16"/>
              </w:rPr>
              <w:t>,</w:t>
            </w:r>
            <w:r w:rsidRPr="00D337FF">
              <w:rPr>
                <w:sz w:val="16"/>
                <w:szCs w:val="16"/>
              </w:rPr>
              <w:t>135</w:t>
            </w:r>
          </w:p>
        </w:tc>
        <w:tc>
          <w:tcPr>
            <w:tcW w:w="765" w:type="dxa"/>
          </w:tcPr>
          <w:p w14:paraId="0B00B505"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r w:rsidRPr="00D337FF">
              <w:rPr>
                <w:sz w:val="16"/>
                <w:szCs w:val="16"/>
              </w:rPr>
              <w:t>13.6</w:t>
            </w:r>
          </w:p>
        </w:tc>
        <w:tc>
          <w:tcPr>
            <w:tcW w:w="967" w:type="dxa"/>
          </w:tcPr>
          <w:p w14:paraId="352D423B"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D337FF">
              <w:rPr>
                <w:sz w:val="16"/>
                <w:szCs w:val="16"/>
              </w:rPr>
              <w:t>1</w:t>
            </w:r>
            <w:r>
              <w:rPr>
                <w:sz w:val="16"/>
                <w:szCs w:val="16"/>
              </w:rPr>
              <w:t>,</w:t>
            </w:r>
            <w:r w:rsidRPr="00D337FF">
              <w:rPr>
                <w:sz w:val="16"/>
                <w:szCs w:val="16"/>
              </w:rPr>
              <w:t>000</w:t>
            </w:r>
          </w:p>
        </w:tc>
        <w:tc>
          <w:tcPr>
            <w:tcW w:w="765" w:type="dxa"/>
          </w:tcPr>
          <w:p w14:paraId="24529ADE" w14:textId="77777777" w:rsidR="00D7444C" w:rsidRPr="00D337FF"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D337FF">
              <w:rPr>
                <w:sz w:val="16"/>
                <w:szCs w:val="16"/>
              </w:rPr>
              <w:t>12</w:t>
            </w:r>
          </w:p>
        </w:tc>
        <w:tc>
          <w:tcPr>
            <w:tcW w:w="1762" w:type="dxa"/>
          </w:tcPr>
          <w:p w14:paraId="100BEA6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6C24040A"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4202A790" w14:textId="77777777" w:rsidR="00D7444C" w:rsidRPr="001963F3" w:rsidRDefault="00D7444C" w:rsidP="00D11E39">
            <w:pPr>
              <w:jc w:val="right"/>
              <w:rPr>
                <w:rFonts w:cs="Arial"/>
                <w:sz w:val="16"/>
                <w:szCs w:val="16"/>
              </w:rPr>
            </w:pPr>
            <w:r w:rsidRPr="001963F3">
              <w:rPr>
                <w:rFonts w:cs="Arial"/>
                <w:sz w:val="16"/>
                <w:szCs w:val="16"/>
              </w:rPr>
              <w:t>Nil</w:t>
            </w:r>
          </w:p>
        </w:tc>
        <w:tc>
          <w:tcPr>
            <w:tcW w:w="1111" w:type="dxa"/>
            <w:noWrap/>
          </w:tcPr>
          <w:p w14:paraId="7AE30F08"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6</w:t>
            </w:r>
            <w:r>
              <w:rPr>
                <w:sz w:val="16"/>
                <w:szCs w:val="16"/>
              </w:rPr>
              <w:t>,</w:t>
            </w:r>
            <w:r w:rsidRPr="00D337FF">
              <w:rPr>
                <w:sz w:val="16"/>
                <w:szCs w:val="16"/>
              </w:rPr>
              <w:t>355</w:t>
            </w:r>
          </w:p>
        </w:tc>
        <w:tc>
          <w:tcPr>
            <w:tcW w:w="893" w:type="dxa"/>
            <w:noWrap/>
          </w:tcPr>
          <w:p w14:paraId="73C4B04C"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23.7</w:t>
            </w:r>
          </w:p>
        </w:tc>
        <w:tc>
          <w:tcPr>
            <w:tcW w:w="967" w:type="dxa"/>
          </w:tcPr>
          <w:p w14:paraId="5BAC4054"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D337FF">
              <w:rPr>
                <w:sz w:val="16"/>
                <w:szCs w:val="16"/>
              </w:rPr>
              <w:t>181</w:t>
            </w:r>
          </w:p>
        </w:tc>
        <w:tc>
          <w:tcPr>
            <w:tcW w:w="765" w:type="dxa"/>
          </w:tcPr>
          <w:p w14:paraId="7A2CC5EE"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r w:rsidRPr="00D337FF">
              <w:rPr>
                <w:sz w:val="16"/>
                <w:szCs w:val="16"/>
              </w:rPr>
              <w:t>2.2</w:t>
            </w:r>
          </w:p>
        </w:tc>
        <w:tc>
          <w:tcPr>
            <w:tcW w:w="967" w:type="dxa"/>
          </w:tcPr>
          <w:p w14:paraId="22B23F7D"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160</w:t>
            </w:r>
          </w:p>
        </w:tc>
        <w:tc>
          <w:tcPr>
            <w:tcW w:w="765" w:type="dxa"/>
          </w:tcPr>
          <w:p w14:paraId="2B3A53FC" w14:textId="77777777" w:rsidR="00D7444C" w:rsidRPr="00D337FF"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D337FF">
              <w:rPr>
                <w:sz w:val="16"/>
                <w:szCs w:val="16"/>
              </w:rPr>
              <w:t>1.9</w:t>
            </w:r>
          </w:p>
        </w:tc>
        <w:tc>
          <w:tcPr>
            <w:tcW w:w="1762" w:type="dxa"/>
          </w:tcPr>
          <w:p w14:paraId="77B4BF83"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40EB08CD"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4672" w:type="dxa"/>
            <w:gridSpan w:val="4"/>
            <w:noWrap/>
            <w:hideMark/>
          </w:tcPr>
          <w:p w14:paraId="3CBBF2C9" w14:textId="7A9E76FE" w:rsidR="00D7444C" w:rsidRPr="001963F3" w:rsidRDefault="00D7444C" w:rsidP="00D11E39">
            <w:pPr>
              <w:rPr>
                <w:rFonts w:cs="Arial"/>
                <w:b w:val="0"/>
                <w:bCs/>
                <w:sz w:val="16"/>
                <w:szCs w:val="16"/>
              </w:rPr>
            </w:pPr>
            <w:r w:rsidRPr="001963F3">
              <w:rPr>
                <w:rFonts w:cs="Arial"/>
                <w:bCs/>
                <w:sz w:val="16"/>
                <w:szCs w:val="16"/>
              </w:rPr>
              <w:t xml:space="preserve">Period of </w:t>
            </w:r>
            <w:r w:rsidR="006F579D">
              <w:rPr>
                <w:rFonts w:cs="Arial"/>
                <w:bCs/>
                <w:sz w:val="16"/>
                <w:szCs w:val="16"/>
              </w:rPr>
              <w:t>s</w:t>
            </w:r>
            <w:r w:rsidRPr="001963F3">
              <w:rPr>
                <w:rFonts w:cs="Arial"/>
                <w:bCs/>
                <w:sz w:val="16"/>
                <w:szCs w:val="16"/>
              </w:rPr>
              <w:t>ervice in program</w:t>
            </w:r>
          </w:p>
        </w:tc>
        <w:tc>
          <w:tcPr>
            <w:tcW w:w="765" w:type="dxa"/>
            <w:hideMark/>
          </w:tcPr>
          <w:p w14:paraId="115DEC4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hideMark/>
          </w:tcPr>
          <w:p w14:paraId="5B3F134C"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765" w:type="dxa"/>
            <w:hideMark/>
          </w:tcPr>
          <w:p w14:paraId="1DD435D6"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1762" w:type="dxa"/>
          </w:tcPr>
          <w:p w14:paraId="71220371"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36B00860" w14:textId="77777777" w:rsidTr="0004663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3BD78F7" w14:textId="5B169836" w:rsidR="00D7444C" w:rsidRPr="001963F3" w:rsidRDefault="00D7444C" w:rsidP="00D11E39">
            <w:pPr>
              <w:jc w:val="right"/>
              <w:rPr>
                <w:rFonts w:cs="Arial"/>
                <w:sz w:val="16"/>
                <w:szCs w:val="16"/>
              </w:rPr>
            </w:pPr>
            <w:r w:rsidRPr="001963F3">
              <w:rPr>
                <w:rFonts w:cs="Arial"/>
                <w:sz w:val="16"/>
                <w:szCs w:val="16"/>
              </w:rPr>
              <w:t xml:space="preserve">28 </w:t>
            </w:r>
            <w:r w:rsidR="006F579D">
              <w:rPr>
                <w:rFonts w:cs="Arial"/>
                <w:sz w:val="16"/>
                <w:szCs w:val="16"/>
              </w:rPr>
              <w:t>d</w:t>
            </w:r>
            <w:r w:rsidRPr="001963F3">
              <w:rPr>
                <w:rFonts w:cs="Arial"/>
                <w:sz w:val="16"/>
                <w:szCs w:val="16"/>
              </w:rPr>
              <w:t>ays</w:t>
            </w:r>
            <w:r w:rsidR="001F2478">
              <w:rPr>
                <w:rFonts w:cs="Arial"/>
                <w:sz w:val="16"/>
                <w:szCs w:val="16"/>
              </w:rPr>
              <w:t xml:space="preserve"> – </w:t>
            </w:r>
            <w:r w:rsidRPr="001963F3">
              <w:rPr>
                <w:rFonts w:cs="Arial"/>
                <w:sz w:val="16"/>
                <w:szCs w:val="16"/>
              </w:rPr>
              <w:t>6 months</w:t>
            </w:r>
          </w:p>
        </w:tc>
        <w:tc>
          <w:tcPr>
            <w:tcW w:w="1111" w:type="dxa"/>
            <w:noWrap/>
          </w:tcPr>
          <w:p w14:paraId="66D6630F" w14:textId="77777777" w:rsidR="00D7444C" w:rsidRPr="001963F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893" w:type="dxa"/>
            <w:noWrap/>
          </w:tcPr>
          <w:p w14:paraId="49A333A7"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hideMark/>
          </w:tcPr>
          <w:p w14:paraId="15017B84"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3</w:t>
            </w:r>
            <w:r>
              <w:rPr>
                <w:rFonts w:cs="Arial"/>
                <w:sz w:val="16"/>
                <w:szCs w:val="16"/>
              </w:rPr>
              <w:t>,</w:t>
            </w:r>
            <w:r w:rsidRPr="00F2712D">
              <w:rPr>
                <w:rFonts w:cs="Arial"/>
                <w:sz w:val="16"/>
                <w:szCs w:val="16"/>
              </w:rPr>
              <w:t>678</w:t>
            </w:r>
          </w:p>
        </w:tc>
        <w:tc>
          <w:tcPr>
            <w:tcW w:w="765" w:type="dxa"/>
            <w:hideMark/>
          </w:tcPr>
          <w:p w14:paraId="74EC355E"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44</w:t>
            </w:r>
            <w:r>
              <w:rPr>
                <w:sz w:val="16"/>
                <w:szCs w:val="16"/>
              </w:rPr>
              <w:t>.0</w:t>
            </w:r>
          </w:p>
        </w:tc>
        <w:tc>
          <w:tcPr>
            <w:tcW w:w="967" w:type="dxa"/>
            <w:hideMark/>
          </w:tcPr>
          <w:p w14:paraId="24C83CC1"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3</w:t>
            </w:r>
            <w:r>
              <w:rPr>
                <w:sz w:val="16"/>
                <w:szCs w:val="16"/>
              </w:rPr>
              <w:t>,</w:t>
            </w:r>
            <w:r w:rsidRPr="00171257">
              <w:rPr>
                <w:sz w:val="16"/>
                <w:szCs w:val="16"/>
              </w:rPr>
              <w:t>800</w:t>
            </w:r>
          </w:p>
        </w:tc>
        <w:tc>
          <w:tcPr>
            <w:tcW w:w="765" w:type="dxa"/>
            <w:hideMark/>
          </w:tcPr>
          <w:p w14:paraId="30CF7747"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45.4</w:t>
            </w:r>
          </w:p>
        </w:tc>
        <w:tc>
          <w:tcPr>
            <w:tcW w:w="1762" w:type="dxa"/>
          </w:tcPr>
          <w:p w14:paraId="221FBD5B"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125B8A0A"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A3E2D2F" w14:textId="0CDA38AC" w:rsidR="00D7444C" w:rsidRPr="001963F3" w:rsidRDefault="00D7444C" w:rsidP="00D11E39">
            <w:pPr>
              <w:jc w:val="right"/>
              <w:rPr>
                <w:rFonts w:cs="Arial"/>
                <w:sz w:val="16"/>
                <w:szCs w:val="16"/>
              </w:rPr>
            </w:pPr>
            <w:r w:rsidRPr="001963F3">
              <w:rPr>
                <w:rFonts w:cs="Arial"/>
                <w:sz w:val="16"/>
                <w:szCs w:val="16"/>
              </w:rPr>
              <w:t>7</w:t>
            </w:r>
            <w:r w:rsidR="001F2478">
              <w:rPr>
                <w:rFonts w:cs="Arial"/>
                <w:sz w:val="16"/>
                <w:szCs w:val="16"/>
              </w:rPr>
              <w:t>–</w:t>
            </w:r>
            <w:r w:rsidRPr="001963F3">
              <w:rPr>
                <w:rFonts w:cs="Arial"/>
                <w:sz w:val="16"/>
                <w:szCs w:val="16"/>
              </w:rPr>
              <w:t>12 months</w:t>
            </w:r>
          </w:p>
        </w:tc>
        <w:tc>
          <w:tcPr>
            <w:tcW w:w="1111" w:type="dxa"/>
            <w:noWrap/>
          </w:tcPr>
          <w:p w14:paraId="5E582389" w14:textId="77777777" w:rsidR="00D7444C" w:rsidRPr="001963F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893" w:type="dxa"/>
            <w:noWrap/>
          </w:tcPr>
          <w:p w14:paraId="76583933"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hideMark/>
          </w:tcPr>
          <w:p w14:paraId="31975217"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3</w:t>
            </w:r>
            <w:r>
              <w:rPr>
                <w:rFonts w:cs="Arial"/>
                <w:sz w:val="16"/>
                <w:szCs w:val="16"/>
              </w:rPr>
              <w:t>,</w:t>
            </w:r>
            <w:r w:rsidRPr="00F2712D">
              <w:rPr>
                <w:rFonts w:cs="Arial"/>
                <w:sz w:val="16"/>
                <w:szCs w:val="16"/>
              </w:rPr>
              <w:t>532</w:t>
            </w:r>
          </w:p>
        </w:tc>
        <w:tc>
          <w:tcPr>
            <w:tcW w:w="765" w:type="dxa"/>
            <w:hideMark/>
          </w:tcPr>
          <w:p w14:paraId="1534F9E0" w14:textId="77777777" w:rsidR="00D7444C" w:rsidRPr="0017125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171257">
              <w:rPr>
                <w:sz w:val="16"/>
                <w:szCs w:val="16"/>
              </w:rPr>
              <w:t>42.2</w:t>
            </w:r>
          </w:p>
        </w:tc>
        <w:tc>
          <w:tcPr>
            <w:tcW w:w="967" w:type="dxa"/>
            <w:hideMark/>
          </w:tcPr>
          <w:p w14:paraId="2C62BEB9" w14:textId="77777777" w:rsidR="00D7444C" w:rsidRPr="0017125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171257">
              <w:rPr>
                <w:sz w:val="16"/>
                <w:szCs w:val="16"/>
              </w:rPr>
              <w:t>1</w:t>
            </w:r>
            <w:r>
              <w:rPr>
                <w:sz w:val="16"/>
                <w:szCs w:val="16"/>
              </w:rPr>
              <w:t>,</w:t>
            </w:r>
            <w:r w:rsidRPr="00171257">
              <w:rPr>
                <w:sz w:val="16"/>
                <w:szCs w:val="16"/>
              </w:rPr>
              <w:t>605</w:t>
            </w:r>
          </w:p>
        </w:tc>
        <w:tc>
          <w:tcPr>
            <w:tcW w:w="765" w:type="dxa"/>
            <w:hideMark/>
          </w:tcPr>
          <w:p w14:paraId="633B8976" w14:textId="77777777" w:rsidR="00D7444C" w:rsidRPr="0017125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171257">
              <w:rPr>
                <w:sz w:val="16"/>
                <w:szCs w:val="16"/>
              </w:rPr>
              <w:t>19.2</w:t>
            </w:r>
          </w:p>
        </w:tc>
        <w:tc>
          <w:tcPr>
            <w:tcW w:w="1762" w:type="dxa"/>
          </w:tcPr>
          <w:p w14:paraId="7E154DED"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6091E9E4"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CCB6EBC" w14:textId="2ABCC4ED" w:rsidR="00D7444C" w:rsidRPr="001963F3" w:rsidRDefault="00D7444C" w:rsidP="00D11E39">
            <w:pPr>
              <w:jc w:val="right"/>
              <w:rPr>
                <w:rFonts w:cs="Arial"/>
                <w:sz w:val="16"/>
                <w:szCs w:val="16"/>
              </w:rPr>
            </w:pPr>
            <w:r w:rsidRPr="001963F3">
              <w:rPr>
                <w:rFonts w:cs="Arial"/>
                <w:sz w:val="16"/>
                <w:szCs w:val="16"/>
              </w:rPr>
              <w:t>13</w:t>
            </w:r>
            <w:r w:rsidR="001F2478">
              <w:rPr>
                <w:rFonts w:cs="Arial"/>
                <w:sz w:val="16"/>
                <w:szCs w:val="16"/>
              </w:rPr>
              <w:t>–</w:t>
            </w:r>
            <w:r w:rsidRPr="001963F3">
              <w:rPr>
                <w:rFonts w:cs="Arial"/>
                <w:sz w:val="16"/>
                <w:szCs w:val="16"/>
              </w:rPr>
              <w:t>18 months</w:t>
            </w:r>
          </w:p>
        </w:tc>
        <w:tc>
          <w:tcPr>
            <w:tcW w:w="1111" w:type="dxa"/>
            <w:noWrap/>
          </w:tcPr>
          <w:p w14:paraId="0363F89E" w14:textId="77777777" w:rsidR="00D7444C" w:rsidRPr="001963F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893" w:type="dxa"/>
            <w:noWrap/>
          </w:tcPr>
          <w:p w14:paraId="2D458277"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hideMark/>
          </w:tcPr>
          <w:p w14:paraId="5EAAEA7E"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1</w:t>
            </w:r>
            <w:r>
              <w:rPr>
                <w:rFonts w:cs="Arial"/>
                <w:sz w:val="16"/>
                <w:szCs w:val="16"/>
              </w:rPr>
              <w:t>,</w:t>
            </w:r>
            <w:r w:rsidRPr="00F2712D">
              <w:rPr>
                <w:rFonts w:cs="Arial"/>
                <w:sz w:val="16"/>
                <w:szCs w:val="16"/>
              </w:rPr>
              <w:t>040</w:t>
            </w:r>
          </w:p>
        </w:tc>
        <w:tc>
          <w:tcPr>
            <w:tcW w:w="765" w:type="dxa"/>
            <w:hideMark/>
          </w:tcPr>
          <w:p w14:paraId="5DF2C6C1"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12.4</w:t>
            </w:r>
          </w:p>
        </w:tc>
        <w:tc>
          <w:tcPr>
            <w:tcW w:w="967" w:type="dxa"/>
            <w:hideMark/>
          </w:tcPr>
          <w:p w14:paraId="45BFB1EE"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1</w:t>
            </w:r>
            <w:r>
              <w:rPr>
                <w:sz w:val="16"/>
                <w:szCs w:val="16"/>
              </w:rPr>
              <w:t>,</w:t>
            </w:r>
            <w:r w:rsidRPr="00171257">
              <w:rPr>
                <w:sz w:val="16"/>
                <w:szCs w:val="16"/>
              </w:rPr>
              <w:t>019</w:t>
            </w:r>
          </w:p>
        </w:tc>
        <w:tc>
          <w:tcPr>
            <w:tcW w:w="765" w:type="dxa"/>
            <w:hideMark/>
          </w:tcPr>
          <w:p w14:paraId="6619CCCD"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12.2</w:t>
            </w:r>
          </w:p>
        </w:tc>
        <w:tc>
          <w:tcPr>
            <w:tcW w:w="1762" w:type="dxa"/>
          </w:tcPr>
          <w:p w14:paraId="06D2D068"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D7444C" w:rsidRPr="00F2712D" w14:paraId="0045EB73"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8C6ADF0" w14:textId="26DB728B" w:rsidR="00D7444C" w:rsidRPr="001963F3" w:rsidRDefault="00D7444C" w:rsidP="00D11E39">
            <w:pPr>
              <w:jc w:val="right"/>
              <w:rPr>
                <w:rFonts w:cs="Arial"/>
                <w:sz w:val="16"/>
                <w:szCs w:val="16"/>
              </w:rPr>
            </w:pPr>
            <w:r w:rsidRPr="001963F3">
              <w:rPr>
                <w:rFonts w:cs="Arial"/>
                <w:sz w:val="16"/>
                <w:szCs w:val="16"/>
              </w:rPr>
              <w:t>19</w:t>
            </w:r>
            <w:r w:rsidR="001F2478">
              <w:rPr>
                <w:rFonts w:cs="Arial"/>
                <w:sz w:val="16"/>
                <w:szCs w:val="16"/>
              </w:rPr>
              <w:t>–</w:t>
            </w:r>
            <w:r w:rsidRPr="001963F3">
              <w:rPr>
                <w:rFonts w:cs="Arial"/>
                <w:sz w:val="16"/>
                <w:szCs w:val="16"/>
              </w:rPr>
              <w:t>24 months</w:t>
            </w:r>
          </w:p>
        </w:tc>
        <w:tc>
          <w:tcPr>
            <w:tcW w:w="1111" w:type="dxa"/>
            <w:noWrap/>
          </w:tcPr>
          <w:p w14:paraId="590BAF6C" w14:textId="77777777" w:rsidR="00D7444C" w:rsidRPr="001963F3"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893" w:type="dxa"/>
            <w:noWrap/>
          </w:tcPr>
          <w:p w14:paraId="305596E8"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c>
          <w:tcPr>
            <w:tcW w:w="967" w:type="dxa"/>
            <w:hideMark/>
          </w:tcPr>
          <w:p w14:paraId="5E8AFF7F"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F2712D">
              <w:rPr>
                <w:rFonts w:cs="Arial"/>
                <w:sz w:val="16"/>
                <w:szCs w:val="16"/>
              </w:rPr>
              <w:t>92</w:t>
            </w:r>
          </w:p>
        </w:tc>
        <w:tc>
          <w:tcPr>
            <w:tcW w:w="765" w:type="dxa"/>
            <w:hideMark/>
          </w:tcPr>
          <w:p w14:paraId="15789457" w14:textId="77777777" w:rsidR="00D7444C" w:rsidRPr="0017125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171257">
              <w:rPr>
                <w:sz w:val="16"/>
                <w:szCs w:val="16"/>
              </w:rPr>
              <w:t>1.1</w:t>
            </w:r>
          </w:p>
        </w:tc>
        <w:tc>
          <w:tcPr>
            <w:tcW w:w="967" w:type="dxa"/>
            <w:hideMark/>
          </w:tcPr>
          <w:p w14:paraId="4DDF81FB" w14:textId="77777777" w:rsidR="00D7444C" w:rsidRPr="0017125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171257">
              <w:rPr>
                <w:sz w:val="16"/>
                <w:szCs w:val="16"/>
              </w:rPr>
              <w:t>609</w:t>
            </w:r>
          </w:p>
        </w:tc>
        <w:tc>
          <w:tcPr>
            <w:tcW w:w="765" w:type="dxa"/>
            <w:hideMark/>
          </w:tcPr>
          <w:p w14:paraId="128A52C0" w14:textId="77777777" w:rsidR="00D7444C" w:rsidRPr="00171257"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171257">
              <w:rPr>
                <w:sz w:val="16"/>
                <w:szCs w:val="16"/>
              </w:rPr>
              <w:t>7.3</w:t>
            </w:r>
          </w:p>
        </w:tc>
        <w:tc>
          <w:tcPr>
            <w:tcW w:w="1762" w:type="dxa"/>
          </w:tcPr>
          <w:p w14:paraId="5F955E0C" w14:textId="77777777" w:rsidR="00D7444C" w:rsidRPr="00F2712D"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p>
        </w:tc>
      </w:tr>
      <w:tr w:rsidR="00D7444C" w:rsidRPr="00F2712D" w14:paraId="64606727"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5663C46" w14:textId="77777777" w:rsidR="00D7444C" w:rsidRPr="001963F3" w:rsidRDefault="00D7444C" w:rsidP="00D11E39">
            <w:pPr>
              <w:jc w:val="right"/>
              <w:rPr>
                <w:rFonts w:cs="Arial"/>
                <w:sz w:val="16"/>
                <w:szCs w:val="16"/>
              </w:rPr>
            </w:pPr>
            <w:r w:rsidRPr="001963F3">
              <w:rPr>
                <w:rFonts w:cs="Arial"/>
                <w:sz w:val="16"/>
                <w:szCs w:val="16"/>
              </w:rPr>
              <w:t>Over 24 months</w:t>
            </w:r>
          </w:p>
        </w:tc>
        <w:tc>
          <w:tcPr>
            <w:tcW w:w="1111" w:type="dxa"/>
            <w:noWrap/>
          </w:tcPr>
          <w:p w14:paraId="0E230454" w14:textId="77777777" w:rsidR="00D7444C" w:rsidRPr="001963F3"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893" w:type="dxa"/>
            <w:noWrap/>
          </w:tcPr>
          <w:p w14:paraId="7069C384"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967" w:type="dxa"/>
            <w:hideMark/>
          </w:tcPr>
          <w:p w14:paraId="247E8969"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F2712D">
              <w:rPr>
                <w:rFonts w:cs="Arial"/>
                <w:sz w:val="16"/>
                <w:szCs w:val="16"/>
              </w:rPr>
              <w:t>19</w:t>
            </w:r>
          </w:p>
        </w:tc>
        <w:tc>
          <w:tcPr>
            <w:tcW w:w="765" w:type="dxa"/>
            <w:hideMark/>
          </w:tcPr>
          <w:p w14:paraId="256A40C3"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0.2</w:t>
            </w:r>
          </w:p>
        </w:tc>
        <w:tc>
          <w:tcPr>
            <w:tcW w:w="967" w:type="dxa"/>
            <w:hideMark/>
          </w:tcPr>
          <w:p w14:paraId="7843347B"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1</w:t>
            </w:r>
            <w:r>
              <w:rPr>
                <w:sz w:val="16"/>
                <w:szCs w:val="16"/>
              </w:rPr>
              <w:t>,</w:t>
            </w:r>
            <w:r w:rsidRPr="00171257">
              <w:rPr>
                <w:sz w:val="16"/>
                <w:szCs w:val="16"/>
              </w:rPr>
              <w:t>328</w:t>
            </w:r>
          </w:p>
        </w:tc>
        <w:tc>
          <w:tcPr>
            <w:tcW w:w="765" w:type="dxa"/>
            <w:hideMark/>
          </w:tcPr>
          <w:p w14:paraId="45414300" w14:textId="77777777" w:rsidR="00D7444C" w:rsidRPr="00171257"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171257">
              <w:rPr>
                <w:sz w:val="16"/>
                <w:szCs w:val="16"/>
              </w:rPr>
              <w:t>15.9</w:t>
            </w:r>
          </w:p>
        </w:tc>
        <w:tc>
          <w:tcPr>
            <w:tcW w:w="1762" w:type="dxa"/>
          </w:tcPr>
          <w:p w14:paraId="73B43BA0" w14:textId="77777777" w:rsidR="00D7444C" w:rsidRPr="00F2712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F37ED3" w:rsidRPr="00D33CF6" w14:paraId="4A2B4480"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812" w:type="dxa"/>
            <w:gridSpan w:val="2"/>
            <w:noWrap/>
          </w:tcPr>
          <w:p w14:paraId="0F0204BE" w14:textId="02591F27" w:rsidR="00F37ED3" w:rsidRPr="00D33CF6" w:rsidRDefault="00F37ED3" w:rsidP="00F37ED3">
            <w:pPr>
              <w:rPr>
                <w:rFonts w:cs="Arial"/>
                <w:b w:val="0"/>
                <w:bCs/>
                <w:sz w:val="16"/>
                <w:szCs w:val="16"/>
              </w:rPr>
            </w:pPr>
            <w:r w:rsidRPr="00D33CF6">
              <w:rPr>
                <w:rFonts w:cs="Arial"/>
                <w:bCs/>
                <w:sz w:val="16"/>
                <w:szCs w:val="16"/>
              </w:rPr>
              <w:t xml:space="preserve">Age at </w:t>
            </w:r>
            <w:r>
              <w:rPr>
                <w:rFonts w:cs="Arial"/>
                <w:bCs/>
                <w:sz w:val="16"/>
                <w:szCs w:val="16"/>
              </w:rPr>
              <w:t>c</w:t>
            </w:r>
            <w:r w:rsidRPr="00D33CF6">
              <w:rPr>
                <w:rFonts w:cs="Arial"/>
                <w:bCs/>
                <w:sz w:val="16"/>
                <w:szCs w:val="16"/>
              </w:rPr>
              <w:t>ommencement</w:t>
            </w:r>
          </w:p>
        </w:tc>
        <w:tc>
          <w:tcPr>
            <w:tcW w:w="893" w:type="dxa"/>
            <w:noWrap/>
          </w:tcPr>
          <w:p w14:paraId="5B7CA824" w14:textId="77777777" w:rsidR="00F37ED3" w:rsidRPr="00D33CF6"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p>
        </w:tc>
        <w:tc>
          <w:tcPr>
            <w:tcW w:w="967" w:type="dxa"/>
          </w:tcPr>
          <w:p w14:paraId="584B52FB" w14:textId="77777777" w:rsidR="00F37ED3" w:rsidRPr="00D33CF6"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p>
        </w:tc>
        <w:tc>
          <w:tcPr>
            <w:tcW w:w="765" w:type="dxa"/>
          </w:tcPr>
          <w:p w14:paraId="5CBB4238" w14:textId="77777777" w:rsidR="00F37ED3" w:rsidRPr="00D33CF6"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p>
        </w:tc>
        <w:tc>
          <w:tcPr>
            <w:tcW w:w="967" w:type="dxa"/>
          </w:tcPr>
          <w:p w14:paraId="16E852C9" w14:textId="77777777" w:rsidR="00F37ED3" w:rsidRPr="00D33CF6"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p>
        </w:tc>
        <w:tc>
          <w:tcPr>
            <w:tcW w:w="765" w:type="dxa"/>
          </w:tcPr>
          <w:p w14:paraId="69BCA6D5" w14:textId="77777777" w:rsidR="00F37ED3" w:rsidRPr="00D33CF6"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p>
        </w:tc>
        <w:tc>
          <w:tcPr>
            <w:tcW w:w="1762" w:type="dxa"/>
          </w:tcPr>
          <w:p w14:paraId="055933F7" w14:textId="77777777" w:rsidR="00F37ED3" w:rsidRPr="00D33CF6" w:rsidRDefault="00F37ED3" w:rsidP="00D11E39">
            <w:pPr>
              <w:jc w:val="right"/>
              <w:cnfStyle w:val="000000010000" w:firstRow="0" w:lastRow="0" w:firstColumn="0" w:lastColumn="0" w:oddVBand="0" w:evenVBand="0" w:oddHBand="0" w:evenHBand="1" w:firstRowFirstColumn="0" w:firstRowLastColumn="0" w:lastRowFirstColumn="0" w:lastRowLastColumn="0"/>
              <w:rPr>
                <w:rFonts w:cs="Arial"/>
                <w:b/>
                <w:bCs/>
                <w:sz w:val="16"/>
                <w:szCs w:val="16"/>
              </w:rPr>
            </w:pPr>
          </w:p>
        </w:tc>
      </w:tr>
      <w:tr w:rsidR="00D7444C" w:rsidRPr="00F2712D" w14:paraId="72661305"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78EFBE0F" w14:textId="07C90221" w:rsidR="00D7444C" w:rsidRPr="00F2712D" w:rsidRDefault="00D7444C" w:rsidP="00D11E39">
            <w:pPr>
              <w:jc w:val="right"/>
              <w:rPr>
                <w:rFonts w:cs="Arial"/>
                <w:b w:val="0"/>
                <w:bCs/>
                <w:sz w:val="16"/>
                <w:szCs w:val="16"/>
              </w:rPr>
            </w:pPr>
            <w:r>
              <w:rPr>
                <w:rFonts w:cs="Arial"/>
                <w:bCs/>
                <w:sz w:val="16"/>
                <w:szCs w:val="16"/>
              </w:rPr>
              <w:t>15</w:t>
            </w:r>
            <w:r w:rsidR="001F2478">
              <w:rPr>
                <w:rFonts w:cs="Arial"/>
                <w:bCs/>
                <w:sz w:val="16"/>
                <w:szCs w:val="16"/>
              </w:rPr>
              <w:t>–</w:t>
            </w:r>
            <w:r w:rsidRPr="00A076B9">
              <w:rPr>
                <w:rFonts w:cs="Arial"/>
                <w:bCs/>
                <w:sz w:val="16"/>
                <w:szCs w:val="16"/>
              </w:rPr>
              <w:t>17</w:t>
            </w:r>
          </w:p>
        </w:tc>
        <w:tc>
          <w:tcPr>
            <w:tcW w:w="1111" w:type="dxa"/>
            <w:noWrap/>
          </w:tcPr>
          <w:p w14:paraId="205B444E"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sz w:val="16"/>
                <w:szCs w:val="16"/>
              </w:rPr>
              <w:t>8,852</w:t>
            </w:r>
          </w:p>
        </w:tc>
        <w:tc>
          <w:tcPr>
            <w:tcW w:w="893" w:type="dxa"/>
            <w:noWrap/>
          </w:tcPr>
          <w:p w14:paraId="68582BBE"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sz w:val="16"/>
                <w:szCs w:val="16"/>
              </w:rPr>
              <w:t>33.0</w:t>
            </w:r>
          </w:p>
        </w:tc>
        <w:tc>
          <w:tcPr>
            <w:tcW w:w="967" w:type="dxa"/>
          </w:tcPr>
          <w:p w14:paraId="1992F5D6"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77F74">
              <w:rPr>
                <w:sz w:val="16"/>
                <w:szCs w:val="16"/>
              </w:rPr>
              <w:t>1</w:t>
            </w:r>
            <w:r>
              <w:rPr>
                <w:sz w:val="16"/>
                <w:szCs w:val="16"/>
              </w:rPr>
              <w:t>,</w:t>
            </w:r>
            <w:r w:rsidRPr="00877F74">
              <w:rPr>
                <w:sz w:val="16"/>
                <w:szCs w:val="16"/>
              </w:rPr>
              <w:t>279</w:t>
            </w:r>
          </w:p>
        </w:tc>
        <w:tc>
          <w:tcPr>
            <w:tcW w:w="765" w:type="dxa"/>
          </w:tcPr>
          <w:p w14:paraId="35EDD61B"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77F74">
              <w:rPr>
                <w:sz w:val="16"/>
                <w:szCs w:val="16"/>
              </w:rPr>
              <w:t>15</w:t>
            </w:r>
          </w:p>
        </w:tc>
        <w:tc>
          <w:tcPr>
            <w:tcW w:w="967" w:type="dxa"/>
          </w:tcPr>
          <w:p w14:paraId="003B889A"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77F74">
              <w:rPr>
                <w:sz w:val="16"/>
                <w:szCs w:val="16"/>
              </w:rPr>
              <w:t>907</w:t>
            </w:r>
          </w:p>
        </w:tc>
        <w:tc>
          <w:tcPr>
            <w:tcW w:w="765" w:type="dxa"/>
          </w:tcPr>
          <w:p w14:paraId="06F437AB"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77F74">
              <w:rPr>
                <w:sz w:val="16"/>
                <w:szCs w:val="16"/>
              </w:rPr>
              <w:t>11</w:t>
            </w:r>
          </w:p>
        </w:tc>
        <w:tc>
          <w:tcPr>
            <w:tcW w:w="1762" w:type="dxa"/>
          </w:tcPr>
          <w:p w14:paraId="620845AE" w14:textId="77777777" w:rsidR="00D7444C" w:rsidRPr="00877F74"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00D7444C" w:rsidRPr="00F2712D" w14:paraId="630087FE" w14:textId="77777777" w:rsidTr="00046630">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50F48A2C" w14:textId="45635054" w:rsidR="00D7444C" w:rsidRPr="00F2712D" w:rsidRDefault="00D7444C" w:rsidP="00D11E39">
            <w:pPr>
              <w:jc w:val="right"/>
              <w:rPr>
                <w:rFonts w:cs="Arial"/>
                <w:b w:val="0"/>
                <w:bCs/>
                <w:sz w:val="16"/>
                <w:szCs w:val="16"/>
              </w:rPr>
            </w:pPr>
            <w:r w:rsidRPr="00A076B9">
              <w:rPr>
                <w:rFonts w:cs="Arial"/>
                <w:bCs/>
                <w:sz w:val="16"/>
                <w:szCs w:val="16"/>
              </w:rPr>
              <w:t>18</w:t>
            </w:r>
            <w:r w:rsidR="001F2478">
              <w:rPr>
                <w:rFonts w:cs="Arial"/>
                <w:bCs/>
                <w:sz w:val="16"/>
                <w:szCs w:val="16"/>
              </w:rPr>
              <w:t>–</w:t>
            </w:r>
            <w:r>
              <w:rPr>
                <w:rFonts w:cs="Arial"/>
                <w:bCs/>
                <w:sz w:val="16"/>
                <w:szCs w:val="16"/>
              </w:rPr>
              <w:t>20</w:t>
            </w:r>
          </w:p>
        </w:tc>
        <w:tc>
          <w:tcPr>
            <w:tcW w:w="1111" w:type="dxa"/>
            <w:noWrap/>
          </w:tcPr>
          <w:p w14:paraId="50658E6E" w14:textId="77777777" w:rsidR="00D7444C" w:rsidRPr="00D77CE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sz w:val="16"/>
                <w:szCs w:val="16"/>
              </w:rPr>
              <w:t>14,893</w:t>
            </w:r>
          </w:p>
        </w:tc>
        <w:tc>
          <w:tcPr>
            <w:tcW w:w="893" w:type="dxa"/>
            <w:noWrap/>
          </w:tcPr>
          <w:p w14:paraId="6315E0A2" w14:textId="77777777" w:rsidR="00D7444C" w:rsidRPr="00D77CE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Pr>
                <w:sz w:val="16"/>
                <w:szCs w:val="16"/>
              </w:rPr>
              <w:t>55.5</w:t>
            </w:r>
          </w:p>
        </w:tc>
        <w:tc>
          <w:tcPr>
            <w:tcW w:w="967" w:type="dxa"/>
          </w:tcPr>
          <w:p w14:paraId="59579C6A" w14:textId="77777777" w:rsidR="00D7444C" w:rsidRPr="00D77CE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877F74">
              <w:rPr>
                <w:sz w:val="16"/>
                <w:szCs w:val="16"/>
              </w:rPr>
              <w:t>2</w:t>
            </w:r>
            <w:r>
              <w:rPr>
                <w:sz w:val="16"/>
                <w:szCs w:val="16"/>
              </w:rPr>
              <w:t>,</w:t>
            </w:r>
            <w:r w:rsidRPr="00877F74">
              <w:rPr>
                <w:sz w:val="16"/>
                <w:szCs w:val="16"/>
              </w:rPr>
              <w:t>099</w:t>
            </w:r>
          </w:p>
        </w:tc>
        <w:tc>
          <w:tcPr>
            <w:tcW w:w="765" w:type="dxa"/>
          </w:tcPr>
          <w:p w14:paraId="11186820" w14:textId="77777777" w:rsidR="00D7444C" w:rsidRPr="00D77CE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877F74">
              <w:rPr>
                <w:sz w:val="16"/>
                <w:szCs w:val="16"/>
              </w:rPr>
              <w:t>25</w:t>
            </w:r>
          </w:p>
        </w:tc>
        <w:tc>
          <w:tcPr>
            <w:tcW w:w="967" w:type="dxa"/>
          </w:tcPr>
          <w:p w14:paraId="705F5064" w14:textId="77777777" w:rsidR="00D7444C" w:rsidRPr="00D77CE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877F74">
              <w:rPr>
                <w:sz w:val="16"/>
                <w:szCs w:val="16"/>
              </w:rPr>
              <w:t>2</w:t>
            </w:r>
            <w:r>
              <w:rPr>
                <w:sz w:val="16"/>
                <w:szCs w:val="16"/>
              </w:rPr>
              <w:t>,</w:t>
            </w:r>
            <w:r w:rsidRPr="00877F74">
              <w:rPr>
                <w:sz w:val="16"/>
                <w:szCs w:val="16"/>
              </w:rPr>
              <w:t>000</w:t>
            </w:r>
          </w:p>
        </w:tc>
        <w:tc>
          <w:tcPr>
            <w:tcW w:w="765" w:type="dxa"/>
          </w:tcPr>
          <w:p w14:paraId="139BF215" w14:textId="77777777" w:rsidR="00D7444C" w:rsidRPr="00D77CE6" w:rsidRDefault="00D7444C" w:rsidP="00D11E39">
            <w:pPr>
              <w:jc w:val="right"/>
              <w:cnfStyle w:val="000000010000" w:firstRow="0" w:lastRow="0" w:firstColumn="0" w:lastColumn="0" w:oddVBand="0" w:evenVBand="0" w:oddHBand="0" w:evenHBand="1" w:firstRowFirstColumn="0" w:firstRowLastColumn="0" w:lastRowFirstColumn="0" w:lastRowLastColumn="0"/>
              <w:rPr>
                <w:rFonts w:cs="Arial"/>
                <w:sz w:val="16"/>
                <w:szCs w:val="16"/>
              </w:rPr>
            </w:pPr>
            <w:r w:rsidRPr="00877F74">
              <w:rPr>
                <w:sz w:val="16"/>
                <w:szCs w:val="16"/>
              </w:rPr>
              <w:t>24</w:t>
            </w:r>
          </w:p>
        </w:tc>
        <w:tc>
          <w:tcPr>
            <w:tcW w:w="1762" w:type="dxa"/>
          </w:tcPr>
          <w:p w14:paraId="60A2DCE1" w14:textId="77777777" w:rsidR="00D7444C" w:rsidRPr="00877F74" w:rsidRDefault="00D7444C" w:rsidP="00D11E3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D7444C" w:rsidRPr="00F2712D" w14:paraId="509F8C06" w14:textId="77777777" w:rsidTr="000466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701" w:type="dxa"/>
            <w:noWrap/>
          </w:tcPr>
          <w:p w14:paraId="266DF677" w14:textId="3C7BEDD0" w:rsidR="00D7444C" w:rsidRPr="006E41FD" w:rsidRDefault="00D7444C" w:rsidP="00D11E39">
            <w:pPr>
              <w:jc w:val="right"/>
              <w:rPr>
                <w:rFonts w:cs="Arial"/>
                <w:b w:val="0"/>
                <w:bCs/>
                <w:sz w:val="16"/>
                <w:szCs w:val="16"/>
              </w:rPr>
            </w:pPr>
            <w:r w:rsidRPr="006E41FD">
              <w:rPr>
                <w:rFonts w:cs="Arial"/>
                <w:bCs/>
                <w:sz w:val="16"/>
                <w:szCs w:val="16"/>
              </w:rPr>
              <w:t>21</w:t>
            </w:r>
          </w:p>
        </w:tc>
        <w:tc>
          <w:tcPr>
            <w:tcW w:w="1111" w:type="dxa"/>
            <w:noWrap/>
          </w:tcPr>
          <w:p w14:paraId="6394E8E1" w14:textId="77777777" w:rsidR="00D7444C" w:rsidRPr="006E41FD"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6E41FD">
              <w:rPr>
                <w:sz w:val="16"/>
                <w:szCs w:val="16"/>
              </w:rPr>
              <w:t>3,077</w:t>
            </w:r>
          </w:p>
        </w:tc>
        <w:tc>
          <w:tcPr>
            <w:tcW w:w="893" w:type="dxa"/>
            <w:noWrap/>
          </w:tcPr>
          <w:p w14:paraId="62B6DBAC"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sz w:val="16"/>
                <w:szCs w:val="16"/>
              </w:rPr>
              <w:t>11.5</w:t>
            </w:r>
          </w:p>
        </w:tc>
        <w:tc>
          <w:tcPr>
            <w:tcW w:w="967" w:type="dxa"/>
          </w:tcPr>
          <w:p w14:paraId="1C1650D2"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77F74">
              <w:rPr>
                <w:sz w:val="16"/>
                <w:szCs w:val="16"/>
              </w:rPr>
              <w:t>1</w:t>
            </w:r>
            <w:r>
              <w:rPr>
                <w:sz w:val="16"/>
                <w:szCs w:val="16"/>
              </w:rPr>
              <w:t>,</w:t>
            </w:r>
            <w:r w:rsidRPr="00877F74">
              <w:rPr>
                <w:sz w:val="16"/>
                <w:szCs w:val="16"/>
              </w:rPr>
              <w:t>120</w:t>
            </w:r>
          </w:p>
        </w:tc>
        <w:tc>
          <w:tcPr>
            <w:tcW w:w="765" w:type="dxa"/>
          </w:tcPr>
          <w:p w14:paraId="1F273B05"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77F74">
              <w:rPr>
                <w:sz w:val="16"/>
                <w:szCs w:val="16"/>
              </w:rPr>
              <w:t>13</w:t>
            </w:r>
          </w:p>
        </w:tc>
        <w:tc>
          <w:tcPr>
            <w:tcW w:w="967" w:type="dxa"/>
          </w:tcPr>
          <w:p w14:paraId="3F0FE12B"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77F74">
              <w:rPr>
                <w:sz w:val="16"/>
                <w:szCs w:val="16"/>
              </w:rPr>
              <w:t>1</w:t>
            </w:r>
            <w:r>
              <w:rPr>
                <w:sz w:val="16"/>
                <w:szCs w:val="16"/>
              </w:rPr>
              <w:t>,</w:t>
            </w:r>
            <w:r w:rsidRPr="00877F74">
              <w:rPr>
                <w:sz w:val="16"/>
                <w:szCs w:val="16"/>
              </w:rPr>
              <w:t>241</w:t>
            </w:r>
          </w:p>
        </w:tc>
        <w:tc>
          <w:tcPr>
            <w:tcW w:w="765" w:type="dxa"/>
          </w:tcPr>
          <w:p w14:paraId="5F3E0ADB" w14:textId="77777777" w:rsidR="00D7444C" w:rsidRPr="00D77CE6" w:rsidRDefault="00D7444C" w:rsidP="00D11E3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sidRPr="00877F74">
              <w:rPr>
                <w:sz w:val="16"/>
                <w:szCs w:val="16"/>
              </w:rPr>
              <w:t>15</w:t>
            </w:r>
          </w:p>
        </w:tc>
        <w:tc>
          <w:tcPr>
            <w:tcW w:w="1762" w:type="dxa"/>
          </w:tcPr>
          <w:p w14:paraId="6A336466" w14:textId="77777777" w:rsidR="00D7444C" w:rsidRPr="00877F74" w:rsidRDefault="00D7444C" w:rsidP="00D11E39">
            <w:pPr>
              <w:jc w:val="right"/>
              <w:cnfStyle w:val="000000100000" w:firstRow="0" w:lastRow="0" w:firstColumn="0" w:lastColumn="0" w:oddVBand="0" w:evenVBand="0" w:oddHBand="1" w:evenHBand="0" w:firstRowFirstColumn="0" w:firstRowLastColumn="0" w:lastRowFirstColumn="0" w:lastRowLastColumn="0"/>
              <w:rPr>
                <w:sz w:val="16"/>
                <w:szCs w:val="16"/>
              </w:rPr>
            </w:pPr>
          </w:p>
        </w:tc>
      </w:tr>
    </w:tbl>
    <w:p w14:paraId="76C7CB56" w14:textId="0E0D8408" w:rsidR="00700D57" w:rsidRPr="00437DC9" w:rsidRDefault="00700D57" w:rsidP="00700D57">
      <w:pPr>
        <w:pStyle w:val="SourceandNotes"/>
      </w:pPr>
      <w:r w:rsidRPr="005E0ED0">
        <w:t xml:space="preserve">Source: The </w:t>
      </w:r>
      <w:r w:rsidRPr="00437DC9">
        <w:t>department</w:t>
      </w:r>
      <w:r w:rsidR="00F8391B">
        <w:t>’</w:t>
      </w:r>
      <w:r w:rsidRPr="00437DC9">
        <w:t>s administrative data</w:t>
      </w:r>
    </w:p>
    <w:p w14:paraId="69CA0DE3" w14:textId="77777777" w:rsidR="00DE5CE3" w:rsidRDefault="00DE5CE3" w:rsidP="00DE5CE3">
      <w:pPr>
        <w:pStyle w:val="SourceandNotes"/>
      </w:pPr>
      <w:r w:rsidRPr="00FF53B7">
        <w:t xml:space="preserve">TtW inflow population n=26,822 </w:t>
      </w:r>
      <w:r>
        <w:t>(all referred within 01/04/2016 – 31/03/2017)</w:t>
      </w:r>
    </w:p>
    <w:p w14:paraId="0783B0B5" w14:textId="0870C9AA" w:rsidR="00DE5CE3" w:rsidRDefault="00DE5CE3" w:rsidP="00DE5CE3">
      <w:pPr>
        <w:pStyle w:val="SourceandNotes"/>
      </w:pPr>
      <w:r w:rsidRPr="001B68F8">
        <w:t>TtW matched sample n=8,361</w:t>
      </w:r>
      <w:r>
        <w:t xml:space="preserve"> (commenced within 90 days, in program for at least 28 days, all on income support at measurement date of Month</w:t>
      </w:r>
      <w:r w:rsidR="001F2478">
        <w:t> </w:t>
      </w:r>
      <w:r>
        <w:t>0 which is commencement date +</w:t>
      </w:r>
      <w:r w:rsidR="001F2478">
        <w:t xml:space="preserve"> </w:t>
      </w:r>
      <w:r>
        <w:t>28)</w:t>
      </w:r>
    </w:p>
    <w:p w14:paraId="621ED12A" w14:textId="378ECE65" w:rsidR="00DE5CE3" w:rsidRDefault="00DE5CE3" w:rsidP="00DE5CE3">
      <w:pPr>
        <w:pStyle w:val="SourceandNotes"/>
      </w:pPr>
      <w:r>
        <w:t xml:space="preserve">Note: Characteristics were extracted from the JSCI assessments which was </w:t>
      </w:r>
      <w:r w:rsidRPr="00786118">
        <w:t>closest to commenc</w:t>
      </w:r>
      <w:r>
        <w:t xml:space="preserve">ement date </w:t>
      </w:r>
      <w:r w:rsidRPr="00786118">
        <w:t>and within one year of commenc</w:t>
      </w:r>
      <w:r>
        <w:t>ement date</w:t>
      </w:r>
      <w:r w:rsidRPr="00786118">
        <w:t xml:space="preserve">. If there are no assessments in the </w:t>
      </w:r>
      <w:r w:rsidR="00F8391B">
        <w:t>2-</w:t>
      </w:r>
      <w:r w:rsidRPr="00786118">
        <w:t>year period centred on commence</w:t>
      </w:r>
      <w:r>
        <w:t>ment date</w:t>
      </w:r>
      <w:r w:rsidRPr="00786118">
        <w:t xml:space="preserve"> then the </w:t>
      </w:r>
      <w:r>
        <w:t>characteristics</w:t>
      </w:r>
      <w:r w:rsidRPr="00786118">
        <w:t xml:space="preserve"> variables are missing.</w:t>
      </w:r>
    </w:p>
    <w:p w14:paraId="534B280D" w14:textId="4B7DB053" w:rsidR="00DE5CE3" w:rsidRPr="001F2478" w:rsidRDefault="000052A9" w:rsidP="00DE5CE3">
      <w:pPr>
        <w:pStyle w:val="SourceandNotes"/>
      </w:pPr>
      <w:r>
        <w:t>a</w:t>
      </w:r>
      <w:r w:rsidR="00DE5CE3" w:rsidRPr="001F2478">
        <w:t xml:space="preserve"> Source: ABS, May 2021, Education and Work, Australia,</w:t>
      </w:r>
      <w:r w:rsidR="00F8391B" w:rsidRPr="001F2478">
        <w:t xml:space="preserve"> </w:t>
      </w:r>
      <w:hyperlink r:id="rId122" w:history="1">
        <w:r w:rsidR="00DE5CE3" w:rsidRPr="001F2478">
          <w:rPr>
            <w:rStyle w:val="Hyperlink"/>
          </w:rPr>
          <w:t>https://www.abs.gov.au/statistics/people/education/education-and-work-australia/latest-release</w:t>
        </w:r>
      </w:hyperlink>
      <w:r w:rsidR="00DE5CE3" w:rsidRPr="001F2478">
        <w:t>, sourced 29 March 2022</w:t>
      </w:r>
    </w:p>
    <w:p w14:paraId="054C54DE" w14:textId="6E70669B" w:rsidR="00DE5CE3" w:rsidRPr="001F2478" w:rsidRDefault="000052A9" w:rsidP="00DE5CE3">
      <w:pPr>
        <w:pStyle w:val="SourceandNotes"/>
      </w:pPr>
      <w:r>
        <w:t>b</w:t>
      </w:r>
      <w:r w:rsidR="00DE5CE3" w:rsidRPr="001F2478">
        <w:t xml:space="preserve"> Source: ABS 2016 Census</w:t>
      </w:r>
    </w:p>
    <w:p w14:paraId="2D0D4D08" w14:textId="77777777" w:rsidR="000052A9" w:rsidRPr="001F2478" w:rsidRDefault="000052A9" w:rsidP="000052A9">
      <w:pPr>
        <w:pStyle w:val="SourceandNotes"/>
      </w:pPr>
      <w:r>
        <w:t>c</w:t>
      </w:r>
      <w:r w:rsidRPr="001F2478">
        <w:t xml:space="preserve"> TtW ‘ex offender’ includes participants who self-disclosed in their initial JSCI assessment that they have any criminal conviction that is either non-custodial sentence or any length of custodial sentence. There is no equivalent data for the broader population, but as an indication, imprisonment rate for 18</w:t>
      </w:r>
      <w:r>
        <w:t xml:space="preserve"> year olds</w:t>
      </w:r>
      <w:r w:rsidRPr="001F2478">
        <w:t xml:space="preserve"> was 0.7%, 19</w:t>
      </w:r>
      <w:r>
        <w:t xml:space="preserve"> year olds was</w:t>
      </w:r>
      <w:r w:rsidRPr="001F2478">
        <w:t xml:space="preserve"> 1.5% and 20</w:t>
      </w:r>
      <w:r>
        <w:t>–</w:t>
      </w:r>
      <w:r w:rsidRPr="001F2478">
        <w:t>24</w:t>
      </w:r>
      <w:r>
        <w:t xml:space="preserve"> year olds</w:t>
      </w:r>
      <w:r w:rsidRPr="001F2478">
        <w:t xml:space="preserve"> was 2.3% in 2020 – source: Prisoners in Australia, 2020 | Australian Bureau of Statistics (abs.gov.au)</w:t>
      </w:r>
    </w:p>
    <w:p w14:paraId="5C606977" w14:textId="33F4B298" w:rsidR="00DE5CE3" w:rsidRPr="001F2478" w:rsidRDefault="00DE5CE3" w:rsidP="00DE5CE3">
      <w:pPr>
        <w:pStyle w:val="SourceandNotes"/>
      </w:pPr>
      <w:r w:rsidRPr="00C239FD">
        <w:t>d</w:t>
      </w:r>
      <w:r w:rsidRPr="001F2478">
        <w:t xml:space="preserve"> Homelessness rate for people 19</w:t>
      </w:r>
      <w:r w:rsidR="009F1529">
        <w:t>–</w:t>
      </w:r>
      <w:r w:rsidRPr="001F2478">
        <w:t>24</w:t>
      </w:r>
      <w:r w:rsidR="009F1529">
        <w:t xml:space="preserve"> years old</w:t>
      </w:r>
      <w:r w:rsidRPr="001F2478">
        <w:t xml:space="preserve"> was 0.95%, Homelessness rate for 12</w:t>
      </w:r>
      <w:r w:rsidR="009F1529">
        <w:t>–</w:t>
      </w:r>
      <w:r w:rsidRPr="001F2478">
        <w:t>18</w:t>
      </w:r>
      <w:r w:rsidR="009F1529">
        <w:t xml:space="preserve"> year olds</w:t>
      </w:r>
      <w:r w:rsidRPr="001F2478">
        <w:t xml:space="preserve"> was 0.5%. </w:t>
      </w:r>
      <w:r w:rsidR="00F8391B" w:rsidRPr="001F2478">
        <w:t>‘</w:t>
      </w:r>
      <w:r w:rsidRPr="001F2478">
        <w:t>Homeless</w:t>
      </w:r>
      <w:r w:rsidR="00F8391B" w:rsidRPr="001F2478">
        <w:t>’</w:t>
      </w:r>
      <w:r w:rsidRPr="001F2478">
        <w:t xml:space="preserve"> includes improvised dwellings, tents, sleeping out, supported accommodation, temporary arrangements with other households, boarding houses, other temp lodgings, severely crowded dwellings. Source: ABS 2016 Census</w:t>
      </w:r>
    </w:p>
    <w:p w14:paraId="129CA33A" w14:textId="5C624958" w:rsidR="00DE5CE3" w:rsidRDefault="00DE5CE3" w:rsidP="009251AF">
      <w:pPr>
        <w:pStyle w:val="Heading4a"/>
      </w:pPr>
      <w:r>
        <w:t>N</w:t>
      </w:r>
      <w:r w:rsidRPr="00594538">
        <w:t xml:space="preserve">umber of </w:t>
      </w:r>
      <w:r w:rsidR="00AB0766">
        <w:t>income support</w:t>
      </w:r>
      <w:r w:rsidRPr="00594538">
        <w:t xml:space="preserve"> episodes</w:t>
      </w:r>
    </w:p>
    <w:p w14:paraId="1E2EA5BD" w14:textId="3A879458" w:rsidR="00DE5CE3" w:rsidRPr="007A1D5B" w:rsidRDefault="00DE5CE3" w:rsidP="00DE5CE3">
      <w:r>
        <w:t xml:space="preserve">As can be </w:t>
      </w:r>
      <w:r w:rsidRPr="00D81F43">
        <w:t>seen in</w:t>
      </w:r>
      <w:r w:rsidRPr="00B80C93">
        <w:rPr>
          <w:b/>
          <w:bCs/>
        </w:rPr>
        <w:t xml:space="preserve"> </w:t>
      </w:r>
      <w:r w:rsidR="00B80C93" w:rsidRPr="00B80C93">
        <w:rPr>
          <w:b/>
          <w:bCs/>
        </w:rPr>
        <w:fldChar w:fldCharType="begin"/>
      </w:r>
      <w:r w:rsidR="00B80C93" w:rsidRPr="00B80C93">
        <w:rPr>
          <w:b/>
          <w:bCs/>
        </w:rPr>
        <w:instrText xml:space="preserve"> REF _Ref136531323 \h  \* MERGEFORMAT </w:instrText>
      </w:r>
      <w:r w:rsidR="00B80C93" w:rsidRPr="00B80C93">
        <w:rPr>
          <w:b/>
          <w:bCs/>
        </w:rPr>
      </w:r>
      <w:r w:rsidR="00B80C93" w:rsidRPr="00B80C93">
        <w:rPr>
          <w:b/>
          <w:bCs/>
        </w:rPr>
        <w:fldChar w:fldCharType="separate"/>
      </w:r>
      <w:r w:rsidR="00180E14" w:rsidRPr="00180E14">
        <w:rPr>
          <w:b/>
          <w:bCs/>
        </w:rPr>
        <w:t xml:space="preserve">Table </w:t>
      </w:r>
      <w:r w:rsidR="00180E14" w:rsidRPr="00180E14">
        <w:rPr>
          <w:b/>
          <w:bCs/>
          <w:noProof/>
        </w:rPr>
        <w:t>26</w:t>
      </w:r>
      <w:r w:rsidR="00B80C93" w:rsidRPr="00B80C93">
        <w:rPr>
          <w:b/>
          <w:bCs/>
        </w:rPr>
        <w:fldChar w:fldCharType="end"/>
      </w:r>
      <w:r w:rsidRPr="00D81F43">
        <w:t>, there</w:t>
      </w:r>
      <w:r>
        <w:t xml:space="preserve"> is very little difference between TtW participants and participants from the jobactive samp</w:t>
      </w:r>
      <w:r w:rsidR="004A5BEF">
        <w:t>l</w:t>
      </w:r>
      <w:r>
        <w:t>e regarding the number of episodes of income support participants experience. Just over half of the TtW participants ha</w:t>
      </w:r>
      <w:r w:rsidR="00466273">
        <w:t>d</w:t>
      </w:r>
      <w:r>
        <w:t xml:space="preserve"> one income support episode (53.6%) and just under a third (32.7%) experience</w:t>
      </w:r>
      <w:r w:rsidR="00466273">
        <w:t>d</w:t>
      </w:r>
      <w:r>
        <w:t xml:space="preserve"> </w:t>
      </w:r>
      <w:r w:rsidR="00F8391B">
        <w:t>2</w:t>
      </w:r>
      <w:r>
        <w:t xml:space="preserve"> episodes</w:t>
      </w:r>
      <w:r w:rsidR="001F2478">
        <w:t>.</w:t>
      </w:r>
      <w:r>
        <w:rPr>
          <w:rStyle w:val="FootnoteReference"/>
        </w:rPr>
        <w:footnoteReference w:id="117"/>
      </w:r>
    </w:p>
    <w:p w14:paraId="7E9909F0" w14:textId="54AFE86F" w:rsidR="00DE5CE3" w:rsidRDefault="00DE5CE3" w:rsidP="00DE5CE3">
      <w:pPr>
        <w:pStyle w:val="Caption"/>
        <w:keepNext/>
      </w:pPr>
      <w:bookmarkStart w:id="3941" w:name="_Ref136531323"/>
      <w:bookmarkStart w:id="3942" w:name="_Toc132647801"/>
      <w:bookmarkStart w:id="3943" w:name="_Toc145877315"/>
      <w:r>
        <w:lastRenderedPageBreak/>
        <w:t xml:space="preserve">Table </w:t>
      </w:r>
      <w:r>
        <w:fldChar w:fldCharType="begin"/>
      </w:r>
      <w:r>
        <w:instrText>SEQ Table \* ARABIC</w:instrText>
      </w:r>
      <w:r>
        <w:fldChar w:fldCharType="separate"/>
      </w:r>
      <w:r w:rsidR="00180E14">
        <w:rPr>
          <w:noProof/>
        </w:rPr>
        <w:t>26</w:t>
      </w:r>
      <w:r>
        <w:fldChar w:fldCharType="end"/>
      </w:r>
      <w:bookmarkEnd w:id="3941"/>
      <w:r>
        <w:t xml:space="preserve">: </w:t>
      </w:r>
      <w:r w:rsidRPr="000C09A6">
        <w:t xml:space="preserve">Income support episodes per participant, as at 48 months </w:t>
      </w:r>
      <w:r w:rsidRPr="009F1529">
        <w:t>post</w:t>
      </w:r>
      <w:r w:rsidR="009F1529">
        <w:t xml:space="preserve"> </w:t>
      </w:r>
      <w:r w:rsidRPr="009F1529">
        <w:t>commencement</w:t>
      </w:r>
      <w:bookmarkEnd w:id="3942"/>
      <w:bookmarkEnd w:id="3943"/>
    </w:p>
    <w:tbl>
      <w:tblPr>
        <w:tblStyle w:val="TtWReportTableTemplate2"/>
        <w:tblW w:w="8505" w:type="dxa"/>
        <w:tblLook w:val="04A0" w:firstRow="1" w:lastRow="0" w:firstColumn="1" w:lastColumn="0" w:noHBand="0" w:noVBand="1"/>
      </w:tblPr>
      <w:tblGrid>
        <w:gridCol w:w="2835"/>
        <w:gridCol w:w="2977"/>
        <w:gridCol w:w="2693"/>
      </w:tblGrid>
      <w:tr w:rsidR="00DE5CE3" w:rsidRPr="0096560E" w14:paraId="327EBAC8" w14:textId="77777777" w:rsidTr="00046630">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5D7A38"/>
            <w:vAlign w:val="center"/>
          </w:tcPr>
          <w:p w14:paraId="501F4AED" w14:textId="77777777" w:rsidR="00DE5CE3" w:rsidRPr="0096560E" w:rsidRDefault="00DE5CE3" w:rsidP="00D11E39">
            <w:pPr>
              <w:rPr>
                <w:bCs/>
                <w:szCs w:val="20"/>
              </w:rPr>
            </w:pPr>
            <w:r w:rsidRPr="0096560E">
              <w:rPr>
                <w:bCs/>
                <w:szCs w:val="20"/>
              </w:rPr>
              <w:t>Number of episodes</w:t>
            </w:r>
          </w:p>
        </w:tc>
        <w:tc>
          <w:tcPr>
            <w:tcW w:w="2977" w:type="dxa"/>
            <w:shd w:val="clear" w:color="auto" w:fill="5D7A38"/>
            <w:vAlign w:val="center"/>
          </w:tcPr>
          <w:p w14:paraId="5B8A40FC" w14:textId="20213CED" w:rsidR="00DE5CE3" w:rsidRPr="0096560E" w:rsidRDefault="00DE5CE3" w:rsidP="00D11E39">
            <w:pPr>
              <w:jc w:val="center"/>
              <w:cnfStyle w:val="100000000000" w:firstRow="1" w:lastRow="0" w:firstColumn="0" w:lastColumn="0" w:oddVBand="0" w:evenVBand="0" w:oddHBand="0" w:evenHBand="0" w:firstRowFirstColumn="0" w:firstRowLastColumn="0" w:lastRowFirstColumn="0" w:lastRowLastColumn="0"/>
              <w:rPr>
                <w:bCs/>
                <w:szCs w:val="20"/>
              </w:rPr>
            </w:pPr>
            <w:r w:rsidRPr="0096560E">
              <w:rPr>
                <w:rFonts w:eastAsia="Times New Roman"/>
                <w:bCs/>
                <w:szCs w:val="20"/>
                <w:lang w:eastAsia="en-AU"/>
              </w:rPr>
              <w:t>TtW (n=8</w:t>
            </w:r>
            <w:r w:rsidR="001F2478" w:rsidRPr="0096560E">
              <w:rPr>
                <w:rFonts w:eastAsia="Times New Roman"/>
                <w:bCs/>
                <w:szCs w:val="20"/>
                <w:lang w:eastAsia="en-AU"/>
              </w:rPr>
              <w:t>,</w:t>
            </w:r>
            <w:r w:rsidRPr="0096560E">
              <w:rPr>
                <w:rFonts w:eastAsia="Times New Roman"/>
                <w:bCs/>
                <w:szCs w:val="20"/>
                <w:lang w:eastAsia="en-AU"/>
              </w:rPr>
              <w:t>361)</w:t>
            </w:r>
            <w:r w:rsidRPr="0096560E">
              <w:rPr>
                <w:rFonts w:eastAsia="Times New Roman"/>
                <w:bCs/>
                <w:szCs w:val="20"/>
                <w:lang w:eastAsia="en-AU"/>
              </w:rPr>
              <w:br/>
            </w:r>
            <w:r w:rsidRPr="0096560E">
              <w:rPr>
                <w:bCs/>
                <w:szCs w:val="20"/>
              </w:rPr>
              <w:t>(</w:t>
            </w:r>
            <w:r w:rsidR="001F2478" w:rsidRPr="0096560E">
              <w:rPr>
                <w:bCs/>
                <w:szCs w:val="20"/>
              </w:rPr>
              <w:t>%</w:t>
            </w:r>
            <w:r w:rsidRPr="0096560E">
              <w:rPr>
                <w:bCs/>
                <w:szCs w:val="20"/>
              </w:rPr>
              <w:t>)</w:t>
            </w:r>
          </w:p>
        </w:tc>
        <w:tc>
          <w:tcPr>
            <w:tcW w:w="2693" w:type="dxa"/>
            <w:shd w:val="clear" w:color="auto" w:fill="5D7A38"/>
            <w:vAlign w:val="center"/>
          </w:tcPr>
          <w:p w14:paraId="61EBEA0C" w14:textId="362B1FF9" w:rsidR="00DE5CE3" w:rsidRPr="0096560E" w:rsidRDefault="00DE5CE3" w:rsidP="00D11E39">
            <w:pPr>
              <w:jc w:val="center"/>
              <w:cnfStyle w:val="100000000000" w:firstRow="1" w:lastRow="0" w:firstColumn="0" w:lastColumn="0" w:oddVBand="0" w:evenVBand="0" w:oddHBand="0" w:evenHBand="0" w:firstRowFirstColumn="0" w:firstRowLastColumn="0" w:lastRowFirstColumn="0" w:lastRowLastColumn="0"/>
              <w:rPr>
                <w:bCs/>
                <w:szCs w:val="20"/>
              </w:rPr>
            </w:pPr>
            <w:r w:rsidRPr="0096560E">
              <w:rPr>
                <w:rFonts w:eastAsia="Times New Roman"/>
                <w:szCs w:val="20"/>
                <w:lang w:eastAsia="en-AU"/>
              </w:rPr>
              <w:t>jobactive (n=8</w:t>
            </w:r>
            <w:r w:rsidR="001F2478" w:rsidRPr="0096560E">
              <w:rPr>
                <w:rFonts w:eastAsia="Times New Roman"/>
                <w:szCs w:val="20"/>
                <w:lang w:eastAsia="en-AU"/>
              </w:rPr>
              <w:t>,</w:t>
            </w:r>
            <w:r w:rsidRPr="0096560E">
              <w:rPr>
                <w:rFonts w:eastAsia="Times New Roman"/>
                <w:szCs w:val="20"/>
                <w:lang w:eastAsia="en-AU"/>
              </w:rPr>
              <w:t>361)</w:t>
            </w:r>
            <w:r w:rsidRPr="0096560E">
              <w:rPr>
                <w:rFonts w:eastAsia="Times New Roman"/>
                <w:szCs w:val="20"/>
                <w:lang w:eastAsia="en-AU"/>
              </w:rPr>
              <w:br/>
            </w:r>
            <w:r w:rsidRPr="0096560E">
              <w:rPr>
                <w:szCs w:val="20"/>
              </w:rPr>
              <w:t>(</w:t>
            </w:r>
            <w:r w:rsidR="001F2478" w:rsidRPr="0096560E">
              <w:rPr>
                <w:szCs w:val="20"/>
              </w:rPr>
              <w:t>%</w:t>
            </w:r>
            <w:r w:rsidRPr="0096560E">
              <w:rPr>
                <w:szCs w:val="20"/>
              </w:rPr>
              <w:t>)</w:t>
            </w:r>
          </w:p>
        </w:tc>
      </w:tr>
      <w:tr w:rsidR="00DE5CE3" w:rsidRPr="0096560E" w14:paraId="2318C8D9" w14:textId="77777777" w:rsidTr="009251A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auto"/>
            <w:vAlign w:val="bottom"/>
          </w:tcPr>
          <w:p w14:paraId="42D05E20" w14:textId="77777777" w:rsidR="00DE5CE3" w:rsidRPr="0096560E" w:rsidRDefault="00DE5CE3" w:rsidP="00D11E39">
            <w:pPr>
              <w:rPr>
                <w:szCs w:val="20"/>
              </w:rPr>
            </w:pPr>
            <w:r w:rsidRPr="0096560E">
              <w:rPr>
                <w:szCs w:val="20"/>
              </w:rPr>
              <w:t>1</w:t>
            </w:r>
          </w:p>
        </w:tc>
        <w:tc>
          <w:tcPr>
            <w:tcW w:w="2977" w:type="dxa"/>
            <w:tcBorders>
              <w:bottom w:val="nil"/>
            </w:tcBorders>
            <w:shd w:val="clear" w:color="auto" w:fill="auto"/>
            <w:vAlign w:val="bottom"/>
          </w:tcPr>
          <w:p w14:paraId="4EB7D8CD" w14:textId="77777777" w:rsidR="00DE5CE3" w:rsidRPr="0096560E" w:rsidRDefault="00DE5CE3" w:rsidP="00D11E39">
            <w:pPr>
              <w:jc w:val="center"/>
              <w:cnfStyle w:val="000000100000" w:firstRow="0" w:lastRow="0" w:firstColumn="0" w:lastColumn="0" w:oddVBand="0" w:evenVBand="0" w:oddHBand="1" w:evenHBand="0" w:firstRowFirstColumn="0" w:firstRowLastColumn="0" w:lastRowFirstColumn="0" w:lastRowLastColumn="0"/>
              <w:rPr>
                <w:szCs w:val="20"/>
              </w:rPr>
            </w:pPr>
            <w:r w:rsidRPr="0096560E">
              <w:rPr>
                <w:szCs w:val="20"/>
              </w:rPr>
              <w:t>53.6</w:t>
            </w:r>
          </w:p>
        </w:tc>
        <w:tc>
          <w:tcPr>
            <w:tcW w:w="2693" w:type="dxa"/>
            <w:tcBorders>
              <w:bottom w:val="nil"/>
            </w:tcBorders>
            <w:shd w:val="clear" w:color="auto" w:fill="auto"/>
            <w:vAlign w:val="bottom"/>
          </w:tcPr>
          <w:p w14:paraId="7E050EE1" w14:textId="77777777" w:rsidR="00DE5CE3" w:rsidRPr="0096560E" w:rsidRDefault="00DE5CE3" w:rsidP="00D11E39">
            <w:pPr>
              <w:jc w:val="center"/>
              <w:cnfStyle w:val="000000100000" w:firstRow="0" w:lastRow="0" w:firstColumn="0" w:lastColumn="0" w:oddVBand="0" w:evenVBand="0" w:oddHBand="1" w:evenHBand="0" w:firstRowFirstColumn="0" w:firstRowLastColumn="0" w:lastRowFirstColumn="0" w:lastRowLastColumn="0"/>
              <w:rPr>
                <w:szCs w:val="20"/>
              </w:rPr>
            </w:pPr>
            <w:r w:rsidRPr="0096560E">
              <w:rPr>
                <w:szCs w:val="20"/>
              </w:rPr>
              <w:t>54.5</w:t>
            </w:r>
          </w:p>
        </w:tc>
      </w:tr>
      <w:tr w:rsidR="00DE5CE3" w:rsidRPr="0096560E" w14:paraId="51A38290" w14:textId="77777777" w:rsidTr="009251AF">
        <w:trPr>
          <w:cnfStyle w:val="000000010000" w:firstRow="0" w:lastRow="0" w:firstColumn="0" w:lastColumn="0" w:oddVBand="0" w:evenVBand="0" w:oddHBand="0" w:evenHBand="1"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CCCCCC"/>
            <w:vAlign w:val="bottom"/>
          </w:tcPr>
          <w:p w14:paraId="08DDF118" w14:textId="77777777" w:rsidR="00DE5CE3" w:rsidRPr="0096560E" w:rsidRDefault="00DE5CE3" w:rsidP="00D11E39">
            <w:pPr>
              <w:rPr>
                <w:szCs w:val="20"/>
              </w:rPr>
            </w:pPr>
            <w:r w:rsidRPr="0096560E">
              <w:rPr>
                <w:szCs w:val="20"/>
              </w:rPr>
              <w:t>2</w:t>
            </w:r>
          </w:p>
        </w:tc>
        <w:tc>
          <w:tcPr>
            <w:tcW w:w="2977" w:type="dxa"/>
            <w:tcBorders>
              <w:bottom w:val="nil"/>
            </w:tcBorders>
            <w:shd w:val="clear" w:color="auto" w:fill="CCCCCC"/>
            <w:vAlign w:val="bottom"/>
          </w:tcPr>
          <w:p w14:paraId="4576EB67" w14:textId="77777777" w:rsidR="00DE5CE3" w:rsidRPr="0096560E" w:rsidRDefault="00DE5CE3" w:rsidP="00D11E39">
            <w:pPr>
              <w:jc w:val="center"/>
              <w:cnfStyle w:val="000000010000" w:firstRow="0" w:lastRow="0" w:firstColumn="0" w:lastColumn="0" w:oddVBand="0" w:evenVBand="0" w:oddHBand="0" w:evenHBand="1" w:firstRowFirstColumn="0" w:firstRowLastColumn="0" w:lastRowFirstColumn="0" w:lastRowLastColumn="0"/>
              <w:rPr>
                <w:szCs w:val="20"/>
              </w:rPr>
            </w:pPr>
            <w:r w:rsidRPr="0096560E">
              <w:rPr>
                <w:szCs w:val="20"/>
              </w:rPr>
              <w:t>32.7</w:t>
            </w:r>
          </w:p>
        </w:tc>
        <w:tc>
          <w:tcPr>
            <w:tcW w:w="2693" w:type="dxa"/>
            <w:tcBorders>
              <w:bottom w:val="nil"/>
            </w:tcBorders>
            <w:shd w:val="clear" w:color="auto" w:fill="CCCCCC"/>
            <w:vAlign w:val="bottom"/>
          </w:tcPr>
          <w:p w14:paraId="7E31A568" w14:textId="77777777" w:rsidR="00DE5CE3" w:rsidRPr="0096560E" w:rsidRDefault="00DE5CE3" w:rsidP="00D11E39">
            <w:pPr>
              <w:jc w:val="center"/>
              <w:cnfStyle w:val="000000010000" w:firstRow="0" w:lastRow="0" w:firstColumn="0" w:lastColumn="0" w:oddVBand="0" w:evenVBand="0" w:oddHBand="0" w:evenHBand="1" w:firstRowFirstColumn="0" w:firstRowLastColumn="0" w:lastRowFirstColumn="0" w:lastRowLastColumn="0"/>
              <w:rPr>
                <w:szCs w:val="20"/>
              </w:rPr>
            </w:pPr>
            <w:r w:rsidRPr="0096560E">
              <w:rPr>
                <w:szCs w:val="20"/>
              </w:rPr>
              <w:t>31.2</w:t>
            </w:r>
          </w:p>
        </w:tc>
      </w:tr>
      <w:tr w:rsidR="00DE5CE3" w:rsidRPr="0096560E" w14:paraId="089343AA" w14:textId="77777777" w:rsidTr="009251A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auto"/>
            <w:vAlign w:val="bottom"/>
          </w:tcPr>
          <w:p w14:paraId="08D4AADA" w14:textId="77777777" w:rsidR="00DE5CE3" w:rsidRPr="0096560E" w:rsidRDefault="00DE5CE3" w:rsidP="00D11E39">
            <w:pPr>
              <w:rPr>
                <w:szCs w:val="20"/>
              </w:rPr>
            </w:pPr>
            <w:r w:rsidRPr="0096560E">
              <w:rPr>
                <w:szCs w:val="20"/>
              </w:rPr>
              <w:t>3</w:t>
            </w:r>
          </w:p>
        </w:tc>
        <w:tc>
          <w:tcPr>
            <w:tcW w:w="2977" w:type="dxa"/>
            <w:tcBorders>
              <w:bottom w:val="nil"/>
            </w:tcBorders>
            <w:shd w:val="clear" w:color="auto" w:fill="auto"/>
            <w:vAlign w:val="bottom"/>
          </w:tcPr>
          <w:p w14:paraId="61AB2D2F" w14:textId="77777777" w:rsidR="00DE5CE3" w:rsidRPr="0096560E" w:rsidRDefault="00DE5CE3" w:rsidP="00D11E39">
            <w:pPr>
              <w:jc w:val="center"/>
              <w:cnfStyle w:val="000000100000" w:firstRow="0" w:lastRow="0" w:firstColumn="0" w:lastColumn="0" w:oddVBand="0" w:evenVBand="0" w:oddHBand="1" w:evenHBand="0" w:firstRowFirstColumn="0" w:firstRowLastColumn="0" w:lastRowFirstColumn="0" w:lastRowLastColumn="0"/>
              <w:rPr>
                <w:szCs w:val="20"/>
              </w:rPr>
            </w:pPr>
            <w:r w:rsidRPr="0096560E">
              <w:rPr>
                <w:szCs w:val="20"/>
              </w:rPr>
              <w:t>10.4</w:t>
            </w:r>
          </w:p>
        </w:tc>
        <w:tc>
          <w:tcPr>
            <w:tcW w:w="2693" w:type="dxa"/>
            <w:tcBorders>
              <w:bottom w:val="nil"/>
            </w:tcBorders>
            <w:shd w:val="clear" w:color="auto" w:fill="auto"/>
            <w:vAlign w:val="bottom"/>
          </w:tcPr>
          <w:p w14:paraId="7EF1428E" w14:textId="77777777" w:rsidR="00DE5CE3" w:rsidRPr="0096560E" w:rsidRDefault="00DE5CE3" w:rsidP="00D11E39">
            <w:pPr>
              <w:jc w:val="center"/>
              <w:cnfStyle w:val="000000100000" w:firstRow="0" w:lastRow="0" w:firstColumn="0" w:lastColumn="0" w:oddVBand="0" w:evenVBand="0" w:oddHBand="1" w:evenHBand="0" w:firstRowFirstColumn="0" w:firstRowLastColumn="0" w:lastRowFirstColumn="0" w:lastRowLastColumn="0"/>
              <w:rPr>
                <w:szCs w:val="20"/>
              </w:rPr>
            </w:pPr>
            <w:r w:rsidRPr="0096560E">
              <w:rPr>
                <w:szCs w:val="20"/>
              </w:rPr>
              <w:t>10.8</w:t>
            </w:r>
          </w:p>
        </w:tc>
      </w:tr>
      <w:tr w:rsidR="00DE5CE3" w:rsidRPr="0096560E" w14:paraId="13FA52D7" w14:textId="77777777" w:rsidTr="009251A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CCCCCC"/>
            <w:vAlign w:val="bottom"/>
          </w:tcPr>
          <w:p w14:paraId="149790D3" w14:textId="77777777" w:rsidR="00DE5CE3" w:rsidRPr="0096560E" w:rsidRDefault="00DE5CE3" w:rsidP="00D11E39">
            <w:pPr>
              <w:rPr>
                <w:szCs w:val="20"/>
              </w:rPr>
            </w:pPr>
            <w:r w:rsidRPr="0096560E">
              <w:rPr>
                <w:szCs w:val="20"/>
              </w:rPr>
              <w:t>4 or more</w:t>
            </w:r>
          </w:p>
        </w:tc>
        <w:tc>
          <w:tcPr>
            <w:tcW w:w="2977" w:type="dxa"/>
            <w:tcBorders>
              <w:bottom w:val="nil"/>
            </w:tcBorders>
            <w:shd w:val="clear" w:color="auto" w:fill="CCCCCC"/>
            <w:vAlign w:val="bottom"/>
          </w:tcPr>
          <w:p w14:paraId="159BADBF" w14:textId="77777777" w:rsidR="00DE5CE3" w:rsidRPr="0096560E" w:rsidRDefault="00DE5CE3" w:rsidP="00D11E39">
            <w:pPr>
              <w:jc w:val="center"/>
              <w:cnfStyle w:val="000000010000" w:firstRow="0" w:lastRow="0" w:firstColumn="0" w:lastColumn="0" w:oddVBand="0" w:evenVBand="0" w:oddHBand="0" w:evenHBand="1" w:firstRowFirstColumn="0" w:firstRowLastColumn="0" w:lastRowFirstColumn="0" w:lastRowLastColumn="0"/>
              <w:rPr>
                <w:szCs w:val="20"/>
              </w:rPr>
            </w:pPr>
            <w:r w:rsidRPr="0096560E">
              <w:rPr>
                <w:szCs w:val="20"/>
              </w:rPr>
              <w:t>3.5</w:t>
            </w:r>
          </w:p>
        </w:tc>
        <w:tc>
          <w:tcPr>
            <w:tcW w:w="2693" w:type="dxa"/>
            <w:tcBorders>
              <w:bottom w:val="nil"/>
            </w:tcBorders>
            <w:shd w:val="clear" w:color="auto" w:fill="CCCCCC"/>
            <w:vAlign w:val="bottom"/>
          </w:tcPr>
          <w:p w14:paraId="1065299E" w14:textId="77777777" w:rsidR="00DE5CE3" w:rsidRPr="0096560E" w:rsidRDefault="00DE5CE3" w:rsidP="00D11E39">
            <w:pPr>
              <w:jc w:val="center"/>
              <w:cnfStyle w:val="000000010000" w:firstRow="0" w:lastRow="0" w:firstColumn="0" w:lastColumn="0" w:oddVBand="0" w:evenVBand="0" w:oddHBand="0" w:evenHBand="1" w:firstRowFirstColumn="0" w:firstRowLastColumn="0" w:lastRowFirstColumn="0" w:lastRowLastColumn="0"/>
              <w:rPr>
                <w:szCs w:val="20"/>
              </w:rPr>
            </w:pPr>
            <w:r w:rsidRPr="0096560E">
              <w:rPr>
                <w:szCs w:val="20"/>
              </w:rPr>
              <w:t>3.1</w:t>
            </w:r>
          </w:p>
        </w:tc>
      </w:tr>
      <w:tr w:rsidR="00DE5CE3" w:rsidRPr="0096560E" w14:paraId="48760569" w14:textId="77777777" w:rsidTr="009251A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835" w:type="dxa"/>
            <w:tcBorders>
              <w:top w:val="nil"/>
              <w:bottom w:val="single" w:sz="4" w:space="0" w:color="auto"/>
            </w:tcBorders>
            <w:shd w:val="clear" w:color="auto" w:fill="auto"/>
            <w:vAlign w:val="bottom"/>
          </w:tcPr>
          <w:p w14:paraId="0548BDAD" w14:textId="77777777" w:rsidR="00DE5CE3" w:rsidRPr="0096560E" w:rsidRDefault="00DE5CE3" w:rsidP="00D11E39">
            <w:pPr>
              <w:rPr>
                <w:szCs w:val="20"/>
              </w:rPr>
            </w:pPr>
            <w:r w:rsidRPr="0096560E">
              <w:rPr>
                <w:szCs w:val="20"/>
              </w:rPr>
              <w:t xml:space="preserve">Total </w:t>
            </w:r>
          </w:p>
        </w:tc>
        <w:tc>
          <w:tcPr>
            <w:tcW w:w="2977" w:type="dxa"/>
            <w:tcBorders>
              <w:top w:val="nil"/>
              <w:bottom w:val="single" w:sz="4" w:space="0" w:color="auto"/>
            </w:tcBorders>
            <w:shd w:val="clear" w:color="auto" w:fill="auto"/>
            <w:vAlign w:val="bottom"/>
          </w:tcPr>
          <w:p w14:paraId="52A158D5" w14:textId="77777777" w:rsidR="00DE5CE3" w:rsidRPr="0096560E" w:rsidRDefault="00DE5CE3" w:rsidP="00D11E39">
            <w:pPr>
              <w:jc w:val="center"/>
              <w:cnfStyle w:val="000000100000" w:firstRow="0" w:lastRow="0" w:firstColumn="0" w:lastColumn="0" w:oddVBand="0" w:evenVBand="0" w:oddHBand="1" w:evenHBand="0" w:firstRowFirstColumn="0" w:firstRowLastColumn="0" w:lastRowFirstColumn="0" w:lastRowLastColumn="0"/>
              <w:rPr>
                <w:b/>
                <w:bCs/>
                <w:szCs w:val="20"/>
              </w:rPr>
            </w:pPr>
            <w:r w:rsidRPr="0096560E">
              <w:rPr>
                <w:b/>
                <w:bCs/>
                <w:szCs w:val="20"/>
              </w:rPr>
              <w:t>100.0</w:t>
            </w:r>
          </w:p>
        </w:tc>
        <w:tc>
          <w:tcPr>
            <w:tcW w:w="2693" w:type="dxa"/>
            <w:tcBorders>
              <w:top w:val="nil"/>
              <w:bottom w:val="single" w:sz="4" w:space="0" w:color="auto"/>
            </w:tcBorders>
            <w:shd w:val="clear" w:color="auto" w:fill="auto"/>
            <w:vAlign w:val="bottom"/>
          </w:tcPr>
          <w:p w14:paraId="12D9CC0F" w14:textId="77777777" w:rsidR="00DE5CE3" w:rsidRPr="0096560E" w:rsidRDefault="00DE5CE3" w:rsidP="00D11E39">
            <w:pPr>
              <w:jc w:val="center"/>
              <w:cnfStyle w:val="000000100000" w:firstRow="0" w:lastRow="0" w:firstColumn="0" w:lastColumn="0" w:oddVBand="0" w:evenVBand="0" w:oddHBand="1" w:evenHBand="0" w:firstRowFirstColumn="0" w:firstRowLastColumn="0" w:lastRowFirstColumn="0" w:lastRowLastColumn="0"/>
              <w:rPr>
                <w:b/>
                <w:bCs/>
                <w:szCs w:val="20"/>
              </w:rPr>
            </w:pPr>
            <w:r w:rsidRPr="0096560E">
              <w:rPr>
                <w:b/>
                <w:bCs/>
                <w:szCs w:val="20"/>
              </w:rPr>
              <w:t>100.0</w:t>
            </w:r>
          </w:p>
        </w:tc>
      </w:tr>
    </w:tbl>
    <w:p w14:paraId="69D08FC9" w14:textId="2F765F10" w:rsidR="00700D57" w:rsidRPr="00437DC9" w:rsidRDefault="00700D57" w:rsidP="00700D57">
      <w:pPr>
        <w:pStyle w:val="SourceandNotes"/>
      </w:pPr>
      <w:r w:rsidRPr="005E0ED0">
        <w:t xml:space="preserve">Source: The </w:t>
      </w:r>
      <w:r w:rsidRPr="00437DC9">
        <w:t>department</w:t>
      </w:r>
      <w:r w:rsidR="00F8391B">
        <w:t>’</w:t>
      </w:r>
      <w:r w:rsidRPr="00437DC9">
        <w:t>s administrative data</w:t>
      </w:r>
    </w:p>
    <w:p w14:paraId="72BA5C31" w14:textId="6B29A6DA" w:rsidR="00DE5CE3" w:rsidRPr="005E0ED0" w:rsidRDefault="00DE5CE3" w:rsidP="00DE5CE3">
      <w:pPr>
        <w:pStyle w:val="SourceandNotes"/>
      </w:pPr>
      <w:r w:rsidRPr="005E0ED0">
        <w:t>Base: Matched TtW (n=</w:t>
      </w:r>
      <w:r w:rsidR="0054194B">
        <w:t>8,361</w:t>
      </w:r>
      <w:r w:rsidRPr="005E0ED0">
        <w:t>) and jobactive (n=8</w:t>
      </w:r>
      <w:r w:rsidR="001F2478">
        <w:t>,</w:t>
      </w:r>
      <w:r w:rsidRPr="005E0ED0">
        <w:t xml:space="preserve">361) </w:t>
      </w:r>
      <w:r>
        <w:t>sample</w:t>
      </w:r>
      <w:r w:rsidRPr="005E0ED0">
        <w:t>s</w:t>
      </w:r>
    </w:p>
    <w:p w14:paraId="726FB5D7" w14:textId="77777777" w:rsidR="00DE5CE3" w:rsidRDefault="00DE5CE3" w:rsidP="009251AF">
      <w:pPr>
        <w:pStyle w:val="Heading4a"/>
      </w:pPr>
      <w:r>
        <w:t>Movement between employment programs</w:t>
      </w:r>
    </w:p>
    <w:p w14:paraId="429FE4A1" w14:textId="4B0DDCDC" w:rsidR="00DE5CE3" w:rsidRDefault="00DE5CE3" w:rsidP="00DE5CE3">
      <w:r>
        <w:t xml:space="preserve">Participants were either in TtW (the TtW sample) or jobactive (the jobactive sample) at referral. Over the study period, there was significant movement between and out of employment programs </w:t>
      </w:r>
      <w:r w:rsidRPr="00D81F43">
        <w:t>(</w:t>
      </w:r>
      <w:r w:rsidR="00B80C93" w:rsidRPr="00B80C93">
        <w:rPr>
          <w:b/>
          <w:bCs/>
        </w:rPr>
        <w:fldChar w:fldCharType="begin"/>
      </w:r>
      <w:r w:rsidR="00B80C93" w:rsidRPr="00B80C93">
        <w:rPr>
          <w:b/>
          <w:bCs/>
        </w:rPr>
        <w:instrText xml:space="preserve"> REF _Ref136531357 \h  \* MERGEFORMAT </w:instrText>
      </w:r>
      <w:r w:rsidR="00B80C93" w:rsidRPr="00B80C93">
        <w:rPr>
          <w:b/>
          <w:bCs/>
        </w:rPr>
      </w:r>
      <w:r w:rsidR="00B80C93" w:rsidRPr="00B80C93">
        <w:rPr>
          <w:b/>
          <w:bCs/>
        </w:rPr>
        <w:fldChar w:fldCharType="separate"/>
      </w:r>
      <w:r w:rsidR="00180E14" w:rsidRPr="00180E14">
        <w:rPr>
          <w:b/>
          <w:bCs/>
        </w:rPr>
        <w:t xml:space="preserve">Figure </w:t>
      </w:r>
      <w:r w:rsidR="00180E14" w:rsidRPr="00180E14">
        <w:rPr>
          <w:b/>
          <w:bCs/>
          <w:noProof/>
        </w:rPr>
        <w:t>49</w:t>
      </w:r>
      <w:r w:rsidR="00B80C93" w:rsidRPr="00B80C93">
        <w:rPr>
          <w:b/>
          <w:bCs/>
        </w:rPr>
        <w:fldChar w:fldCharType="end"/>
      </w:r>
      <w:r w:rsidR="00B80C93" w:rsidRPr="00B80C93">
        <w:rPr>
          <w:b/>
          <w:bCs/>
        </w:rPr>
        <w:t xml:space="preserve"> </w:t>
      </w:r>
      <w:r w:rsidR="00B80C93" w:rsidRPr="00B80C93">
        <w:t>and</w:t>
      </w:r>
      <w:r w:rsidR="00B80C93" w:rsidRPr="00B80C93">
        <w:rPr>
          <w:b/>
          <w:bCs/>
        </w:rPr>
        <w:t xml:space="preserve"> </w:t>
      </w:r>
      <w:r w:rsidR="00B80C93" w:rsidRPr="00B80C93">
        <w:rPr>
          <w:b/>
          <w:bCs/>
        </w:rPr>
        <w:fldChar w:fldCharType="begin"/>
      </w:r>
      <w:r w:rsidR="00B80C93" w:rsidRPr="00B80C93">
        <w:rPr>
          <w:b/>
          <w:bCs/>
        </w:rPr>
        <w:instrText xml:space="preserve"> REF _Ref136531405 \h </w:instrText>
      </w:r>
      <w:r w:rsidR="00B80C93">
        <w:rPr>
          <w:b/>
          <w:bCs/>
        </w:rPr>
        <w:instrText xml:space="preserve"> \* MERGEFORMAT </w:instrText>
      </w:r>
      <w:r w:rsidR="00B80C93" w:rsidRPr="00B80C93">
        <w:rPr>
          <w:b/>
          <w:bCs/>
        </w:rPr>
      </w:r>
      <w:r w:rsidR="00B80C93" w:rsidRPr="00B80C93">
        <w:rPr>
          <w:b/>
          <w:bCs/>
        </w:rPr>
        <w:fldChar w:fldCharType="separate"/>
      </w:r>
      <w:r w:rsidR="00180E14" w:rsidRPr="00180E14">
        <w:rPr>
          <w:b/>
          <w:bCs/>
        </w:rPr>
        <w:t xml:space="preserve">Figure </w:t>
      </w:r>
      <w:r w:rsidR="00180E14" w:rsidRPr="00180E14">
        <w:rPr>
          <w:b/>
          <w:bCs/>
          <w:noProof/>
        </w:rPr>
        <w:t>50</w:t>
      </w:r>
      <w:r w:rsidR="00B80C93" w:rsidRPr="00B80C93">
        <w:rPr>
          <w:b/>
          <w:bCs/>
        </w:rPr>
        <w:fldChar w:fldCharType="end"/>
      </w:r>
      <w:r w:rsidR="00B80C93">
        <w:t>)</w:t>
      </w:r>
    </w:p>
    <w:p w14:paraId="0B12C125" w14:textId="56C3F171" w:rsidR="00DE5CE3" w:rsidRDefault="00DE5CE3" w:rsidP="00DE5CE3">
      <w:r>
        <w:t>By month 24 both TtW and jobactive participants are displaying a similar distribution across jobactive, other programs, TtW or not in program, which is even more pronounced by month 36</w:t>
      </w:r>
      <w:r w:rsidR="00466273">
        <w:t>.</w:t>
      </w:r>
      <w:r>
        <w:rPr>
          <w:rStyle w:val="FootnoteReference"/>
        </w:rPr>
        <w:footnoteReference w:id="118"/>
      </w:r>
      <w:r>
        <w:t xml:space="preserve"> By month 36, the majority of participants from both programs have either moved out of employment services</w:t>
      </w:r>
      <w:r w:rsidRPr="00B91872">
        <w:rPr>
          <w:rStyle w:val="FootnoteReference"/>
        </w:rPr>
        <w:footnoteReference w:id="119"/>
      </w:r>
      <w:r>
        <w:t xml:space="preserve"> (62% of TtW participants, and 60% of jobactive participants) or are in jobactive (27% of TtW participants, and 29% of jobactive participants).</w:t>
      </w:r>
    </w:p>
    <w:p w14:paraId="698854F2" w14:textId="0998E745" w:rsidR="00DE5CE3" w:rsidRDefault="00DE5CE3" w:rsidP="00DE5CE3">
      <w:r>
        <w:t>There was a more rapid and absolute decline in the proportion of the TtW participants remaining in TtW than jobactive participants remaining in jobactive. By month 24 only 5% of TtW participants remained in TtW, while 36% of jobactive participants remained in jobactive. This is not surprising. TtW is a time</w:t>
      </w:r>
      <w:r w:rsidR="001F2478">
        <w:t>-</w:t>
      </w:r>
      <w:r>
        <w:t>limited service. Participants were only able to remain in TtW for longer than 12</w:t>
      </w:r>
      <w:r w:rsidR="001F2478">
        <w:t> </w:t>
      </w:r>
      <w:r>
        <w:t>months if they were tracking for an outcome. Additionally, TtW has a focus on pre-employment support, so participants may have chosen to transfer to jobactive for a more employment</w:t>
      </w:r>
      <w:r w:rsidR="003D7E8F">
        <w:t>-</w:t>
      </w:r>
      <w:r>
        <w:t>focused service. Eligibility criteria limit the number of people who can move from jobactive to TtW, though jobactive providers can refer Stream C participants who they</w:t>
      </w:r>
      <w:r w:rsidR="00243694">
        <w:t xml:space="preserve"> think</w:t>
      </w:r>
      <w:r>
        <w:t xml:space="preserve"> will benefit from participation in TtW.</w:t>
      </w:r>
    </w:p>
    <w:p w14:paraId="2E2FC412" w14:textId="640F51BF" w:rsidR="00DE5CE3" w:rsidRDefault="00DE5CE3" w:rsidP="00DE5CE3">
      <w:pPr>
        <w:pStyle w:val="Caption"/>
        <w:keepNext/>
      </w:pPr>
      <w:bookmarkStart w:id="3944" w:name="_Ref136531357"/>
      <w:bookmarkStart w:id="3945" w:name="_Toc132647890"/>
      <w:bookmarkStart w:id="3946" w:name="_Toc145883359"/>
      <w:r>
        <w:lastRenderedPageBreak/>
        <w:t xml:space="preserve">Figure </w:t>
      </w:r>
      <w:r w:rsidR="00BE71D4">
        <w:fldChar w:fldCharType="begin"/>
      </w:r>
      <w:r w:rsidR="00BE71D4">
        <w:instrText xml:space="preserve"> SEQ Figure \* ARABIC </w:instrText>
      </w:r>
      <w:r w:rsidR="00BE71D4">
        <w:fldChar w:fldCharType="separate"/>
      </w:r>
      <w:r w:rsidR="00180E14">
        <w:rPr>
          <w:noProof/>
        </w:rPr>
        <w:t>49</w:t>
      </w:r>
      <w:r w:rsidR="00BE71D4">
        <w:rPr>
          <w:noProof/>
        </w:rPr>
        <w:fldChar w:fldCharType="end"/>
      </w:r>
      <w:bookmarkEnd w:id="3944"/>
      <w:r>
        <w:t xml:space="preserve">: </w:t>
      </w:r>
      <w:r w:rsidRPr="0050366F">
        <w:t xml:space="preserve">Program types since commencement (TtW </w:t>
      </w:r>
      <w:r>
        <w:t>sample</w:t>
      </w:r>
      <w:r w:rsidRPr="0050366F">
        <w:t>)</w:t>
      </w:r>
      <w:r w:rsidR="008763D5">
        <w:t xml:space="preserve"> (</w:t>
      </w:r>
      <w:r w:rsidR="0088479A">
        <w:t>%</w:t>
      </w:r>
      <w:r w:rsidR="008763D5">
        <w:t xml:space="preserve"> of participants in each program)</w:t>
      </w:r>
      <w:bookmarkStart w:id="3947" w:name="_Hlk124856220"/>
      <w:bookmarkEnd w:id="3945"/>
      <w:bookmarkEnd w:id="3946"/>
    </w:p>
    <w:p w14:paraId="7981BF8D" w14:textId="1477D23F" w:rsidR="00DE5CE3" w:rsidRDefault="008E1868" w:rsidP="00DE5CE3">
      <w:pPr>
        <w:rPr>
          <w:rFonts w:asciiTheme="majorHAnsi" w:eastAsiaTheme="majorEastAsia" w:hAnsiTheme="majorHAnsi" w:cstheme="majorBidi"/>
          <w:color w:val="002D3F"/>
          <w:sz w:val="26"/>
          <w:szCs w:val="26"/>
        </w:rPr>
      </w:pPr>
      <w:r>
        <w:rPr>
          <w:rFonts w:asciiTheme="majorHAnsi" w:eastAsiaTheme="majorEastAsia" w:hAnsiTheme="majorHAnsi" w:cstheme="majorBidi"/>
          <w:noProof/>
          <w:color w:val="002D3F"/>
          <w:sz w:val="26"/>
          <w:szCs w:val="26"/>
        </w:rPr>
        <w:drawing>
          <wp:inline distT="0" distB="0" distL="0" distR="0" wp14:anchorId="1478A380" wp14:editId="3790319E">
            <wp:extent cx="5846445" cy="1749425"/>
            <wp:effectExtent l="0" t="0" r="1905" b="3175"/>
            <wp:docPr id="103" name="Picture 103"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 showing the trends discussed in the preceding paragraphs."/>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46445" cy="1749425"/>
                    </a:xfrm>
                    <a:prstGeom prst="rect">
                      <a:avLst/>
                    </a:prstGeom>
                    <a:noFill/>
                  </pic:spPr>
                </pic:pic>
              </a:graphicData>
            </a:graphic>
          </wp:inline>
        </w:drawing>
      </w:r>
    </w:p>
    <w:p w14:paraId="0FE0F1D8" w14:textId="49ECEC67" w:rsidR="001C6344" w:rsidRPr="005E0ED0" w:rsidRDefault="001C6344" w:rsidP="001C6344">
      <w:pPr>
        <w:pStyle w:val="SourceandNotes"/>
      </w:pPr>
      <w:r w:rsidRPr="005E0ED0">
        <w:t>Source: The department</w:t>
      </w:r>
      <w:r w:rsidR="00F8391B">
        <w:t>’</w:t>
      </w:r>
      <w:r w:rsidRPr="005E0ED0">
        <w:t>s administrative data</w:t>
      </w:r>
    </w:p>
    <w:p w14:paraId="019E7C56" w14:textId="2135F6F3" w:rsidR="00DE5CE3" w:rsidRPr="005E0ED0" w:rsidRDefault="00DE5CE3" w:rsidP="00DE5CE3">
      <w:pPr>
        <w:pStyle w:val="SourceandNotes"/>
      </w:pPr>
      <w:r w:rsidRPr="005E0ED0">
        <w:t xml:space="preserve">Base: Matched TtW </w:t>
      </w:r>
      <w:r>
        <w:t>sample</w:t>
      </w:r>
      <w:r w:rsidRPr="005E0ED0">
        <w:t xml:space="preserve"> (n=</w:t>
      </w:r>
      <w:r w:rsidR="0054194B">
        <w:t>8,361</w:t>
      </w:r>
      <w:r w:rsidRPr="005E0ED0">
        <w:t>)</w:t>
      </w:r>
    </w:p>
    <w:p w14:paraId="3814A950" w14:textId="3AD56694" w:rsidR="00DE5CE3" w:rsidRPr="005E0ED0" w:rsidRDefault="00DE5CE3" w:rsidP="00DE5CE3">
      <w:pPr>
        <w:pStyle w:val="SourceandNotes"/>
      </w:pPr>
      <w:r w:rsidRPr="005E0ED0">
        <w:t>Note: Other programs include DESA, DESB and ParentsNext</w:t>
      </w:r>
    </w:p>
    <w:p w14:paraId="01A69930" w14:textId="55013ECF" w:rsidR="00DE5CE3" w:rsidRDefault="00DE5CE3" w:rsidP="00DE5CE3">
      <w:pPr>
        <w:pStyle w:val="Caption"/>
        <w:keepNext/>
        <w:rPr>
          <w:rFonts w:ascii="Calibri" w:eastAsia="Calibri" w:hAnsi="Calibri" w:cs="Arial"/>
          <w:sz w:val="16"/>
          <w:szCs w:val="20"/>
        </w:rPr>
      </w:pPr>
      <w:bookmarkStart w:id="3948" w:name="_Ref136531405"/>
      <w:bookmarkStart w:id="3949" w:name="_Toc132647891"/>
      <w:bookmarkStart w:id="3950" w:name="_Toc145883360"/>
      <w:r>
        <w:t xml:space="preserve">Figure </w:t>
      </w:r>
      <w:r w:rsidR="00BE71D4">
        <w:fldChar w:fldCharType="begin"/>
      </w:r>
      <w:r w:rsidR="00BE71D4">
        <w:instrText xml:space="preserve"> SEQ Figure \* ARABIC </w:instrText>
      </w:r>
      <w:r w:rsidR="00BE71D4">
        <w:fldChar w:fldCharType="separate"/>
      </w:r>
      <w:r w:rsidR="00180E14">
        <w:rPr>
          <w:noProof/>
        </w:rPr>
        <w:t>50</w:t>
      </w:r>
      <w:r w:rsidR="00BE71D4">
        <w:rPr>
          <w:noProof/>
        </w:rPr>
        <w:fldChar w:fldCharType="end"/>
      </w:r>
      <w:bookmarkEnd w:id="3948"/>
      <w:r>
        <w:t xml:space="preserve">: </w:t>
      </w:r>
      <w:r w:rsidRPr="001373D2">
        <w:t xml:space="preserve">Program types since commencement </w:t>
      </w:r>
      <w:r>
        <w:t>(jobactive</w:t>
      </w:r>
      <w:r w:rsidR="00DC2219">
        <w:t xml:space="preserve"> </w:t>
      </w:r>
      <w:r>
        <w:t>sample)</w:t>
      </w:r>
      <w:r w:rsidR="008763D5">
        <w:t xml:space="preserve"> (</w:t>
      </w:r>
      <w:r w:rsidR="0088479A">
        <w:t>%</w:t>
      </w:r>
      <w:r w:rsidR="008763D5">
        <w:t xml:space="preserve"> of participants in each program)</w:t>
      </w:r>
      <w:bookmarkEnd w:id="3949"/>
      <w:bookmarkEnd w:id="3950"/>
    </w:p>
    <w:p w14:paraId="6F4F873F" w14:textId="642DE4B0" w:rsidR="00DE5CE3" w:rsidRDefault="008E1868" w:rsidP="00DE5CE3">
      <w:pPr>
        <w:pStyle w:val="Caption"/>
      </w:pPr>
      <w:r>
        <w:rPr>
          <w:noProof/>
        </w:rPr>
        <w:drawing>
          <wp:inline distT="0" distB="0" distL="0" distR="0" wp14:anchorId="68EF1DCD" wp14:editId="04A3728A">
            <wp:extent cx="5712460" cy="2524125"/>
            <wp:effectExtent l="0" t="0" r="2540" b="9525"/>
            <wp:docPr id="111" name="Picture 111"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raph showing the trends discussed in the preceding paragraphs."/>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12460" cy="2524125"/>
                    </a:xfrm>
                    <a:prstGeom prst="rect">
                      <a:avLst/>
                    </a:prstGeom>
                    <a:noFill/>
                  </pic:spPr>
                </pic:pic>
              </a:graphicData>
            </a:graphic>
          </wp:inline>
        </w:drawing>
      </w:r>
    </w:p>
    <w:p w14:paraId="406BFCCC" w14:textId="27CD0F2A" w:rsidR="00700D57" w:rsidRPr="00437DC9" w:rsidRDefault="00700D57" w:rsidP="00700D57">
      <w:pPr>
        <w:pStyle w:val="SourceandNotes"/>
      </w:pPr>
      <w:r w:rsidRPr="005E0ED0">
        <w:t xml:space="preserve">Source: The </w:t>
      </w:r>
      <w:r w:rsidRPr="00437DC9">
        <w:t>department</w:t>
      </w:r>
      <w:r w:rsidR="00F8391B">
        <w:t>’</w:t>
      </w:r>
      <w:r w:rsidRPr="00437DC9">
        <w:t>s administrative data</w:t>
      </w:r>
    </w:p>
    <w:p w14:paraId="590480A9" w14:textId="18CB5FFB" w:rsidR="00DE5CE3" w:rsidRPr="005E0ED0" w:rsidRDefault="00DE5CE3" w:rsidP="00DE5CE3">
      <w:pPr>
        <w:pStyle w:val="SourceandNotes"/>
      </w:pPr>
      <w:r w:rsidRPr="005E0ED0">
        <w:t xml:space="preserve">Base: Matched jobactive </w:t>
      </w:r>
      <w:r>
        <w:t>sample</w:t>
      </w:r>
      <w:r w:rsidRPr="005E0ED0">
        <w:t xml:space="preserve"> (n=</w:t>
      </w:r>
      <w:r w:rsidR="0054194B">
        <w:t>8,361</w:t>
      </w:r>
      <w:r w:rsidRPr="005E0ED0">
        <w:t>)</w:t>
      </w:r>
    </w:p>
    <w:p w14:paraId="5AA1DD58" w14:textId="714C0102" w:rsidR="00DE5CE3" w:rsidRPr="005E0ED0" w:rsidRDefault="00DE5CE3" w:rsidP="00DE5CE3">
      <w:pPr>
        <w:pStyle w:val="SourceandNotes"/>
      </w:pPr>
      <w:r w:rsidRPr="005E0ED0">
        <w:t>Note: Other programs include DESA, DESB and ParentsNext</w:t>
      </w:r>
    </w:p>
    <w:p w14:paraId="7ACB7B65" w14:textId="4C6E601D" w:rsidR="00DE5CE3" w:rsidRDefault="006546C8" w:rsidP="009251AF">
      <w:pPr>
        <w:pStyle w:val="Heading2a"/>
      </w:pPr>
      <w:bookmarkStart w:id="3951" w:name="_Toc132650545"/>
      <w:bookmarkStart w:id="3952" w:name="_Toc146033574"/>
      <w:bookmarkEnd w:id="3947"/>
      <w:r>
        <w:t>Construction</w:t>
      </w:r>
      <w:r w:rsidR="00A922E3">
        <w:t xml:space="preserve"> of the </w:t>
      </w:r>
      <w:r w:rsidR="00F8391B">
        <w:t>‘</w:t>
      </w:r>
      <w:r w:rsidR="00023E59">
        <w:t>employment-related</w:t>
      </w:r>
      <w:r w:rsidR="00F8391B">
        <w:t>’</w:t>
      </w:r>
      <w:r w:rsidR="00A922E3">
        <w:t xml:space="preserve"> income support exit indicator</w:t>
      </w:r>
      <w:bookmarkEnd w:id="3951"/>
      <w:bookmarkEnd w:id="3952"/>
    </w:p>
    <w:p w14:paraId="63409A68" w14:textId="36126A45" w:rsidR="00DE5CE3" w:rsidRDefault="00DE5CE3" w:rsidP="00DE5CE3">
      <w:r>
        <w:rPr>
          <w:rFonts w:eastAsia="Times New Roman"/>
          <w:lang w:eastAsia="en-AU"/>
        </w:rPr>
        <w:t>The off-income</w:t>
      </w:r>
      <w:r w:rsidR="0054194B">
        <w:rPr>
          <w:rFonts w:eastAsia="Times New Roman"/>
          <w:lang w:eastAsia="en-AU"/>
        </w:rPr>
        <w:t>-</w:t>
      </w:r>
      <w:r>
        <w:rPr>
          <w:rFonts w:eastAsia="Times New Roman"/>
          <w:lang w:eastAsia="en-AU"/>
        </w:rPr>
        <w:t xml:space="preserve">support measure has been used previously to evaluate employment program </w:t>
      </w:r>
      <w:r w:rsidRPr="008A17F6">
        <w:rPr>
          <w:rFonts w:eastAsia="Times New Roman"/>
          <w:lang w:eastAsia="en-AU"/>
        </w:rPr>
        <w:t xml:space="preserve">success. </w:t>
      </w:r>
      <w:r w:rsidRPr="008A17F6">
        <w:t>Each individual</w:t>
      </w:r>
      <w:r>
        <w:t xml:space="preserve"> in the study sample was flagged as off income support at 28</w:t>
      </w:r>
      <w:r w:rsidR="0054194B">
        <w:t>-</w:t>
      </w:r>
      <w:r>
        <w:t>day intervals from the commencement date.</w:t>
      </w:r>
    </w:p>
    <w:p w14:paraId="407066F1" w14:textId="7B83BA52" w:rsidR="00DE5CE3" w:rsidRDefault="00DE5CE3" w:rsidP="00DE5CE3">
      <w:r>
        <w:t>It</w:t>
      </w:r>
      <w:r w:rsidRPr="00381E3F">
        <w:t xml:space="preserve"> is acknowledged that leaving income support can be a result of many factors</w:t>
      </w:r>
      <w:r>
        <w:t>. In order to refine the off-income</w:t>
      </w:r>
      <w:r w:rsidR="0054194B">
        <w:t>-</w:t>
      </w:r>
      <w:r>
        <w:t>support indicator, participants</w:t>
      </w:r>
      <w:r w:rsidR="00F8391B">
        <w:t>’</w:t>
      </w:r>
      <w:r>
        <w:t xml:space="preserve"> exit from income support was further linked to the associated reason for exiting employment services.</w:t>
      </w:r>
    </w:p>
    <w:p w14:paraId="3329F941" w14:textId="2497C9FB" w:rsidR="00DE5CE3" w:rsidRDefault="00DE5CE3" w:rsidP="00DE5CE3">
      <w:r>
        <w:lastRenderedPageBreak/>
        <w:t xml:space="preserve">Employment </w:t>
      </w:r>
      <w:r w:rsidR="0054194B">
        <w:t>s</w:t>
      </w:r>
      <w:r>
        <w:t xml:space="preserve">ervices exit reasons are recorded in the </w:t>
      </w:r>
      <w:r w:rsidR="005F482A">
        <w:t>d</w:t>
      </w:r>
      <w:r>
        <w:t>epartment</w:t>
      </w:r>
      <w:r w:rsidR="0054194B">
        <w:t>’</w:t>
      </w:r>
      <w:r>
        <w:t xml:space="preserve">s IT system when a </w:t>
      </w:r>
      <w:r w:rsidR="005F482A">
        <w:t>participant</w:t>
      </w:r>
      <w:r>
        <w:t xml:space="preserve"> leaves employment services. Work </w:t>
      </w:r>
      <w:r w:rsidR="0054194B">
        <w:t>was</w:t>
      </w:r>
      <w:r>
        <w:t xml:space="preserve"> undertaken in 2018</w:t>
      </w:r>
      <w:r w:rsidR="0054194B">
        <w:t xml:space="preserve"> by</w:t>
      </w:r>
      <w:r>
        <w:t xml:space="preserve"> </w:t>
      </w:r>
      <w:r w:rsidR="00825E4A">
        <w:t>the department to</w:t>
      </w:r>
      <w:r>
        <w:t xml:space="preserve"> examine the possible reasons for exiting recorded in the department</w:t>
      </w:r>
      <w:r w:rsidR="0054194B">
        <w:t>’</w:t>
      </w:r>
      <w:r>
        <w:t xml:space="preserve">s IT system. </w:t>
      </w:r>
      <w:r w:rsidR="000830E3">
        <w:t>There were over</w:t>
      </w:r>
      <w:r>
        <w:t xml:space="preserve"> 1</w:t>
      </w:r>
      <w:r w:rsidR="0054194B">
        <w:t>,</w:t>
      </w:r>
      <w:r>
        <w:t xml:space="preserve">000 reasons </w:t>
      </w:r>
      <w:r w:rsidR="000830E3">
        <w:t xml:space="preserve">listed, and these </w:t>
      </w:r>
      <w:r>
        <w:t xml:space="preserve">were collated into 13 overarching subcategories and the validity of these subcategories was tested using data collected through </w:t>
      </w:r>
      <w:r w:rsidR="009F1529">
        <w:t>p</w:t>
      </w:r>
      <w:r w:rsidR="00825E4A" w:rsidRPr="009F1529">
        <w:t>ost</w:t>
      </w:r>
      <w:r w:rsidR="009F1529">
        <w:t>-p</w:t>
      </w:r>
      <w:r w:rsidR="00825E4A" w:rsidRPr="009F1529">
        <w:t xml:space="preserve">rogram </w:t>
      </w:r>
      <w:r w:rsidR="009F1529">
        <w:t>m</w:t>
      </w:r>
      <w:r w:rsidR="00825E4A" w:rsidRPr="009F1529">
        <w:t>onitoring</w:t>
      </w:r>
      <w:r w:rsidR="00825E4A">
        <w:t xml:space="preserve"> </w:t>
      </w:r>
      <w:r>
        <w:t>surveys. The Data Analytics team continues to update categories into these subcategories. These proxy subcategories include:</w:t>
      </w:r>
    </w:p>
    <w:p w14:paraId="6C4BF3F3" w14:textId="078FD327" w:rsidR="00DE5CE3" w:rsidRDefault="00F02D45" w:rsidP="007F37E0">
      <w:pPr>
        <w:pStyle w:val="ListBullet"/>
      </w:pPr>
      <w:r>
        <w:t>m</w:t>
      </w:r>
      <w:r w:rsidR="00DE5CE3">
        <w:t xml:space="preserve">oved to </w:t>
      </w:r>
      <w:r w:rsidR="00AF1795">
        <w:t>e</w:t>
      </w:r>
      <w:r w:rsidR="00DE5CE3">
        <w:t>mployment</w:t>
      </w:r>
    </w:p>
    <w:p w14:paraId="38DA9A1A" w14:textId="33A44048" w:rsidR="00DE5CE3" w:rsidRDefault="00F02D45" w:rsidP="007F37E0">
      <w:pPr>
        <w:pStyle w:val="ListBullet"/>
      </w:pPr>
      <w:r>
        <w:t>m</w:t>
      </w:r>
      <w:r w:rsidR="00DE5CE3">
        <w:t xml:space="preserve">oved to </w:t>
      </w:r>
      <w:r w:rsidR="00AF1795">
        <w:t>s</w:t>
      </w:r>
      <w:r w:rsidR="00DE5CE3">
        <w:t>tudy</w:t>
      </w:r>
    </w:p>
    <w:p w14:paraId="3556B5C8" w14:textId="5E621399" w:rsidR="00DE5CE3" w:rsidRDefault="00F02D45" w:rsidP="007F37E0">
      <w:pPr>
        <w:pStyle w:val="ListBullet"/>
      </w:pPr>
      <w:r>
        <w:t>n</w:t>
      </w:r>
      <w:r w:rsidR="00DE5CE3">
        <w:t>ot eligible for servicing</w:t>
      </w:r>
    </w:p>
    <w:p w14:paraId="5A88876E" w14:textId="4840624D" w:rsidR="00DE5CE3" w:rsidRDefault="00F02D45" w:rsidP="007F37E0">
      <w:pPr>
        <w:pStyle w:val="ListBullet"/>
      </w:pPr>
      <w:r>
        <w:t>a</w:t>
      </w:r>
      <w:r w:rsidR="00DE5CE3">
        <w:t xml:space="preserve">dministrative failure </w:t>
      </w:r>
      <w:r w:rsidR="003B705A">
        <w:t>before</w:t>
      </w:r>
      <w:r w:rsidR="00DE5CE3">
        <w:t xml:space="preserve"> participation (t</w:t>
      </w:r>
      <w:r w:rsidR="00DE5CE3" w:rsidRPr="003F14AC">
        <w:t>hese can be due to, for example, a job seeker</w:t>
      </w:r>
      <w:r w:rsidR="00F8391B">
        <w:t>’</w:t>
      </w:r>
      <w:r w:rsidR="00DE5CE3" w:rsidRPr="003F14AC">
        <w:t>s claim for income support being rejected, or a job seeker failing to provide required information)</w:t>
      </w:r>
    </w:p>
    <w:p w14:paraId="42C075A1" w14:textId="10EE9947" w:rsidR="00DE5CE3" w:rsidRDefault="00F02D45" w:rsidP="007F37E0">
      <w:pPr>
        <w:pStyle w:val="ListBullet"/>
      </w:pPr>
      <w:r>
        <w:t>a</w:t>
      </w:r>
      <w:r w:rsidR="00DE5CE3">
        <w:t xml:space="preserve">dministrative failure post participation (these were found to be </w:t>
      </w:r>
      <w:r w:rsidR="00DE5CE3" w:rsidRPr="003F14AC">
        <w:t>generally due to an administrative failure, or when a job seeker fails to engage with services and is subsequently exited</w:t>
      </w:r>
      <w:r w:rsidR="0054194B">
        <w:t xml:space="preserve"> –</w:t>
      </w:r>
      <w:r w:rsidR="00DE5CE3" w:rsidRPr="003F14AC">
        <w:t xml:space="preserve"> </w:t>
      </w:r>
      <w:r w:rsidR="0054194B">
        <w:t>f</w:t>
      </w:r>
      <w:r w:rsidR="00DE5CE3" w:rsidRPr="003F14AC">
        <w:t>or example, if a job seeker fails to participate in an activity</w:t>
      </w:r>
      <w:r w:rsidR="00DE5CE3">
        <w:t>, which may be due to the</w:t>
      </w:r>
      <w:r w:rsidR="0054194B">
        <w:t>ir</w:t>
      </w:r>
      <w:r w:rsidR="00DE5CE3">
        <w:t xml:space="preserve"> gaining employment)</w:t>
      </w:r>
    </w:p>
    <w:p w14:paraId="6C6D8631" w14:textId="2C7AE84D" w:rsidR="00DE5CE3" w:rsidRDefault="00F02D45" w:rsidP="007F37E0">
      <w:pPr>
        <w:pStyle w:val="ListBullet"/>
      </w:pPr>
      <w:r>
        <w:t>v</w:t>
      </w:r>
      <w:r w:rsidR="00DE5CE3">
        <w:t>oluntary exit – not for employment</w:t>
      </w:r>
    </w:p>
    <w:p w14:paraId="40C1E46F" w14:textId="5A55FC7A" w:rsidR="00DE5CE3" w:rsidRDefault="00F02D45" w:rsidP="007F37E0">
      <w:pPr>
        <w:pStyle w:val="ListBullet"/>
      </w:pPr>
      <w:r>
        <w:t>m</w:t>
      </w:r>
      <w:r w:rsidR="00DE5CE3">
        <w:t>oved overseas.</w:t>
      </w:r>
    </w:p>
    <w:p w14:paraId="6965600C" w14:textId="3F42DE14" w:rsidR="00DE5CE3" w:rsidRDefault="00DE5CE3" w:rsidP="00DE5CE3">
      <w:r>
        <w:t xml:space="preserve">Findings demonstrated that 86.5% of </w:t>
      </w:r>
      <w:r w:rsidR="00F02D45">
        <w:t xml:space="preserve">participants </w:t>
      </w:r>
      <w:r>
        <w:t xml:space="preserve">who left employment services with an exit code categorised as </w:t>
      </w:r>
      <w:r w:rsidR="00F8391B">
        <w:t>‘</w:t>
      </w:r>
      <w:r w:rsidR="0054194B">
        <w:t>m</w:t>
      </w:r>
      <w:r>
        <w:t xml:space="preserve">oved to </w:t>
      </w:r>
      <w:r w:rsidR="0054194B">
        <w:t>e</w:t>
      </w:r>
      <w:r>
        <w:t>mployment</w:t>
      </w:r>
      <w:r w:rsidR="00F8391B">
        <w:t>’</w:t>
      </w:r>
      <w:r>
        <w:t xml:space="preserve"> reported being employed </w:t>
      </w:r>
      <w:r w:rsidR="00F8391B">
        <w:t>3</w:t>
      </w:r>
      <w:r>
        <w:t xml:space="preserve"> months later, 74.6% categorised as </w:t>
      </w:r>
      <w:r w:rsidR="00F8391B">
        <w:t>‘</w:t>
      </w:r>
      <w:r>
        <w:t>administrative failure (post service)</w:t>
      </w:r>
      <w:r w:rsidR="00F8391B">
        <w:t>’</w:t>
      </w:r>
      <w:r>
        <w:t xml:space="preserve"> reported being employed </w:t>
      </w:r>
      <w:r w:rsidR="00F8391B">
        <w:t>3</w:t>
      </w:r>
      <w:r>
        <w:t xml:space="preserve"> months later, and 96.5% with an exit code </w:t>
      </w:r>
      <w:r w:rsidR="00F8391B">
        <w:t>‘</w:t>
      </w:r>
      <w:r>
        <w:t>moved to study</w:t>
      </w:r>
      <w:r w:rsidR="00F8391B">
        <w:t>’</w:t>
      </w:r>
      <w:r>
        <w:t xml:space="preserve"> reported studying 3 months later.</w:t>
      </w:r>
    </w:p>
    <w:p w14:paraId="71229183" w14:textId="034E6988" w:rsidR="00DE5CE3" w:rsidRDefault="00DE5CE3" w:rsidP="00DE5CE3">
      <w:pPr>
        <w:pStyle w:val="Body"/>
      </w:pPr>
      <w:r>
        <w:t xml:space="preserve">For our analysis, exits that were categorised as </w:t>
      </w:r>
      <w:r w:rsidR="00F8391B">
        <w:t>‘</w:t>
      </w:r>
      <w:r w:rsidR="000052A9">
        <w:t>mov</w:t>
      </w:r>
      <w:r>
        <w:t>ed to employment</w:t>
      </w:r>
      <w:r w:rsidR="00F8391B">
        <w:t>’</w:t>
      </w:r>
      <w:r>
        <w:t xml:space="preserve">, </w:t>
      </w:r>
      <w:r w:rsidR="00F8391B">
        <w:t>‘</w:t>
      </w:r>
      <w:r w:rsidR="0054194B">
        <w:t>a</w:t>
      </w:r>
      <w:r>
        <w:t>dmin</w:t>
      </w:r>
      <w:r w:rsidR="0054194B">
        <w:t>istrative</w:t>
      </w:r>
      <w:r>
        <w:t xml:space="preserve"> failure post</w:t>
      </w:r>
      <w:r w:rsidR="0054194B">
        <w:t xml:space="preserve"> </w:t>
      </w:r>
      <w:r w:rsidR="000052A9">
        <w:t>participation</w:t>
      </w:r>
      <w:r w:rsidR="00F8391B">
        <w:t>’</w:t>
      </w:r>
      <w:r>
        <w:t xml:space="preserve"> and </w:t>
      </w:r>
      <w:r w:rsidR="00F8391B">
        <w:t>‘</w:t>
      </w:r>
      <w:r w:rsidR="0054194B">
        <w:t>m</w:t>
      </w:r>
      <w:r>
        <w:t>oved to study</w:t>
      </w:r>
      <w:r w:rsidR="00F8391B">
        <w:t>’</w:t>
      </w:r>
      <w:r>
        <w:t xml:space="preserve"> have been recorded as </w:t>
      </w:r>
      <w:r w:rsidR="00F8391B">
        <w:t>‘</w:t>
      </w:r>
      <w:r w:rsidR="005521FA">
        <w:t>employment-related</w:t>
      </w:r>
      <w:r w:rsidR="00F8391B">
        <w:t>’</w:t>
      </w:r>
      <w:r w:rsidR="005521FA">
        <w:t xml:space="preserve"> </w:t>
      </w:r>
      <w:r w:rsidR="0054194B">
        <w:t>income support</w:t>
      </w:r>
      <w:r>
        <w:t xml:space="preserve"> exits</w:t>
      </w:r>
      <w:r w:rsidR="0054194B">
        <w:t>.</w:t>
      </w:r>
      <w:r>
        <w:rPr>
          <w:rStyle w:val="FootnoteReference"/>
        </w:rPr>
        <w:footnoteReference w:id="120"/>
      </w:r>
      <w:r>
        <w:t xml:space="preserve"> </w:t>
      </w:r>
      <w:r w:rsidR="00CA603B">
        <w:t>C</w:t>
      </w:r>
      <w:r>
        <w:t xml:space="preserve">reating this </w:t>
      </w:r>
      <w:r w:rsidR="00F8391B">
        <w:t>‘</w:t>
      </w:r>
      <w:r w:rsidR="005521FA">
        <w:t>employment</w:t>
      </w:r>
      <w:r w:rsidR="00DC36DB">
        <w:t>-</w:t>
      </w:r>
      <w:r w:rsidR="005521FA">
        <w:t>related</w:t>
      </w:r>
      <w:r w:rsidR="00F8391B">
        <w:t>’</w:t>
      </w:r>
      <w:r w:rsidR="005521FA">
        <w:t xml:space="preserve"> e</w:t>
      </w:r>
      <w:r>
        <w:t>xit had a similar impact on both the TtW and comparison jobactive participants.</w:t>
      </w:r>
    </w:p>
    <w:p w14:paraId="790E85E2" w14:textId="15ABF792" w:rsidR="00DE5CE3" w:rsidRDefault="00DE5CE3" w:rsidP="009251AF">
      <w:pPr>
        <w:pStyle w:val="Heading2a"/>
      </w:pPr>
      <w:bookmarkStart w:id="3953" w:name="_Toc132650546"/>
      <w:bookmarkStart w:id="3954" w:name="_Toc146033575"/>
      <w:r>
        <w:t>Impact of COVID-19</w:t>
      </w:r>
      <w:bookmarkEnd w:id="3953"/>
      <w:bookmarkEnd w:id="3954"/>
    </w:p>
    <w:p w14:paraId="3D3316CE" w14:textId="6E989B22" w:rsidR="00DE5CE3" w:rsidRDefault="00DE5CE3" w:rsidP="00DE5CE3">
      <w:r>
        <w:t xml:space="preserve">As noted above, the </w:t>
      </w:r>
      <w:r w:rsidR="006150C6">
        <w:t>long-term</w:t>
      </w:r>
      <w:r>
        <w:t xml:space="preserve"> impact analysis uses an inflow population who commenced between April 2016 and June 2017, and follows individuals for 48 months. </w:t>
      </w:r>
      <w:r w:rsidR="00F02D45">
        <w:t xml:space="preserve">COVID-19 </w:t>
      </w:r>
      <w:r>
        <w:t>was first identified in Australia on 25 Jan</w:t>
      </w:r>
      <w:r w:rsidR="00F02D45">
        <w:t>uary</w:t>
      </w:r>
      <w:r>
        <w:t xml:space="preserve"> 2020, but a nationwide lockdown began to significantly impact the economy in March. Therefore, while participants who commenced in April 2016 only felt the impacts of the lockdowns in the final (48</w:t>
      </w:r>
      <w:r w:rsidRPr="00C239FD">
        <w:t>th</w:t>
      </w:r>
      <w:r>
        <w:t>) month, those who commenced in June 2017 felt this impact in their 34</w:t>
      </w:r>
      <w:r w:rsidRPr="00C239FD">
        <w:t>th</w:t>
      </w:r>
      <w:r>
        <w:t xml:space="preserve"> month. For example 3% of the study population were affected by month 36, 50% were affected by month 42, and 100% were affected by month </w:t>
      </w:r>
      <w:r w:rsidRPr="00D81F43">
        <w:t xml:space="preserve">48. </w:t>
      </w:r>
      <w:r w:rsidR="00B80C93" w:rsidRPr="00B80C93">
        <w:rPr>
          <w:b/>
          <w:bCs/>
        </w:rPr>
        <w:fldChar w:fldCharType="begin"/>
      </w:r>
      <w:r w:rsidR="00B80C93" w:rsidRPr="00B80C93">
        <w:rPr>
          <w:b/>
          <w:bCs/>
        </w:rPr>
        <w:instrText xml:space="preserve"> REF _Ref136531459 \h </w:instrText>
      </w:r>
      <w:r w:rsidR="00B80C93">
        <w:rPr>
          <w:b/>
          <w:bCs/>
        </w:rPr>
        <w:instrText xml:space="preserve"> \* MERGEFORMAT </w:instrText>
      </w:r>
      <w:r w:rsidR="00B80C93" w:rsidRPr="00B80C93">
        <w:rPr>
          <w:b/>
          <w:bCs/>
        </w:rPr>
      </w:r>
      <w:r w:rsidR="00B80C93" w:rsidRPr="00B80C93">
        <w:rPr>
          <w:b/>
          <w:bCs/>
        </w:rPr>
        <w:fldChar w:fldCharType="separate"/>
      </w:r>
      <w:r w:rsidR="00180E14" w:rsidRPr="00180E14">
        <w:rPr>
          <w:b/>
          <w:bCs/>
        </w:rPr>
        <w:t xml:space="preserve">Table </w:t>
      </w:r>
      <w:r w:rsidR="00180E14" w:rsidRPr="00180E14">
        <w:rPr>
          <w:b/>
          <w:bCs/>
          <w:noProof/>
        </w:rPr>
        <w:t>27</w:t>
      </w:r>
      <w:r w:rsidR="00B80C93" w:rsidRPr="00B80C93">
        <w:rPr>
          <w:b/>
          <w:bCs/>
        </w:rPr>
        <w:fldChar w:fldCharType="end"/>
      </w:r>
      <w:r w:rsidR="00B80C93">
        <w:t xml:space="preserve"> </w:t>
      </w:r>
      <w:r w:rsidRPr="00D81F43">
        <w:t>summarises</w:t>
      </w:r>
      <w:r>
        <w:t xml:space="preserve"> the progressive proportion of the study participants impacted by </w:t>
      </w:r>
      <w:r w:rsidR="006C5F71">
        <w:t>COVID-19</w:t>
      </w:r>
      <w:r>
        <w:t>. Month 36 is the point at which COVID-</w:t>
      </w:r>
      <w:r>
        <w:lastRenderedPageBreak/>
        <w:t>19 begins to have an impact on results, and from this point results are progressively more influenced as more people become impacted.</w:t>
      </w:r>
    </w:p>
    <w:p w14:paraId="6BFE9F4C" w14:textId="27543241" w:rsidR="00DE5CE3" w:rsidRDefault="00DE5CE3" w:rsidP="00DE5CE3">
      <w:pPr>
        <w:pStyle w:val="Caption"/>
        <w:keepNext/>
      </w:pPr>
      <w:bookmarkStart w:id="3955" w:name="_Ref136531459"/>
      <w:bookmarkStart w:id="3956" w:name="_Toc132647802"/>
      <w:bookmarkStart w:id="3957" w:name="_Ref136531444"/>
      <w:bookmarkStart w:id="3958" w:name="_Toc145877316"/>
      <w:r>
        <w:t xml:space="preserve">Table </w:t>
      </w:r>
      <w:r>
        <w:fldChar w:fldCharType="begin"/>
      </w:r>
      <w:r>
        <w:instrText>SEQ Table \* ARABIC</w:instrText>
      </w:r>
      <w:r>
        <w:fldChar w:fldCharType="separate"/>
      </w:r>
      <w:r w:rsidR="00180E14">
        <w:rPr>
          <w:noProof/>
        </w:rPr>
        <w:t>27</w:t>
      </w:r>
      <w:r>
        <w:fldChar w:fldCharType="end"/>
      </w:r>
      <w:bookmarkEnd w:id="3955"/>
      <w:r>
        <w:t xml:space="preserve">: </w:t>
      </w:r>
      <w:r w:rsidRPr="006D6D18">
        <w:t xml:space="preserve">Timing of impact of </w:t>
      </w:r>
      <w:r w:rsidR="006C5F71">
        <w:t>COVID</w:t>
      </w:r>
      <w:r w:rsidR="00AC74AE">
        <w:t>-19</w:t>
      </w:r>
      <w:r w:rsidRPr="006D6D18">
        <w:t xml:space="preserve"> on participants included in the </w:t>
      </w:r>
      <w:r w:rsidR="006150C6">
        <w:t>long-term</w:t>
      </w:r>
      <w:r w:rsidRPr="006D6D18">
        <w:t>-impact analysis</w:t>
      </w:r>
      <w:bookmarkEnd w:id="3956"/>
      <w:bookmarkEnd w:id="3957"/>
      <w:bookmarkEnd w:id="3958"/>
    </w:p>
    <w:tbl>
      <w:tblPr>
        <w:tblStyle w:val="TtWReportTableTemplate2"/>
        <w:tblW w:w="8789" w:type="dxa"/>
        <w:tblLook w:val="04A0" w:firstRow="1" w:lastRow="0" w:firstColumn="1" w:lastColumn="0" w:noHBand="0" w:noVBand="1"/>
      </w:tblPr>
      <w:tblGrid>
        <w:gridCol w:w="1544"/>
        <w:gridCol w:w="1725"/>
        <w:gridCol w:w="1409"/>
        <w:gridCol w:w="210"/>
        <w:gridCol w:w="1149"/>
        <w:gridCol w:w="124"/>
        <w:gridCol w:w="1224"/>
        <w:gridCol w:w="99"/>
        <w:gridCol w:w="1305"/>
      </w:tblGrid>
      <w:tr w:rsidR="00F975E8" w:rsidRPr="0096560E" w14:paraId="7488B6F1" w14:textId="77777777" w:rsidTr="00046630">
        <w:trPr>
          <w:cnfStyle w:val="100000000000" w:firstRow="1" w:lastRow="0" w:firstColumn="0" w:lastColumn="0" w:oddVBand="0" w:evenVBand="0" w:oddHBand="0" w:evenHBand="0" w:firstRowFirstColumn="0" w:firstRowLastColumn="0" w:lastRowFirstColumn="0" w:lastRowLastColumn="0"/>
          <w:trHeight w:val="430"/>
          <w:tblHeader/>
        </w:trPr>
        <w:tc>
          <w:tcPr>
            <w:cnfStyle w:val="001000000000" w:firstRow="0" w:lastRow="0" w:firstColumn="1" w:lastColumn="0" w:oddVBand="0" w:evenVBand="0" w:oddHBand="0" w:evenHBand="0" w:firstRowFirstColumn="0" w:firstRowLastColumn="0" w:lastRowFirstColumn="0" w:lastRowLastColumn="0"/>
            <w:tcW w:w="1544" w:type="dxa"/>
            <w:shd w:val="clear" w:color="auto" w:fill="5D7A38"/>
            <w:vAlign w:val="center"/>
            <w:hideMark/>
          </w:tcPr>
          <w:p w14:paraId="73F1A5F7" w14:textId="6FACB8E6" w:rsidR="00DE5CE3" w:rsidRPr="00C239FD" w:rsidRDefault="00DE5CE3" w:rsidP="0033657C">
            <w:pPr>
              <w:keepNext/>
              <w:jc w:val="right"/>
              <w:rPr>
                <w:rFonts w:eastAsia="Times New Roman" w:cs="Calibri"/>
                <w:bCs/>
                <w:sz w:val="18"/>
                <w:szCs w:val="18"/>
                <w:lang w:eastAsia="en-AU"/>
              </w:rPr>
            </w:pPr>
            <w:r w:rsidRPr="00C239FD">
              <w:rPr>
                <w:rFonts w:eastAsia="Times New Roman" w:cs="Calibri"/>
                <w:bCs/>
                <w:sz w:val="18"/>
                <w:szCs w:val="18"/>
                <w:lang w:eastAsia="en-AU"/>
              </w:rPr>
              <w:t>Participant</w:t>
            </w:r>
            <w:r w:rsidR="0033657C" w:rsidRPr="00C239FD">
              <w:rPr>
                <w:rFonts w:eastAsia="Times New Roman" w:cs="Calibri"/>
                <w:bCs/>
                <w:sz w:val="18"/>
                <w:szCs w:val="18"/>
                <w:lang w:eastAsia="en-AU"/>
              </w:rPr>
              <w:t xml:space="preserve"> c</w:t>
            </w:r>
            <w:r w:rsidRPr="00C239FD">
              <w:rPr>
                <w:rFonts w:eastAsia="Times New Roman" w:cs="Calibri"/>
                <w:bCs/>
                <w:sz w:val="18"/>
                <w:szCs w:val="18"/>
                <w:lang w:eastAsia="en-AU"/>
              </w:rPr>
              <w:t>ommencement date</w:t>
            </w:r>
          </w:p>
        </w:tc>
        <w:tc>
          <w:tcPr>
            <w:tcW w:w="1725" w:type="dxa"/>
            <w:shd w:val="clear" w:color="auto" w:fill="5D7A38"/>
            <w:vAlign w:val="center"/>
            <w:hideMark/>
          </w:tcPr>
          <w:p w14:paraId="736D65BD" w14:textId="503E3CE0" w:rsidR="00DE5CE3" w:rsidRPr="00C239FD" w:rsidRDefault="00DE5CE3" w:rsidP="0033657C">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Cs/>
                <w:sz w:val="18"/>
                <w:szCs w:val="18"/>
                <w:lang w:eastAsia="en-AU"/>
              </w:rPr>
            </w:pPr>
            <w:r w:rsidRPr="00C239FD">
              <w:rPr>
                <w:rFonts w:eastAsia="Times New Roman" w:cs="Calibri"/>
                <w:bCs/>
                <w:sz w:val="18"/>
                <w:szCs w:val="18"/>
                <w:lang w:eastAsia="en-AU"/>
              </w:rPr>
              <w:t>Months to COVID start</w:t>
            </w:r>
            <w:r w:rsidR="0033657C" w:rsidRPr="00C239FD">
              <w:rPr>
                <w:rFonts w:eastAsia="Times New Roman" w:cs="Calibri"/>
                <w:bCs/>
                <w:sz w:val="18"/>
                <w:szCs w:val="18"/>
                <w:lang w:eastAsia="en-AU"/>
              </w:rPr>
              <w:t xml:space="preserve"> </w:t>
            </w:r>
            <w:r w:rsidRPr="00C239FD">
              <w:rPr>
                <w:rFonts w:eastAsia="Times New Roman" w:cs="Calibri"/>
                <w:bCs/>
                <w:sz w:val="18"/>
                <w:szCs w:val="18"/>
                <w:lang w:eastAsia="en-AU"/>
              </w:rPr>
              <w:t>(March 2020)</w:t>
            </w:r>
          </w:p>
        </w:tc>
        <w:tc>
          <w:tcPr>
            <w:tcW w:w="1619" w:type="dxa"/>
            <w:gridSpan w:val="2"/>
            <w:shd w:val="clear" w:color="auto" w:fill="5D7A38"/>
            <w:vAlign w:val="center"/>
            <w:hideMark/>
          </w:tcPr>
          <w:p w14:paraId="46E4F481" w14:textId="77777777" w:rsidR="00DE5CE3" w:rsidRPr="00C239FD" w:rsidRDefault="00DE5CE3" w:rsidP="00D11E39">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 w:val="0"/>
                <w:bCs/>
                <w:sz w:val="18"/>
                <w:szCs w:val="18"/>
                <w:lang w:eastAsia="en-AU"/>
              </w:rPr>
            </w:pPr>
            <w:r w:rsidRPr="00C239FD">
              <w:rPr>
                <w:rFonts w:eastAsia="Times New Roman" w:cs="Calibri"/>
                <w:bCs/>
                <w:sz w:val="18"/>
                <w:szCs w:val="18"/>
                <w:lang w:eastAsia="en-AU"/>
              </w:rPr>
              <w:t>Number of participants</w:t>
            </w:r>
          </w:p>
          <w:p w14:paraId="5884C19E" w14:textId="77777777" w:rsidR="00DE5CE3" w:rsidRPr="00C239FD" w:rsidRDefault="00DE5CE3" w:rsidP="00D11E39">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Cs/>
                <w:sz w:val="18"/>
                <w:szCs w:val="18"/>
                <w:lang w:eastAsia="en-AU"/>
              </w:rPr>
            </w:pPr>
            <w:r w:rsidRPr="00C239FD">
              <w:rPr>
                <w:rFonts w:eastAsia="Times New Roman" w:cs="Calibri"/>
                <w:bCs/>
                <w:sz w:val="18"/>
                <w:szCs w:val="18"/>
                <w:lang w:eastAsia="en-AU"/>
              </w:rPr>
              <w:t>Frequency</w:t>
            </w:r>
          </w:p>
        </w:tc>
        <w:tc>
          <w:tcPr>
            <w:tcW w:w="1273" w:type="dxa"/>
            <w:gridSpan w:val="2"/>
            <w:shd w:val="clear" w:color="auto" w:fill="5D7A38"/>
            <w:vAlign w:val="center"/>
          </w:tcPr>
          <w:p w14:paraId="7804B28C" w14:textId="77777777" w:rsidR="00DE5CE3" w:rsidRPr="00C239FD" w:rsidRDefault="00DE5CE3" w:rsidP="00D11E39">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 w:val="0"/>
                <w:bCs/>
                <w:sz w:val="18"/>
                <w:szCs w:val="18"/>
                <w:lang w:eastAsia="en-AU"/>
              </w:rPr>
            </w:pPr>
            <w:r w:rsidRPr="00C239FD">
              <w:rPr>
                <w:rFonts w:eastAsia="Times New Roman" w:cs="Calibri"/>
                <w:bCs/>
                <w:sz w:val="18"/>
                <w:szCs w:val="18"/>
                <w:lang w:eastAsia="en-AU"/>
              </w:rPr>
              <w:t>Number of participants</w:t>
            </w:r>
          </w:p>
          <w:p w14:paraId="67429121" w14:textId="7EB237CF" w:rsidR="00DE5CE3" w:rsidRPr="00C239FD" w:rsidRDefault="0033657C" w:rsidP="00D11E39">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 w:val="0"/>
                <w:bCs/>
                <w:sz w:val="18"/>
                <w:szCs w:val="18"/>
                <w:lang w:eastAsia="en-AU"/>
              </w:rPr>
            </w:pPr>
            <w:r w:rsidRPr="00C239FD">
              <w:rPr>
                <w:rFonts w:eastAsia="Times New Roman" w:cs="Calibri"/>
                <w:bCs/>
                <w:sz w:val="18"/>
                <w:szCs w:val="18"/>
                <w:lang w:eastAsia="en-AU"/>
              </w:rPr>
              <w:t>%</w:t>
            </w:r>
          </w:p>
        </w:tc>
        <w:tc>
          <w:tcPr>
            <w:tcW w:w="1323" w:type="dxa"/>
            <w:gridSpan w:val="2"/>
            <w:shd w:val="clear" w:color="auto" w:fill="5D7A38"/>
            <w:vAlign w:val="center"/>
          </w:tcPr>
          <w:p w14:paraId="7FC68AF5" w14:textId="77777777" w:rsidR="00DE5CE3" w:rsidRPr="00C239FD" w:rsidRDefault="00DE5CE3" w:rsidP="00D11E39">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 w:val="0"/>
                <w:bCs/>
                <w:sz w:val="18"/>
                <w:szCs w:val="18"/>
                <w:lang w:eastAsia="en-AU"/>
              </w:rPr>
            </w:pPr>
            <w:r w:rsidRPr="00C239FD">
              <w:rPr>
                <w:rFonts w:eastAsia="Times New Roman" w:cs="Calibri"/>
                <w:bCs/>
                <w:sz w:val="18"/>
                <w:szCs w:val="18"/>
                <w:lang w:eastAsia="en-AU"/>
              </w:rPr>
              <w:t>Number of participants</w:t>
            </w:r>
          </w:p>
          <w:p w14:paraId="7ECDCF63" w14:textId="1614099F" w:rsidR="00DE5CE3" w:rsidRPr="00C239FD" w:rsidRDefault="00DE5CE3" w:rsidP="00D11E39">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 w:val="0"/>
                <w:bCs/>
                <w:sz w:val="18"/>
                <w:szCs w:val="18"/>
                <w:lang w:eastAsia="en-AU"/>
              </w:rPr>
            </w:pPr>
            <w:r w:rsidRPr="00C239FD">
              <w:rPr>
                <w:rFonts w:eastAsia="Times New Roman" w:cs="Calibri"/>
                <w:bCs/>
                <w:sz w:val="18"/>
                <w:szCs w:val="18"/>
                <w:lang w:eastAsia="en-AU"/>
              </w:rPr>
              <w:t xml:space="preserve">Cumulative </w:t>
            </w:r>
            <w:r w:rsidR="0033657C" w:rsidRPr="00C239FD">
              <w:rPr>
                <w:rFonts w:eastAsia="Times New Roman" w:cs="Calibri"/>
                <w:bCs/>
                <w:sz w:val="18"/>
                <w:szCs w:val="18"/>
                <w:lang w:eastAsia="en-AU"/>
              </w:rPr>
              <w:t>f</w:t>
            </w:r>
            <w:r w:rsidRPr="00C239FD">
              <w:rPr>
                <w:rFonts w:eastAsia="Times New Roman" w:cs="Calibri"/>
                <w:bCs/>
                <w:sz w:val="18"/>
                <w:szCs w:val="18"/>
                <w:lang w:eastAsia="en-AU"/>
              </w:rPr>
              <w:t>requency</w:t>
            </w:r>
          </w:p>
        </w:tc>
        <w:tc>
          <w:tcPr>
            <w:tcW w:w="1305" w:type="dxa"/>
            <w:shd w:val="clear" w:color="auto" w:fill="5D7A38"/>
            <w:vAlign w:val="center"/>
          </w:tcPr>
          <w:p w14:paraId="389A08DE" w14:textId="77777777" w:rsidR="00DE5CE3" w:rsidRPr="00C239FD" w:rsidRDefault="00DE5CE3" w:rsidP="00D11E39">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 w:val="0"/>
                <w:bCs/>
                <w:sz w:val="18"/>
                <w:szCs w:val="18"/>
                <w:lang w:eastAsia="en-AU"/>
              </w:rPr>
            </w:pPr>
            <w:r w:rsidRPr="00C239FD">
              <w:rPr>
                <w:rFonts w:eastAsia="Times New Roman" w:cs="Calibri"/>
                <w:bCs/>
                <w:sz w:val="18"/>
                <w:szCs w:val="18"/>
                <w:lang w:eastAsia="en-AU"/>
              </w:rPr>
              <w:t>Number of participants</w:t>
            </w:r>
          </w:p>
          <w:p w14:paraId="085308E4" w14:textId="19C1D156" w:rsidR="00DE5CE3" w:rsidRPr="00C239FD" w:rsidRDefault="00DE5CE3" w:rsidP="00D11E39">
            <w:pPr>
              <w:keepNext/>
              <w:jc w:val="right"/>
              <w:cnfStyle w:val="100000000000" w:firstRow="1" w:lastRow="0" w:firstColumn="0" w:lastColumn="0" w:oddVBand="0" w:evenVBand="0" w:oddHBand="0" w:evenHBand="0" w:firstRowFirstColumn="0" w:firstRowLastColumn="0" w:lastRowFirstColumn="0" w:lastRowLastColumn="0"/>
              <w:rPr>
                <w:rFonts w:eastAsia="Times New Roman" w:cs="Calibri"/>
                <w:bCs/>
                <w:sz w:val="18"/>
                <w:szCs w:val="18"/>
                <w:lang w:eastAsia="en-AU"/>
              </w:rPr>
            </w:pPr>
            <w:r w:rsidRPr="00C239FD">
              <w:rPr>
                <w:rFonts w:eastAsia="Times New Roman" w:cs="Calibri"/>
                <w:bCs/>
                <w:sz w:val="18"/>
                <w:szCs w:val="18"/>
                <w:lang w:eastAsia="en-AU"/>
              </w:rPr>
              <w:t xml:space="preserve">Cumulative </w:t>
            </w:r>
            <w:r w:rsidR="0033657C" w:rsidRPr="00C239FD">
              <w:rPr>
                <w:rFonts w:eastAsia="Times New Roman" w:cs="Calibri"/>
                <w:bCs/>
                <w:sz w:val="18"/>
                <w:szCs w:val="18"/>
                <w:lang w:eastAsia="en-AU"/>
              </w:rPr>
              <w:t>%</w:t>
            </w:r>
          </w:p>
        </w:tc>
      </w:tr>
      <w:tr w:rsidR="00DE5CE3" w:rsidRPr="0096560E" w14:paraId="5E79B75D" w14:textId="77777777" w:rsidTr="009251A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3BDF2A85" w14:textId="77777777" w:rsidR="00DE5CE3" w:rsidRPr="00C239FD" w:rsidRDefault="00DE5CE3" w:rsidP="00D11E39">
            <w:pPr>
              <w:keepNext/>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Jun-17</w:t>
            </w:r>
          </w:p>
        </w:tc>
        <w:tc>
          <w:tcPr>
            <w:tcW w:w="1725" w:type="dxa"/>
            <w:hideMark/>
          </w:tcPr>
          <w:p w14:paraId="7B6F0A9A" w14:textId="62949A96" w:rsidR="00DE5CE3" w:rsidRPr="00C239FD" w:rsidRDefault="00DE5CE3" w:rsidP="00D11E39">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34</w:t>
            </w:r>
          </w:p>
        </w:tc>
        <w:tc>
          <w:tcPr>
            <w:tcW w:w="1409" w:type="dxa"/>
            <w:noWrap/>
            <w:hideMark/>
          </w:tcPr>
          <w:p w14:paraId="6DF6B16D" w14:textId="062F7E34" w:rsidR="00DE5CE3" w:rsidRPr="00C239FD" w:rsidRDefault="00DE5CE3" w:rsidP="00D11E39">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18 </w:t>
            </w:r>
          </w:p>
        </w:tc>
        <w:tc>
          <w:tcPr>
            <w:tcW w:w="1359" w:type="dxa"/>
            <w:gridSpan w:val="2"/>
            <w:noWrap/>
            <w:hideMark/>
          </w:tcPr>
          <w:p w14:paraId="2C0189A0" w14:textId="77777777" w:rsidR="00DE5CE3" w:rsidRPr="00C239FD" w:rsidRDefault="00DE5CE3" w:rsidP="00D11E39">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0.11</w:t>
            </w:r>
          </w:p>
        </w:tc>
        <w:tc>
          <w:tcPr>
            <w:tcW w:w="1348" w:type="dxa"/>
            <w:gridSpan w:val="2"/>
            <w:noWrap/>
            <w:hideMark/>
          </w:tcPr>
          <w:p w14:paraId="52098FAC" w14:textId="6F9FEAA5" w:rsidR="00DE5CE3" w:rsidRPr="00C239FD" w:rsidRDefault="00F8391B" w:rsidP="00D11E39">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 </w:t>
            </w:r>
            <w:r w:rsidR="00DE5CE3" w:rsidRPr="00C239FD">
              <w:rPr>
                <w:rFonts w:ascii="Calibri" w:eastAsia="Times New Roman" w:hAnsi="Calibri" w:cs="Calibri"/>
                <w:color w:val="000000"/>
                <w:sz w:val="18"/>
                <w:szCs w:val="18"/>
                <w:lang w:eastAsia="en-AU"/>
              </w:rPr>
              <w:t xml:space="preserve"> 18 </w:t>
            </w:r>
          </w:p>
        </w:tc>
        <w:tc>
          <w:tcPr>
            <w:tcW w:w="1404" w:type="dxa"/>
            <w:gridSpan w:val="2"/>
            <w:noWrap/>
            <w:hideMark/>
          </w:tcPr>
          <w:p w14:paraId="53D99D70" w14:textId="77777777" w:rsidR="00DE5CE3" w:rsidRPr="00C239FD" w:rsidRDefault="00DE5CE3" w:rsidP="00D11E39">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0.11</w:t>
            </w:r>
          </w:p>
        </w:tc>
      </w:tr>
      <w:tr w:rsidR="00DE5CE3" w:rsidRPr="0096560E" w14:paraId="0F5EE007" w14:textId="77777777" w:rsidTr="009251A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7E7C5747"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May-17</w:t>
            </w:r>
          </w:p>
        </w:tc>
        <w:tc>
          <w:tcPr>
            <w:tcW w:w="1725" w:type="dxa"/>
            <w:hideMark/>
          </w:tcPr>
          <w:p w14:paraId="032D3F99" w14:textId="0F3DDC1B"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35</w:t>
            </w:r>
          </w:p>
        </w:tc>
        <w:tc>
          <w:tcPr>
            <w:tcW w:w="1409" w:type="dxa"/>
            <w:noWrap/>
            <w:hideMark/>
          </w:tcPr>
          <w:p w14:paraId="79ED8D58" w14:textId="670950A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99 </w:t>
            </w:r>
          </w:p>
        </w:tc>
        <w:tc>
          <w:tcPr>
            <w:tcW w:w="1359" w:type="dxa"/>
            <w:gridSpan w:val="2"/>
            <w:noWrap/>
            <w:hideMark/>
          </w:tcPr>
          <w:p w14:paraId="29547517"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0.59</w:t>
            </w:r>
          </w:p>
        </w:tc>
        <w:tc>
          <w:tcPr>
            <w:tcW w:w="1348" w:type="dxa"/>
            <w:gridSpan w:val="2"/>
            <w:noWrap/>
            <w:hideMark/>
          </w:tcPr>
          <w:p w14:paraId="281CB12C" w14:textId="5932A5F4" w:rsidR="00DE5CE3" w:rsidRPr="00C239FD" w:rsidRDefault="00F8391B"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 </w:t>
            </w:r>
            <w:r w:rsidR="00DE5CE3" w:rsidRPr="00C239FD">
              <w:rPr>
                <w:rFonts w:ascii="Calibri" w:eastAsia="Times New Roman" w:hAnsi="Calibri" w:cs="Calibri"/>
                <w:color w:val="000000"/>
                <w:sz w:val="18"/>
                <w:szCs w:val="18"/>
                <w:lang w:eastAsia="en-AU"/>
              </w:rPr>
              <w:t xml:space="preserve">117 </w:t>
            </w:r>
          </w:p>
        </w:tc>
        <w:tc>
          <w:tcPr>
            <w:tcW w:w="1404" w:type="dxa"/>
            <w:gridSpan w:val="2"/>
            <w:noWrap/>
            <w:hideMark/>
          </w:tcPr>
          <w:p w14:paraId="6FC5B934"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0.7</w:t>
            </w:r>
          </w:p>
        </w:tc>
      </w:tr>
      <w:tr w:rsidR="00DE5CE3" w:rsidRPr="0096560E" w14:paraId="4EA23C71" w14:textId="77777777" w:rsidTr="009251A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45C521D1"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Apr-17</w:t>
            </w:r>
          </w:p>
        </w:tc>
        <w:tc>
          <w:tcPr>
            <w:tcW w:w="1725" w:type="dxa"/>
            <w:hideMark/>
          </w:tcPr>
          <w:p w14:paraId="36AF2E63" w14:textId="7FB1F54A"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36</w:t>
            </w:r>
          </w:p>
        </w:tc>
        <w:tc>
          <w:tcPr>
            <w:tcW w:w="1409" w:type="dxa"/>
            <w:noWrap/>
            <w:hideMark/>
          </w:tcPr>
          <w:p w14:paraId="79934F2C" w14:textId="6B68069C"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395 </w:t>
            </w:r>
          </w:p>
        </w:tc>
        <w:tc>
          <w:tcPr>
            <w:tcW w:w="1359" w:type="dxa"/>
            <w:gridSpan w:val="2"/>
            <w:noWrap/>
            <w:hideMark/>
          </w:tcPr>
          <w:p w14:paraId="23514891"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2.36</w:t>
            </w:r>
          </w:p>
        </w:tc>
        <w:tc>
          <w:tcPr>
            <w:tcW w:w="1348" w:type="dxa"/>
            <w:gridSpan w:val="2"/>
            <w:noWrap/>
            <w:hideMark/>
          </w:tcPr>
          <w:p w14:paraId="0059A6A4" w14:textId="590FF31B" w:rsidR="00DE5CE3" w:rsidRPr="00C239FD" w:rsidRDefault="00F8391B"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 </w:t>
            </w:r>
            <w:r w:rsidR="00DE5CE3" w:rsidRPr="00C239FD">
              <w:rPr>
                <w:rFonts w:ascii="Calibri" w:eastAsia="Times New Roman" w:hAnsi="Calibri" w:cs="Calibri"/>
                <w:color w:val="000000"/>
                <w:sz w:val="18"/>
                <w:szCs w:val="18"/>
                <w:lang w:eastAsia="en-AU"/>
              </w:rPr>
              <w:t xml:space="preserve">512 </w:t>
            </w:r>
          </w:p>
        </w:tc>
        <w:tc>
          <w:tcPr>
            <w:tcW w:w="1404" w:type="dxa"/>
            <w:gridSpan w:val="2"/>
            <w:noWrap/>
            <w:hideMark/>
          </w:tcPr>
          <w:p w14:paraId="0A5A8B64"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3.06</w:t>
            </w:r>
          </w:p>
        </w:tc>
      </w:tr>
      <w:tr w:rsidR="00DE5CE3" w:rsidRPr="0096560E" w14:paraId="20DBB2DC" w14:textId="77777777" w:rsidTr="009251A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40F59D59"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Mar-17</w:t>
            </w:r>
          </w:p>
        </w:tc>
        <w:tc>
          <w:tcPr>
            <w:tcW w:w="1725" w:type="dxa"/>
            <w:hideMark/>
          </w:tcPr>
          <w:p w14:paraId="29A235E0" w14:textId="3A4BFDCA"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37</w:t>
            </w:r>
          </w:p>
        </w:tc>
        <w:tc>
          <w:tcPr>
            <w:tcW w:w="1409" w:type="dxa"/>
            <w:noWrap/>
            <w:hideMark/>
          </w:tcPr>
          <w:p w14:paraId="4EF9A459" w14:textId="10D276C0"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1,483 </w:t>
            </w:r>
          </w:p>
        </w:tc>
        <w:tc>
          <w:tcPr>
            <w:tcW w:w="1359" w:type="dxa"/>
            <w:gridSpan w:val="2"/>
            <w:noWrap/>
            <w:hideMark/>
          </w:tcPr>
          <w:p w14:paraId="5A22B93B"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8.87</w:t>
            </w:r>
          </w:p>
        </w:tc>
        <w:tc>
          <w:tcPr>
            <w:tcW w:w="1348" w:type="dxa"/>
            <w:gridSpan w:val="2"/>
            <w:noWrap/>
            <w:hideMark/>
          </w:tcPr>
          <w:p w14:paraId="0128F08B" w14:textId="73CC071F" w:rsidR="00DE5CE3" w:rsidRPr="00C239FD" w:rsidRDefault="00F8391B"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 </w:t>
            </w:r>
            <w:r w:rsidR="00DE5CE3" w:rsidRPr="00C239FD">
              <w:rPr>
                <w:rFonts w:ascii="Calibri" w:eastAsia="Times New Roman" w:hAnsi="Calibri" w:cs="Calibri"/>
                <w:color w:val="000000"/>
                <w:sz w:val="18"/>
                <w:szCs w:val="18"/>
                <w:lang w:eastAsia="en-AU"/>
              </w:rPr>
              <w:t xml:space="preserve">1,995 </w:t>
            </w:r>
          </w:p>
        </w:tc>
        <w:tc>
          <w:tcPr>
            <w:tcW w:w="1404" w:type="dxa"/>
            <w:gridSpan w:val="2"/>
            <w:noWrap/>
            <w:hideMark/>
          </w:tcPr>
          <w:p w14:paraId="1AA0AB63"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11.93</w:t>
            </w:r>
          </w:p>
        </w:tc>
      </w:tr>
      <w:tr w:rsidR="00DE5CE3" w:rsidRPr="0096560E" w14:paraId="34E3F9B2" w14:textId="77777777" w:rsidTr="009251A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27696240"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Feb-17</w:t>
            </w:r>
          </w:p>
        </w:tc>
        <w:tc>
          <w:tcPr>
            <w:tcW w:w="1725" w:type="dxa"/>
            <w:hideMark/>
          </w:tcPr>
          <w:p w14:paraId="10EAF58D" w14:textId="2A782A9F"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38</w:t>
            </w:r>
          </w:p>
        </w:tc>
        <w:tc>
          <w:tcPr>
            <w:tcW w:w="1409" w:type="dxa"/>
            <w:noWrap/>
            <w:hideMark/>
          </w:tcPr>
          <w:p w14:paraId="20DAD836" w14:textId="50CFE298"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1,376 </w:t>
            </w:r>
          </w:p>
        </w:tc>
        <w:tc>
          <w:tcPr>
            <w:tcW w:w="1359" w:type="dxa"/>
            <w:gridSpan w:val="2"/>
            <w:noWrap/>
            <w:hideMark/>
          </w:tcPr>
          <w:p w14:paraId="06A5515F"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8.23</w:t>
            </w:r>
          </w:p>
        </w:tc>
        <w:tc>
          <w:tcPr>
            <w:tcW w:w="1348" w:type="dxa"/>
            <w:gridSpan w:val="2"/>
            <w:noWrap/>
            <w:hideMark/>
          </w:tcPr>
          <w:p w14:paraId="0F2F58C2" w14:textId="67FCC1F8"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3,371 </w:t>
            </w:r>
          </w:p>
        </w:tc>
        <w:tc>
          <w:tcPr>
            <w:tcW w:w="1404" w:type="dxa"/>
            <w:gridSpan w:val="2"/>
            <w:noWrap/>
            <w:hideMark/>
          </w:tcPr>
          <w:p w14:paraId="266CBEE4"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20.16</w:t>
            </w:r>
          </w:p>
        </w:tc>
      </w:tr>
      <w:tr w:rsidR="00DE5CE3" w:rsidRPr="0096560E" w14:paraId="60B77B73" w14:textId="77777777" w:rsidTr="009251A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28EF0116"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Jan-17</w:t>
            </w:r>
          </w:p>
        </w:tc>
        <w:tc>
          <w:tcPr>
            <w:tcW w:w="1725" w:type="dxa"/>
            <w:hideMark/>
          </w:tcPr>
          <w:p w14:paraId="74097BE6" w14:textId="1D15C253"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39</w:t>
            </w:r>
          </w:p>
        </w:tc>
        <w:tc>
          <w:tcPr>
            <w:tcW w:w="1409" w:type="dxa"/>
            <w:noWrap/>
            <w:hideMark/>
          </w:tcPr>
          <w:p w14:paraId="2AE31304" w14:textId="5234C060"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1,540 </w:t>
            </w:r>
          </w:p>
        </w:tc>
        <w:tc>
          <w:tcPr>
            <w:tcW w:w="1359" w:type="dxa"/>
            <w:gridSpan w:val="2"/>
            <w:noWrap/>
            <w:hideMark/>
          </w:tcPr>
          <w:p w14:paraId="645D4443"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9.21</w:t>
            </w:r>
          </w:p>
        </w:tc>
        <w:tc>
          <w:tcPr>
            <w:tcW w:w="1348" w:type="dxa"/>
            <w:gridSpan w:val="2"/>
            <w:noWrap/>
            <w:hideMark/>
          </w:tcPr>
          <w:p w14:paraId="6910A6F0" w14:textId="66AA2C8B"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4,911 </w:t>
            </w:r>
          </w:p>
        </w:tc>
        <w:tc>
          <w:tcPr>
            <w:tcW w:w="1404" w:type="dxa"/>
            <w:gridSpan w:val="2"/>
            <w:noWrap/>
            <w:hideMark/>
          </w:tcPr>
          <w:p w14:paraId="3EE134E8"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29.37</w:t>
            </w:r>
          </w:p>
        </w:tc>
      </w:tr>
      <w:tr w:rsidR="00DE5CE3" w:rsidRPr="0096560E" w14:paraId="58324CCB" w14:textId="77777777" w:rsidTr="009251A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7A07DC71"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Dec-16</w:t>
            </w:r>
          </w:p>
        </w:tc>
        <w:tc>
          <w:tcPr>
            <w:tcW w:w="1725" w:type="dxa"/>
            <w:hideMark/>
          </w:tcPr>
          <w:p w14:paraId="1AA0C9F2" w14:textId="4DB5B4BD"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40</w:t>
            </w:r>
          </w:p>
        </w:tc>
        <w:tc>
          <w:tcPr>
            <w:tcW w:w="1409" w:type="dxa"/>
            <w:noWrap/>
            <w:hideMark/>
          </w:tcPr>
          <w:p w14:paraId="25701C29" w14:textId="4CC516F0"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1,438 </w:t>
            </w:r>
          </w:p>
        </w:tc>
        <w:tc>
          <w:tcPr>
            <w:tcW w:w="1359" w:type="dxa"/>
            <w:gridSpan w:val="2"/>
            <w:noWrap/>
            <w:hideMark/>
          </w:tcPr>
          <w:p w14:paraId="58F5232A"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8.6</w:t>
            </w:r>
          </w:p>
        </w:tc>
        <w:tc>
          <w:tcPr>
            <w:tcW w:w="1348" w:type="dxa"/>
            <w:gridSpan w:val="2"/>
            <w:noWrap/>
            <w:hideMark/>
          </w:tcPr>
          <w:p w14:paraId="4F52ED08" w14:textId="297BCE74"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6,349 </w:t>
            </w:r>
          </w:p>
        </w:tc>
        <w:tc>
          <w:tcPr>
            <w:tcW w:w="1404" w:type="dxa"/>
            <w:gridSpan w:val="2"/>
            <w:noWrap/>
            <w:hideMark/>
          </w:tcPr>
          <w:p w14:paraId="3B5C1F87"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37.97</w:t>
            </w:r>
          </w:p>
        </w:tc>
      </w:tr>
      <w:tr w:rsidR="00DE5CE3" w:rsidRPr="0096560E" w14:paraId="6092A09F" w14:textId="77777777" w:rsidTr="009251A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1CB8DDEB"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Nov-16</w:t>
            </w:r>
          </w:p>
        </w:tc>
        <w:tc>
          <w:tcPr>
            <w:tcW w:w="1725" w:type="dxa"/>
            <w:hideMark/>
          </w:tcPr>
          <w:p w14:paraId="7B262F7F" w14:textId="7F72B7CD"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41</w:t>
            </w:r>
          </w:p>
        </w:tc>
        <w:tc>
          <w:tcPr>
            <w:tcW w:w="1409" w:type="dxa"/>
            <w:noWrap/>
            <w:hideMark/>
          </w:tcPr>
          <w:p w14:paraId="02F92502" w14:textId="400DDCE3"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1,438 </w:t>
            </w:r>
          </w:p>
        </w:tc>
        <w:tc>
          <w:tcPr>
            <w:tcW w:w="1359" w:type="dxa"/>
            <w:gridSpan w:val="2"/>
            <w:noWrap/>
            <w:hideMark/>
          </w:tcPr>
          <w:p w14:paraId="2B0D7999"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8.6</w:t>
            </w:r>
          </w:p>
        </w:tc>
        <w:tc>
          <w:tcPr>
            <w:tcW w:w="1348" w:type="dxa"/>
            <w:gridSpan w:val="2"/>
            <w:noWrap/>
            <w:hideMark/>
          </w:tcPr>
          <w:p w14:paraId="3EFE9B15" w14:textId="0DABF895"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7,787 </w:t>
            </w:r>
          </w:p>
        </w:tc>
        <w:tc>
          <w:tcPr>
            <w:tcW w:w="1404" w:type="dxa"/>
            <w:gridSpan w:val="2"/>
            <w:noWrap/>
            <w:hideMark/>
          </w:tcPr>
          <w:p w14:paraId="48903D76"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46.57</w:t>
            </w:r>
          </w:p>
        </w:tc>
      </w:tr>
      <w:tr w:rsidR="00DE5CE3" w:rsidRPr="0096560E" w14:paraId="0EFA7129" w14:textId="77777777" w:rsidTr="009251A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7428DBE9"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Oct-16</w:t>
            </w:r>
          </w:p>
        </w:tc>
        <w:tc>
          <w:tcPr>
            <w:tcW w:w="1725" w:type="dxa"/>
            <w:hideMark/>
          </w:tcPr>
          <w:p w14:paraId="5E8965EA" w14:textId="38989CA9"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42</w:t>
            </w:r>
          </w:p>
        </w:tc>
        <w:tc>
          <w:tcPr>
            <w:tcW w:w="1409" w:type="dxa"/>
            <w:noWrap/>
            <w:hideMark/>
          </w:tcPr>
          <w:p w14:paraId="5817ADFA" w14:textId="6EDFD949"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1,232 </w:t>
            </w:r>
          </w:p>
        </w:tc>
        <w:tc>
          <w:tcPr>
            <w:tcW w:w="1359" w:type="dxa"/>
            <w:gridSpan w:val="2"/>
            <w:noWrap/>
            <w:hideMark/>
          </w:tcPr>
          <w:p w14:paraId="1F7A4636"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7.37</w:t>
            </w:r>
          </w:p>
        </w:tc>
        <w:tc>
          <w:tcPr>
            <w:tcW w:w="1348" w:type="dxa"/>
            <w:gridSpan w:val="2"/>
            <w:noWrap/>
            <w:hideMark/>
          </w:tcPr>
          <w:p w14:paraId="30E438CB" w14:textId="196C27B3"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9,019 </w:t>
            </w:r>
          </w:p>
        </w:tc>
        <w:tc>
          <w:tcPr>
            <w:tcW w:w="1404" w:type="dxa"/>
            <w:gridSpan w:val="2"/>
            <w:noWrap/>
            <w:hideMark/>
          </w:tcPr>
          <w:p w14:paraId="3E639FE9"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53.94</w:t>
            </w:r>
          </w:p>
        </w:tc>
      </w:tr>
      <w:tr w:rsidR="00DE5CE3" w:rsidRPr="0096560E" w14:paraId="0C53AD64" w14:textId="77777777" w:rsidTr="009251A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38D3D842"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Sep-16</w:t>
            </w:r>
          </w:p>
        </w:tc>
        <w:tc>
          <w:tcPr>
            <w:tcW w:w="1725" w:type="dxa"/>
            <w:hideMark/>
          </w:tcPr>
          <w:p w14:paraId="321C35D1" w14:textId="597A1E04"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43</w:t>
            </w:r>
          </w:p>
        </w:tc>
        <w:tc>
          <w:tcPr>
            <w:tcW w:w="1409" w:type="dxa"/>
            <w:noWrap/>
            <w:hideMark/>
          </w:tcPr>
          <w:p w14:paraId="7F496498" w14:textId="1C9FCA25"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1,324 </w:t>
            </w:r>
          </w:p>
        </w:tc>
        <w:tc>
          <w:tcPr>
            <w:tcW w:w="1359" w:type="dxa"/>
            <w:gridSpan w:val="2"/>
            <w:noWrap/>
            <w:hideMark/>
          </w:tcPr>
          <w:p w14:paraId="3DA51AF9"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7.92</w:t>
            </w:r>
          </w:p>
        </w:tc>
        <w:tc>
          <w:tcPr>
            <w:tcW w:w="1348" w:type="dxa"/>
            <w:gridSpan w:val="2"/>
            <w:noWrap/>
            <w:hideMark/>
          </w:tcPr>
          <w:p w14:paraId="020890C3" w14:textId="653BC103"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10,343 </w:t>
            </w:r>
          </w:p>
        </w:tc>
        <w:tc>
          <w:tcPr>
            <w:tcW w:w="1404" w:type="dxa"/>
            <w:gridSpan w:val="2"/>
            <w:noWrap/>
            <w:hideMark/>
          </w:tcPr>
          <w:p w14:paraId="1DA63533"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61.86</w:t>
            </w:r>
          </w:p>
        </w:tc>
      </w:tr>
      <w:tr w:rsidR="00DE5CE3" w:rsidRPr="0096560E" w14:paraId="302C162C" w14:textId="77777777" w:rsidTr="009251A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012F80DE"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Aug-16</w:t>
            </w:r>
          </w:p>
        </w:tc>
        <w:tc>
          <w:tcPr>
            <w:tcW w:w="1725" w:type="dxa"/>
            <w:hideMark/>
          </w:tcPr>
          <w:p w14:paraId="166F6638" w14:textId="76DA5FC9"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44</w:t>
            </w:r>
          </w:p>
        </w:tc>
        <w:tc>
          <w:tcPr>
            <w:tcW w:w="1409" w:type="dxa"/>
            <w:noWrap/>
            <w:hideMark/>
          </w:tcPr>
          <w:p w14:paraId="4AB13435" w14:textId="391AB466"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1,455 </w:t>
            </w:r>
          </w:p>
        </w:tc>
        <w:tc>
          <w:tcPr>
            <w:tcW w:w="1359" w:type="dxa"/>
            <w:gridSpan w:val="2"/>
            <w:noWrap/>
            <w:hideMark/>
          </w:tcPr>
          <w:p w14:paraId="0B2CADA3"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8.7</w:t>
            </w:r>
          </w:p>
        </w:tc>
        <w:tc>
          <w:tcPr>
            <w:tcW w:w="1348" w:type="dxa"/>
            <w:gridSpan w:val="2"/>
            <w:noWrap/>
            <w:hideMark/>
          </w:tcPr>
          <w:p w14:paraId="4C0DEFE0" w14:textId="406878C4"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11,798 </w:t>
            </w:r>
          </w:p>
        </w:tc>
        <w:tc>
          <w:tcPr>
            <w:tcW w:w="1404" w:type="dxa"/>
            <w:gridSpan w:val="2"/>
            <w:noWrap/>
            <w:hideMark/>
          </w:tcPr>
          <w:p w14:paraId="4DB83DEA"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70.56</w:t>
            </w:r>
          </w:p>
        </w:tc>
      </w:tr>
      <w:tr w:rsidR="00DE5CE3" w:rsidRPr="0096560E" w14:paraId="2C13B5D3" w14:textId="77777777" w:rsidTr="009251A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265B597F"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Jul-16</w:t>
            </w:r>
          </w:p>
        </w:tc>
        <w:tc>
          <w:tcPr>
            <w:tcW w:w="1725" w:type="dxa"/>
            <w:hideMark/>
          </w:tcPr>
          <w:p w14:paraId="198529DE" w14:textId="4D2281CA"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45</w:t>
            </w:r>
          </w:p>
        </w:tc>
        <w:tc>
          <w:tcPr>
            <w:tcW w:w="1409" w:type="dxa"/>
            <w:noWrap/>
            <w:hideMark/>
          </w:tcPr>
          <w:p w14:paraId="24A3DD20" w14:textId="5087876B"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1,364 </w:t>
            </w:r>
          </w:p>
        </w:tc>
        <w:tc>
          <w:tcPr>
            <w:tcW w:w="1359" w:type="dxa"/>
            <w:gridSpan w:val="2"/>
            <w:noWrap/>
            <w:hideMark/>
          </w:tcPr>
          <w:p w14:paraId="3D66E64C"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8.16</w:t>
            </w:r>
          </w:p>
        </w:tc>
        <w:tc>
          <w:tcPr>
            <w:tcW w:w="1348" w:type="dxa"/>
            <w:gridSpan w:val="2"/>
            <w:noWrap/>
            <w:hideMark/>
          </w:tcPr>
          <w:p w14:paraId="2F9DCB00" w14:textId="02EDC788"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13,162 </w:t>
            </w:r>
          </w:p>
        </w:tc>
        <w:tc>
          <w:tcPr>
            <w:tcW w:w="1404" w:type="dxa"/>
            <w:gridSpan w:val="2"/>
            <w:noWrap/>
            <w:hideMark/>
          </w:tcPr>
          <w:p w14:paraId="53818D39"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78.72</w:t>
            </w:r>
          </w:p>
        </w:tc>
      </w:tr>
      <w:tr w:rsidR="00DE5CE3" w:rsidRPr="0096560E" w14:paraId="3706E8B8" w14:textId="77777777" w:rsidTr="009251A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0B332BA2"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Jun-16</w:t>
            </w:r>
          </w:p>
        </w:tc>
        <w:tc>
          <w:tcPr>
            <w:tcW w:w="1725" w:type="dxa"/>
            <w:hideMark/>
          </w:tcPr>
          <w:p w14:paraId="451DA05F" w14:textId="7710A279"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46</w:t>
            </w:r>
          </w:p>
        </w:tc>
        <w:tc>
          <w:tcPr>
            <w:tcW w:w="1409" w:type="dxa"/>
            <w:noWrap/>
            <w:hideMark/>
          </w:tcPr>
          <w:p w14:paraId="1C9E3109" w14:textId="153385B1"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1,350 </w:t>
            </w:r>
          </w:p>
        </w:tc>
        <w:tc>
          <w:tcPr>
            <w:tcW w:w="1359" w:type="dxa"/>
            <w:gridSpan w:val="2"/>
            <w:noWrap/>
            <w:hideMark/>
          </w:tcPr>
          <w:p w14:paraId="7BCBD58C"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8.07</w:t>
            </w:r>
          </w:p>
        </w:tc>
        <w:tc>
          <w:tcPr>
            <w:tcW w:w="1348" w:type="dxa"/>
            <w:gridSpan w:val="2"/>
            <w:noWrap/>
            <w:hideMark/>
          </w:tcPr>
          <w:p w14:paraId="55CC4D4D" w14:textId="770C551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14,512 </w:t>
            </w:r>
          </w:p>
        </w:tc>
        <w:tc>
          <w:tcPr>
            <w:tcW w:w="1404" w:type="dxa"/>
            <w:gridSpan w:val="2"/>
            <w:noWrap/>
            <w:hideMark/>
          </w:tcPr>
          <w:p w14:paraId="19BE5D1D"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86.79</w:t>
            </w:r>
          </w:p>
        </w:tc>
      </w:tr>
      <w:tr w:rsidR="00DE5CE3" w:rsidRPr="0096560E" w14:paraId="12D63A6E" w14:textId="77777777" w:rsidTr="009251A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1F1AA3C0"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May-16</w:t>
            </w:r>
          </w:p>
        </w:tc>
        <w:tc>
          <w:tcPr>
            <w:tcW w:w="1725" w:type="dxa"/>
            <w:hideMark/>
          </w:tcPr>
          <w:p w14:paraId="5C08CC79" w14:textId="10845488"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47</w:t>
            </w:r>
          </w:p>
        </w:tc>
        <w:tc>
          <w:tcPr>
            <w:tcW w:w="1409" w:type="dxa"/>
            <w:noWrap/>
            <w:hideMark/>
          </w:tcPr>
          <w:p w14:paraId="589921FC" w14:textId="749CA3A6"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1,330 </w:t>
            </w:r>
          </w:p>
        </w:tc>
        <w:tc>
          <w:tcPr>
            <w:tcW w:w="1359" w:type="dxa"/>
            <w:gridSpan w:val="2"/>
            <w:noWrap/>
            <w:hideMark/>
          </w:tcPr>
          <w:p w14:paraId="05B9AD32"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7.95</w:t>
            </w:r>
          </w:p>
        </w:tc>
        <w:tc>
          <w:tcPr>
            <w:tcW w:w="1348" w:type="dxa"/>
            <w:gridSpan w:val="2"/>
            <w:noWrap/>
            <w:hideMark/>
          </w:tcPr>
          <w:p w14:paraId="3F36192D" w14:textId="2F294566"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15,842 </w:t>
            </w:r>
          </w:p>
        </w:tc>
        <w:tc>
          <w:tcPr>
            <w:tcW w:w="1404" w:type="dxa"/>
            <w:gridSpan w:val="2"/>
            <w:noWrap/>
            <w:hideMark/>
          </w:tcPr>
          <w:p w14:paraId="1970AE2A"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94.74</w:t>
            </w:r>
          </w:p>
        </w:tc>
      </w:tr>
      <w:tr w:rsidR="00DE5CE3" w:rsidRPr="0096560E" w14:paraId="426FDAFC" w14:textId="77777777" w:rsidTr="009251A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3F8C5824"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Apr-16</w:t>
            </w:r>
          </w:p>
        </w:tc>
        <w:tc>
          <w:tcPr>
            <w:tcW w:w="1725" w:type="dxa"/>
            <w:hideMark/>
          </w:tcPr>
          <w:p w14:paraId="061E302D" w14:textId="68E5CD63"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Month</w:t>
            </w:r>
            <w:r w:rsidR="00AF1795" w:rsidRPr="00C239FD">
              <w:rPr>
                <w:rFonts w:ascii="Calibri" w:eastAsia="Times New Roman" w:hAnsi="Calibri" w:cs="Calibri"/>
                <w:color w:val="000000"/>
                <w:sz w:val="18"/>
                <w:szCs w:val="18"/>
                <w:lang w:eastAsia="en-AU"/>
              </w:rPr>
              <w:t xml:space="preserve"> </w:t>
            </w:r>
            <w:r w:rsidRPr="00C239FD">
              <w:rPr>
                <w:rFonts w:ascii="Calibri" w:eastAsia="Times New Roman" w:hAnsi="Calibri" w:cs="Calibri"/>
                <w:color w:val="000000"/>
                <w:sz w:val="18"/>
                <w:szCs w:val="18"/>
                <w:lang w:eastAsia="en-AU"/>
              </w:rPr>
              <w:t>48</w:t>
            </w:r>
          </w:p>
        </w:tc>
        <w:tc>
          <w:tcPr>
            <w:tcW w:w="1409" w:type="dxa"/>
            <w:noWrap/>
            <w:hideMark/>
          </w:tcPr>
          <w:p w14:paraId="4F2AF2AF" w14:textId="4243EB04" w:rsidR="00DE5CE3" w:rsidRPr="00C239FD" w:rsidRDefault="00F8391B"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 </w:t>
            </w:r>
            <w:r w:rsidR="00DE5CE3" w:rsidRPr="00C239FD">
              <w:rPr>
                <w:rFonts w:ascii="Calibri" w:eastAsia="Times New Roman" w:hAnsi="Calibri" w:cs="Calibri"/>
                <w:color w:val="000000"/>
                <w:sz w:val="18"/>
                <w:szCs w:val="18"/>
                <w:lang w:eastAsia="en-AU"/>
              </w:rPr>
              <w:t xml:space="preserve">880 </w:t>
            </w:r>
          </w:p>
        </w:tc>
        <w:tc>
          <w:tcPr>
            <w:tcW w:w="1359" w:type="dxa"/>
            <w:gridSpan w:val="2"/>
            <w:noWrap/>
            <w:hideMark/>
          </w:tcPr>
          <w:p w14:paraId="3DACF03A"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5.26</w:t>
            </w:r>
          </w:p>
        </w:tc>
        <w:tc>
          <w:tcPr>
            <w:tcW w:w="1348" w:type="dxa"/>
            <w:gridSpan w:val="2"/>
            <w:noWrap/>
            <w:hideMark/>
          </w:tcPr>
          <w:p w14:paraId="2E88B3F1" w14:textId="5D583624"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16,722 </w:t>
            </w:r>
          </w:p>
        </w:tc>
        <w:tc>
          <w:tcPr>
            <w:tcW w:w="1404" w:type="dxa"/>
            <w:gridSpan w:val="2"/>
            <w:noWrap/>
            <w:hideMark/>
          </w:tcPr>
          <w:p w14:paraId="4D6BFA58" w14:textId="77777777" w:rsidR="00DE5CE3" w:rsidRPr="00C239FD" w:rsidRDefault="00DE5CE3" w:rsidP="00D11E3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100</w:t>
            </w:r>
          </w:p>
        </w:tc>
      </w:tr>
      <w:tr w:rsidR="00DE5CE3" w:rsidRPr="0096560E" w14:paraId="26C5A83C" w14:textId="77777777" w:rsidTr="009251A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44" w:type="dxa"/>
            <w:noWrap/>
            <w:hideMark/>
          </w:tcPr>
          <w:p w14:paraId="5830C74B" w14:textId="77777777" w:rsidR="00DE5CE3" w:rsidRPr="00C239FD" w:rsidRDefault="00DE5CE3" w:rsidP="00D11E39">
            <w:pPr>
              <w:jc w:val="right"/>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Total</w:t>
            </w:r>
          </w:p>
        </w:tc>
        <w:tc>
          <w:tcPr>
            <w:tcW w:w="1725" w:type="dxa"/>
            <w:noWrap/>
            <w:hideMark/>
          </w:tcPr>
          <w:p w14:paraId="625A689A"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p>
        </w:tc>
        <w:tc>
          <w:tcPr>
            <w:tcW w:w="1409" w:type="dxa"/>
            <w:noWrap/>
            <w:hideMark/>
          </w:tcPr>
          <w:p w14:paraId="416BCC6A" w14:textId="383F1B08"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16,722 </w:t>
            </w:r>
          </w:p>
        </w:tc>
        <w:tc>
          <w:tcPr>
            <w:tcW w:w="1359" w:type="dxa"/>
            <w:gridSpan w:val="2"/>
            <w:noWrap/>
            <w:hideMark/>
          </w:tcPr>
          <w:p w14:paraId="5F8DCAA2"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100</w:t>
            </w:r>
          </w:p>
        </w:tc>
        <w:tc>
          <w:tcPr>
            <w:tcW w:w="1348" w:type="dxa"/>
            <w:gridSpan w:val="2"/>
            <w:noWrap/>
            <w:hideMark/>
          </w:tcPr>
          <w:p w14:paraId="5DA397AB" w14:textId="1C21E5FC"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 xml:space="preserve">16,722 </w:t>
            </w:r>
          </w:p>
        </w:tc>
        <w:tc>
          <w:tcPr>
            <w:tcW w:w="1404" w:type="dxa"/>
            <w:gridSpan w:val="2"/>
            <w:noWrap/>
            <w:hideMark/>
          </w:tcPr>
          <w:p w14:paraId="67FE6DC2" w14:textId="77777777" w:rsidR="00DE5CE3" w:rsidRPr="00C239FD" w:rsidRDefault="00DE5CE3" w:rsidP="00D11E3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C239FD">
              <w:rPr>
                <w:rFonts w:ascii="Calibri" w:eastAsia="Times New Roman" w:hAnsi="Calibri" w:cs="Calibri"/>
                <w:color w:val="000000"/>
                <w:sz w:val="18"/>
                <w:szCs w:val="18"/>
                <w:lang w:eastAsia="en-AU"/>
              </w:rPr>
              <w:t>100</w:t>
            </w:r>
          </w:p>
        </w:tc>
      </w:tr>
    </w:tbl>
    <w:p w14:paraId="7B8FED06" w14:textId="3B88890A" w:rsidR="00700D57" w:rsidRPr="00437DC9" w:rsidRDefault="00700D57" w:rsidP="00700D57">
      <w:pPr>
        <w:pStyle w:val="SourceandNotes"/>
      </w:pPr>
      <w:r w:rsidRPr="005E0ED0">
        <w:t xml:space="preserve">Source: The </w:t>
      </w:r>
      <w:r w:rsidRPr="00437DC9">
        <w:t>department</w:t>
      </w:r>
      <w:r w:rsidR="00F8391B">
        <w:t>’</w:t>
      </w:r>
      <w:r w:rsidRPr="00437DC9">
        <w:t>s administrative data</w:t>
      </w:r>
    </w:p>
    <w:p w14:paraId="62F2C785" w14:textId="214DA683" w:rsidR="00DE5CE3" w:rsidRDefault="00DE5CE3" w:rsidP="009251AF">
      <w:pPr>
        <w:pStyle w:val="Heading2a"/>
        <w:rPr>
          <w:lang w:eastAsia="en-AU"/>
        </w:rPr>
      </w:pPr>
      <w:bookmarkStart w:id="3959" w:name="_Toc132650547"/>
      <w:bookmarkStart w:id="3960" w:name="_Toc146033576"/>
      <w:r>
        <w:rPr>
          <w:lang w:eastAsia="en-AU"/>
        </w:rPr>
        <w:t>Limitations</w:t>
      </w:r>
      <w:bookmarkEnd w:id="3959"/>
      <w:bookmarkEnd w:id="3960"/>
    </w:p>
    <w:p w14:paraId="16DD1CAD" w14:textId="4EFE941D" w:rsidR="00DE5CE3" w:rsidRDefault="00DE5CE3" w:rsidP="00DE5CE3">
      <w:r>
        <w:t xml:space="preserve">There are a number of limitations associated with the </w:t>
      </w:r>
      <w:r w:rsidR="006150C6">
        <w:t>long-term</w:t>
      </w:r>
      <w:r>
        <w:t xml:space="preserve"> impact analysis.</w:t>
      </w:r>
    </w:p>
    <w:p w14:paraId="3BA1C6C7" w14:textId="51122E94" w:rsidR="00DE5CE3" w:rsidRDefault="00DE5CE3" w:rsidP="007F37E0">
      <w:pPr>
        <w:pStyle w:val="ListBullet"/>
      </w:pPr>
      <w:r>
        <w:t>Comparative approach</w:t>
      </w:r>
      <w:r w:rsidR="00F8391B">
        <w:t xml:space="preserve"> – </w:t>
      </w:r>
      <w:r>
        <w:t xml:space="preserve">the lack of a </w:t>
      </w:r>
      <w:r w:rsidRPr="00147D6C">
        <w:t>credible counterfactual</w:t>
      </w:r>
      <w:r>
        <w:t xml:space="preserve"> where no TtW or other services and programs are present renders a net impact study infeasible</w:t>
      </w:r>
      <w:r w:rsidRPr="00B824EA">
        <w:t xml:space="preserve"> </w:t>
      </w:r>
      <w:r>
        <w:t>at a whole</w:t>
      </w:r>
      <w:r w:rsidR="00C56949">
        <w:t>-</w:t>
      </w:r>
      <w:r>
        <w:t>service level. The comparative approach used for this evaluation enables conclusions as to how effective TtW is in comparison to a matched sample from jobactive, but not relative to a no-service situation.</w:t>
      </w:r>
    </w:p>
    <w:p w14:paraId="4853A765" w14:textId="75970676" w:rsidR="00DE5CE3" w:rsidRDefault="00DE5CE3" w:rsidP="007F37E0">
      <w:pPr>
        <w:pStyle w:val="ListBullet"/>
      </w:pPr>
      <w:r>
        <w:lastRenderedPageBreak/>
        <w:t>Data availability issue – relying on income support data as proxies in tracking participants</w:t>
      </w:r>
      <w:r w:rsidR="00F8391B">
        <w:t>’</w:t>
      </w:r>
      <w:r>
        <w:t xml:space="preserve"> longer</w:t>
      </w:r>
      <w:r w:rsidR="00D6181D">
        <w:t>-</w:t>
      </w:r>
      <w:r>
        <w:t>term labour market outcomes may not give a full picture of outcomes. This is necessary due to a lack of direct data on participants</w:t>
      </w:r>
      <w:r w:rsidR="00F8391B">
        <w:t>’</w:t>
      </w:r>
      <w:r>
        <w:t xml:space="preserve"> labour market status after they exit the program</w:t>
      </w:r>
      <w:r w:rsidR="000802AC">
        <w:t>.</w:t>
      </w:r>
    </w:p>
    <w:p w14:paraId="4C49A522" w14:textId="77777777" w:rsidR="00DE5CE3" w:rsidRDefault="00DE5CE3" w:rsidP="007F37E0">
      <w:pPr>
        <w:pStyle w:val="ListBullet"/>
      </w:pPr>
      <w:r>
        <w:t>Data quality issues –</w:t>
      </w:r>
      <w:r w:rsidRPr="0079489C">
        <w:t xml:space="preserve"> </w:t>
      </w:r>
      <w:r>
        <w:t>m</w:t>
      </w:r>
      <w:r w:rsidRPr="0079489C">
        <w:t>issing or poorly recorded data (for example, missing exit reasons and poorly recorded hours and earnings data) may af</w:t>
      </w:r>
      <w:r>
        <w:t>fect some parts of the analysis.</w:t>
      </w:r>
    </w:p>
    <w:p w14:paraId="4050E238" w14:textId="77777777" w:rsidR="00DE5CE3" w:rsidRDefault="00DE5CE3" w:rsidP="007F37E0">
      <w:pPr>
        <w:pStyle w:val="ListBullet"/>
      </w:pPr>
      <w:r>
        <w:t>Comparison groups – there are difficulties with creating comparison groups even under the comparative approach, especially for Group 2 participants (disengaged young people), as there is no jobactive equivalent.</w:t>
      </w:r>
    </w:p>
    <w:p w14:paraId="7A034227" w14:textId="307E2DC7" w:rsidR="00DE5CE3" w:rsidRDefault="00DE5CE3" w:rsidP="007F37E0">
      <w:pPr>
        <w:pStyle w:val="ListBullet"/>
      </w:pPr>
      <w:r w:rsidRPr="00AC47FE">
        <w:t xml:space="preserve">Consistency in service delivery – </w:t>
      </w:r>
      <w:r>
        <w:t>t</w:t>
      </w:r>
      <w:r w:rsidRPr="00AC47FE">
        <w:t>he highly flexible</w:t>
      </w:r>
      <w:r>
        <w:t xml:space="preserve"> nature of the</w:t>
      </w:r>
      <w:r w:rsidRPr="00AC47FE">
        <w:t xml:space="preserve"> training and services offered by </w:t>
      </w:r>
      <w:r>
        <w:t>TtW</w:t>
      </w:r>
      <w:r w:rsidRPr="00AC47FE">
        <w:t xml:space="preserve"> providers</w:t>
      </w:r>
      <w:r>
        <w:t xml:space="preserve">, under </w:t>
      </w:r>
      <w:r w:rsidR="000802AC">
        <w:t>s</w:t>
      </w:r>
      <w:r>
        <w:t xml:space="preserve">ervice </w:t>
      </w:r>
      <w:r w:rsidR="000802AC">
        <w:t>d</w:t>
      </w:r>
      <w:r>
        <w:t>elivery plans,</w:t>
      </w:r>
      <w:r w:rsidRPr="00AC47FE">
        <w:t xml:space="preserve"> may lead to difficulties in isolating </w:t>
      </w:r>
      <w:r w:rsidR="00F8391B">
        <w:t>‘</w:t>
      </w:r>
      <w:r>
        <w:t>program</w:t>
      </w:r>
      <w:r w:rsidRPr="00AC47FE">
        <w:t>-specific</w:t>
      </w:r>
      <w:r w:rsidR="00F8391B">
        <w:t>’</w:t>
      </w:r>
      <w:r w:rsidRPr="00AC47FE">
        <w:t xml:space="preserve"> effects from </w:t>
      </w:r>
      <w:r w:rsidR="00F8391B">
        <w:t>‘</w:t>
      </w:r>
      <w:r>
        <w:t>p</w:t>
      </w:r>
      <w:r w:rsidRPr="00AC47FE">
        <w:t>rovider-specific</w:t>
      </w:r>
      <w:r w:rsidR="00F8391B">
        <w:t>’</w:t>
      </w:r>
      <w:r w:rsidRPr="00AC47FE">
        <w:t xml:space="preserve"> effects</w:t>
      </w:r>
      <w:r>
        <w:t>.</w:t>
      </w:r>
    </w:p>
    <w:p w14:paraId="6A0DBAC4" w14:textId="2F3B2791" w:rsidR="00DE5CE3" w:rsidRDefault="00DE5CE3" w:rsidP="007F37E0">
      <w:pPr>
        <w:pStyle w:val="ListBullet"/>
      </w:pPr>
      <w:r>
        <w:t xml:space="preserve">Over </w:t>
      </w:r>
      <w:r w:rsidR="009E4B68">
        <w:t>the longer term</w:t>
      </w:r>
      <w:r>
        <w:t>, other exogenous factors are likely to become increasingly influential in determining outcomes, making it difficult to conclusively attribute outcomes to TtW service interventions. Using a matched comparison group of jobactive participants will partially counteract this. Notably, COVID</w:t>
      </w:r>
      <w:r w:rsidR="000802AC">
        <w:t>-</w:t>
      </w:r>
      <w:r>
        <w:t>19 and the 2020 bushfires affected participants in different regions across Australia differently. These events not only</w:t>
      </w:r>
      <w:r w:rsidR="001D5C24">
        <w:t xml:space="preserve"> led</w:t>
      </w:r>
      <w:r>
        <w:t xml:space="preserve"> to changes in participant requirements but also affected individuals in diverse and challenging ways.</w:t>
      </w:r>
    </w:p>
    <w:p w14:paraId="38648FC5" w14:textId="2CE86488" w:rsidR="00A7011B" w:rsidRDefault="00A7011B">
      <w:pPr>
        <w:spacing w:after="160" w:line="259" w:lineRule="auto"/>
      </w:pPr>
    </w:p>
    <w:p w14:paraId="4E3E47BB" w14:textId="77777777" w:rsidR="00A7011B" w:rsidRDefault="00A7011B">
      <w:pPr>
        <w:spacing w:after="160" w:line="259" w:lineRule="auto"/>
        <w:sectPr w:rsidR="00A7011B" w:rsidSect="000A7998">
          <w:pgSz w:w="11906" w:h="16838"/>
          <w:pgMar w:top="2268" w:right="1440" w:bottom="1440" w:left="1440" w:header="0" w:footer="708" w:gutter="0"/>
          <w:cols w:space="708"/>
          <w:docGrid w:linePitch="360"/>
        </w:sectPr>
      </w:pPr>
    </w:p>
    <w:p w14:paraId="6D29265B" w14:textId="6B7AC8C9" w:rsidR="003A491D" w:rsidRPr="00EB1719" w:rsidRDefault="003A491D" w:rsidP="009251AF">
      <w:pPr>
        <w:pStyle w:val="Heading1a"/>
      </w:pPr>
      <w:bookmarkStart w:id="3961" w:name="_Toc132209662"/>
      <w:bookmarkStart w:id="3962" w:name="_Toc132209827"/>
      <w:bookmarkStart w:id="3963" w:name="_Toc132209992"/>
      <w:bookmarkStart w:id="3964" w:name="_Toc132647749"/>
      <w:bookmarkStart w:id="3965" w:name="_Toc106711922"/>
      <w:bookmarkStart w:id="3966" w:name="_Toc132650548"/>
      <w:bookmarkStart w:id="3967" w:name="_Toc146033577"/>
      <w:bookmarkEnd w:id="3961"/>
      <w:bookmarkEnd w:id="3962"/>
      <w:bookmarkEnd w:id="3963"/>
      <w:bookmarkEnd w:id="3964"/>
      <w:r>
        <w:lastRenderedPageBreak/>
        <w:t>Analysis of extension of program duration:</w:t>
      </w:r>
      <w:r w:rsidRPr="00EB1719">
        <w:t xml:space="preserve"> </w:t>
      </w:r>
      <w:r w:rsidRPr="0063238C">
        <w:t>study population</w:t>
      </w:r>
      <w:r>
        <w:t xml:space="preserve"> selection and </w:t>
      </w:r>
      <w:r w:rsidRPr="0063238C">
        <w:t xml:space="preserve">demographics, </w:t>
      </w:r>
      <w:r>
        <w:t xml:space="preserve">analysis </w:t>
      </w:r>
      <w:r w:rsidRPr="0063238C">
        <w:t>methodology and data limitations</w:t>
      </w:r>
      <w:bookmarkEnd w:id="3965"/>
      <w:bookmarkEnd w:id="3966"/>
      <w:bookmarkEnd w:id="3967"/>
    </w:p>
    <w:p w14:paraId="5EB1626C" w14:textId="1FE498D7" w:rsidR="003A491D" w:rsidRDefault="003A491D" w:rsidP="009251AF">
      <w:pPr>
        <w:pStyle w:val="Heading2a"/>
      </w:pPr>
      <w:bookmarkStart w:id="3968" w:name="_Toc132650549"/>
      <w:bookmarkStart w:id="3969" w:name="_Toc146033578"/>
      <w:bookmarkStart w:id="3970" w:name="_Toc55475721"/>
      <w:bookmarkStart w:id="3971" w:name="_Toc72481949"/>
      <w:bookmarkStart w:id="3972" w:name="_Toc55475723"/>
      <w:bookmarkStart w:id="3973" w:name="_Toc72481951"/>
      <w:r>
        <w:t>Introduction</w:t>
      </w:r>
      <w:bookmarkEnd w:id="3968"/>
      <w:bookmarkEnd w:id="3969"/>
    </w:p>
    <w:p w14:paraId="5619C2B1" w14:textId="59EDAD06" w:rsidR="003A491D" w:rsidRPr="001431BC" w:rsidRDefault="003A491D" w:rsidP="003A491D">
      <w:r>
        <w:t>This appendix details how the study population for the analysis of changed maximum service duration was constructed, and how the matched samples were selected. It then provides detail on the demographics of the study population, and the</w:t>
      </w:r>
      <w:r w:rsidR="00F8391B">
        <w:t xml:space="preserve"> 2</w:t>
      </w:r>
      <w:r>
        <w:t xml:space="preserve"> matched samples for comparison, outlining any notable differences that need to be considered when interpreting results. A discussion of why regression analysis was not undertaken on the samples and</w:t>
      </w:r>
      <w:r w:rsidR="003E2577">
        <w:t xml:space="preserve"> a discussion of</w:t>
      </w:r>
      <w:r>
        <w:t xml:space="preserve"> limitations of the overall analysis </w:t>
      </w:r>
      <w:r w:rsidR="0039533E">
        <w:t>are</w:t>
      </w:r>
      <w:r>
        <w:t xml:space="preserve"> the</w:t>
      </w:r>
      <w:r w:rsidR="004A19D8">
        <w:t>n</w:t>
      </w:r>
      <w:r>
        <w:t xml:space="preserve"> presented.</w:t>
      </w:r>
    </w:p>
    <w:p w14:paraId="354EEB00" w14:textId="4DEFE890" w:rsidR="003A491D" w:rsidRDefault="003A491D" w:rsidP="009251AF">
      <w:pPr>
        <w:pStyle w:val="Heading2a"/>
      </w:pPr>
      <w:bookmarkStart w:id="3974" w:name="_Toc132650550"/>
      <w:bookmarkStart w:id="3975" w:name="_Toc146033579"/>
      <w:r>
        <w:t>Construction of study population</w:t>
      </w:r>
      <w:bookmarkEnd w:id="3970"/>
      <w:bookmarkEnd w:id="3971"/>
      <w:r>
        <w:t>s</w:t>
      </w:r>
      <w:r w:rsidR="00DA23FD">
        <w:t xml:space="preserve"> and samples</w:t>
      </w:r>
      <w:bookmarkEnd w:id="3974"/>
      <w:bookmarkEnd w:id="3975"/>
    </w:p>
    <w:p w14:paraId="2F9A2BA7" w14:textId="0E13A7A2" w:rsidR="003A491D" w:rsidRDefault="003A491D" w:rsidP="003A491D">
      <w:pPr>
        <w:spacing w:after="120"/>
      </w:pPr>
      <w:r>
        <w:t>The policy change to extend TtW service from 12 month</w:t>
      </w:r>
      <w:r w:rsidR="003E2577">
        <w:t>s</w:t>
      </w:r>
      <w:r>
        <w:t xml:space="preserve"> to 18 months became effective on 1 July 2020. Therefore, anyone who commenced in</w:t>
      </w:r>
      <w:r w:rsidR="003E2577">
        <w:t xml:space="preserve"> the</w:t>
      </w:r>
      <w:r>
        <w:t xml:space="preserve"> TtW program after 1 July 2019 is potentially eligible to stay in the program for 18 months</w:t>
      </w:r>
      <w:r w:rsidR="00D67CE7">
        <w:t>,</w:t>
      </w:r>
      <w:r>
        <w:t xml:space="preserve"> compared to those who started earlier</w:t>
      </w:r>
      <w:r w:rsidR="00D67CE7">
        <w:t>,</w:t>
      </w:r>
      <w:r>
        <w:t xml:space="preserve"> who may only be able to stay up to 12 months except when they are tracking </w:t>
      </w:r>
      <w:r w:rsidR="00D67CE7">
        <w:t xml:space="preserve">towards </w:t>
      </w:r>
      <w:r>
        <w:t xml:space="preserve">outcomes at the end of their 12-month period. To understand the effect of this policy change, </w:t>
      </w:r>
      <w:r w:rsidR="00F8391B">
        <w:t>2</w:t>
      </w:r>
      <w:r>
        <w:t xml:space="preserve"> study populations were constructed.</w:t>
      </w:r>
    </w:p>
    <w:p w14:paraId="4889788A" w14:textId="0B69ABBD" w:rsidR="003A491D" w:rsidRDefault="003A491D" w:rsidP="003A491D">
      <w:pPr>
        <w:spacing w:after="120"/>
      </w:pPr>
      <w:r w:rsidRPr="007F6263">
        <w:t>The inflow population</w:t>
      </w:r>
      <w:r>
        <w:t xml:space="preserve"> potentially affected by the policy change</w:t>
      </w:r>
      <w:r w:rsidRPr="007F6263">
        <w:t xml:space="preserve"> </w:t>
      </w:r>
      <w:r>
        <w:t xml:space="preserve">(the </w:t>
      </w:r>
      <w:r w:rsidR="00F8391B">
        <w:t>‘</w:t>
      </w:r>
      <w:r>
        <w:t>maximum 18 months</w:t>
      </w:r>
      <w:r w:rsidR="00F8391B">
        <w:t>’</w:t>
      </w:r>
      <w:r>
        <w:t xml:space="preserve"> population) </w:t>
      </w:r>
      <w:r w:rsidRPr="007F6263">
        <w:t xml:space="preserve">included participants </w:t>
      </w:r>
      <w:r>
        <w:t>who commenced</w:t>
      </w:r>
      <w:r w:rsidRPr="007F6263">
        <w:t xml:space="preserve"> </w:t>
      </w:r>
      <w:r>
        <w:t xml:space="preserve">in </w:t>
      </w:r>
      <w:r w:rsidRPr="007F6263">
        <w:t>the TtW service between 1 </w:t>
      </w:r>
      <w:r>
        <w:t>July</w:t>
      </w:r>
      <w:r w:rsidRPr="007F6263">
        <w:t xml:space="preserve"> 20</w:t>
      </w:r>
      <w:r>
        <w:t>19</w:t>
      </w:r>
      <w:r>
        <w:rPr>
          <w:rStyle w:val="FootnoteReference"/>
        </w:rPr>
        <w:footnoteReference w:id="121"/>
      </w:r>
      <w:r w:rsidRPr="007F6263">
        <w:t xml:space="preserve"> and </w:t>
      </w:r>
      <w:r>
        <w:t>30</w:t>
      </w:r>
      <w:r w:rsidRPr="007F6263">
        <w:t> </w:t>
      </w:r>
      <w:r>
        <w:t>June</w:t>
      </w:r>
      <w:r w:rsidRPr="007F6263">
        <w:t xml:space="preserve"> 20</w:t>
      </w:r>
      <w:r>
        <w:t>20</w:t>
      </w:r>
      <w:r w:rsidR="00901BB3">
        <w:t>,</w:t>
      </w:r>
      <w:r>
        <w:rPr>
          <w:rStyle w:val="FootnoteReference"/>
        </w:rPr>
        <w:footnoteReference w:id="122"/>
      </w:r>
      <w:r>
        <w:t xml:space="preserve"> identified through the department</w:t>
      </w:r>
      <w:r w:rsidR="00901BB3">
        <w:t>’</w:t>
      </w:r>
      <w:r>
        <w:t>s administrative data</w:t>
      </w:r>
      <w:r w:rsidRPr="007F6263">
        <w:t>.</w:t>
      </w:r>
    </w:p>
    <w:p w14:paraId="5CE21BED" w14:textId="6FEE1EC4" w:rsidR="003A491D" w:rsidRPr="007F6263" w:rsidRDefault="003A491D" w:rsidP="003A491D">
      <w:pPr>
        <w:spacing w:after="120"/>
      </w:pPr>
      <w:r>
        <w:t>The</w:t>
      </w:r>
      <w:r w:rsidRPr="007F6263">
        <w:t xml:space="preserve"> </w:t>
      </w:r>
      <w:r>
        <w:t>comparison population comprise</w:t>
      </w:r>
      <w:r w:rsidR="00901BB3">
        <w:t>s</w:t>
      </w:r>
      <w:r>
        <w:t xml:space="preserve"> the TtW </w:t>
      </w:r>
      <w:r w:rsidRPr="007F6263">
        <w:t>inflow population</w:t>
      </w:r>
      <w:r>
        <w:t xml:space="preserve"> who were ineligible for the extension in program duration (the </w:t>
      </w:r>
      <w:r w:rsidR="00F8391B">
        <w:t>‘</w:t>
      </w:r>
      <w:r>
        <w:t>maximum 12 months</w:t>
      </w:r>
      <w:r w:rsidR="00F8391B">
        <w:t>’</w:t>
      </w:r>
      <w:r>
        <w:t xml:space="preserve"> population) and includes all participants who commenced in TtW between 20 Jan</w:t>
      </w:r>
      <w:r w:rsidR="00901BB3">
        <w:t>uary</w:t>
      </w:r>
      <w:r>
        <w:t xml:space="preserve"> 2018</w:t>
      </w:r>
      <w:r>
        <w:rPr>
          <w:rStyle w:val="FootnoteReference"/>
        </w:rPr>
        <w:footnoteReference w:id="123"/>
      </w:r>
      <w:r>
        <w:t xml:space="preserve"> and 30 June</w:t>
      </w:r>
      <w:r w:rsidRPr="007F6263">
        <w:t xml:space="preserve"> 20</w:t>
      </w:r>
      <w:r>
        <w:t xml:space="preserve">19. This date was chosen to ensure that the </w:t>
      </w:r>
      <w:r w:rsidR="00F8391B">
        <w:t>‘</w:t>
      </w:r>
      <w:r>
        <w:t>maximum 12 months</w:t>
      </w:r>
      <w:r w:rsidR="00F8391B">
        <w:t>’</w:t>
      </w:r>
      <w:r>
        <w:t xml:space="preserve"> population (counted as 34,749) is the same size as the </w:t>
      </w:r>
      <w:r w:rsidR="00F8391B">
        <w:t>‘</w:t>
      </w:r>
      <w:r>
        <w:t>maximum 18</w:t>
      </w:r>
      <w:r w:rsidR="0091011B">
        <w:t> </w:t>
      </w:r>
      <w:r>
        <w:t>months</w:t>
      </w:r>
      <w:r w:rsidR="00F8391B">
        <w:t>’</w:t>
      </w:r>
      <w:r>
        <w:t xml:space="preserve"> population (counted as 34,679).</w:t>
      </w:r>
    </w:p>
    <w:p w14:paraId="69562C1C" w14:textId="0A34FDD3" w:rsidR="003A491D" w:rsidRDefault="003A491D" w:rsidP="003A491D">
      <w:pPr>
        <w:spacing w:after="120"/>
      </w:pPr>
      <w:r w:rsidRPr="007F6263">
        <w:t xml:space="preserve">Population members consist of new applicants for Youth Allowance (Other) (Group </w:t>
      </w:r>
      <w:r w:rsidR="0091011B">
        <w:t>1</w:t>
      </w:r>
      <w:r w:rsidRPr="007F6263">
        <w:t>)</w:t>
      </w:r>
      <w:r w:rsidR="00A63F86">
        <w:t>;</w:t>
      </w:r>
      <w:r w:rsidRPr="007F6263">
        <w:t xml:space="preserve"> disengaged young people recruited by providers</w:t>
      </w:r>
      <w:r w:rsidR="00A63F86">
        <w:t>,</w:t>
      </w:r>
      <w:r w:rsidRPr="007F6263">
        <w:t xml:space="preserve"> and other eligible young people receiving non-activity-tested income support payments (Group </w:t>
      </w:r>
      <w:r w:rsidR="0091011B">
        <w:t>2</w:t>
      </w:r>
      <w:r w:rsidRPr="007F6263">
        <w:t>)</w:t>
      </w:r>
      <w:r w:rsidR="00A63F86">
        <w:t>;</w:t>
      </w:r>
      <w:r w:rsidRPr="007F6263">
        <w:t xml:space="preserve"> and suitable Stream C participants referred from jobactive (Group </w:t>
      </w:r>
      <w:r w:rsidR="0091011B">
        <w:t>3</w:t>
      </w:r>
      <w:r w:rsidRPr="007F6263">
        <w:t xml:space="preserve">). </w:t>
      </w:r>
      <w:r>
        <w:t>Data on t</w:t>
      </w:r>
      <w:r w:rsidRPr="00A151CC">
        <w:t xml:space="preserve">he participant study populations </w:t>
      </w:r>
      <w:r>
        <w:t>includ</w:t>
      </w:r>
      <w:r w:rsidRPr="00A151CC">
        <w:t>ed</w:t>
      </w:r>
      <w:r>
        <w:t xml:space="preserve"> information on the </w:t>
      </w:r>
      <w:r w:rsidRPr="00A151CC">
        <w:t xml:space="preserve">periods of </w:t>
      </w:r>
      <w:r w:rsidRPr="00A151CC">
        <w:lastRenderedPageBreak/>
        <w:t xml:space="preserve">assistance </w:t>
      </w:r>
      <w:r>
        <w:t>a participant</w:t>
      </w:r>
      <w:r w:rsidRPr="00A151CC">
        <w:t xml:space="preserve"> received</w:t>
      </w:r>
      <w:r>
        <w:t>, beginning on the date of the participant</w:t>
      </w:r>
      <w:r w:rsidR="00F8391B">
        <w:t>’</w:t>
      </w:r>
      <w:r>
        <w:t>s referral to TtW and ending when they exited TtW for more than 91 days.</w:t>
      </w:r>
      <w:r w:rsidRPr="00172EB3">
        <w:rPr>
          <w:vertAlign w:val="superscript"/>
        </w:rPr>
        <w:footnoteReference w:id="124"/>
      </w:r>
    </w:p>
    <w:p w14:paraId="29E72649" w14:textId="0B427866" w:rsidR="003A491D" w:rsidRPr="007F6263" w:rsidRDefault="003A491D" w:rsidP="003A491D">
      <w:r w:rsidRPr="007F6263">
        <w:t xml:space="preserve">The evaluation followed participants for </w:t>
      </w:r>
      <w:r>
        <w:t>the</w:t>
      </w:r>
      <w:r w:rsidRPr="007F6263">
        <w:t xml:space="preserve"> time periods </w:t>
      </w:r>
      <w:r>
        <w:t>after they commenced in</w:t>
      </w:r>
      <w:r w:rsidR="003678FE">
        <w:t xml:space="preserve"> the</w:t>
      </w:r>
      <w:r>
        <w:t xml:space="preserve"> TtW program</w:t>
      </w:r>
      <w:r w:rsidRPr="007F6263">
        <w:t xml:space="preserve">, with </w:t>
      </w:r>
      <w:r>
        <w:t>all</w:t>
      </w:r>
      <w:r w:rsidRPr="007F6263">
        <w:t xml:space="preserve"> participants observed for at </w:t>
      </w:r>
      <w:r w:rsidRPr="004F7225">
        <w:t>least 27 calendar</w:t>
      </w:r>
      <w:r w:rsidRPr="007F6263">
        <w:t xml:space="preserve"> months</w:t>
      </w:r>
      <w:r>
        <w:t xml:space="preserve"> </w:t>
      </w:r>
      <w:r w:rsidRPr="007F6263">
        <w:t xml:space="preserve">following </w:t>
      </w:r>
      <w:r>
        <w:t>commencement in</w:t>
      </w:r>
      <w:r w:rsidRPr="007F6263">
        <w:t xml:space="preserve"> TtW</w:t>
      </w:r>
      <w:r>
        <w:t xml:space="preserve"> except where they exited earlier</w:t>
      </w:r>
      <w:r w:rsidRPr="007F6263">
        <w:t>.</w:t>
      </w:r>
      <w:r>
        <w:t xml:space="preserve"> Participants may have had more than one period of assistance; however, since a significant amount of time elapsed between participants ending a period of assistance and starting a new one, a participant</w:t>
      </w:r>
      <w:r w:rsidR="00F8391B">
        <w:t>’</w:t>
      </w:r>
      <w:r>
        <w:t>s labour market situation and personal characteristics may have differed significantly from one period of assistance to the next. The evaluation therefore treated each of a participant</w:t>
      </w:r>
      <w:r w:rsidR="00F8391B">
        <w:t>’</w:t>
      </w:r>
      <w:r>
        <w:t xml:space="preserve">s periods of assistance as separate cases, rather than combining them and treating each participant as a single case. For ease of reporting, reference is made to </w:t>
      </w:r>
      <w:r w:rsidR="00F8391B">
        <w:t>‘</w:t>
      </w:r>
      <w:r>
        <w:t>participants</w:t>
      </w:r>
      <w:r w:rsidR="00F8391B">
        <w:t>’</w:t>
      </w:r>
      <w:r>
        <w:t xml:space="preserve"> when referring to these </w:t>
      </w:r>
      <w:r w:rsidR="00F8391B">
        <w:t>‘</w:t>
      </w:r>
      <w:r>
        <w:t>periods of assistance</w:t>
      </w:r>
      <w:r w:rsidR="00F8391B">
        <w:t>’</w:t>
      </w:r>
      <w:r>
        <w:t xml:space="preserve"> throughout the report.</w:t>
      </w:r>
    </w:p>
    <w:p w14:paraId="23B47884" w14:textId="77777777" w:rsidR="003A491D" w:rsidRPr="009251AF" w:rsidRDefault="003A491D" w:rsidP="003F3CFA">
      <w:pPr>
        <w:pStyle w:val="Heading4a"/>
      </w:pPr>
      <w:bookmarkStart w:id="3976" w:name="_Toc55475722"/>
      <w:bookmarkStart w:id="3977" w:name="_Toc72481950"/>
      <w:r w:rsidRPr="009251AF">
        <w:t>Construction of matched samples</w:t>
      </w:r>
      <w:bookmarkEnd w:id="3976"/>
      <w:bookmarkEnd w:id="3977"/>
    </w:p>
    <w:p w14:paraId="5D802A0E" w14:textId="1D1F2C62" w:rsidR="003A491D" w:rsidRDefault="003A491D" w:rsidP="003A491D">
      <w:pPr>
        <w:spacing w:after="120"/>
      </w:pPr>
      <w:r>
        <w:t xml:space="preserve">Matched samples of </w:t>
      </w:r>
      <w:bookmarkStart w:id="3978" w:name="_Hlk102658156"/>
      <w:r w:rsidRPr="009F1529">
        <w:t>before and after</w:t>
      </w:r>
      <w:r w:rsidR="009F1529">
        <w:t xml:space="preserve"> </w:t>
      </w:r>
      <w:r w:rsidRPr="009F1529">
        <w:t>policy</w:t>
      </w:r>
      <w:r w:rsidR="009F1529">
        <w:t xml:space="preserve"> </w:t>
      </w:r>
      <w:r w:rsidRPr="009F1529">
        <w:t>change</w:t>
      </w:r>
      <w:r w:rsidRPr="00DA507B">
        <w:t xml:space="preserve"> </w:t>
      </w:r>
      <w:bookmarkEnd w:id="3978"/>
      <w:r>
        <w:t xml:space="preserve">participants were constructed for the purpose of the impact analysis of the effects of the service extension on labour market and educational outcomes for participants, compared to the </w:t>
      </w:r>
      <w:r w:rsidR="00F8391B">
        <w:t>‘</w:t>
      </w:r>
      <w:r>
        <w:t>no service extension</w:t>
      </w:r>
      <w:r w:rsidR="00F8391B">
        <w:t>’</w:t>
      </w:r>
      <w:r>
        <w:t xml:space="preserve"> situation. The base populations used for the matching process were the before and after</w:t>
      </w:r>
      <w:r w:rsidR="009F1529">
        <w:t xml:space="preserve"> </w:t>
      </w:r>
      <w:r>
        <w:t>policy</w:t>
      </w:r>
      <w:r w:rsidR="009F1529">
        <w:t xml:space="preserve"> </w:t>
      </w:r>
      <w:r>
        <w:t>change inflow populations.</w:t>
      </w:r>
    </w:p>
    <w:p w14:paraId="18DA4D94" w14:textId="369AD89F" w:rsidR="003A491D" w:rsidRDefault="003A491D" w:rsidP="003A491D">
      <w:pPr>
        <w:spacing w:after="120"/>
      </w:pPr>
      <w:r w:rsidRPr="007F6263">
        <w:t>To ensure that the participant groups had similar levels of disadvantage</w:t>
      </w:r>
      <w:r>
        <w:t xml:space="preserve">, </w:t>
      </w:r>
      <w:r w:rsidR="00F8391B">
        <w:t>4</w:t>
      </w:r>
      <w:r w:rsidRPr="007F6263">
        <w:t xml:space="preserve"> sets of characteristics were </w:t>
      </w:r>
      <w:r>
        <w:t>us</w:t>
      </w:r>
      <w:r w:rsidRPr="007F6263">
        <w:t>e</w:t>
      </w:r>
      <w:r>
        <w:t>d</w:t>
      </w:r>
      <w:r w:rsidRPr="007F6263">
        <w:t xml:space="preserve"> as matching variables</w:t>
      </w:r>
      <w:r>
        <w:t>. T</w:t>
      </w:r>
      <w:r w:rsidRPr="00AE56DE">
        <w:t xml:space="preserve">he final comparison </w:t>
      </w:r>
      <w:r>
        <w:t>samples</w:t>
      </w:r>
      <w:r w:rsidRPr="00AE56DE">
        <w:t xml:space="preserve"> selected for analysis consisted of commenced participants from both </w:t>
      </w:r>
      <w:r>
        <w:t>inflow populations</w:t>
      </w:r>
      <w:r w:rsidRPr="00AE56DE">
        <w:t xml:space="preserve"> matched on their education attainment (under Year 12 or Year 12 and above)</w:t>
      </w:r>
      <w:r>
        <w:t>,</w:t>
      </w:r>
      <w:r w:rsidRPr="00AE56DE">
        <w:t xml:space="preserve"> JSCI score group (JSCI scores were distributed into </w:t>
      </w:r>
      <w:r w:rsidR="00F8391B">
        <w:t>4</w:t>
      </w:r>
      <w:r w:rsidRPr="00AE56DE">
        <w:t xml:space="preserve"> groups)</w:t>
      </w:r>
      <w:r>
        <w:t xml:space="preserve">, work experience (paid work, unpaid work or none) and transport (private, public or no transport). This minimises the characteristics that need to be controlled for in analyses between these </w:t>
      </w:r>
      <w:r w:rsidR="00F8391B">
        <w:t>2</w:t>
      </w:r>
      <w:r>
        <w:t xml:space="preserve"> samples.</w:t>
      </w:r>
    </w:p>
    <w:p w14:paraId="09DEEF3A" w14:textId="6D752287" w:rsidR="003A491D" w:rsidRDefault="003A491D" w:rsidP="003A491D">
      <w:pPr>
        <w:spacing w:after="120"/>
      </w:pPr>
      <w:r>
        <w:t>It was important to note that participants in one sample may still have been different in some ways from those in the other. For instance, they may be different in language skills, mental illness or homelessness. The logistic regression analysis aims to mitigate differences between</w:t>
      </w:r>
      <w:r w:rsidR="00DD12FE">
        <w:t xml:space="preserve"> the</w:t>
      </w:r>
      <w:r>
        <w:t xml:space="preserve"> </w:t>
      </w:r>
      <w:r w:rsidR="00F8391B">
        <w:t>2</w:t>
      </w:r>
      <w:r>
        <w:t xml:space="preserve"> samples by including a range of control factors (independent variables).</w:t>
      </w:r>
    </w:p>
    <w:p w14:paraId="488C29FC" w14:textId="2A30CF59" w:rsidR="003A491D" w:rsidRDefault="003A491D" w:rsidP="009251AF">
      <w:pPr>
        <w:pStyle w:val="Heading2a"/>
      </w:pPr>
      <w:bookmarkStart w:id="3979" w:name="_Toc132650551"/>
      <w:bookmarkStart w:id="3980" w:name="_Toc146033580"/>
      <w:r>
        <w:t xml:space="preserve">Population and </w:t>
      </w:r>
      <w:r w:rsidR="00AF1795">
        <w:t>s</w:t>
      </w:r>
      <w:r>
        <w:t xml:space="preserve">ample </w:t>
      </w:r>
      <w:r w:rsidR="00AF1795">
        <w:t>d</w:t>
      </w:r>
      <w:r>
        <w:t>emographics</w:t>
      </w:r>
      <w:bookmarkEnd w:id="3972"/>
      <w:bookmarkEnd w:id="3973"/>
      <w:bookmarkEnd w:id="3979"/>
      <w:bookmarkEnd w:id="3980"/>
    </w:p>
    <w:p w14:paraId="44337EF0" w14:textId="4FF663B9" w:rsidR="003A491D" w:rsidRDefault="003A491D" w:rsidP="003A491D">
      <w:r>
        <w:t xml:space="preserve">The total </w:t>
      </w:r>
      <w:r w:rsidR="00F8391B">
        <w:t>‘</w:t>
      </w:r>
      <w:r>
        <w:t>maximum 12 month</w:t>
      </w:r>
      <w:r w:rsidR="00F8391B">
        <w:t>’</w:t>
      </w:r>
      <w:r>
        <w:t xml:space="preserve"> and </w:t>
      </w:r>
      <w:r w:rsidR="00F8391B">
        <w:t>‘</w:t>
      </w:r>
      <w:r>
        <w:t>maximum 18 month</w:t>
      </w:r>
      <w:r w:rsidR="00F8391B">
        <w:t>’</w:t>
      </w:r>
      <w:r>
        <w:t xml:space="preserve"> inflow populations </w:t>
      </w:r>
      <w:r w:rsidR="00DD12FE">
        <w:t>comprised</w:t>
      </w:r>
      <w:r>
        <w:t>, respectively, 34,749 and 34,679 participants. M</w:t>
      </w:r>
      <w:r w:rsidRPr="00AE56DE">
        <w:t>atch</w:t>
      </w:r>
      <w:r>
        <w:t>ing of these populations was undertaken based</w:t>
      </w:r>
      <w:r w:rsidRPr="00AE56DE">
        <w:t xml:space="preserve"> on </w:t>
      </w:r>
      <w:r>
        <w:t>participants</w:t>
      </w:r>
      <w:r w:rsidR="00F8391B">
        <w:t>’</w:t>
      </w:r>
      <w:r w:rsidRPr="00AE56DE">
        <w:t xml:space="preserve"> education attainment (under Year 12 or Year 12 and above)</w:t>
      </w:r>
      <w:r>
        <w:t>,</w:t>
      </w:r>
      <w:r w:rsidRPr="00AE56DE">
        <w:t xml:space="preserve"> JSCI score group (JSCI scores were distributed into </w:t>
      </w:r>
      <w:r w:rsidR="00F8391B">
        <w:t>4</w:t>
      </w:r>
      <w:r w:rsidRPr="00AE56DE">
        <w:t xml:space="preserve"> groups)</w:t>
      </w:r>
      <w:r>
        <w:t>, work experience (paid work, unpaid work or none) and available form of transport (private, public or no transport).</w:t>
      </w:r>
    </w:p>
    <w:p w14:paraId="0699A797" w14:textId="351019D7" w:rsidR="003A491D" w:rsidRDefault="003A491D" w:rsidP="003A491D">
      <w:r>
        <w:t>After matching, both the before and after</w:t>
      </w:r>
      <w:r w:rsidR="00DD12FE">
        <w:t xml:space="preserve"> </w:t>
      </w:r>
      <w:r>
        <w:t xml:space="preserve">samples contained 30,345 participants each. The matching process did not significantly change overall participant characteristics from the original inflow populations, with most of the factors (12 of 14) having less than 1 percentage point change after the </w:t>
      </w:r>
      <w:r>
        <w:lastRenderedPageBreak/>
        <w:t>matching procedure. The study participants represent more than 87% of the original inflow population, providing confidence that analyses based on these matched participants can represent characteristics of the original inflow populations.</w:t>
      </w:r>
    </w:p>
    <w:p w14:paraId="4FBEFCA2" w14:textId="7B2B0E00" w:rsidR="003A491D" w:rsidRPr="0085093F" w:rsidRDefault="003A491D" w:rsidP="003A491D">
      <w:r w:rsidRPr="004A440A">
        <w:rPr>
          <w:b/>
          <w:bCs/>
        </w:rPr>
        <w:fldChar w:fldCharType="begin"/>
      </w:r>
      <w:r w:rsidRPr="004A440A">
        <w:rPr>
          <w:b/>
          <w:bCs/>
        </w:rPr>
        <w:instrText xml:space="preserve"> REF _Ref106982551 \h  \* MERGEFORMAT </w:instrText>
      </w:r>
      <w:r w:rsidRPr="004A440A">
        <w:rPr>
          <w:b/>
          <w:bCs/>
        </w:rPr>
      </w:r>
      <w:r w:rsidRPr="004A440A">
        <w:rPr>
          <w:b/>
          <w:bCs/>
        </w:rPr>
        <w:fldChar w:fldCharType="separate"/>
      </w:r>
      <w:r w:rsidR="00180E14" w:rsidRPr="00180E14">
        <w:rPr>
          <w:b/>
          <w:bCs/>
        </w:rPr>
        <w:t xml:space="preserve">Table </w:t>
      </w:r>
      <w:r w:rsidR="00180E14" w:rsidRPr="00180E14">
        <w:rPr>
          <w:b/>
          <w:bCs/>
          <w:noProof/>
        </w:rPr>
        <w:t>28</w:t>
      </w:r>
      <w:r w:rsidRPr="004A440A">
        <w:rPr>
          <w:b/>
          <w:bCs/>
        </w:rPr>
        <w:fldChar w:fldCharType="end"/>
      </w:r>
      <w:r w:rsidRPr="00D81F43">
        <w:rPr>
          <w:b/>
          <w:bCs/>
        </w:rPr>
        <w:t xml:space="preserve"> </w:t>
      </w:r>
      <w:r w:rsidRPr="00D81F43">
        <w:t>allows</w:t>
      </w:r>
      <w:r>
        <w:t xml:space="preserve"> comparison of the demographic characteristics of the original and matched TtW inflow populations before and after</w:t>
      </w:r>
      <w:r w:rsidRPr="0063238C">
        <w:t xml:space="preserve"> </w:t>
      </w:r>
      <w:r>
        <w:t>during extension.</w:t>
      </w:r>
    </w:p>
    <w:p w14:paraId="6CEEB634" w14:textId="13804F4E" w:rsidR="003A491D" w:rsidRDefault="003A491D" w:rsidP="003A491D">
      <w:pPr>
        <w:pStyle w:val="Caption"/>
        <w:keepNext/>
      </w:pPr>
      <w:bookmarkStart w:id="3981" w:name="_Ref106982551"/>
      <w:bookmarkStart w:id="3982" w:name="_Toc132647803"/>
      <w:bookmarkStart w:id="3983" w:name="_Toc145877317"/>
      <w:r>
        <w:t xml:space="preserve">Table </w:t>
      </w:r>
      <w:r>
        <w:fldChar w:fldCharType="begin"/>
      </w:r>
      <w:r>
        <w:instrText>SEQ Table \* ARABIC</w:instrText>
      </w:r>
      <w:r>
        <w:fldChar w:fldCharType="separate"/>
      </w:r>
      <w:r w:rsidR="00180E14">
        <w:rPr>
          <w:noProof/>
        </w:rPr>
        <w:t>28</w:t>
      </w:r>
      <w:r>
        <w:fldChar w:fldCharType="end"/>
      </w:r>
      <w:bookmarkEnd w:id="3981"/>
      <w:r>
        <w:t xml:space="preserve">: </w:t>
      </w:r>
      <w:r w:rsidRPr="004836D5">
        <w:t>Demographic characteristics of before and after</w:t>
      </w:r>
      <w:r w:rsidR="00AF1795">
        <w:t xml:space="preserve"> </w:t>
      </w:r>
      <w:r w:rsidRPr="004836D5">
        <w:t>policy</w:t>
      </w:r>
      <w:r w:rsidR="00AF1795">
        <w:t xml:space="preserve"> </w:t>
      </w:r>
      <w:r w:rsidRPr="004836D5">
        <w:t>change inflow populations and matched samples</w:t>
      </w:r>
      <w:bookmarkEnd w:id="3982"/>
      <w:bookmarkEnd w:id="3983"/>
    </w:p>
    <w:tbl>
      <w:tblPr>
        <w:tblStyle w:val="TtWReportTableTemplate2"/>
        <w:tblW w:w="9925" w:type="dxa"/>
        <w:tblLayout w:type="fixed"/>
        <w:tblLook w:val="04A0" w:firstRow="1" w:lastRow="0" w:firstColumn="1" w:lastColumn="0" w:noHBand="0" w:noVBand="1"/>
      </w:tblPr>
      <w:tblGrid>
        <w:gridCol w:w="1985"/>
        <w:gridCol w:w="1985"/>
        <w:gridCol w:w="1985"/>
        <w:gridCol w:w="1985"/>
        <w:gridCol w:w="1985"/>
      </w:tblGrid>
      <w:tr w:rsidR="003A491D" w:rsidRPr="00D238D0" w14:paraId="1552E085" w14:textId="77777777" w:rsidTr="00C239FD">
        <w:trPr>
          <w:cnfStyle w:val="100000000000" w:firstRow="1" w:lastRow="0" w:firstColumn="0" w:lastColumn="0" w:oddVBand="0" w:evenVBand="0" w:oddHBand="0" w:evenHBand="0" w:firstRowFirstColumn="0" w:firstRowLastColumn="0" w:lastRowFirstColumn="0" w:lastRowLastColumn="0"/>
          <w:trHeight w:val="608"/>
          <w:tblHeader/>
        </w:trPr>
        <w:tc>
          <w:tcPr>
            <w:cnfStyle w:val="001000000000" w:firstRow="0" w:lastRow="0" w:firstColumn="1" w:lastColumn="0" w:oddVBand="0" w:evenVBand="0" w:oddHBand="0" w:evenHBand="0" w:firstRowFirstColumn="0" w:firstRowLastColumn="0" w:lastRowFirstColumn="0" w:lastRowLastColumn="0"/>
            <w:tcW w:w="1985" w:type="dxa"/>
            <w:shd w:val="clear" w:color="auto" w:fill="5D7A38"/>
            <w:noWrap/>
            <w:hideMark/>
          </w:tcPr>
          <w:p w14:paraId="1CD0E38D" w14:textId="071A1CE5" w:rsidR="003A491D" w:rsidRPr="00C239FD" w:rsidRDefault="003A491D" w:rsidP="00897071">
            <w:pPr>
              <w:rPr>
                <w:rFonts w:asciiTheme="minorHAnsi" w:hAnsiTheme="minorHAnsi" w:cs="Arial"/>
                <w:sz w:val="18"/>
                <w:szCs w:val="18"/>
              </w:rPr>
            </w:pPr>
            <w:r w:rsidRPr="00C239FD">
              <w:rPr>
                <w:rFonts w:cs="Arial"/>
                <w:sz w:val="18"/>
                <w:szCs w:val="18"/>
              </w:rPr>
              <w:t>Factor/</w:t>
            </w:r>
            <w:r w:rsidR="00EF79C0" w:rsidRPr="00C239FD">
              <w:rPr>
                <w:rFonts w:cs="Arial"/>
                <w:sz w:val="18"/>
                <w:szCs w:val="18"/>
              </w:rPr>
              <w:t>l</w:t>
            </w:r>
            <w:r w:rsidRPr="00C239FD">
              <w:rPr>
                <w:rFonts w:cs="Arial"/>
                <w:sz w:val="18"/>
                <w:szCs w:val="18"/>
              </w:rPr>
              <w:t>evel</w:t>
            </w:r>
          </w:p>
        </w:tc>
        <w:tc>
          <w:tcPr>
            <w:tcW w:w="1985" w:type="dxa"/>
            <w:shd w:val="clear" w:color="auto" w:fill="5D7A38"/>
            <w:hideMark/>
          </w:tcPr>
          <w:p w14:paraId="14B6590A" w14:textId="77777777" w:rsidR="003A491D" w:rsidRPr="00C239FD" w:rsidRDefault="003A491D" w:rsidP="00897071">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C239FD">
              <w:rPr>
                <w:rFonts w:cs="Arial"/>
                <w:sz w:val="18"/>
                <w:szCs w:val="18"/>
              </w:rPr>
              <w:t>Before policy change inflow n=34,749</w:t>
            </w:r>
          </w:p>
        </w:tc>
        <w:tc>
          <w:tcPr>
            <w:tcW w:w="1985" w:type="dxa"/>
            <w:shd w:val="clear" w:color="auto" w:fill="5D7A38"/>
          </w:tcPr>
          <w:p w14:paraId="32828CAE" w14:textId="77777777" w:rsidR="003A491D" w:rsidRPr="00C239FD" w:rsidRDefault="003A491D" w:rsidP="00897071">
            <w:pP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C239FD">
              <w:rPr>
                <w:rFonts w:cs="Arial"/>
                <w:sz w:val="18"/>
                <w:szCs w:val="18"/>
              </w:rPr>
              <w:t>Before policy change matched n=30,345</w:t>
            </w:r>
          </w:p>
        </w:tc>
        <w:tc>
          <w:tcPr>
            <w:tcW w:w="1985" w:type="dxa"/>
            <w:shd w:val="clear" w:color="auto" w:fill="5D7A38"/>
          </w:tcPr>
          <w:p w14:paraId="555BC3F4" w14:textId="77777777" w:rsidR="003A491D" w:rsidRPr="00C239FD" w:rsidRDefault="003A491D" w:rsidP="00897071">
            <w:pP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C239FD">
              <w:rPr>
                <w:rFonts w:cs="Arial"/>
                <w:sz w:val="18"/>
                <w:szCs w:val="18"/>
              </w:rPr>
              <w:t>After policy change inflow n=34,679</w:t>
            </w:r>
          </w:p>
        </w:tc>
        <w:tc>
          <w:tcPr>
            <w:tcW w:w="1985" w:type="dxa"/>
            <w:shd w:val="clear" w:color="auto" w:fill="5D7A38"/>
          </w:tcPr>
          <w:p w14:paraId="3C795230" w14:textId="77777777" w:rsidR="003A491D" w:rsidRPr="00C239FD" w:rsidRDefault="003A491D" w:rsidP="00897071">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C239FD">
              <w:rPr>
                <w:rFonts w:cs="Arial"/>
                <w:sz w:val="18"/>
                <w:szCs w:val="18"/>
              </w:rPr>
              <w:t>After policy change matched n=30,345</w:t>
            </w:r>
          </w:p>
        </w:tc>
      </w:tr>
      <w:tr w:rsidR="003A491D" w:rsidRPr="00D238D0" w14:paraId="0E3F235A" w14:textId="77777777" w:rsidTr="00C239FD">
        <w:trPr>
          <w:cnfStyle w:val="100000000000" w:firstRow="1" w:lastRow="0" w:firstColumn="0" w:lastColumn="0" w:oddVBand="0" w:evenVBand="0" w:oddHBand="0" w:evenHBand="0" w:firstRowFirstColumn="0" w:firstRowLastColumn="0" w:lastRowFirstColumn="0" w:lastRowLastColumn="0"/>
          <w:trHeight w:val="218"/>
          <w:tblHead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77C0311" w14:textId="77777777" w:rsidR="003A491D" w:rsidRPr="006277C3" w:rsidRDefault="003A491D" w:rsidP="00897071">
            <w:pPr>
              <w:jc w:val="right"/>
              <w:rPr>
                <w:b w:val="0"/>
                <w:sz w:val="16"/>
              </w:rPr>
            </w:pPr>
          </w:p>
        </w:tc>
        <w:tc>
          <w:tcPr>
            <w:tcW w:w="1985" w:type="dxa"/>
            <w:noWrap/>
            <w:hideMark/>
          </w:tcPr>
          <w:p w14:paraId="5B8E7838" w14:textId="31474117" w:rsidR="003A491D" w:rsidRPr="001D461A" w:rsidRDefault="00F84CBD" w:rsidP="00897071">
            <w:pPr>
              <w:jc w:val="right"/>
              <w:cnfStyle w:val="100000000000" w:firstRow="1" w:lastRow="0" w:firstColumn="0" w:lastColumn="0" w:oddVBand="0" w:evenVBand="0" w:oddHBand="0" w:evenHBand="0" w:firstRowFirstColumn="0" w:firstRowLastColumn="0" w:lastRowFirstColumn="0" w:lastRowLastColumn="0"/>
              <w:rPr>
                <w:sz w:val="16"/>
              </w:rPr>
            </w:pPr>
            <w:r>
              <w:rPr>
                <w:sz w:val="16"/>
              </w:rPr>
              <w:t>%</w:t>
            </w:r>
          </w:p>
        </w:tc>
        <w:tc>
          <w:tcPr>
            <w:tcW w:w="1985" w:type="dxa"/>
          </w:tcPr>
          <w:p w14:paraId="03A6DC68" w14:textId="1598E899" w:rsidR="003A491D" w:rsidRPr="001D461A" w:rsidRDefault="00F84CBD" w:rsidP="00897071">
            <w:pPr>
              <w:jc w:val="right"/>
              <w:cnfStyle w:val="100000000000" w:firstRow="1" w:lastRow="0" w:firstColumn="0" w:lastColumn="0" w:oddVBand="0" w:evenVBand="0" w:oddHBand="0" w:evenHBand="0" w:firstRowFirstColumn="0" w:firstRowLastColumn="0" w:lastRowFirstColumn="0" w:lastRowLastColumn="0"/>
              <w:rPr>
                <w:sz w:val="16"/>
              </w:rPr>
            </w:pPr>
            <w:r>
              <w:rPr>
                <w:sz w:val="16"/>
              </w:rPr>
              <w:t>%</w:t>
            </w:r>
          </w:p>
        </w:tc>
        <w:tc>
          <w:tcPr>
            <w:tcW w:w="1985" w:type="dxa"/>
            <w:hideMark/>
          </w:tcPr>
          <w:p w14:paraId="33623003" w14:textId="261FF5DF" w:rsidR="003A491D" w:rsidRPr="001D461A" w:rsidRDefault="00F84CBD" w:rsidP="00897071">
            <w:pPr>
              <w:jc w:val="right"/>
              <w:cnfStyle w:val="100000000000" w:firstRow="1" w:lastRow="0" w:firstColumn="0" w:lastColumn="0" w:oddVBand="0" w:evenVBand="0" w:oddHBand="0" w:evenHBand="0" w:firstRowFirstColumn="0" w:firstRowLastColumn="0" w:lastRowFirstColumn="0" w:lastRowLastColumn="0"/>
              <w:rPr>
                <w:sz w:val="16"/>
              </w:rPr>
            </w:pPr>
            <w:r>
              <w:rPr>
                <w:sz w:val="16"/>
              </w:rPr>
              <w:t>%</w:t>
            </w:r>
          </w:p>
        </w:tc>
        <w:tc>
          <w:tcPr>
            <w:tcW w:w="1985" w:type="dxa"/>
            <w:hideMark/>
          </w:tcPr>
          <w:p w14:paraId="58D8BFB3" w14:textId="33284002" w:rsidR="003A491D" w:rsidRPr="001D461A" w:rsidRDefault="00F84CBD" w:rsidP="00897071">
            <w:pPr>
              <w:jc w:val="right"/>
              <w:cnfStyle w:val="100000000000" w:firstRow="1" w:lastRow="0" w:firstColumn="0" w:lastColumn="0" w:oddVBand="0" w:evenVBand="0" w:oddHBand="0" w:evenHBand="0" w:firstRowFirstColumn="0" w:firstRowLastColumn="0" w:lastRowFirstColumn="0" w:lastRowLastColumn="0"/>
              <w:rPr>
                <w:sz w:val="16"/>
              </w:rPr>
            </w:pPr>
            <w:r>
              <w:rPr>
                <w:sz w:val="16"/>
              </w:rPr>
              <w:t>%</w:t>
            </w:r>
          </w:p>
        </w:tc>
      </w:tr>
      <w:tr w:rsidR="003A491D" w:rsidRPr="00D238D0" w14:paraId="74491D15" w14:textId="77777777" w:rsidTr="00C239FD">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73BE7B3" w14:textId="77777777" w:rsidR="003A491D" w:rsidRPr="001D461A" w:rsidRDefault="003A491D" w:rsidP="00897071">
            <w:pPr>
              <w:rPr>
                <w:sz w:val="16"/>
              </w:rPr>
            </w:pPr>
            <w:r w:rsidRPr="001D461A">
              <w:rPr>
                <w:sz w:val="16"/>
              </w:rPr>
              <w:t>Gender</w:t>
            </w:r>
          </w:p>
        </w:tc>
        <w:tc>
          <w:tcPr>
            <w:tcW w:w="1985" w:type="dxa"/>
            <w:noWrap/>
          </w:tcPr>
          <w:p w14:paraId="403473C0" w14:textId="77777777" w:rsidR="003A491D" w:rsidRPr="001D461A" w:rsidRDefault="003A491D" w:rsidP="00897071">
            <w:pPr>
              <w:cnfStyle w:val="000000100000" w:firstRow="0" w:lastRow="0" w:firstColumn="0" w:lastColumn="0" w:oddVBand="0" w:evenVBand="0" w:oddHBand="1" w:evenHBand="0" w:firstRowFirstColumn="0" w:firstRowLastColumn="0" w:lastRowFirstColumn="0" w:lastRowLastColumn="0"/>
              <w:rPr>
                <w:b/>
                <w:sz w:val="16"/>
              </w:rPr>
            </w:pPr>
          </w:p>
        </w:tc>
        <w:tc>
          <w:tcPr>
            <w:tcW w:w="1985" w:type="dxa"/>
          </w:tcPr>
          <w:p w14:paraId="37496FA8" w14:textId="77777777" w:rsidR="003A491D" w:rsidRPr="001D461A" w:rsidRDefault="003A491D" w:rsidP="00897071">
            <w:pPr>
              <w:cnfStyle w:val="000000100000" w:firstRow="0" w:lastRow="0" w:firstColumn="0" w:lastColumn="0" w:oddVBand="0" w:evenVBand="0" w:oddHBand="1" w:evenHBand="0" w:firstRowFirstColumn="0" w:firstRowLastColumn="0" w:lastRowFirstColumn="0" w:lastRowLastColumn="0"/>
              <w:rPr>
                <w:b/>
                <w:sz w:val="16"/>
              </w:rPr>
            </w:pPr>
          </w:p>
        </w:tc>
        <w:tc>
          <w:tcPr>
            <w:tcW w:w="1985" w:type="dxa"/>
          </w:tcPr>
          <w:p w14:paraId="174D50E2" w14:textId="77777777" w:rsidR="003A491D" w:rsidRPr="001D461A" w:rsidRDefault="003A491D" w:rsidP="00897071">
            <w:pPr>
              <w:cnfStyle w:val="000000100000" w:firstRow="0" w:lastRow="0" w:firstColumn="0" w:lastColumn="0" w:oddVBand="0" w:evenVBand="0" w:oddHBand="1" w:evenHBand="0" w:firstRowFirstColumn="0" w:firstRowLastColumn="0" w:lastRowFirstColumn="0" w:lastRowLastColumn="0"/>
              <w:rPr>
                <w:b/>
                <w:sz w:val="16"/>
              </w:rPr>
            </w:pPr>
          </w:p>
        </w:tc>
        <w:tc>
          <w:tcPr>
            <w:tcW w:w="1985" w:type="dxa"/>
            <w:hideMark/>
          </w:tcPr>
          <w:p w14:paraId="0C24A135" w14:textId="77777777" w:rsidR="003A491D" w:rsidRPr="001D461A" w:rsidRDefault="003A491D" w:rsidP="00897071">
            <w:pPr>
              <w:cnfStyle w:val="000000100000" w:firstRow="0" w:lastRow="0" w:firstColumn="0" w:lastColumn="0" w:oddVBand="0" w:evenVBand="0" w:oddHBand="1" w:evenHBand="0" w:firstRowFirstColumn="0" w:firstRowLastColumn="0" w:lastRowFirstColumn="0" w:lastRowLastColumn="0"/>
              <w:rPr>
                <w:b/>
                <w:sz w:val="16"/>
              </w:rPr>
            </w:pPr>
          </w:p>
        </w:tc>
      </w:tr>
      <w:tr w:rsidR="003A491D" w:rsidRPr="00D238D0" w14:paraId="2D7FD103"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3ED9CA0" w14:textId="77777777" w:rsidR="003A491D" w:rsidRPr="006277C3" w:rsidRDefault="003A491D" w:rsidP="00897071">
            <w:pPr>
              <w:jc w:val="right"/>
              <w:rPr>
                <w:b w:val="0"/>
                <w:sz w:val="16"/>
              </w:rPr>
            </w:pPr>
            <w:r w:rsidRPr="001D461A">
              <w:rPr>
                <w:sz w:val="16"/>
              </w:rPr>
              <w:t>Male</w:t>
            </w:r>
          </w:p>
        </w:tc>
        <w:tc>
          <w:tcPr>
            <w:tcW w:w="1985" w:type="dxa"/>
            <w:noWrap/>
            <w:hideMark/>
          </w:tcPr>
          <w:p w14:paraId="3D9E727A"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56.8</w:t>
            </w:r>
          </w:p>
        </w:tc>
        <w:tc>
          <w:tcPr>
            <w:tcW w:w="1985" w:type="dxa"/>
          </w:tcPr>
          <w:p w14:paraId="029A8FAF"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56.8</w:t>
            </w:r>
          </w:p>
        </w:tc>
        <w:tc>
          <w:tcPr>
            <w:tcW w:w="1985" w:type="dxa"/>
            <w:hideMark/>
          </w:tcPr>
          <w:p w14:paraId="7E86EC7C"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57.1</w:t>
            </w:r>
          </w:p>
        </w:tc>
        <w:tc>
          <w:tcPr>
            <w:tcW w:w="1985" w:type="dxa"/>
            <w:hideMark/>
          </w:tcPr>
          <w:p w14:paraId="192B4EEE"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57.1</w:t>
            </w:r>
          </w:p>
        </w:tc>
      </w:tr>
      <w:tr w:rsidR="003A491D" w:rsidRPr="00D238D0" w14:paraId="26A1D69D"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B821DAF" w14:textId="77777777" w:rsidR="003A491D" w:rsidRPr="006277C3" w:rsidRDefault="003A491D" w:rsidP="00897071">
            <w:pPr>
              <w:jc w:val="right"/>
              <w:rPr>
                <w:b w:val="0"/>
                <w:sz w:val="16"/>
              </w:rPr>
            </w:pPr>
            <w:r w:rsidRPr="001D461A">
              <w:rPr>
                <w:sz w:val="16"/>
              </w:rPr>
              <w:t>Female</w:t>
            </w:r>
          </w:p>
        </w:tc>
        <w:tc>
          <w:tcPr>
            <w:tcW w:w="1985" w:type="dxa"/>
            <w:noWrap/>
            <w:hideMark/>
          </w:tcPr>
          <w:p w14:paraId="69B981E3"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43.1</w:t>
            </w:r>
          </w:p>
        </w:tc>
        <w:tc>
          <w:tcPr>
            <w:tcW w:w="1985" w:type="dxa"/>
          </w:tcPr>
          <w:p w14:paraId="0CB8CDF7"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43.2</w:t>
            </w:r>
          </w:p>
        </w:tc>
        <w:tc>
          <w:tcPr>
            <w:tcW w:w="1985" w:type="dxa"/>
            <w:hideMark/>
          </w:tcPr>
          <w:p w14:paraId="28C230CF"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42.9</w:t>
            </w:r>
          </w:p>
        </w:tc>
        <w:tc>
          <w:tcPr>
            <w:tcW w:w="1985" w:type="dxa"/>
            <w:hideMark/>
          </w:tcPr>
          <w:p w14:paraId="3CD731E4"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42.9</w:t>
            </w:r>
          </w:p>
        </w:tc>
      </w:tr>
      <w:tr w:rsidR="003A491D" w:rsidRPr="00D238D0" w14:paraId="592BFC23"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9B31642" w14:textId="15F6790C" w:rsidR="003A491D" w:rsidRPr="001D461A" w:rsidRDefault="003A491D" w:rsidP="00897071">
            <w:pPr>
              <w:rPr>
                <w:sz w:val="16"/>
              </w:rPr>
            </w:pPr>
            <w:r w:rsidRPr="001D461A">
              <w:rPr>
                <w:sz w:val="16"/>
              </w:rPr>
              <w:t xml:space="preserve">JSCI </w:t>
            </w:r>
            <w:r w:rsidR="00F84CBD">
              <w:rPr>
                <w:sz w:val="16"/>
              </w:rPr>
              <w:t>s</w:t>
            </w:r>
            <w:r w:rsidRPr="001D461A">
              <w:rPr>
                <w:sz w:val="16"/>
              </w:rPr>
              <w:t xml:space="preserve">core </w:t>
            </w:r>
            <w:r w:rsidR="00F84CBD">
              <w:rPr>
                <w:sz w:val="16"/>
              </w:rPr>
              <w:t>g</w:t>
            </w:r>
            <w:r w:rsidRPr="001D461A">
              <w:rPr>
                <w:sz w:val="16"/>
              </w:rPr>
              <w:t>roup</w:t>
            </w:r>
          </w:p>
        </w:tc>
        <w:tc>
          <w:tcPr>
            <w:tcW w:w="1985" w:type="dxa"/>
            <w:noWrap/>
          </w:tcPr>
          <w:p w14:paraId="5669B7EB"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tcPr>
          <w:p w14:paraId="30C19953"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tcPr>
          <w:p w14:paraId="0E23CEA9"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tcPr>
          <w:p w14:paraId="0EBBE424"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r>
      <w:tr w:rsidR="003A491D" w:rsidRPr="00D238D0" w14:paraId="1FF2A23E"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0774BA5D" w14:textId="77777777" w:rsidR="003A491D" w:rsidRPr="006277C3" w:rsidRDefault="003A491D" w:rsidP="00897071">
            <w:pPr>
              <w:jc w:val="right"/>
              <w:rPr>
                <w:b w:val="0"/>
                <w:sz w:val="16"/>
              </w:rPr>
            </w:pPr>
            <w:r>
              <w:rPr>
                <w:sz w:val="16"/>
              </w:rPr>
              <w:t>Low</w:t>
            </w:r>
          </w:p>
        </w:tc>
        <w:tc>
          <w:tcPr>
            <w:tcW w:w="1985" w:type="dxa"/>
            <w:noWrap/>
          </w:tcPr>
          <w:p w14:paraId="241E27A0" w14:textId="77777777" w:rsidR="003A491D" w:rsidRPr="00EA6672"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EA6672">
              <w:rPr>
                <w:sz w:val="16"/>
                <w:szCs w:val="16"/>
              </w:rPr>
              <w:t>74.7</w:t>
            </w:r>
          </w:p>
        </w:tc>
        <w:tc>
          <w:tcPr>
            <w:tcW w:w="1985" w:type="dxa"/>
          </w:tcPr>
          <w:p w14:paraId="33E2F48D"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7</w:t>
            </w:r>
            <w:r>
              <w:rPr>
                <w:sz w:val="16"/>
              </w:rPr>
              <w:t>6.1</w:t>
            </w:r>
          </w:p>
        </w:tc>
        <w:tc>
          <w:tcPr>
            <w:tcW w:w="1985" w:type="dxa"/>
          </w:tcPr>
          <w:p w14:paraId="24CC8D61"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Pr>
                <w:sz w:val="16"/>
              </w:rPr>
              <w:t>78.1</w:t>
            </w:r>
          </w:p>
        </w:tc>
        <w:tc>
          <w:tcPr>
            <w:tcW w:w="1985" w:type="dxa"/>
          </w:tcPr>
          <w:p w14:paraId="56589901"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Pr>
                <w:sz w:val="16"/>
              </w:rPr>
              <w:t>76.1</w:t>
            </w:r>
          </w:p>
        </w:tc>
      </w:tr>
      <w:tr w:rsidR="003A491D" w:rsidRPr="00D238D0" w14:paraId="7FDC7532"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3A46E70F" w14:textId="77777777" w:rsidR="003A491D" w:rsidRPr="006277C3" w:rsidRDefault="003A491D" w:rsidP="00897071">
            <w:pPr>
              <w:jc w:val="right"/>
              <w:rPr>
                <w:b w:val="0"/>
                <w:sz w:val="16"/>
              </w:rPr>
            </w:pPr>
            <w:r>
              <w:rPr>
                <w:sz w:val="16"/>
              </w:rPr>
              <w:t>High</w:t>
            </w:r>
          </w:p>
        </w:tc>
        <w:tc>
          <w:tcPr>
            <w:tcW w:w="1985" w:type="dxa"/>
            <w:noWrap/>
          </w:tcPr>
          <w:p w14:paraId="4D1B0FAD" w14:textId="77777777" w:rsidR="003A491D" w:rsidRPr="00EA6672"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EA6672">
              <w:rPr>
                <w:sz w:val="16"/>
                <w:szCs w:val="16"/>
              </w:rPr>
              <w:t>23.1</w:t>
            </w:r>
          </w:p>
        </w:tc>
        <w:tc>
          <w:tcPr>
            <w:tcW w:w="1985" w:type="dxa"/>
          </w:tcPr>
          <w:p w14:paraId="223548E6"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22.3</w:t>
            </w:r>
          </w:p>
        </w:tc>
        <w:tc>
          <w:tcPr>
            <w:tcW w:w="1985" w:type="dxa"/>
          </w:tcPr>
          <w:p w14:paraId="713A6C5A"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20.6</w:t>
            </w:r>
          </w:p>
        </w:tc>
        <w:tc>
          <w:tcPr>
            <w:tcW w:w="1985" w:type="dxa"/>
          </w:tcPr>
          <w:p w14:paraId="695BBFDD"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22.3</w:t>
            </w:r>
          </w:p>
        </w:tc>
      </w:tr>
      <w:tr w:rsidR="003A491D" w:rsidRPr="00D238D0" w14:paraId="4405A6CA"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4788FF4B" w14:textId="77777777" w:rsidR="003A491D" w:rsidRPr="001D461A" w:rsidRDefault="003A491D" w:rsidP="00897071">
            <w:pPr>
              <w:jc w:val="right"/>
              <w:rPr>
                <w:sz w:val="16"/>
              </w:rPr>
            </w:pPr>
            <w:r>
              <w:rPr>
                <w:sz w:val="16"/>
              </w:rPr>
              <w:t>Unknown</w:t>
            </w:r>
          </w:p>
        </w:tc>
        <w:tc>
          <w:tcPr>
            <w:tcW w:w="1985" w:type="dxa"/>
            <w:noWrap/>
          </w:tcPr>
          <w:p w14:paraId="6DB6AB1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Pr>
                <w:sz w:val="16"/>
              </w:rPr>
              <w:t>2.2</w:t>
            </w:r>
          </w:p>
        </w:tc>
        <w:tc>
          <w:tcPr>
            <w:tcW w:w="1985" w:type="dxa"/>
          </w:tcPr>
          <w:p w14:paraId="13CEC988"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Pr>
                <w:sz w:val="16"/>
              </w:rPr>
              <w:t>1.3</w:t>
            </w:r>
          </w:p>
        </w:tc>
        <w:tc>
          <w:tcPr>
            <w:tcW w:w="1985" w:type="dxa"/>
          </w:tcPr>
          <w:p w14:paraId="7F162C2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Pr>
                <w:sz w:val="16"/>
              </w:rPr>
              <w:t>1.6</w:t>
            </w:r>
          </w:p>
        </w:tc>
        <w:tc>
          <w:tcPr>
            <w:tcW w:w="1985" w:type="dxa"/>
          </w:tcPr>
          <w:p w14:paraId="10A9253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Pr>
                <w:sz w:val="16"/>
              </w:rPr>
              <w:t>1.5</w:t>
            </w:r>
          </w:p>
        </w:tc>
      </w:tr>
      <w:tr w:rsidR="003A491D" w:rsidRPr="00D238D0" w14:paraId="0D0E42B1" w14:textId="77777777" w:rsidTr="00C239FD">
        <w:trPr>
          <w:cnfStyle w:val="000000010000" w:firstRow="0" w:lastRow="0" w:firstColumn="0" w:lastColumn="0" w:oddVBand="0" w:evenVBand="0" w:oddHBand="0" w:evenHBand="1"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7DC7E3B" w14:textId="2B8E6CE6" w:rsidR="003A491D" w:rsidRPr="001D461A" w:rsidRDefault="003A491D" w:rsidP="00897071">
            <w:pPr>
              <w:rPr>
                <w:sz w:val="16"/>
              </w:rPr>
            </w:pPr>
            <w:r w:rsidRPr="001D461A">
              <w:rPr>
                <w:sz w:val="16"/>
              </w:rPr>
              <w:t xml:space="preserve">Education </w:t>
            </w:r>
            <w:r w:rsidR="00F84CBD">
              <w:rPr>
                <w:sz w:val="16"/>
              </w:rPr>
              <w:t>l</w:t>
            </w:r>
            <w:r w:rsidRPr="001D461A">
              <w:rPr>
                <w:sz w:val="16"/>
              </w:rPr>
              <w:t>evel</w:t>
            </w:r>
          </w:p>
        </w:tc>
        <w:tc>
          <w:tcPr>
            <w:tcW w:w="1985" w:type="dxa"/>
            <w:noWrap/>
            <w:hideMark/>
          </w:tcPr>
          <w:p w14:paraId="50E37805"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tcPr>
          <w:p w14:paraId="418048CF"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hideMark/>
          </w:tcPr>
          <w:p w14:paraId="717603BD"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hideMark/>
          </w:tcPr>
          <w:p w14:paraId="577A61FE"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r>
      <w:tr w:rsidR="003A491D" w:rsidRPr="00D238D0" w14:paraId="512DF31F"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721259D" w14:textId="77777777" w:rsidR="003A491D" w:rsidRPr="006277C3" w:rsidRDefault="003A491D" w:rsidP="00897071">
            <w:pPr>
              <w:jc w:val="right"/>
              <w:rPr>
                <w:b w:val="0"/>
                <w:sz w:val="16"/>
              </w:rPr>
            </w:pPr>
            <w:r w:rsidRPr="001D461A">
              <w:rPr>
                <w:sz w:val="16"/>
              </w:rPr>
              <w:t xml:space="preserve">Above </w:t>
            </w:r>
            <w:r>
              <w:rPr>
                <w:sz w:val="16"/>
              </w:rPr>
              <w:t>Y</w:t>
            </w:r>
            <w:r w:rsidRPr="001D461A">
              <w:rPr>
                <w:sz w:val="16"/>
              </w:rPr>
              <w:t>ear12</w:t>
            </w:r>
          </w:p>
        </w:tc>
        <w:tc>
          <w:tcPr>
            <w:tcW w:w="1985" w:type="dxa"/>
            <w:noWrap/>
            <w:hideMark/>
          </w:tcPr>
          <w:p w14:paraId="4DACE368"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26</w:t>
            </w:r>
            <w:r>
              <w:rPr>
                <w:sz w:val="16"/>
              </w:rPr>
              <w:t>.0</w:t>
            </w:r>
          </w:p>
        </w:tc>
        <w:tc>
          <w:tcPr>
            <w:tcW w:w="1985" w:type="dxa"/>
          </w:tcPr>
          <w:p w14:paraId="7C9CF1DB"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26.7</w:t>
            </w:r>
          </w:p>
        </w:tc>
        <w:tc>
          <w:tcPr>
            <w:tcW w:w="1985" w:type="dxa"/>
            <w:hideMark/>
          </w:tcPr>
          <w:p w14:paraId="2BF7600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28</w:t>
            </w:r>
            <w:r>
              <w:rPr>
                <w:sz w:val="16"/>
              </w:rPr>
              <w:t>.0</w:t>
            </w:r>
          </w:p>
        </w:tc>
        <w:tc>
          <w:tcPr>
            <w:tcW w:w="1985" w:type="dxa"/>
            <w:hideMark/>
          </w:tcPr>
          <w:p w14:paraId="4C2C0E50"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26.7</w:t>
            </w:r>
          </w:p>
        </w:tc>
      </w:tr>
      <w:tr w:rsidR="003A491D" w:rsidRPr="00D238D0" w14:paraId="67D17162"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AD4C0DA" w14:textId="77777777" w:rsidR="003A491D" w:rsidRPr="006277C3" w:rsidRDefault="003A491D" w:rsidP="00897071">
            <w:pPr>
              <w:jc w:val="right"/>
              <w:rPr>
                <w:b w:val="0"/>
                <w:sz w:val="16"/>
              </w:rPr>
            </w:pPr>
            <w:r w:rsidRPr="001D461A">
              <w:rPr>
                <w:sz w:val="16"/>
              </w:rPr>
              <w:t>Under</w:t>
            </w:r>
            <w:r>
              <w:rPr>
                <w:sz w:val="16"/>
              </w:rPr>
              <w:t xml:space="preserve"> </w:t>
            </w:r>
            <w:r w:rsidRPr="001D461A">
              <w:rPr>
                <w:sz w:val="16"/>
              </w:rPr>
              <w:t>Y</w:t>
            </w:r>
            <w:r>
              <w:rPr>
                <w:sz w:val="16"/>
              </w:rPr>
              <w:t xml:space="preserve">ear </w:t>
            </w:r>
            <w:r w:rsidRPr="001D461A">
              <w:rPr>
                <w:sz w:val="16"/>
              </w:rPr>
              <w:t>12</w:t>
            </w:r>
          </w:p>
        </w:tc>
        <w:tc>
          <w:tcPr>
            <w:tcW w:w="1985" w:type="dxa"/>
            <w:noWrap/>
            <w:hideMark/>
          </w:tcPr>
          <w:p w14:paraId="7EF76E2B"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71.9</w:t>
            </w:r>
          </w:p>
        </w:tc>
        <w:tc>
          <w:tcPr>
            <w:tcW w:w="1985" w:type="dxa"/>
          </w:tcPr>
          <w:p w14:paraId="754A54F0"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71.7</w:t>
            </w:r>
          </w:p>
        </w:tc>
        <w:tc>
          <w:tcPr>
            <w:tcW w:w="1985" w:type="dxa"/>
            <w:hideMark/>
          </w:tcPr>
          <w:p w14:paraId="3FA97BFD"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70.6</w:t>
            </w:r>
          </w:p>
        </w:tc>
        <w:tc>
          <w:tcPr>
            <w:tcW w:w="1985" w:type="dxa"/>
            <w:hideMark/>
          </w:tcPr>
          <w:p w14:paraId="64067C0A"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71.7</w:t>
            </w:r>
          </w:p>
        </w:tc>
      </w:tr>
      <w:tr w:rsidR="003A491D" w:rsidRPr="00D238D0" w14:paraId="093065D6"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68F7B010" w14:textId="77777777" w:rsidR="003A491D" w:rsidRPr="001D461A" w:rsidRDefault="003A491D" w:rsidP="00897071">
            <w:pPr>
              <w:jc w:val="right"/>
              <w:rPr>
                <w:sz w:val="16"/>
              </w:rPr>
            </w:pPr>
            <w:r>
              <w:rPr>
                <w:sz w:val="16"/>
              </w:rPr>
              <w:t>Unknown</w:t>
            </w:r>
          </w:p>
        </w:tc>
        <w:tc>
          <w:tcPr>
            <w:tcW w:w="1985" w:type="dxa"/>
            <w:noWrap/>
          </w:tcPr>
          <w:p w14:paraId="012A527F"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Pr>
                <w:sz w:val="16"/>
              </w:rPr>
              <w:t>2.2</w:t>
            </w:r>
          </w:p>
        </w:tc>
        <w:tc>
          <w:tcPr>
            <w:tcW w:w="1985" w:type="dxa"/>
          </w:tcPr>
          <w:p w14:paraId="4FAB8F34" w14:textId="77777777" w:rsidR="003A491D" w:rsidRPr="006555E1"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6555E1">
              <w:rPr>
                <w:sz w:val="16"/>
                <w:szCs w:val="16"/>
              </w:rPr>
              <w:t>1.6</w:t>
            </w:r>
          </w:p>
        </w:tc>
        <w:tc>
          <w:tcPr>
            <w:tcW w:w="1985" w:type="dxa"/>
          </w:tcPr>
          <w:p w14:paraId="03A19929" w14:textId="77777777" w:rsidR="003A491D" w:rsidRPr="006555E1"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6555E1">
              <w:rPr>
                <w:sz w:val="16"/>
                <w:szCs w:val="16"/>
              </w:rPr>
              <w:t>1.4</w:t>
            </w:r>
          </w:p>
        </w:tc>
        <w:tc>
          <w:tcPr>
            <w:tcW w:w="1985" w:type="dxa"/>
          </w:tcPr>
          <w:p w14:paraId="697D5B9C" w14:textId="77777777" w:rsidR="003A491D" w:rsidRPr="006555E1"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6555E1">
              <w:rPr>
                <w:sz w:val="16"/>
                <w:szCs w:val="16"/>
              </w:rPr>
              <w:t>1.6</w:t>
            </w:r>
          </w:p>
        </w:tc>
      </w:tr>
      <w:tr w:rsidR="000A5452" w:rsidRPr="00D238D0" w14:paraId="7B843434" w14:textId="77777777" w:rsidTr="000A5452">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955" w:type="dxa"/>
            <w:gridSpan w:val="3"/>
            <w:noWrap/>
          </w:tcPr>
          <w:p w14:paraId="57346FCE" w14:textId="3F547707" w:rsidR="000A5452" w:rsidRPr="006555E1" w:rsidRDefault="000A5452" w:rsidP="000A5452">
            <w:pPr>
              <w:rPr>
                <w:sz w:val="16"/>
                <w:szCs w:val="16"/>
              </w:rPr>
            </w:pPr>
            <w:r w:rsidRPr="00BC04A4">
              <w:rPr>
                <w:sz w:val="16"/>
              </w:rPr>
              <w:t>Identifies as Aboriginal and/or Torres Strait Islander</w:t>
            </w:r>
          </w:p>
        </w:tc>
        <w:tc>
          <w:tcPr>
            <w:tcW w:w="1985" w:type="dxa"/>
          </w:tcPr>
          <w:p w14:paraId="11B20948" w14:textId="77777777" w:rsidR="000A5452" w:rsidRPr="006555E1" w:rsidRDefault="000A5452"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1985" w:type="dxa"/>
          </w:tcPr>
          <w:p w14:paraId="761AC1A8" w14:textId="77777777" w:rsidR="000A5452" w:rsidRPr="006555E1" w:rsidRDefault="000A5452"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491D" w:rsidRPr="00D238D0" w14:paraId="0E6D74F9"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9D39791" w14:textId="77777777" w:rsidR="003A491D" w:rsidRPr="006277C3" w:rsidRDefault="003A491D" w:rsidP="00897071">
            <w:pPr>
              <w:jc w:val="right"/>
              <w:rPr>
                <w:b w:val="0"/>
                <w:sz w:val="16"/>
              </w:rPr>
            </w:pPr>
            <w:r w:rsidRPr="001D461A">
              <w:rPr>
                <w:sz w:val="16"/>
              </w:rPr>
              <w:t>No</w:t>
            </w:r>
          </w:p>
        </w:tc>
        <w:tc>
          <w:tcPr>
            <w:tcW w:w="1985" w:type="dxa"/>
            <w:noWrap/>
            <w:hideMark/>
          </w:tcPr>
          <w:p w14:paraId="656A6612"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70.2</w:t>
            </w:r>
          </w:p>
        </w:tc>
        <w:tc>
          <w:tcPr>
            <w:tcW w:w="1985" w:type="dxa"/>
          </w:tcPr>
          <w:p w14:paraId="3DDABCEC"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70.2</w:t>
            </w:r>
          </w:p>
        </w:tc>
        <w:tc>
          <w:tcPr>
            <w:tcW w:w="1985" w:type="dxa"/>
            <w:hideMark/>
          </w:tcPr>
          <w:p w14:paraId="0B8E714B"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68</w:t>
            </w:r>
            <w:r>
              <w:rPr>
                <w:sz w:val="16"/>
              </w:rPr>
              <w:t>.0</w:t>
            </w:r>
          </w:p>
        </w:tc>
        <w:tc>
          <w:tcPr>
            <w:tcW w:w="1985" w:type="dxa"/>
            <w:hideMark/>
          </w:tcPr>
          <w:p w14:paraId="729D0FA0"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68.5</w:t>
            </w:r>
          </w:p>
        </w:tc>
      </w:tr>
      <w:tr w:rsidR="003A491D" w:rsidRPr="00D238D0" w14:paraId="0CA5C81D"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82D3413" w14:textId="77777777" w:rsidR="003A491D" w:rsidRPr="006277C3" w:rsidRDefault="003A491D" w:rsidP="00897071">
            <w:pPr>
              <w:jc w:val="right"/>
              <w:rPr>
                <w:b w:val="0"/>
                <w:sz w:val="16"/>
              </w:rPr>
            </w:pPr>
            <w:r w:rsidRPr="001D461A">
              <w:rPr>
                <w:sz w:val="16"/>
              </w:rPr>
              <w:t>Yes</w:t>
            </w:r>
          </w:p>
        </w:tc>
        <w:tc>
          <w:tcPr>
            <w:tcW w:w="1985" w:type="dxa"/>
            <w:noWrap/>
            <w:hideMark/>
          </w:tcPr>
          <w:p w14:paraId="1933788C"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29.8</w:t>
            </w:r>
          </w:p>
        </w:tc>
        <w:tc>
          <w:tcPr>
            <w:tcW w:w="1985" w:type="dxa"/>
          </w:tcPr>
          <w:p w14:paraId="66A45CD0"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29.8</w:t>
            </w:r>
          </w:p>
        </w:tc>
        <w:tc>
          <w:tcPr>
            <w:tcW w:w="1985" w:type="dxa"/>
            <w:hideMark/>
          </w:tcPr>
          <w:p w14:paraId="4A897C1E"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32</w:t>
            </w:r>
            <w:r>
              <w:rPr>
                <w:sz w:val="16"/>
              </w:rPr>
              <w:t>.0</w:t>
            </w:r>
          </w:p>
        </w:tc>
        <w:tc>
          <w:tcPr>
            <w:tcW w:w="1985" w:type="dxa"/>
            <w:hideMark/>
          </w:tcPr>
          <w:p w14:paraId="176B5B99"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31.5</w:t>
            </w:r>
          </w:p>
        </w:tc>
      </w:tr>
      <w:tr w:rsidR="000A5452" w:rsidRPr="00D238D0" w14:paraId="47DD5B4A" w14:textId="77777777" w:rsidTr="000A545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955" w:type="dxa"/>
            <w:gridSpan w:val="3"/>
            <w:noWrap/>
          </w:tcPr>
          <w:p w14:paraId="7A02F4FA" w14:textId="0804638F" w:rsidR="000A5452" w:rsidRPr="001D461A" w:rsidRDefault="000A5452" w:rsidP="000A5452">
            <w:pPr>
              <w:rPr>
                <w:sz w:val="16"/>
              </w:rPr>
            </w:pPr>
            <w:r>
              <w:rPr>
                <w:rFonts w:cs="Arial"/>
                <w:bCs/>
                <w:sz w:val="16"/>
                <w:szCs w:val="16"/>
              </w:rPr>
              <w:t>Reduced work capacity due to disability or medical condition</w:t>
            </w:r>
          </w:p>
        </w:tc>
        <w:tc>
          <w:tcPr>
            <w:tcW w:w="1985" w:type="dxa"/>
          </w:tcPr>
          <w:p w14:paraId="5E7D2164" w14:textId="77777777" w:rsidR="000A5452" w:rsidRPr="001D461A" w:rsidRDefault="000A5452"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0176DBDD" w14:textId="77777777" w:rsidR="000A5452" w:rsidRPr="001D461A" w:rsidRDefault="000A5452" w:rsidP="00897071">
            <w:pPr>
              <w:jc w:val="right"/>
              <w:cnfStyle w:val="000000100000" w:firstRow="0" w:lastRow="0" w:firstColumn="0" w:lastColumn="0" w:oddVBand="0" w:evenVBand="0" w:oddHBand="1" w:evenHBand="0" w:firstRowFirstColumn="0" w:firstRowLastColumn="0" w:lastRowFirstColumn="0" w:lastRowLastColumn="0"/>
              <w:rPr>
                <w:sz w:val="16"/>
              </w:rPr>
            </w:pPr>
          </w:p>
        </w:tc>
      </w:tr>
      <w:tr w:rsidR="003A491D" w:rsidRPr="00D238D0" w14:paraId="1594D779"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120413F5" w14:textId="77777777" w:rsidR="003A491D" w:rsidRPr="006277C3" w:rsidRDefault="003A491D" w:rsidP="00897071">
            <w:pPr>
              <w:jc w:val="right"/>
              <w:rPr>
                <w:b w:val="0"/>
                <w:sz w:val="16"/>
              </w:rPr>
            </w:pPr>
            <w:r w:rsidRPr="001D461A">
              <w:rPr>
                <w:sz w:val="16"/>
              </w:rPr>
              <w:t>Yes</w:t>
            </w:r>
          </w:p>
        </w:tc>
        <w:tc>
          <w:tcPr>
            <w:tcW w:w="1985" w:type="dxa"/>
            <w:noWrap/>
          </w:tcPr>
          <w:p w14:paraId="417E566D"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5.4</w:t>
            </w:r>
          </w:p>
        </w:tc>
        <w:tc>
          <w:tcPr>
            <w:tcW w:w="1985" w:type="dxa"/>
          </w:tcPr>
          <w:p w14:paraId="26C664D2"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5.7</w:t>
            </w:r>
          </w:p>
        </w:tc>
        <w:tc>
          <w:tcPr>
            <w:tcW w:w="1985" w:type="dxa"/>
          </w:tcPr>
          <w:p w14:paraId="2416A23C"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7.2</w:t>
            </w:r>
          </w:p>
        </w:tc>
        <w:tc>
          <w:tcPr>
            <w:tcW w:w="1985" w:type="dxa"/>
          </w:tcPr>
          <w:p w14:paraId="135A9863"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7.3</w:t>
            </w:r>
          </w:p>
        </w:tc>
      </w:tr>
      <w:tr w:rsidR="003A491D" w:rsidRPr="00D238D0" w14:paraId="0A124991"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A1AF7B4" w14:textId="77777777" w:rsidR="003A491D" w:rsidRPr="006277C3" w:rsidRDefault="003A491D" w:rsidP="00897071">
            <w:pPr>
              <w:jc w:val="right"/>
              <w:rPr>
                <w:b w:val="0"/>
                <w:sz w:val="16"/>
              </w:rPr>
            </w:pPr>
            <w:r w:rsidRPr="001D461A">
              <w:rPr>
                <w:sz w:val="16"/>
              </w:rPr>
              <w:t>No</w:t>
            </w:r>
          </w:p>
        </w:tc>
        <w:tc>
          <w:tcPr>
            <w:tcW w:w="1985" w:type="dxa"/>
            <w:noWrap/>
            <w:hideMark/>
          </w:tcPr>
          <w:p w14:paraId="479D7774"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92.1</w:t>
            </w:r>
          </w:p>
        </w:tc>
        <w:tc>
          <w:tcPr>
            <w:tcW w:w="1985" w:type="dxa"/>
          </w:tcPr>
          <w:p w14:paraId="7EFC666B"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92.4</w:t>
            </w:r>
          </w:p>
        </w:tc>
        <w:tc>
          <w:tcPr>
            <w:tcW w:w="1985" w:type="dxa"/>
            <w:hideMark/>
          </w:tcPr>
          <w:p w14:paraId="33F20970"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91</w:t>
            </w:r>
          </w:p>
        </w:tc>
        <w:tc>
          <w:tcPr>
            <w:tcW w:w="1985" w:type="dxa"/>
            <w:hideMark/>
          </w:tcPr>
          <w:p w14:paraId="6760DD2F"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90.7</w:t>
            </w:r>
          </w:p>
        </w:tc>
      </w:tr>
      <w:tr w:rsidR="003A491D" w:rsidRPr="00D238D0" w14:paraId="1D41A764"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7A9CEBF5" w14:textId="11F46C21" w:rsidR="003A491D" w:rsidRPr="001D461A" w:rsidRDefault="003A491D" w:rsidP="00897071">
            <w:pPr>
              <w:jc w:val="right"/>
              <w:rPr>
                <w:sz w:val="16"/>
              </w:rPr>
            </w:pPr>
            <w:r>
              <w:rPr>
                <w:sz w:val="16"/>
              </w:rPr>
              <w:t xml:space="preserve">Decline to </w:t>
            </w:r>
            <w:r w:rsidR="00F84CBD">
              <w:rPr>
                <w:sz w:val="16"/>
              </w:rPr>
              <w:t>a</w:t>
            </w:r>
            <w:r>
              <w:rPr>
                <w:sz w:val="16"/>
              </w:rPr>
              <w:t>nswer</w:t>
            </w:r>
          </w:p>
        </w:tc>
        <w:tc>
          <w:tcPr>
            <w:tcW w:w="1985" w:type="dxa"/>
            <w:noWrap/>
          </w:tcPr>
          <w:p w14:paraId="7114FD41"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0.3</w:t>
            </w:r>
          </w:p>
        </w:tc>
        <w:tc>
          <w:tcPr>
            <w:tcW w:w="1985" w:type="dxa"/>
          </w:tcPr>
          <w:p w14:paraId="4D448C24"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0.3</w:t>
            </w:r>
          </w:p>
        </w:tc>
        <w:tc>
          <w:tcPr>
            <w:tcW w:w="1985" w:type="dxa"/>
          </w:tcPr>
          <w:p w14:paraId="59C11FB6"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0.5</w:t>
            </w:r>
          </w:p>
        </w:tc>
        <w:tc>
          <w:tcPr>
            <w:tcW w:w="1985" w:type="dxa"/>
          </w:tcPr>
          <w:p w14:paraId="60EA72C4"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0.5</w:t>
            </w:r>
          </w:p>
        </w:tc>
      </w:tr>
      <w:tr w:rsidR="003A491D" w:rsidRPr="00D238D0" w14:paraId="3A6BBD7B"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7ABF672A" w14:textId="77777777" w:rsidR="003A491D" w:rsidRPr="001D461A" w:rsidRDefault="003A491D" w:rsidP="00897071">
            <w:pPr>
              <w:jc w:val="right"/>
              <w:rPr>
                <w:sz w:val="16"/>
              </w:rPr>
            </w:pPr>
            <w:r>
              <w:rPr>
                <w:sz w:val="16"/>
              </w:rPr>
              <w:t>Unknown</w:t>
            </w:r>
          </w:p>
        </w:tc>
        <w:tc>
          <w:tcPr>
            <w:tcW w:w="1985" w:type="dxa"/>
            <w:noWrap/>
          </w:tcPr>
          <w:p w14:paraId="1BE5AD2C"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2.2</w:t>
            </w:r>
          </w:p>
        </w:tc>
        <w:tc>
          <w:tcPr>
            <w:tcW w:w="1985" w:type="dxa"/>
          </w:tcPr>
          <w:p w14:paraId="55312EA6"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1.6</w:t>
            </w:r>
          </w:p>
        </w:tc>
        <w:tc>
          <w:tcPr>
            <w:tcW w:w="1985" w:type="dxa"/>
          </w:tcPr>
          <w:p w14:paraId="5AD782F3"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1.4</w:t>
            </w:r>
          </w:p>
        </w:tc>
        <w:tc>
          <w:tcPr>
            <w:tcW w:w="1985" w:type="dxa"/>
          </w:tcPr>
          <w:p w14:paraId="18C78CA8"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1.6</w:t>
            </w:r>
          </w:p>
        </w:tc>
      </w:tr>
      <w:tr w:rsidR="00FD6DB6" w:rsidRPr="00D238D0" w14:paraId="436DFC7D"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19F1AC09" w14:textId="21BCE190" w:rsidR="00FD6DB6" w:rsidRPr="001D461A" w:rsidRDefault="005F68A5" w:rsidP="00C239FD">
            <w:pPr>
              <w:rPr>
                <w:sz w:val="16"/>
              </w:rPr>
            </w:pPr>
            <w:r>
              <w:rPr>
                <w:rFonts w:cs="Arial"/>
                <w:bCs/>
                <w:sz w:val="16"/>
                <w:szCs w:val="16"/>
              </w:rPr>
              <w:t>Work history</w:t>
            </w:r>
          </w:p>
        </w:tc>
        <w:tc>
          <w:tcPr>
            <w:tcW w:w="1985" w:type="dxa"/>
            <w:noWrap/>
          </w:tcPr>
          <w:p w14:paraId="67618A8B" w14:textId="77777777" w:rsidR="00FD6DB6" w:rsidRPr="001D1DAD" w:rsidRDefault="00FD6DB6"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1985" w:type="dxa"/>
          </w:tcPr>
          <w:p w14:paraId="240CD5F5" w14:textId="77777777" w:rsidR="00FD6DB6" w:rsidRPr="001D1DAD" w:rsidRDefault="00FD6DB6"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1985" w:type="dxa"/>
          </w:tcPr>
          <w:p w14:paraId="1B78DB38" w14:textId="77777777" w:rsidR="00FD6DB6" w:rsidRPr="001D1DAD" w:rsidRDefault="00FD6DB6"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1985" w:type="dxa"/>
          </w:tcPr>
          <w:p w14:paraId="067EA433" w14:textId="77777777" w:rsidR="00FD6DB6" w:rsidRPr="001D1DAD" w:rsidRDefault="00FD6DB6"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491D" w:rsidRPr="00D238D0" w14:paraId="2D8E9D9B"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3CC93F8C" w14:textId="77777777" w:rsidR="003A491D" w:rsidRPr="006277C3" w:rsidRDefault="003A491D" w:rsidP="00897071">
            <w:pPr>
              <w:jc w:val="right"/>
              <w:rPr>
                <w:b w:val="0"/>
                <w:sz w:val="16"/>
              </w:rPr>
            </w:pPr>
            <w:r w:rsidRPr="001D461A">
              <w:rPr>
                <w:sz w:val="16"/>
              </w:rPr>
              <w:t>Yes</w:t>
            </w:r>
          </w:p>
        </w:tc>
        <w:tc>
          <w:tcPr>
            <w:tcW w:w="1985" w:type="dxa"/>
            <w:noWrap/>
          </w:tcPr>
          <w:p w14:paraId="0F97AE1C"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5.4</w:t>
            </w:r>
          </w:p>
        </w:tc>
        <w:tc>
          <w:tcPr>
            <w:tcW w:w="1985" w:type="dxa"/>
          </w:tcPr>
          <w:p w14:paraId="48FF3041"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5.7</w:t>
            </w:r>
          </w:p>
        </w:tc>
        <w:tc>
          <w:tcPr>
            <w:tcW w:w="1985" w:type="dxa"/>
          </w:tcPr>
          <w:p w14:paraId="00EAFD6B"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7.2</w:t>
            </w:r>
          </w:p>
        </w:tc>
        <w:tc>
          <w:tcPr>
            <w:tcW w:w="1985" w:type="dxa"/>
          </w:tcPr>
          <w:p w14:paraId="52089024"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7.3</w:t>
            </w:r>
          </w:p>
        </w:tc>
      </w:tr>
      <w:tr w:rsidR="003A491D" w:rsidRPr="00D238D0" w14:paraId="7B688073"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3411129" w14:textId="77777777" w:rsidR="003A491D" w:rsidRPr="006277C3" w:rsidRDefault="003A491D" w:rsidP="00897071">
            <w:pPr>
              <w:jc w:val="right"/>
              <w:rPr>
                <w:b w:val="0"/>
                <w:sz w:val="16"/>
              </w:rPr>
            </w:pPr>
            <w:r w:rsidRPr="001D461A">
              <w:rPr>
                <w:sz w:val="16"/>
              </w:rPr>
              <w:t>No</w:t>
            </w:r>
          </w:p>
        </w:tc>
        <w:tc>
          <w:tcPr>
            <w:tcW w:w="1985" w:type="dxa"/>
            <w:noWrap/>
            <w:hideMark/>
          </w:tcPr>
          <w:p w14:paraId="023C212C"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92.1</w:t>
            </w:r>
          </w:p>
        </w:tc>
        <w:tc>
          <w:tcPr>
            <w:tcW w:w="1985" w:type="dxa"/>
          </w:tcPr>
          <w:p w14:paraId="57D14F34"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92.4</w:t>
            </w:r>
          </w:p>
        </w:tc>
        <w:tc>
          <w:tcPr>
            <w:tcW w:w="1985" w:type="dxa"/>
            <w:hideMark/>
          </w:tcPr>
          <w:p w14:paraId="13D85CE8"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91</w:t>
            </w:r>
          </w:p>
        </w:tc>
        <w:tc>
          <w:tcPr>
            <w:tcW w:w="1985" w:type="dxa"/>
            <w:hideMark/>
          </w:tcPr>
          <w:p w14:paraId="6E70E0AF"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90.7</w:t>
            </w:r>
          </w:p>
        </w:tc>
      </w:tr>
      <w:tr w:rsidR="003A491D" w:rsidRPr="00D238D0" w14:paraId="6D92DCD7"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7314A4C0" w14:textId="68E4E6C8" w:rsidR="003A491D" w:rsidRPr="001D461A" w:rsidRDefault="003A491D" w:rsidP="00897071">
            <w:pPr>
              <w:jc w:val="right"/>
              <w:rPr>
                <w:sz w:val="16"/>
              </w:rPr>
            </w:pPr>
            <w:r>
              <w:rPr>
                <w:sz w:val="16"/>
              </w:rPr>
              <w:lastRenderedPageBreak/>
              <w:t xml:space="preserve">Decline to </w:t>
            </w:r>
            <w:r w:rsidR="005F68A5">
              <w:rPr>
                <w:sz w:val="16"/>
              </w:rPr>
              <w:t>a</w:t>
            </w:r>
            <w:r>
              <w:rPr>
                <w:sz w:val="16"/>
              </w:rPr>
              <w:t>nswer</w:t>
            </w:r>
          </w:p>
        </w:tc>
        <w:tc>
          <w:tcPr>
            <w:tcW w:w="1985" w:type="dxa"/>
            <w:noWrap/>
          </w:tcPr>
          <w:p w14:paraId="7A014605"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0.3</w:t>
            </w:r>
          </w:p>
        </w:tc>
        <w:tc>
          <w:tcPr>
            <w:tcW w:w="1985" w:type="dxa"/>
          </w:tcPr>
          <w:p w14:paraId="1DE819CA"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0.3</w:t>
            </w:r>
          </w:p>
        </w:tc>
        <w:tc>
          <w:tcPr>
            <w:tcW w:w="1985" w:type="dxa"/>
          </w:tcPr>
          <w:p w14:paraId="6C322A7B"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0.5</w:t>
            </w:r>
          </w:p>
        </w:tc>
        <w:tc>
          <w:tcPr>
            <w:tcW w:w="1985" w:type="dxa"/>
          </w:tcPr>
          <w:p w14:paraId="5B949131" w14:textId="77777777" w:rsidR="003A491D" w:rsidRPr="001D1DAD"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1D1DAD">
              <w:rPr>
                <w:sz w:val="16"/>
                <w:szCs w:val="16"/>
              </w:rPr>
              <w:t>0.5</w:t>
            </w:r>
          </w:p>
        </w:tc>
      </w:tr>
      <w:tr w:rsidR="003A491D" w:rsidRPr="00D238D0" w14:paraId="1293B14C"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362F0E5B" w14:textId="77777777" w:rsidR="003A491D" w:rsidRPr="001D461A" w:rsidRDefault="003A491D" w:rsidP="00897071">
            <w:pPr>
              <w:jc w:val="right"/>
              <w:rPr>
                <w:sz w:val="16"/>
              </w:rPr>
            </w:pPr>
            <w:r>
              <w:rPr>
                <w:sz w:val="16"/>
              </w:rPr>
              <w:t>Unknown</w:t>
            </w:r>
          </w:p>
        </w:tc>
        <w:tc>
          <w:tcPr>
            <w:tcW w:w="1985" w:type="dxa"/>
            <w:noWrap/>
          </w:tcPr>
          <w:p w14:paraId="4646826A"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2.2</w:t>
            </w:r>
          </w:p>
        </w:tc>
        <w:tc>
          <w:tcPr>
            <w:tcW w:w="1985" w:type="dxa"/>
          </w:tcPr>
          <w:p w14:paraId="1A05EFAE"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1.6</w:t>
            </w:r>
          </w:p>
        </w:tc>
        <w:tc>
          <w:tcPr>
            <w:tcW w:w="1985" w:type="dxa"/>
          </w:tcPr>
          <w:p w14:paraId="70C8B183"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1.4</w:t>
            </w:r>
          </w:p>
        </w:tc>
        <w:tc>
          <w:tcPr>
            <w:tcW w:w="1985" w:type="dxa"/>
          </w:tcPr>
          <w:p w14:paraId="5E4EDD7B" w14:textId="77777777" w:rsidR="003A491D" w:rsidRPr="001D1DAD"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1D1DAD">
              <w:rPr>
                <w:sz w:val="16"/>
                <w:szCs w:val="16"/>
              </w:rPr>
              <w:t>1.6</w:t>
            </w:r>
          </w:p>
        </w:tc>
      </w:tr>
      <w:tr w:rsidR="003A491D" w:rsidRPr="00D238D0" w14:paraId="1F755FD3" w14:textId="77777777" w:rsidTr="000A5452">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7055C84" w14:textId="77777777" w:rsidR="003A491D" w:rsidRPr="001D461A" w:rsidRDefault="003A491D" w:rsidP="00897071">
            <w:pPr>
              <w:rPr>
                <w:sz w:val="16"/>
              </w:rPr>
            </w:pPr>
            <w:r w:rsidRPr="001D461A">
              <w:rPr>
                <w:sz w:val="16"/>
              </w:rPr>
              <w:t>Transport</w:t>
            </w:r>
          </w:p>
        </w:tc>
        <w:tc>
          <w:tcPr>
            <w:tcW w:w="1985" w:type="dxa"/>
            <w:noWrap/>
            <w:hideMark/>
          </w:tcPr>
          <w:p w14:paraId="33BB1EBA"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2C969931"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hideMark/>
          </w:tcPr>
          <w:p w14:paraId="287FBB8D"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hideMark/>
          </w:tcPr>
          <w:p w14:paraId="474AE664"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0%</w:t>
            </w:r>
          </w:p>
        </w:tc>
      </w:tr>
      <w:tr w:rsidR="003A491D" w:rsidRPr="00D238D0" w14:paraId="0EA2476F"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74E9DECA" w14:textId="77777777" w:rsidR="003A491D" w:rsidRPr="006277C3" w:rsidRDefault="003A491D" w:rsidP="00897071">
            <w:pPr>
              <w:jc w:val="right"/>
              <w:rPr>
                <w:b w:val="0"/>
                <w:sz w:val="16"/>
              </w:rPr>
            </w:pPr>
            <w:r w:rsidRPr="001D461A">
              <w:rPr>
                <w:sz w:val="16"/>
              </w:rPr>
              <w:t>Private</w:t>
            </w:r>
          </w:p>
        </w:tc>
        <w:tc>
          <w:tcPr>
            <w:tcW w:w="1985" w:type="dxa"/>
            <w:noWrap/>
          </w:tcPr>
          <w:p w14:paraId="4B14F3FA"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38.5</w:t>
            </w:r>
          </w:p>
        </w:tc>
        <w:tc>
          <w:tcPr>
            <w:tcW w:w="1985" w:type="dxa"/>
          </w:tcPr>
          <w:p w14:paraId="7DE09CC0"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42.6</w:t>
            </w:r>
          </w:p>
        </w:tc>
        <w:tc>
          <w:tcPr>
            <w:tcW w:w="1985" w:type="dxa"/>
          </w:tcPr>
          <w:p w14:paraId="2CEA7746"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46.9</w:t>
            </w:r>
          </w:p>
        </w:tc>
        <w:tc>
          <w:tcPr>
            <w:tcW w:w="1985" w:type="dxa"/>
          </w:tcPr>
          <w:p w14:paraId="39EE8648"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42.6</w:t>
            </w:r>
          </w:p>
        </w:tc>
      </w:tr>
      <w:tr w:rsidR="003A491D" w:rsidRPr="00D238D0" w14:paraId="3DCA60CE" w14:textId="77777777" w:rsidTr="000A545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29B278C" w14:textId="77777777" w:rsidR="003A491D" w:rsidRPr="006277C3" w:rsidRDefault="003A491D" w:rsidP="00897071">
            <w:pPr>
              <w:jc w:val="right"/>
              <w:rPr>
                <w:b w:val="0"/>
                <w:sz w:val="16"/>
              </w:rPr>
            </w:pPr>
            <w:r w:rsidRPr="001D461A">
              <w:rPr>
                <w:sz w:val="16"/>
              </w:rPr>
              <w:t>Public</w:t>
            </w:r>
          </w:p>
        </w:tc>
        <w:tc>
          <w:tcPr>
            <w:tcW w:w="1985" w:type="dxa"/>
            <w:noWrap/>
            <w:hideMark/>
          </w:tcPr>
          <w:p w14:paraId="1548DE82"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54</w:t>
            </w:r>
            <w:r>
              <w:rPr>
                <w:sz w:val="16"/>
              </w:rPr>
              <w:t>.0</w:t>
            </w:r>
          </w:p>
        </w:tc>
        <w:tc>
          <w:tcPr>
            <w:tcW w:w="1985" w:type="dxa"/>
          </w:tcPr>
          <w:p w14:paraId="278CE0FF"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50.8</w:t>
            </w:r>
          </w:p>
        </w:tc>
        <w:tc>
          <w:tcPr>
            <w:tcW w:w="1985" w:type="dxa"/>
            <w:hideMark/>
          </w:tcPr>
          <w:p w14:paraId="62A050DB"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46.7</w:t>
            </w:r>
          </w:p>
        </w:tc>
        <w:tc>
          <w:tcPr>
            <w:tcW w:w="1985" w:type="dxa"/>
            <w:hideMark/>
          </w:tcPr>
          <w:p w14:paraId="3B4AC091"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461A">
              <w:rPr>
                <w:sz w:val="16"/>
              </w:rPr>
              <w:t>50.8</w:t>
            </w:r>
          </w:p>
        </w:tc>
      </w:tr>
      <w:tr w:rsidR="003A491D" w:rsidRPr="00D238D0" w14:paraId="0E921AD8"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17F0886B" w14:textId="77777777" w:rsidR="003A491D" w:rsidRPr="006277C3" w:rsidRDefault="003A491D" w:rsidP="00897071">
            <w:pPr>
              <w:jc w:val="right"/>
              <w:rPr>
                <w:b w:val="0"/>
                <w:sz w:val="16"/>
              </w:rPr>
            </w:pPr>
            <w:r w:rsidRPr="001D461A">
              <w:rPr>
                <w:sz w:val="16"/>
              </w:rPr>
              <w:t>None</w:t>
            </w:r>
          </w:p>
        </w:tc>
        <w:tc>
          <w:tcPr>
            <w:tcW w:w="1985" w:type="dxa"/>
            <w:noWrap/>
          </w:tcPr>
          <w:p w14:paraId="01AE3296"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5.4</w:t>
            </w:r>
          </w:p>
        </w:tc>
        <w:tc>
          <w:tcPr>
            <w:tcW w:w="1985" w:type="dxa"/>
          </w:tcPr>
          <w:p w14:paraId="12D7636F"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5.1</w:t>
            </w:r>
          </w:p>
        </w:tc>
        <w:tc>
          <w:tcPr>
            <w:tcW w:w="1985" w:type="dxa"/>
          </w:tcPr>
          <w:p w14:paraId="6C0E62FB"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5</w:t>
            </w:r>
            <w:r>
              <w:rPr>
                <w:sz w:val="16"/>
              </w:rPr>
              <w:t>.0</w:t>
            </w:r>
          </w:p>
        </w:tc>
        <w:tc>
          <w:tcPr>
            <w:tcW w:w="1985" w:type="dxa"/>
          </w:tcPr>
          <w:p w14:paraId="7EF816DD"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1D461A">
              <w:rPr>
                <w:sz w:val="16"/>
              </w:rPr>
              <w:t>5.1</w:t>
            </w:r>
          </w:p>
        </w:tc>
      </w:tr>
      <w:tr w:rsidR="003A491D" w:rsidRPr="00D238D0" w14:paraId="6CCC1FF5"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161C7C01" w14:textId="77777777" w:rsidR="003A491D" w:rsidRPr="001D461A" w:rsidRDefault="003A491D" w:rsidP="00897071">
            <w:pPr>
              <w:jc w:val="right"/>
              <w:rPr>
                <w:sz w:val="16"/>
              </w:rPr>
            </w:pPr>
            <w:r>
              <w:rPr>
                <w:sz w:val="16"/>
              </w:rPr>
              <w:t>Unknown</w:t>
            </w:r>
          </w:p>
        </w:tc>
        <w:tc>
          <w:tcPr>
            <w:tcW w:w="1985" w:type="dxa"/>
            <w:noWrap/>
          </w:tcPr>
          <w:p w14:paraId="5DCDFA4B"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1DAD">
              <w:rPr>
                <w:sz w:val="16"/>
                <w:szCs w:val="16"/>
              </w:rPr>
              <w:t>2.2</w:t>
            </w:r>
          </w:p>
        </w:tc>
        <w:tc>
          <w:tcPr>
            <w:tcW w:w="1985" w:type="dxa"/>
          </w:tcPr>
          <w:p w14:paraId="4207F77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1DAD">
              <w:rPr>
                <w:sz w:val="16"/>
                <w:szCs w:val="16"/>
              </w:rPr>
              <w:t>1.6</w:t>
            </w:r>
          </w:p>
        </w:tc>
        <w:tc>
          <w:tcPr>
            <w:tcW w:w="1985" w:type="dxa"/>
          </w:tcPr>
          <w:p w14:paraId="46ADA9D5"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1DAD">
              <w:rPr>
                <w:sz w:val="16"/>
                <w:szCs w:val="16"/>
              </w:rPr>
              <w:t>1.4</w:t>
            </w:r>
          </w:p>
        </w:tc>
        <w:tc>
          <w:tcPr>
            <w:tcW w:w="1985" w:type="dxa"/>
          </w:tcPr>
          <w:p w14:paraId="0F593828"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1D1DAD">
              <w:rPr>
                <w:sz w:val="16"/>
                <w:szCs w:val="16"/>
              </w:rPr>
              <w:t>1.6</w:t>
            </w:r>
          </w:p>
        </w:tc>
      </w:tr>
      <w:tr w:rsidR="003A491D" w:rsidRPr="00D238D0" w14:paraId="479E7703" w14:textId="77777777" w:rsidTr="00C239FD">
        <w:trPr>
          <w:cnfStyle w:val="000000010000" w:firstRow="0" w:lastRow="0" w:firstColumn="0" w:lastColumn="0" w:oddVBand="0" w:evenVBand="0" w:oddHBand="0" w:evenHBand="1"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DF2FA81" w14:textId="30767AB9" w:rsidR="003A491D" w:rsidRPr="001D461A" w:rsidRDefault="003A491D" w:rsidP="00897071">
            <w:pPr>
              <w:rPr>
                <w:sz w:val="16"/>
              </w:rPr>
            </w:pPr>
            <w:r w:rsidRPr="00BD67E6">
              <w:rPr>
                <w:rFonts w:cstheme="minorHAnsi"/>
                <w:sz w:val="16"/>
                <w:szCs w:val="16"/>
              </w:rPr>
              <w:t>Ex</w:t>
            </w:r>
            <w:r w:rsidR="005F68A5">
              <w:rPr>
                <w:rFonts w:cstheme="minorHAnsi"/>
                <w:sz w:val="16"/>
                <w:szCs w:val="16"/>
              </w:rPr>
              <w:t>-o</w:t>
            </w:r>
            <w:r w:rsidRPr="00BD67E6">
              <w:rPr>
                <w:rFonts w:cstheme="minorHAnsi"/>
                <w:sz w:val="16"/>
                <w:szCs w:val="16"/>
              </w:rPr>
              <w:t>ffender</w:t>
            </w:r>
          </w:p>
        </w:tc>
        <w:tc>
          <w:tcPr>
            <w:tcW w:w="1985" w:type="dxa"/>
            <w:noWrap/>
            <w:hideMark/>
          </w:tcPr>
          <w:p w14:paraId="1D81147C"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tcPr>
          <w:p w14:paraId="7BFBA8FE"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hideMark/>
          </w:tcPr>
          <w:p w14:paraId="008F1136"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hideMark/>
          </w:tcPr>
          <w:p w14:paraId="0B93FEB1"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r>
      <w:tr w:rsidR="003A491D" w:rsidRPr="00D238D0" w14:paraId="14A7EA6F"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5488199" w14:textId="77777777" w:rsidR="003A491D" w:rsidRPr="006277C3" w:rsidRDefault="003A491D" w:rsidP="00897071">
            <w:pPr>
              <w:jc w:val="right"/>
              <w:rPr>
                <w:b w:val="0"/>
                <w:sz w:val="16"/>
              </w:rPr>
            </w:pPr>
            <w:r w:rsidRPr="00BD67E6">
              <w:rPr>
                <w:rFonts w:cstheme="minorHAnsi"/>
                <w:bCs/>
                <w:sz w:val="16"/>
                <w:szCs w:val="16"/>
              </w:rPr>
              <w:t>Yes</w:t>
            </w:r>
          </w:p>
        </w:tc>
        <w:tc>
          <w:tcPr>
            <w:tcW w:w="1985" w:type="dxa"/>
            <w:noWrap/>
          </w:tcPr>
          <w:p w14:paraId="69A0A21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7.2</w:t>
            </w:r>
          </w:p>
        </w:tc>
        <w:tc>
          <w:tcPr>
            <w:tcW w:w="1985" w:type="dxa"/>
          </w:tcPr>
          <w:p w14:paraId="527778EA"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7.1</w:t>
            </w:r>
          </w:p>
        </w:tc>
        <w:tc>
          <w:tcPr>
            <w:tcW w:w="1985" w:type="dxa"/>
          </w:tcPr>
          <w:p w14:paraId="4C668F0F"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7.6</w:t>
            </w:r>
          </w:p>
        </w:tc>
        <w:tc>
          <w:tcPr>
            <w:tcW w:w="1985" w:type="dxa"/>
          </w:tcPr>
          <w:p w14:paraId="158B1B6D"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7.8</w:t>
            </w:r>
          </w:p>
        </w:tc>
      </w:tr>
      <w:tr w:rsidR="003A491D" w:rsidRPr="00D238D0" w14:paraId="40818EF2"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8D962E5" w14:textId="77777777" w:rsidR="003A491D" w:rsidRPr="006277C3" w:rsidRDefault="003A491D" w:rsidP="00897071">
            <w:pPr>
              <w:jc w:val="right"/>
              <w:rPr>
                <w:b w:val="0"/>
                <w:sz w:val="16"/>
              </w:rPr>
            </w:pPr>
            <w:r w:rsidRPr="00BD67E6">
              <w:rPr>
                <w:rFonts w:cstheme="minorHAnsi"/>
                <w:bCs/>
                <w:sz w:val="16"/>
                <w:szCs w:val="16"/>
              </w:rPr>
              <w:t>None</w:t>
            </w:r>
          </w:p>
        </w:tc>
        <w:tc>
          <w:tcPr>
            <w:tcW w:w="1985" w:type="dxa"/>
            <w:noWrap/>
            <w:hideMark/>
          </w:tcPr>
          <w:p w14:paraId="16B39202" w14:textId="77777777" w:rsidR="003A491D" w:rsidRPr="009B5CD9"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9B5CD9">
              <w:rPr>
                <w:sz w:val="16"/>
                <w:szCs w:val="16"/>
              </w:rPr>
              <w:t>89</w:t>
            </w:r>
          </w:p>
        </w:tc>
        <w:tc>
          <w:tcPr>
            <w:tcW w:w="1985" w:type="dxa"/>
          </w:tcPr>
          <w:p w14:paraId="01F50DA7" w14:textId="77777777" w:rsidR="003A491D" w:rsidRPr="009B5CD9"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9B5CD9">
              <w:rPr>
                <w:sz w:val="16"/>
                <w:szCs w:val="16"/>
              </w:rPr>
              <w:t>89.8</w:t>
            </w:r>
          </w:p>
        </w:tc>
        <w:tc>
          <w:tcPr>
            <w:tcW w:w="1985" w:type="dxa"/>
            <w:hideMark/>
          </w:tcPr>
          <w:p w14:paraId="3119789D" w14:textId="77777777" w:rsidR="003A491D" w:rsidRPr="009B5CD9"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9B5CD9">
              <w:rPr>
                <w:sz w:val="16"/>
                <w:szCs w:val="16"/>
              </w:rPr>
              <w:t>89.1</w:t>
            </w:r>
          </w:p>
        </w:tc>
        <w:tc>
          <w:tcPr>
            <w:tcW w:w="1985" w:type="dxa"/>
            <w:hideMark/>
          </w:tcPr>
          <w:p w14:paraId="3934FAAD" w14:textId="77777777" w:rsidR="003A491D" w:rsidRPr="009B5CD9"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9B5CD9">
              <w:rPr>
                <w:sz w:val="16"/>
                <w:szCs w:val="16"/>
              </w:rPr>
              <w:t>88.7</w:t>
            </w:r>
          </w:p>
        </w:tc>
      </w:tr>
      <w:tr w:rsidR="003A491D" w:rsidRPr="00D238D0" w14:paraId="57705D5A"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4555BA6C" w14:textId="77777777" w:rsidR="003A491D" w:rsidRPr="00BD67E6" w:rsidRDefault="003A491D" w:rsidP="00897071">
            <w:pPr>
              <w:jc w:val="right"/>
              <w:rPr>
                <w:rFonts w:cstheme="minorHAnsi"/>
                <w:bCs/>
                <w:sz w:val="16"/>
                <w:szCs w:val="16"/>
              </w:rPr>
            </w:pPr>
            <w:r>
              <w:rPr>
                <w:rFonts w:cstheme="minorHAnsi"/>
                <w:bCs/>
                <w:sz w:val="16"/>
                <w:szCs w:val="16"/>
              </w:rPr>
              <w:t>Decline t</w:t>
            </w:r>
            <w:r w:rsidRPr="00BD67E6">
              <w:rPr>
                <w:rFonts w:cstheme="minorHAnsi"/>
                <w:bCs/>
                <w:sz w:val="16"/>
                <w:szCs w:val="16"/>
              </w:rPr>
              <w:t>o an</w:t>
            </w:r>
            <w:r>
              <w:rPr>
                <w:rFonts w:cstheme="minorHAnsi"/>
                <w:bCs/>
                <w:sz w:val="16"/>
                <w:szCs w:val="16"/>
              </w:rPr>
              <w:t>sw</w:t>
            </w:r>
            <w:r w:rsidRPr="00BD67E6">
              <w:rPr>
                <w:rFonts w:cstheme="minorHAnsi"/>
                <w:bCs/>
                <w:sz w:val="16"/>
                <w:szCs w:val="16"/>
              </w:rPr>
              <w:t>er</w:t>
            </w:r>
          </w:p>
        </w:tc>
        <w:tc>
          <w:tcPr>
            <w:tcW w:w="1985" w:type="dxa"/>
            <w:noWrap/>
          </w:tcPr>
          <w:p w14:paraId="04DD9947" w14:textId="77777777" w:rsidR="003A491D" w:rsidRPr="009B5CD9"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B5CD9">
              <w:rPr>
                <w:sz w:val="16"/>
                <w:szCs w:val="16"/>
              </w:rPr>
              <w:t>1.6</w:t>
            </w:r>
          </w:p>
        </w:tc>
        <w:tc>
          <w:tcPr>
            <w:tcW w:w="1985" w:type="dxa"/>
          </w:tcPr>
          <w:p w14:paraId="444DFCAE" w14:textId="77777777" w:rsidR="003A491D" w:rsidRPr="009B5CD9"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B5CD9">
              <w:rPr>
                <w:sz w:val="16"/>
                <w:szCs w:val="16"/>
              </w:rPr>
              <w:t>1.6</w:t>
            </w:r>
          </w:p>
        </w:tc>
        <w:tc>
          <w:tcPr>
            <w:tcW w:w="1985" w:type="dxa"/>
          </w:tcPr>
          <w:p w14:paraId="7EE3686A" w14:textId="77777777" w:rsidR="003A491D" w:rsidRPr="009B5CD9"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B5CD9">
              <w:rPr>
                <w:sz w:val="16"/>
                <w:szCs w:val="16"/>
              </w:rPr>
              <w:t>1.9</w:t>
            </w:r>
          </w:p>
        </w:tc>
        <w:tc>
          <w:tcPr>
            <w:tcW w:w="1985" w:type="dxa"/>
          </w:tcPr>
          <w:p w14:paraId="7529961A" w14:textId="77777777" w:rsidR="003A491D" w:rsidRPr="009B5CD9"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B5CD9">
              <w:rPr>
                <w:sz w:val="16"/>
                <w:szCs w:val="16"/>
              </w:rPr>
              <w:t>1.9</w:t>
            </w:r>
          </w:p>
        </w:tc>
      </w:tr>
      <w:tr w:rsidR="003A491D" w:rsidRPr="00D238D0" w14:paraId="7998D963"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0CBA33EB" w14:textId="77777777" w:rsidR="003A491D" w:rsidRPr="00BD67E6" w:rsidRDefault="003A491D" w:rsidP="00897071">
            <w:pPr>
              <w:jc w:val="right"/>
              <w:rPr>
                <w:rFonts w:cstheme="minorHAnsi"/>
                <w:bCs/>
                <w:sz w:val="16"/>
                <w:szCs w:val="16"/>
              </w:rPr>
            </w:pPr>
            <w:r>
              <w:rPr>
                <w:rFonts w:cstheme="minorHAnsi"/>
                <w:bCs/>
                <w:sz w:val="16"/>
                <w:szCs w:val="16"/>
              </w:rPr>
              <w:t>Unknown</w:t>
            </w:r>
          </w:p>
        </w:tc>
        <w:tc>
          <w:tcPr>
            <w:tcW w:w="1985" w:type="dxa"/>
            <w:noWrap/>
          </w:tcPr>
          <w:p w14:paraId="5E667943" w14:textId="77777777" w:rsidR="003A491D" w:rsidRPr="009B5CD9"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2.2</w:t>
            </w:r>
          </w:p>
        </w:tc>
        <w:tc>
          <w:tcPr>
            <w:tcW w:w="1985" w:type="dxa"/>
          </w:tcPr>
          <w:p w14:paraId="1C46F6B4" w14:textId="77777777" w:rsidR="003A491D" w:rsidRPr="009B5CD9"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1.6</w:t>
            </w:r>
          </w:p>
        </w:tc>
        <w:tc>
          <w:tcPr>
            <w:tcW w:w="1985" w:type="dxa"/>
          </w:tcPr>
          <w:p w14:paraId="6973186D" w14:textId="77777777" w:rsidR="003A491D" w:rsidRPr="009B5CD9"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1.4</w:t>
            </w:r>
          </w:p>
        </w:tc>
        <w:tc>
          <w:tcPr>
            <w:tcW w:w="1985" w:type="dxa"/>
          </w:tcPr>
          <w:p w14:paraId="7F7D00E9" w14:textId="77777777" w:rsidR="003A491D" w:rsidRPr="009B5CD9"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1.6</w:t>
            </w:r>
          </w:p>
        </w:tc>
      </w:tr>
      <w:tr w:rsidR="003A491D" w:rsidRPr="00D238D0" w14:paraId="4E2610E8" w14:textId="77777777" w:rsidTr="000A5452">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7D896C9" w14:textId="4C4ECC8B" w:rsidR="003A491D" w:rsidRPr="001D461A" w:rsidRDefault="003A491D" w:rsidP="00897071">
            <w:pPr>
              <w:rPr>
                <w:sz w:val="16"/>
              </w:rPr>
            </w:pPr>
            <w:r w:rsidRPr="00BD67E6">
              <w:rPr>
                <w:rFonts w:cstheme="minorHAnsi"/>
                <w:sz w:val="16"/>
                <w:szCs w:val="16"/>
              </w:rPr>
              <w:t>English</w:t>
            </w:r>
            <w:r>
              <w:rPr>
                <w:rFonts w:cstheme="minorHAnsi"/>
                <w:sz w:val="16"/>
                <w:szCs w:val="16"/>
              </w:rPr>
              <w:t xml:space="preserve"> </w:t>
            </w:r>
            <w:r w:rsidR="005F68A5">
              <w:rPr>
                <w:rFonts w:cstheme="minorHAnsi"/>
                <w:sz w:val="16"/>
                <w:szCs w:val="16"/>
              </w:rPr>
              <w:t>l</w:t>
            </w:r>
            <w:r>
              <w:rPr>
                <w:rFonts w:cstheme="minorHAnsi"/>
                <w:sz w:val="16"/>
                <w:szCs w:val="16"/>
              </w:rPr>
              <w:t>evel</w:t>
            </w:r>
          </w:p>
        </w:tc>
        <w:tc>
          <w:tcPr>
            <w:tcW w:w="1985" w:type="dxa"/>
            <w:noWrap/>
            <w:hideMark/>
          </w:tcPr>
          <w:p w14:paraId="4B1D858B"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46990E52"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hideMark/>
          </w:tcPr>
          <w:p w14:paraId="78C73E0C"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hideMark/>
          </w:tcPr>
          <w:p w14:paraId="0EA43F8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r>
      <w:tr w:rsidR="003A491D" w:rsidRPr="00D238D0" w14:paraId="78F964D5"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5637F95" w14:textId="77777777" w:rsidR="003A491D" w:rsidRPr="006277C3" w:rsidRDefault="003A491D" w:rsidP="00897071">
            <w:pPr>
              <w:jc w:val="right"/>
              <w:rPr>
                <w:b w:val="0"/>
                <w:sz w:val="16"/>
              </w:rPr>
            </w:pPr>
            <w:r w:rsidRPr="00BD67E6">
              <w:rPr>
                <w:rFonts w:cstheme="minorHAnsi"/>
                <w:bCs/>
                <w:sz w:val="16"/>
                <w:szCs w:val="16"/>
              </w:rPr>
              <w:t>Good</w:t>
            </w:r>
          </w:p>
        </w:tc>
        <w:tc>
          <w:tcPr>
            <w:tcW w:w="1985" w:type="dxa"/>
            <w:noWrap/>
          </w:tcPr>
          <w:p w14:paraId="75222ECC"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93.4</w:t>
            </w:r>
          </w:p>
        </w:tc>
        <w:tc>
          <w:tcPr>
            <w:tcW w:w="1985" w:type="dxa"/>
          </w:tcPr>
          <w:p w14:paraId="3B6A46BD"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94.1</w:t>
            </w:r>
          </w:p>
        </w:tc>
        <w:tc>
          <w:tcPr>
            <w:tcW w:w="1985" w:type="dxa"/>
          </w:tcPr>
          <w:p w14:paraId="77289999"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93.1</w:t>
            </w:r>
          </w:p>
        </w:tc>
        <w:tc>
          <w:tcPr>
            <w:tcW w:w="1985" w:type="dxa"/>
          </w:tcPr>
          <w:p w14:paraId="6B9973B9"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92.6</w:t>
            </w:r>
          </w:p>
        </w:tc>
      </w:tr>
      <w:tr w:rsidR="003A491D" w:rsidRPr="00D238D0" w14:paraId="7845C3EE" w14:textId="77777777" w:rsidTr="000A545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29E3D7C" w14:textId="77777777" w:rsidR="003A491D" w:rsidRPr="006277C3" w:rsidRDefault="003A491D" w:rsidP="00897071">
            <w:pPr>
              <w:jc w:val="right"/>
              <w:rPr>
                <w:b w:val="0"/>
                <w:sz w:val="16"/>
              </w:rPr>
            </w:pPr>
            <w:r w:rsidRPr="00BD67E6">
              <w:rPr>
                <w:rFonts w:cstheme="minorHAnsi"/>
                <w:bCs/>
                <w:sz w:val="16"/>
                <w:szCs w:val="16"/>
              </w:rPr>
              <w:t>Poor</w:t>
            </w:r>
          </w:p>
        </w:tc>
        <w:tc>
          <w:tcPr>
            <w:tcW w:w="1985" w:type="dxa"/>
            <w:noWrap/>
            <w:hideMark/>
          </w:tcPr>
          <w:p w14:paraId="5BA98C7F"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4.5</w:t>
            </w:r>
          </w:p>
        </w:tc>
        <w:tc>
          <w:tcPr>
            <w:tcW w:w="1985" w:type="dxa"/>
          </w:tcPr>
          <w:p w14:paraId="127FC4CC"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4.4</w:t>
            </w:r>
          </w:p>
        </w:tc>
        <w:tc>
          <w:tcPr>
            <w:tcW w:w="1985" w:type="dxa"/>
            <w:hideMark/>
          </w:tcPr>
          <w:p w14:paraId="4AAD85B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5.5</w:t>
            </w:r>
          </w:p>
        </w:tc>
        <w:tc>
          <w:tcPr>
            <w:tcW w:w="1985" w:type="dxa"/>
            <w:hideMark/>
          </w:tcPr>
          <w:p w14:paraId="7DEFEC36"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5.9</w:t>
            </w:r>
          </w:p>
        </w:tc>
      </w:tr>
      <w:tr w:rsidR="003A491D" w:rsidRPr="00D238D0" w14:paraId="6CB15148"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77A8C74" w14:textId="77777777" w:rsidR="003A491D" w:rsidRPr="00BD67E6" w:rsidRDefault="003A491D" w:rsidP="00897071">
            <w:pPr>
              <w:jc w:val="right"/>
              <w:rPr>
                <w:rFonts w:cstheme="minorHAnsi"/>
                <w:bCs/>
                <w:sz w:val="16"/>
                <w:szCs w:val="16"/>
              </w:rPr>
            </w:pPr>
            <w:r>
              <w:rPr>
                <w:rFonts w:cstheme="minorHAnsi"/>
                <w:bCs/>
                <w:sz w:val="16"/>
                <w:szCs w:val="16"/>
              </w:rPr>
              <w:t>Unknown</w:t>
            </w:r>
          </w:p>
        </w:tc>
        <w:tc>
          <w:tcPr>
            <w:tcW w:w="1985" w:type="dxa"/>
            <w:noWrap/>
          </w:tcPr>
          <w:p w14:paraId="236B15E2"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2.2</w:t>
            </w:r>
          </w:p>
        </w:tc>
        <w:tc>
          <w:tcPr>
            <w:tcW w:w="1985" w:type="dxa"/>
          </w:tcPr>
          <w:p w14:paraId="5E334D7A"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1.6</w:t>
            </w:r>
          </w:p>
        </w:tc>
        <w:tc>
          <w:tcPr>
            <w:tcW w:w="1985" w:type="dxa"/>
          </w:tcPr>
          <w:p w14:paraId="71301B02"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1.4</w:t>
            </w:r>
          </w:p>
        </w:tc>
        <w:tc>
          <w:tcPr>
            <w:tcW w:w="1985" w:type="dxa"/>
          </w:tcPr>
          <w:p w14:paraId="5D8905D3"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1.6</w:t>
            </w:r>
          </w:p>
        </w:tc>
      </w:tr>
      <w:tr w:rsidR="003A491D" w:rsidRPr="00D238D0" w14:paraId="78FF5459" w14:textId="77777777" w:rsidTr="000A545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9882AFE" w14:textId="77777777" w:rsidR="003A491D" w:rsidRPr="001D461A" w:rsidRDefault="003A491D" w:rsidP="00897071">
            <w:pPr>
              <w:rPr>
                <w:sz w:val="16"/>
              </w:rPr>
            </w:pPr>
            <w:r w:rsidRPr="0092203E">
              <w:rPr>
                <w:rFonts w:cstheme="minorHAnsi"/>
                <w:sz w:val="16"/>
                <w:szCs w:val="16"/>
              </w:rPr>
              <w:t>Residence</w:t>
            </w:r>
          </w:p>
        </w:tc>
        <w:tc>
          <w:tcPr>
            <w:tcW w:w="1985" w:type="dxa"/>
            <w:noWrap/>
            <w:hideMark/>
          </w:tcPr>
          <w:p w14:paraId="27E64B96"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48EE6FE4"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hideMark/>
          </w:tcPr>
          <w:p w14:paraId="7E4752B8"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hideMark/>
          </w:tcPr>
          <w:p w14:paraId="113D5555"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r>
      <w:tr w:rsidR="003A491D" w:rsidRPr="00D238D0" w14:paraId="02EEFAB8"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653DC8E" w14:textId="77777777" w:rsidR="003A491D" w:rsidRPr="006277C3" w:rsidRDefault="003A491D" w:rsidP="00897071">
            <w:pPr>
              <w:jc w:val="right"/>
              <w:rPr>
                <w:b w:val="0"/>
                <w:sz w:val="16"/>
              </w:rPr>
            </w:pPr>
            <w:r w:rsidRPr="00BD67E6">
              <w:rPr>
                <w:rFonts w:cstheme="minorHAnsi"/>
                <w:bCs/>
                <w:sz w:val="16"/>
                <w:szCs w:val="16"/>
              </w:rPr>
              <w:t>Stable</w:t>
            </w:r>
          </w:p>
        </w:tc>
        <w:tc>
          <w:tcPr>
            <w:tcW w:w="1985" w:type="dxa"/>
            <w:noWrap/>
            <w:hideMark/>
          </w:tcPr>
          <w:p w14:paraId="0A41281A"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88.3</w:t>
            </w:r>
          </w:p>
        </w:tc>
        <w:tc>
          <w:tcPr>
            <w:tcW w:w="1985" w:type="dxa"/>
          </w:tcPr>
          <w:p w14:paraId="00AC324F"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88.9</w:t>
            </w:r>
          </w:p>
        </w:tc>
        <w:tc>
          <w:tcPr>
            <w:tcW w:w="1985" w:type="dxa"/>
            <w:hideMark/>
          </w:tcPr>
          <w:p w14:paraId="6912B167"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87.6</w:t>
            </w:r>
          </w:p>
        </w:tc>
        <w:tc>
          <w:tcPr>
            <w:tcW w:w="1985" w:type="dxa"/>
            <w:hideMark/>
          </w:tcPr>
          <w:p w14:paraId="0D2C98CF"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87.1</w:t>
            </w:r>
          </w:p>
        </w:tc>
      </w:tr>
      <w:tr w:rsidR="003A491D" w:rsidRPr="00D238D0" w14:paraId="5FF6DC16" w14:textId="77777777" w:rsidTr="000A545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5151D31" w14:textId="77777777" w:rsidR="003A491D" w:rsidRPr="006277C3" w:rsidRDefault="003A491D" w:rsidP="00897071">
            <w:pPr>
              <w:jc w:val="right"/>
              <w:rPr>
                <w:b w:val="0"/>
                <w:sz w:val="16"/>
              </w:rPr>
            </w:pPr>
            <w:r w:rsidRPr="00BD67E6">
              <w:rPr>
                <w:rFonts w:cstheme="minorHAnsi"/>
                <w:bCs/>
                <w:sz w:val="16"/>
                <w:szCs w:val="16"/>
              </w:rPr>
              <w:t>Unstable</w:t>
            </w:r>
          </w:p>
        </w:tc>
        <w:tc>
          <w:tcPr>
            <w:tcW w:w="1985" w:type="dxa"/>
            <w:noWrap/>
            <w:hideMark/>
          </w:tcPr>
          <w:p w14:paraId="360DAB0F"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9.6</w:t>
            </w:r>
          </w:p>
        </w:tc>
        <w:tc>
          <w:tcPr>
            <w:tcW w:w="1985" w:type="dxa"/>
          </w:tcPr>
          <w:p w14:paraId="45682927"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9.5</w:t>
            </w:r>
          </w:p>
        </w:tc>
        <w:tc>
          <w:tcPr>
            <w:tcW w:w="1985" w:type="dxa"/>
            <w:hideMark/>
          </w:tcPr>
          <w:p w14:paraId="47FF9AAE"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11</w:t>
            </w:r>
          </w:p>
        </w:tc>
        <w:tc>
          <w:tcPr>
            <w:tcW w:w="1985" w:type="dxa"/>
            <w:hideMark/>
          </w:tcPr>
          <w:p w14:paraId="33DDD310"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11.3</w:t>
            </w:r>
          </w:p>
        </w:tc>
      </w:tr>
      <w:tr w:rsidR="003A491D" w:rsidRPr="00D238D0" w14:paraId="44AC68DA"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1C661894" w14:textId="77777777" w:rsidR="003A491D" w:rsidRPr="00BD67E6" w:rsidRDefault="003A491D" w:rsidP="00897071">
            <w:pPr>
              <w:jc w:val="right"/>
              <w:rPr>
                <w:rFonts w:cstheme="minorHAnsi"/>
                <w:bCs/>
                <w:sz w:val="16"/>
                <w:szCs w:val="16"/>
              </w:rPr>
            </w:pPr>
            <w:r>
              <w:rPr>
                <w:rFonts w:cstheme="minorHAnsi"/>
                <w:bCs/>
                <w:sz w:val="16"/>
                <w:szCs w:val="16"/>
              </w:rPr>
              <w:t>Unknown</w:t>
            </w:r>
          </w:p>
        </w:tc>
        <w:tc>
          <w:tcPr>
            <w:tcW w:w="1985" w:type="dxa"/>
            <w:noWrap/>
          </w:tcPr>
          <w:p w14:paraId="13C99E6A"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2.2</w:t>
            </w:r>
          </w:p>
        </w:tc>
        <w:tc>
          <w:tcPr>
            <w:tcW w:w="1985" w:type="dxa"/>
          </w:tcPr>
          <w:p w14:paraId="38CF0846"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1.6</w:t>
            </w:r>
          </w:p>
        </w:tc>
        <w:tc>
          <w:tcPr>
            <w:tcW w:w="1985" w:type="dxa"/>
          </w:tcPr>
          <w:p w14:paraId="797D2F02"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1.4</w:t>
            </w:r>
          </w:p>
        </w:tc>
        <w:tc>
          <w:tcPr>
            <w:tcW w:w="1985" w:type="dxa"/>
          </w:tcPr>
          <w:p w14:paraId="528147CD"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1.6</w:t>
            </w:r>
          </w:p>
        </w:tc>
      </w:tr>
      <w:tr w:rsidR="003A491D" w:rsidRPr="00D238D0" w14:paraId="31879CB7"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53F43D2" w14:textId="0609D953" w:rsidR="003A491D" w:rsidRPr="001D461A" w:rsidRDefault="003A491D" w:rsidP="00897071">
            <w:pPr>
              <w:rPr>
                <w:sz w:val="16"/>
              </w:rPr>
            </w:pPr>
            <w:r w:rsidRPr="00BD67E6">
              <w:rPr>
                <w:rFonts w:cstheme="minorHAnsi"/>
                <w:sz w:val="16"/>
                <w:szCs w:val="16"/>
              </w:rPr>
              <w:t xml:space="preserve">Personal </w:t>
            </w:r>
            <w:r w:rsidR="005F68A5">
              <w:rPr>
                <w:rFonts w:cstheme="minorHAnsi"/>
                <w:sz w:val="16"/>
                <w:szCs w:val="16"/>
              </w:rPr>
              <w:t>f</w:t>
            </w:r>
            <w:r w:rsidRPr="00BD67E6">
              <w:rPr>
                <w:rFonts w:cstheme="minorHAnsi"/>
                <w:sz w:val="16"/>
                <w:szCs w:val="16"/>
              </w:rPr>
              <w:t>actors</w:t>
            </w:r>
          </w:p>
        </w:tc>
        <w:tc>
          <w:tcPr>
            <w:tcW w:w="1985" w:type="dxa"/>
            <w:noWrap/>
          </w:tcPr>
          <w:p w14:paraId="071993DA"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7B49CD63"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59593BD6"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4F5957BC"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r>
      <w:tr w:rsidR="003A491D" w:rsidRPr="00D238D0" w14:paraId="7264EB8C"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3A93F504" w14:textId="77777777" w:rsidR="003A491D" w:rsidRPr="006277C3" w:rsidRDefault="003A491D" w:rsidP="00897071">
            <w:pPr>
              <w:jc w:val="right"/>
              <w:rPr>
                <w:b w:val="0"/>
                <w:sz w:val="16"/>
              </w:rPr>
            </w:pPr>
            <w:r w:rsidRPr="00BD67E6">
              <w:rPr>
                <w:rFonts w:cstheme="minorHAnsi"/>
                <w:bCs/>
                <w:sz w:val="16"/>
                <w:szCs w:val="16"/>
              </w:rPr>
              <w:t>No impact</w:t>
            </w:r>
          </w:p>
        </w:tc>
        <w:tc>
          <w:tcPr>
            <w:tcW w:w="1985" w:type="dxa"/>
            <w:noWrap/>
          </w:tcPr>
          <w:p w14:paraId="592B80CE"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92.9</w:t>
            </w:r>
          </w:p>
        </w:tc>
        <w:tc>
          <w:tcPr>
            <w:tcW w:w="1985" w:type="dxa"/>
          </w:tcPr>
          <w:p w14:paraId="74F93D51"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93.2</w:t>
            </w:r>
          </w:p>
        </w:tc>
        <w:tc>
          <w:tcPr>
            <w:tcW w:w="1985" w:type="dxa"/>
          </w:tcPr>
          <w:p w14:paraId="18B24E81"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92.1</w:t>
            </w:r>
          </w:p>
        </w:tc>
        <w:tc>
          <w:tcPr>
            <w:tcW w:w="1985" w:type="dxa"/>
          </w:tcPr>
          <w:p w14:paraId="0B7A6AEE"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91.8</w:t>
            </w:r>
          </w:p>
        </w:tc>
      </w:tr>
      <w:tr w:rsidR="003A491D" w:rsidRPr="00D238D0" w14:paraId="718115FE"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4AD57D1" w14:textId="77777777" w:rsidR="003A491D" w:rsidRPr="006277C3" w:rsidRDefault="003A491D" w:rsidP="00897071">
            <w:pPr>
              <w:jc w:val="right"/>
              <w:rPr>
                <w:b w:val="0"/>
                <w:sz w:val="16"/>
              </w:rPr>
            </w:pPr>
            <w:r w:rsidRPr="00BD67E6">
              <w:rPr>
                <w:rFonts w:cstheme="minorHAnsi"/>
                <w:bCs/>
                <w:sz w:val="16"/>
                <w:szCs w:val="16"/>
              </w:rPr>
              <w:t>Some impact</w:t>
            </w:r>
          </w:p>
        </w:tc>
        <w:tc>
          <w:tcPr>
            <w:tcW w:w="1985" w:type="dxa"/>
            <w:noWrap/>
          </w:tcPr>
          <w:p w14:paraId="290EAD71"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5</w:t>
            </w:r>
          </w:p>
        </w:tc>
        <w:tc>
          <w:tcPr>
            <w:tcW w:w="1985" w:type="dxa"/>
          </w:tcPr>
          <w:p w14:paraId="33208A97"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5.3</w:t>
            </w:r>
          </w:p>
        </w:tc>
        <w:tc>
          <w:tcPr>
            <w:tcW w:w="1985" w:type="dxa"/>
          </w:tcPr>
          <w:p w14:paraId="027181B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6.6</w:t>
            </w:r>
          </w:p>
        </w:tc>
        <w:tc>
          <w:tcPr>
            <w:tcW w:w="1985" w:type="dxa"/>
          </w:tcPr>
          <w:p w14:paraId="578A58E4"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6.6</w:t>
            </w:r>
          </w:p>
        </w:tc>
      </w:tr>
      <w:tr w:rsidR="003A491D" w:rsidRPr="00D238D0" w14:paraId="2705D7CF"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0035A917" w14:textId="77777777" w:rsidR="003A491D" w:rsidRPr="00BD67E6" w:rsidRDefault="003A491D" w:rsidP="00897071">
            <w:pPr>
              <w:jc w:val="right"/>
              <w:rPr>
                <w:rFonts w:cstheme="minorHAnsi"/>
                <w:bCs/>
                <w:sz w:val="16"/>
                <w:szCs w:val="16"/>
              </w:rPr>
            </w:pPr>
            <w:r>
              <w:rPr>
                <w:rFonts w:cstheme="minorHAnsi"/>
                <w:bCs/>
                <w:sz w:val="16"/>
                <w:szCs w:val="16"/>
              </w:rPr>
              <w:t>Unknown</w:t>
            </w:r>
          </w:p>
        </w:tc>
        <w:tc>
          <w:tcPr>
            <w:tcW w:w="1985" w:type="dxa"/>
            <w:noWrap/>
          </w:tcPr>
          <w:p w14:paraId="25A4758E"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2.2</w:t>
            </w:r>
          </w:p>
        </w:tc>
        <w:tc>
          <w:tcPr>
            <w:tcW w:w="1985" w:type="dxa"/>
          </w:tcPr>
          <w:p w14:paraId="313E83C8"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1.6</w:t>
            </w:r>
          </w:p>
        </w:tc>
        <w:tc>
          <w:tcPr>
            <w:tcW w:w="1985" w:type="dxa"/>
          </w:tcPr>
          <w:p w14:paraId="4652648D"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1.4</w:t>
            </w:r>
          </w:p>
        </w:tc>
        <w:tc>
          <w:tcPr>
            <w:tcW w:w="1985" w:type="dxa"/>
          </w:tcPr>
          <w:p w14:paraId="61E84758"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9B5CD9">
              <w:rPr>
                <w:sz w:val="16"/>
                <w:szCs w:val="16"/>
              </w:rPr>
              <w:t>1.6</w:t>
            </w:r>
          </w:p>
        </w:tc>
      </w:tr>
      <w:tr w:rsidR="003A491D" w:rsidRPr="00D238D0" w14:paraId="771606A3"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634D5B3" w14:textId="1912A288" w:rsidR="003A491D" w:rsidRDefault="003A491D" w:rsidP="00897071">
            <w:pPr>
              <w:rPr>
                <w:rFonts w:cstheme="minorHAnsi"/>
                <w:bCs/>
                <w:sz w:val="16"/>
                <w:szCs w:val="16"/>
              </w:rPr>
            </w:pPr>
            <w:r>
              <w:rPr>
                <w:rFonts w:cs="Arial"/>
                <w:sz w:val="16"/>
                <w:szCs w:val="16"/>
              </w:rPr>
              <w:t xml:space="preserve">Income </w:t>
            </w:r>
            <w:r w:rsidR="005F68A5">
              <w:rPr>
                <w:rFonts w:cs="Arial"/>
                <w:sz w:val="16"/>
                <w:szCs w:val="16"/>
              </w:rPr>
              <w:t>s</w:t>
            </w:r>
            <w:r>
              <w:rPr>
                <w:rFonts w:cs="Arial"/>
                <w:sz w:val="16"/>
                <w:szCs w:val="16"/>
              </w:rPr>
              <w:t xml:space="preserve">upport </w:t>
            </w:r>
            <w:r w:rsidR="005F68A5">
              <w:rPr>
                <w:rFonts w:cs="Arial"/>
                <w:sz w:val="16"/>
                <w:szCs w:val="16"/>
              </w:rPr>
              <w:t>h</w:t>
            </w:r>
            <w:r>
              <w:rPr>
                <w:rFonts w:cs="Arial"/>
                <w:sz w:val="16"/>
                <w:szCs w:val="16"/>
              </w:rPr>
              <w:t>istory</w:t>
            </w:r>
          </w:p>
        </w:tc>
        <w:tc>
          <w:tcPr>
            <w:tcW w:w="1985" w:type="dxa"/>
            <w:noWrap/>
          </w:tcPr>
          <w:p w14:paraId="53F70207" w14:textId="77777777" w:rsidR="003A491D" w:rsidRPr="009B5CD9"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1985" w:type="dxa"/>
          </w:tcPr>
          <w:p w14:paraId="4615A3C1" w14:textId="77777777" w:rsidR="003A491D" w:rsidRPr="009B5CD9"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1985" w:type="dxa"/>
          </w:tcPr>
          <w:p w14:paraId="4737FB74" w14:textId="77777777" w:rsidR="003A491D" w:rsidRPr="009B5CD9"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1985" w:type="dxa"/>
          </w:tcPr>
          <w:p w14:paraId="49B670E6" w14:textId="77777777" w:rsidR="003A491D" w:rsidRPr="009B5CD9"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003A491D" w:rsidRPr="00D238D0" w14:paraId="0B40C5ED"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3098850" w14:textId="7AF207D4" w:rsidR="003A491D" w:rsidRDefault="003A491D" w:rsidP="00897071">
            <w:pPr>
              <w:jc w:val="right"/>
              <w:rPr>
                <w:rFonts w:cstheme="minorHAnsi"/>
                <w:bCs/>
                <w:sz w:val="16"/>
                <w:szCs w:val="16"/>
              </w:rPr>
            </w:pPr>
            <w:r>
              <w:rPr>
                <w:rFonts w:cs="Arial"/>
                <w:sz w:val="16"/>
                <w:szCs w:val="16"/>
              </w:rPr>
              <w:t xml:space="preserve">More than </w:t>
            </w:r>
            <w:r w:rsidR="005F68A5">
              <w:rPr>
                <w:rFonts w:cs="Arial"/>
                <w:sz w:val="16"/>
                <w:szCs w:val="16"/>
              </w:rPr>
              <w:t>o</w:t>
            </w:r>
            <w:r>
              <w:rPr>
                <w:rFonts w:cs="Arial"/>
                <w:sz w:val="16"/>
                <w:szCs w:val="16"/>
              </w:rPr>
              <w:t>nce</w:t>
            </w:r>
          </w:p>
        </w:tc>
        <w:tc>
          <w:tcPr>
            <w:tcW w:w="1985" w:type="dxa"/>
            <w:noWrap/>
          </w:tcPr>
          <w:p w14:paraId="3FBF2A85" w14:textId="77777777" w:rsidR="003A491D" w:rsidRPr="00A76497"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A76497">
              <w:rPr>
                <w:sz w:val="16"/>
                <w:szCs w:val="16"/>
              </w:rPr>
              <w:t>15.9</w:t>
            </w:r>
          </w:p>
        </w:tc>
        <w:tc>
          <w:tcPr>
            <w:tcW w:w="1985" w:type="dxa"/>
          </w:tcPr>
          <w:p w14:paraId="23CF18C5" w14:textId="77777777" w:rsidR="003A491D" w:rsidRPr="00A76497"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A76497">
              <w:rPr>
                <w:sz w:val="16"/>
                <w:szCs w:val="16"/>
              </w:rPr>
              <w:t>16.4</w:t>
            </w:r>
          </w:p>
        </w:tc>
        <w:tc>
          <w:tcPr>
            <w:tcW w:w="1985" w:type="dxa"/>
          </w:tcPr>
          <w:p w14:paraId="5AF5F8FC" w14:textId="77777777" w:rsidR="003A491D" w:rsidRPr="00A76497"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A76497">
              <w:rPr>
                <w:sz w:val="16"/>
                <w:szCs w:val="16"/>
              </w:rPr>
              <w:t>21.5</w:t>
            </w:r>
          </w:p>
        </w:tc>
        <w:tc>
          <w:tcPr>
            <w:tcW w:w="1985" w:type="dxa"/>
          </w:tcPr>
          <w:p w14:paraId="295DB6F6" w14:textId="77777777" w:rsidR="003A491D" w:rsidRPr="00A76497"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A76497">
              <w:rPr>
                <w:sz w:val="16"/>
                <w:szCs w:val="16"/>
              </w:rPr>
              <w:t>20.6</w:t>
            </w:r>
          </w:p>
        </w:tc>
      </w:tr>
      <w:tr w:rsidR="003A491D" w:rsidRPr="00D238D0" w14:paraId="5E62CAE9"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4EF5BE4F" w14:textId="77777777" w:rsidR="003A491D" w:rsidRDefault="003A491D" w:rsidP="00897071">
            <w:pPr>
              <w:jc w:val="right"/>
              <w:rPr>
                <w:rFonts w:cstheme="minorHAnsi"/>
                <w:bCs/>
                <w:sz w:val="16"/>
                <w:szCs w:val="16"/>
              </w:rPr>
            </w:pPr>
            <w:r>
              <w:rPr>
                <w:rFonts w:cs="Arial"/>
                <w:sz w:val="16"/>
                <w:szCs w:val="16"/>
              </w:rPr>
              <w:t>Others</w:t>
            </w:r>
          </w:p>
        </w:tc>
        <w:tc>
          <w:tcPr>
            <w:tcW w:w="1985" w:type="dxa"/>
            <w:noWrap/>
          </w:tcPr>
          <w:p w14:paraId="4492B2CB" w14:textId="77777777" w:rsidR="003A491D" w:rsidRPr="00A76497"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A76497">
              <w:rPr>
                <w:sz w:val="16"/>
                <w:szCs w:val="16"/>
              </w:rPr>
              <w:t>82</w:t>
            </w:r>
          </w:p>
        </w:tc>
        <w:tc>
          <w:tcPr>
            <w:tcW w:w="1985" w:type="dxa"/>
          </w:tcPr>
          <w:p w14:paraId="4AE1E445" w14:textId="77777777" w:rsidR="003A491D" w:rsidRPr="00A76497"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A76497">
              <w:rPr>
                <w:sz w:val="16"/>
                <w:szCs w:val="16"/>
              </w:rPr>
              <w:t>82.1</w:t>
            </w:r>
          </w:p>
        </w:tc>
        <w:tc>
          <w:tcPr>
            <w:tcW w:w="1985" w:type="dxa"/>
          </w:tcPr>
          <w:p w14:paraId="56FF12B1" w14:textId="77777777" w:rsidR="003A491D" w:rsidRPr="00A76497"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A76497">
              <w:rPr>
                <w:sz w:val="16"/>
                <w:szCs w:val="16"/>
              </w:rPr>
              <w:t>77.1</w:t>
            </w:r>
          </w:p>
        </w:tc>
        <w:tc>
          <w:tcPr>
            <w:tcW w:w="1985" w:type="dxa"/>
          </w:tcPr>
          <w:p w14:paraId="127CF229" w14:textId="77777777" w:rsidR="003A491D" w:rsidRPr="00A76497"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A76497">
              <w:rPr>
                <w:sz w:val="16"/>
                <w:szCs w:val="16"/>
              </w:rPr>
              <w:t>77.9</w:t>
            </w:r>
          </w:p>
        </w:tc>
      </w:tr>
      <w:tr w:rsidR="003A491D" w:rsidRPr="00D238D0" w14:paraId="2000A501"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0F0F3972" w14:textId="77777777" w:rsidR="003A491D" w:rsidRDefault="003A491D" w:rsidP="00897071">
            <w:pPr>
              <w:jc w:val="right"/>
              <w:rPr>
                <w:rFonts w:cstheme="minorHAnsi"/>
                <w:bCs/>
                <w:sz w:val="16"/>
                <w:szCs w:val="16"/>
              </w:rPr>
            </w:pPr>
            <w:r>
              <w:rPr>
                <w:rFonts w:cs="Arial"/>
                <w:sz w:val="16"/>
                <w:szCs w:val="16"/>
              </w:rPr>
              <w:t>Unknown</w:t>
            </w:r>
          </w:p>
        </w:tc>
        <w:tc>
          <w:tcPr>
            <w:tcW w:w="1985" w:type="dxa"/>
            <w:noWrap/>
          </w:tcPr>
          <w:p w14:paraId="561B7400" w14:textId="77777777" w:rsidR="003A491D" w:rsidRPr="00A76497"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A76497">
              <w:rPr>
                <w:sz w:val="16"/>
                <w:szCs w:val="16"/>
              </w:rPr>
              <w:t>2.2</w:t>
            </w:r>
          </w:p>
        </w:tc>
        <w:tc>
          <w:tcPr>
            <w:tcW w:w="1985" w:type="dxa"/>
          </w:tcPr>
          <w:p w14:paraId="763DF691" w14:textId="77777777" w:rsidR="003A491D" w:rsidRPr="00A76497"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A76497">
              <w:rPr>
                <w:sz w:val="16"/>
                <w:szCs w:val="16"/>
              </w:rPr>
              <w:t>1.6</w:t>
            </w:r>
          </w:p>
        </w:tc>
        <w:tc>
          <w:tcPr>
            <w:tcW w:w="1985" w:type="dxa"/>
          </w:tcPr>
          <w:p w14:paraId="42291F52" w14:textId="77777777" w:rsidR="003A491D" w:rsidRPr="00A76497"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A76497">
              <w:rPr>
                <w:sz w:val="16"/>
                <w:szCs w:val="16"/>
              </w:rPr>
              <w:t>1.4</w:t>
            </w:r>
          </w:p>
        </w:tc>
        <w:tc>
          <w:tcPr>
            <w:tcW w:w="1985" w:type="dxa"/>
          </w:tcPr>
          <w:p w14:paraId="3EA3765D" w14:textId="77777777" w:rsidR="003A491D" w:rsidRPr="00A76497"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A76497">
              <w:rPr>
                <w:sz w:val="16"/>
                <w:szCs w:val="16"/>
              </w:rPr>
              <w:t>1.6</w:t>
            </w:r>
          </w:p>
        </w:tc>
      </w:tr>
      <w:tr w:rsidR="003A491D" w:rsidRPr="00D238D0" w14:paraId="165F2178" w14:textId="77777777" w:rsidTr="000A545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3C6DB53" w14:textId="32235AB6" w:rsidR="003A491D" w:rsidRPr="001D461A" w:rsidRDefault="003A491D" w:rsidP="00897071">
            <w:pPr>
              <w:rPr>
                <w:sz w:val="16"/>
              </w:rPr>
            </w:pPr>
            <w:r w:rsidRPr="00BD67E6">
              <w:rPr>
                <w:rFonts w:cstheme="minorHAnsi"/>
                <w:sz w:val="16"/>
                <w:szCs w:val="16"/>
              </w:rPr>
              <w:lastRenderedPageBreak/>
              <w:t xml:space="preserve">TtW </w:t>
            </w:r>
            <w:r w:rsidR="005F68A5">
              <w:rPr>
                <w:rFonts w:cstheme="minorHAnsi"/>
                <w:sz w:val="16"/>
                <w:szCs w:val="16"/>
              </w:rPr>
              <w:t>g</w:t>
            </w:r>
            <w:r w:rsidRPr="00BD67E6">
              <w:rPr>
                <w:rFonts w:cstheme="minorHAnsi"/>
                <w:sz w:val="16"/>
                <w:szCs w:val="16"/>
              </w:rPr>
              <w:t>roup</w:t>
            </w:r>
          </w:p>
        </w:tc>
        <w:tc>
          <w:tcPr>
            <w:tcW w:w="1985" w:type="dxa"/>
            <w:noWrap/>
            <w:hideMark/>
          </w:tcPr>
          <w:p w14:paraId="0ED8CF54"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2E968AA1"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60511668"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21D57E68"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r>
      <w:tr w:rsidR="003A491D" w:rsidRPr="00D238D0" w14:paraId="5FC3F51D"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A93A939" w14:textId="77777777" w:rsidR="003A491D" w:rsidRPr="006277C3" w:rsidRDefault="003A491D" w:rsidP="00897071">
            <w:pPr>
              <w:jc w:val="right"/>
              <w:rPr>
                <w:b w:val="0"/>
                <w:sz w:val="16"/>
              </w:rPr>
            </w:pPr>
            <w:r w:rsidRPr="00BD67E6">
              <w:rPr>
                <w:rFonts w:cstheme="minorHAnsi"/>
                <w:bCs/>
                <w:sz w:val="16"/>
                <w:szCs w:val="16"/>
              </w:rPr>
              <w:t>Group 1</w:t>
            </w:r>
          </w:p>
        </w:tc>
        <w:tc>
          <w:tcPr>
            <w:tcW w:w="1985" w:type="dxa"/>
            <w:noWrap/>
            <w:hideMark/>
          </w:tcPr>
          <w:p w14:paraId="6DCFC51F"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80.2</w:t>
            </w:r>
          </w:p>
        </w:tc>
        <w:tc>
          <w:tcPr>
            <w:tcW w:w="1985" w:type="dxa"/>
          </w:tcPr>
          <w:p w14:paraId="56CA3929"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80.9</w:t>
            </w:r>
          </w:p>
        </w:tc>
        <w:tc>
          <w:tcPr>
            <w:tcW w:w="1985" w:type="dxa"/>
            <w:hideMark/>
          </w:tcPr>
          <w:p w14:paraId="26FFC053"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85.7</w:t>
            </w:r>
          </w:p>
        </w:tc>
        <w:tc>
          <w:tcPr>
            <w:tcW w:w="1985" w:type="dxa"/>
            <w:hideMark/>
          </w:tcPr>
          <w:p w14:paraId="3C81EF3E"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84.6</w:t>
            </w:r>
          </w:p>
        </w:tc>
      </w:tr>
      <w:tr w:rsidR="003A491D" w:rsidRPr="00D238D0" w14:paraId="75208BE5" w14:textId="77777777" w:rsidTr="000A545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B9F4055" w14:textId="77777777" w:rsidR="003A491D" w:rsidRPr="006277C3" w:rsidRDefault="003A491D" w:rsidP="00897071">
            <w:pPr>
              <w:jc w:val="right"/>
              <w:rPr>
                <w:b w:val="0"/>
                <w:sz w:val="16"/>
              </w:rPr>
            </w:pPr>
            <w:r w:rsidRPr="00BD67E6">
              <w:rPr>
                <w:rFonts w:cstheme="minorHAnsi"/>
                <w:bCs/>
                <w:sz w:val="16"/>
                <w:szCs w:val="16"/>
              </w:rPr>
              <w:t>Group 2</w:t>
            </w:r>
          </w:p>
        </w:tc>
        <w:tc>
          <w:tcPr>
            <w:tcW w:w="1985" w:type="dxa"/>
            <w:noWrap/>
            <w:hideMark/>
          </w:tcPr>
          <w:p w14:paraId="2774052D"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18.6</w:t>
            </w:r>
          </w:p>
        </w:tc>
        <w:tc>
          <w:tcPr>
            <w:tcW w:w="1985" w:type="dxa"/>
          </w:tcPr>
          <w:p w14:paraId="28F75269"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17.8</w:t>
            </w:r>
          </w:p>
        </w:tc>
        <w:tc>
          <w:tcPr>
            <w:tcW w:w="1985" w:type="dxa"/>
            <w:hideMark/>
          </w:tcPr>
          <w:p w14:paraId="33214F6D"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13</w:t>
            </w:r>
          </w:p>
        </w:tc>
        <w:tc>
          <w:tcPr>
            <w:tcW w:w="1985" w:type="dxa"/>
            <w:hideMark/>
          </w:tcPr>
          <w:p w14:paraId="1FF0D4CD"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14</w:t>
            </w:r>
          </w:p>
        </w:tc>
      </w:tr>
      <w:tr w:rsidR="003A491D" w:rsidRPr="00D238D0" w14:paraId="236147E7"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CA3BEB5" w14:textId="77777777" w:rsidR="003A491D" w:rsidRPr="006277C3" w:rsidRDefault="003A491D" w:rsidP="00897071">
            <w:pPr>
              <w:jc w:val="right"/>
              <w:rPr>
                <w:b w:val="0"/>
                <w:sz w:val="16"/>
              </w:rPr>
            </w:pPr>
            <w:r w:rsidRPr="00BD67E6">
              <w:rPr>
                <w:rFonts w:cstheme="minorHAnsi"/>
                <w:bCs/>
                <w:sz w:val="16"/>
                <w:szCs w:val="16"/>
              </w:rPr>
              <w:t>Group 3</w:t>
            </w:r>
          </w:p>
        </w:tc>
        <w:tc>
          <w:tcPr>
            <w:tcW w:w="1985" w:type="dxa"/>
            <w:noWrap/>
            <w:hideMark/>
          </w:tcPr>
          <w:p w14:paraId="30D822F6"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1.2</w:t>
            </w:r>
          </w:p>
        </w:tc>
        <w:tc>
          <w:tcPr>
            <w:tcW w:w="1985" w:type="dxa"/>
          </w:tcPr>
          <w:p w14:paraId="6EC1FEEC"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1.2</w:t>
            </w:r>
          </w:p>
        </w:tc>
        <w:tc>
          <w:tcPr>
            <w:tcW w:w="1985" w:type="dxa"/>
            <w:hideMark/>
          </w:tcPr>
          <w:p w14:paraId="235D8F7C"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1.3</w:t>
            </w:r>
          </w:p>
        </w:tc>
        <w:tc>
          <w:tcPr>
            <w:tcW w:w="1985" w:type="dxa"/>
            <w:hideMark/>
          </w:tcPr>
          <w:p w14:paraId="57564350"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1.3</w:t>
            </w:r>
          </w:p>
        </w:tc>
      </w:tr>
      <w:tr w:rsidR="003A491D" w:rsidRPr="00D238D0" w14:paraId="57BFA979"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66103BB6" w14:textId="77777777" w:rsidR="003A491D" w:rsidRPr="001D461A" w:rsidRDefault="003A491D" w:rsidP="00897071">
            <w:pPr>
              <w:rPr>
                <w:sz w:val="16"/>
              </w:rPr>
            </w:pPr>
            <w:r w:rsidRPr="00BD67E6">
              <w:rPr>
                <w:rFonts w:cstheme="minorHAnsi"/>
                <w:sz w:val="16"/>
                <w:szCs w:val="16"/>
              </w:rPr>
              <w:t>Locality type</w:t>
            </w:r>
          </w:p>
        </w:tc>
        <w:tc>
          <w:tcPr>
            <w:tcW w:w="1985" w:type="dxa"/>
            <w:noWrap/>
          </w:tcPr>
          <w:p w14:paraId="17CFAA4F"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14C54F7A"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7086A654"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c>
          <w:tcPr>
            <w:tcW w:w="1985" w:type="dxa"/>
          </w:tcPr>
          <w:p w14:paraId="78A7C864"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p>
        </w:tc>
      </w:tr>
      <w:tr w:rsidR="003A491D" w:rsidRPr="00D238D0" w14:paraId="51A066A0"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6ED57E9D" w14:textId="115BB3FD" w:rsidR="003A491D" w:rsidRPr="006277C3" w:rsidRDefault="003A491D" w:rsidP="00897071">
            <w:pPr>
              <w:jc w:val="right"/>
              <w:rPr>
                <w:b w:val="0"/>
                <w:sz w:val="16"/>
              </w:rPr>
            </w:pPr>
            <w:r w:rsidRPr="00BD67E6">
              <w:rPr>
                <w:rFonts w:cstheme="minorHAnsi"/>
                <w:bCs/>
                <w:sz w:val="16"/>
                <w:szCs w:val="16"/>
              </w:rPr>
              <w:t xml:space="preserve">Major </w:t>
            </w:r>
            <w:r w:rsidR="00CF582C">
              <w:rPr>
                <w:rFonts w:cstheme="minorHAnsi"/>
                <w:bCs/>
                <w:sz w:val="16"/>
                <w:szCs w:val="16"/>
              </w:rPr>
              <w:t>C</w:t>
            </w:r>
            <w:r w:rsidRPr="00BD67E6">
              <w:rPr>
                <w:rFonts w:cstheme="minorHAnsi"/>
                <w:bCs/>
                <w:sz w:val="16"/>
                <w:szCs w:val="16"/>
              </w:rPr>
              <w:t>ity/Inner Regional</w:t>
            </w:r>
          </w:p>
        </w:tc>
        <w:tc>
          <w:tcPr>
            <w:tcW w:w="1985" w:type="dxa"/>
            <w:noWrap/>
          </w:tcPr>
          <w:p w14:paraId="0F675050"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82.7</w:t>
            </w:r>
          </w:p>
        </w:tc>
        <w:tc>
          <w:tcPr>
            <w:tcW w:w="1985" w:type="dxa"/>
          </w:tcPr>
          <w:p w14:paraId="0980C989"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82.3</w:t>
            </w:r>
          </w:p>
        </w:tc>
        <w:tc>
          <w:tcPr>
            <w:tcW w:w="1985" w:type="dxa"/>
          </w:tcPr>
          <w:p w14:paraId="2CC03049"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83.6</w:t>
            </w:r>
          </w:p>
        </w:tc>
        <w:tc>
          <w:tcPr>
            <w:tcW w:w="1985" w:type="dxa"/>
          </w:tcPr>
          <w:p w14:paraId="64093E1A"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r w:rsidRPr="00BD67E6">
              <w:rPr>
                <w:rFonts w:cstheme="minorHAnsi"/>
                <w:sz w:val="16"/>
                <w:szCs w:val="16"/>
              </w:rPr>
              <w:t>83.7</w:t>
            </w:r>
          </w:p>
        </w:tc>
      </w:tr>
      <w:tr w:rsidR="003A491D" w:rsidRPr="00D238D0" w14:paraId="7AC4212E"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118DF9A5" w14:textId="0614A969" w:rsidR="003A491D" w:rsidRPr="006277C3" w:rsidRDefault="003A491D" w:rsidP="00897071">
            <w:pPr>
              <w:jc w:val="right"/>
              <w:rPr>
                <w:b w:val="0"/>
                <w:sz w:val="16"/>
              </w:rPr>
            </w:pPr>
            <w:r w:rsidRPr="00BD67E6">
              <w:rPr>
                <w:rFonts w:cstheme="minorHAnsi"/>
                <w:bCs/>
                <w:sz w:val="16"/>
                <w:szCs w:val="16"/>
              </w:rPr>
              <w:t xml:space="preserve">Outer Regional/ Remote/Very </w:t>
            </w:r>
            <w:r w:rsidR="00CF582C">
              <w:rPr>
                <w:rFonts w:cstheme="minorHAnsi"/>
                <w:bCs/>
                <w:sz w:val="16"/>
                <w:szCs w:val="16"/>
              </w:rPr>
              <w:t>R</w:t>
            </w:r>
            <w:r w:rsidRPr="00BD67E6">
              <w:rPr>
                <w:rFonts w:cstheme="minorHAnsi"/>
                <w:bCs/>
                <w:sz w:val="16"/>
                <w:szCs w:val="16"/>
              </w:rPr>
              <w:t>emote</w:t>
            </w:r>
          </w:p>
        </w:tc>
        <w:tc>
          <w:tcPr>
            <w:tcW w:w="1985" w:type="dxa"/>
            <w:noWrap/>
          </w:tcPr>
          <w:p w14:paraId="0EAEE98A"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17.1</w:t>
            </w:r>
          </w:p>
        </w:tc>
        <w:tc>
          <w:tcPr>
            <w:tcW w:w="1985" w:type="dxa"/>
          </w:tcPr>
          <w:p w14:paraId="67420841"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17.5</w:t>
            </w:r>
          </w:p>
        </w:tc>
        <w:tc>
          <w:tcPr>
            <w:tcW w:w="1985" w:type="dxa"/>
          </w:tcPr>
          <w:p w14:paraId="6B439D7F"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16.2</w:t>
            </w:r>
          </w:p>
        </w:tc>
        <w:tc>
          <w:tcPr>
            <w:tcW w:w="1985" w:type="dxa"/>
          </w:tcPr>
          <w:p w14:paraId="1BFE02F5" w14:textId="77777777" w:rsidR="003A491D" w:rsidRPr="001D461A" w:rsidRDefault="003A491D" w:rsidP="00897071">
            <w:pPr>
              <w:jc w:val="right"/>
              <w:cnfStyle w:val="000000100000" w:firstRow="0" w:lastRow="0" w:firstColumn="0" w:lastColumn="0" w:oddVBand="0" w:evenVBand="0" w:oddHBand="1" w:evenHBand="0" w:firstRowFirstColumn="0" w:firstRowLastColumn="0" w:lastRowFirstColumn="0" w:lastRowLastColumn="0"/>
              <w:rPr>
                <w:sz w:val="16"/>
              </w:rPr>
            </w:pPr>
            <w:r w:rsidRPr="00BD67E6">
              <w:rPr>
                <w:rFonts w:cstheme="minorHAnsi"/>
                <w:sz w:val="16"/>
                <w:szCs w:val="16"/>
              </w:rPr>
              <w:t>16.1</w:t>
            </w:r>
          </w:p>
        </w:tc>
      </w:tr>
      <w:tr w:rsidR="003A491D" w:rsidRPr="00D238D0" w14:paraId="64363033"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5139DA0C" w14:textId="77777777" w:rsidR="003A491D" w:rsidRPr="00BD67E6" w:rsidRDefault="003A491D" w:rsidP="00897071">
            <w:pPr>
              <w:jc w:val="right"/>
              <w:rPr>
                <w:rFonts w:cstheme="minorHAnsi"/>
                <w:bCs/>
                <w:sz w:val="16"/>
                <w:szCs w:val="16"/>
              </w:rPr>
            </w:pPr>
            <w:r>
              <w:rPr>
                <w:rFonts w:cstheme="minorHAnsi"/>
                <w:bCs/>
                <w:sz w:val="16"/>
                <w:szCs w:val="16"/>
              </w:rPr>
              <w:t>Unknown</w:t>
            </w:r>
          </w:p>
        </w:tc>
        <w:tc>
          <w:tcPr>
            <w:tcW w:w="1985" w:type="dxa"/>
            <w:noWrap/>
          </w:tcPr>
          <w:p w14:paraId="336ECD69"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0.2</w:t>
            </w:r>
          </w:p>
        </w:tc>
        <w:tc>
          <w:tcPr>
            <w:tcW w:w="1985" w:type="dxa"/>
          </w:tcPr>
          <w:p w14:paraId="3CCB00D3"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0.2</w:t>
            </w:r>
          </w:p>
        </w:tc>
        <w:tc>
          <w:tcPr>
            <w:tcW w:w="1985" w:type="dxa"/>
          </w:tcPr>
          <w:p w14:paraId="52EB63A9"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0.2</w:t>
            </w:r>
          </w:p>
        </w:tc>
        <w:tc>
          <w:tcPr>
            <w:tcW w:w="1985" w:type="dxa"/>
          </w:tcPr>
          <w:p w14:paraId="2B5B2F66" w14:textId="77777777" w:rsidR="003A491D" w:rsidRPr="00BD67E6"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Pr>
                <w:rFonts w:cstheme="minorHAnsi"/>
                <w:sz w:val="16"/>
                <w:szCs w:val="16"/>
              </w:rPr>
              <w:t>0.2</w:t>
            </w:r>
          </w:p>
        </w:tc>
      </w:tr>
      <w:tr w:rsidR="000A5452" w:rsidRPr="00D238D0" w14:paraId="72B85004" w14:textId="77777777" w:rsidTr="000A5452">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3970" w:type="dxa"/>
            <w:gridSpan w:val="2"/>
            <w:noWrap/>
          </w:tcPr>
          <w:p w14:paraId="7C227EFB" w14:textId="499705FC" w:rsidR="000A5452" w:rsidRDefault="000A5452" w:rsidP="000A5452">
            <w:pPr>
              <w:rPr>
                <w:rFonts w:cstheme="minorHAnsi"/>
                <w:sz w:val="16"/>
                <w:szCs w:val="16"/>
              </w:rPr>
            </w:pPr>
            <w:r w:rsidRPr="001963F3">
              <w:rPr>
                <w:rFonts w:cs="Arial"/>
                <w:bCs/>
                <w:sz w:val="16"/>
                <w:szCs w:val="16"/>
              </w:rPr>
              <w:t xml:space="preserve">Income </w:t>
            </w:r>
            <w:r>
              <w:rPr>
                <w:rFonts w:cs="Arial"/>
                <w:bCs/>
                <w:sz w:val="16"/>
                <w:szCs w:val="16"/>
              </w:rPr>
              <w:t>s</w:t>
            </w:r>
            <w:r w:rsidRPr="001963F3">
              <w:rPr>
                <w:rFonts w:cs="Arial"/>
                <w:bCs/>
                <w:sz w:val="16"/>
                <w:szCs w:val="16"/>
              </w:rPr>
              <w:t>upport rate at commencement</w:t>
            </w:r>
          </w:p>
        </w:tc>
        <w:tc>
          <w:tcPr>
            <w:tcW w:w="1985" w:type="dxa"/>
          </w:tcPr>
          <w:p w14:paraId="526E61A9" w14:textId="77777777" w:rsidR="000A5452" w:rsidRDefault="000A5452"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985" w:type="dxa"/>
          </w:tcPr>
          <w:p w14:paraId="6FA5819C" w14:textId="77777777" w:rsidR="000A5452" w:rsidRDefault="000A5452"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985" w:type="dxa"/>
          </w:tcPr>
          <w:p w14:paraId="3B6A291F" w14:textId="77777777" w:rsidR="000A5452" w:rsidRDefault="000A5452"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A491D" w:rsidRPr="00D238D0" w14:paraId="1E347421"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3E2ADC7" w14:textId="77777777" w:rsidR="003A491D" w:rsidRDefault="003A491D" w:rsidP="00897071">
            <w:pPr>
              <w:jc w:val="right"/>
              <w:rPr>
                <w:rFonts w:cstheme="minorHAnsi"/>
                <w:bCs/>
                <w:sz w:val="16"/>
                <w:szCs w:val="16"/>
              </w:rPr>
            </w:pPr>
            <w:r w:rsidRPr="001963F3">
              <w:rPr>
                <w:rFonts w:cs="Arial"/>
                <w:bCs/>
                <w:sz w:val="16"/>
                <w:szCs w:val="16"/>
              </w:rPr>
              <w:t>Full</w:t>
            </w:r>
          </w:p>
        </w:tc>
        <w:tc>
          <w:tcPr>
            <w:tcW w:w="1985" w:type="dxa"/>
            <w:noWrap/>
          </w:tcPr>
          <w:p w14:paraId="4A317CBD" w14:textId="77777777" w:rsidR="003A491D" w:rsidRPr="00301D58"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301D58">
              <w:rPr>
                <w:sz w:val="16"/>
                <w:szCs w:val="16"/>
              </w:rPr>
              <w:t>59.2</w:t>
            </w:r>
          </w:p>
        </w:tc>
        <w:tc>
          <w:tcPr>
            <w:tcW w:w="1985" w:type="dxa"/>
          </w:tcPr>
          <w:p w14:paraId="678B4981" w14:textId="77777777" w:rsidR="003A491D" w:rsidRPr="00301D58"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301D58">
              <w:rPr>
                <w:sz w:val="16"/>
                <w:szCs w:val="16"/>
              </w:rPr>
              <w:t>59.2</w:t>
            </w:r>
          </w:p>
        </w:tc>
        <w:tc>
          <w:tcPr>
            <w:tcW w:w="1985" w:type="dxa"/>
          </w:tcPr>
          <w:p w14:paraId="658FDAD0" w14:textId="77777777" w:rsidR="003A491D" w:rsidRPr="00301D58"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301D58">
              <w:rPr>
                <w:sz w:val="16"/>
                <w:szCs w:val="16"/>
              </w:rPr>
              <w:t>62.7</w:t>
            </w:r>
          </w:p>
        </w:tc>
        <w:tc>
          <w:tcPr>
            <w:tcW w:w="1985" w:type="dxa"/>
          </w:tcPr>
          <w:p w14:paraId="5ACA4E8E" w14:textId="77777777" w:rsidR="003A491D" w:rsidRPr="00301D58"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301D58">
              <w:rPr>
                <w:sz w:val="16"/>
                <w:szCs w:val="16"/>
              </w:rPr>
              <w:t>62.9</w:t>
            </w:r>
          </w:p>
        </w:tc>
      </w:tr>
      <w:tr w:rsidR="003A491D" w:rsidRPr="00D238D0" w14:paraId="000B3B19"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5D57E7F5" w14:textId="77777777" w:rsidR="003A491D" w:rsidRDefault="003A491D" w:rsidP="00897071">
            <w:pPr>
              <w:jc w:val="right"/>
              <w:rPr>
                <w:rFonts w:cstheme="minorHAnsi"/>
                <w:bCs/>
                <w:sz w:val="16"/>
                <w:szCs w:val="16"/>
              </w:rPr>
            </w:pPr>
            <w:r w:rsidRPr="001963F3">
              <w:rPr>
                <w:rFonts w:cs="Arial"/>
                <w:bCs/>
                <w:sz w:val="16"/>
                <w:szCs w:val="16"/>
              </w:rPr>
              <w:t>Part</w:t>
            </w:r>
          </w:p>
        </w:tc>
        <w:tc>
          <w:tcPr>
            <w:tcW w:w="1985" w:type="dxa"/>
            <w:noWrap/>
          </w:tcPr>
          <w:p w14:paraId="106A9745" w14:textId="77777777" w:rsidR="003A491D" w:rsidRPr="00301D58"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01D58">
              <w:rPr>
                <w:sz w:val="16"/>
                <w:szCs w:val="16"/>
              </w:rPr>
              <w:t>13.3</w:t>
            </w:r>
          </w:p>
        </w:tc>
        <w:tc>
          <w:tcPr>
            <w:tcW w:w="1985" w:type="dxa"/>
          </w:tcPr>
          <w:p w14:paraId="6439EFCE" w14:textId="77777777" w:rsidR="003A491D" w:rsidRPr="00301D58"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01D58">
              <w:rPr>
                <w:sz w:val="16"/>
                <w:szCs w:val="16"/>
              </w:rPr>
              <w:t>13.6</w:t>
            </w:r>
          </w:p>
        </w:tc>
        <w:tc>
          <w:tcPr>
            <w:tcW w:w="1985" w:type="dxa"/>
          </w:tcPr>
          <w:p w14:paraId="1DB1A574" w14:textId="77777777" w:rsidR="003A491D" w:rsidRPr="00301D58"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01D58">
              <w:rPr>
                <w:sz w:val="16"/>
                <w:szCs w:val="16"/>
              </w:rPr>
              <w:t>15.2</w:t>
            </w:r>
          </w:p>
        </w:tc>
        <w:tc>
          <w:tcPr>
            <w:tcW w:w="1985" w:type="dxa"/>
          </w:tcPr>
          <w:p w14:paraId="43251108" w14:textId="77777777" w:rsidR="003A491D" w:rsidRPr="00301D58"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01D58">
              <w:rPr>
                <w:sz w:val="16"/>
                <w:szCs w:val="16"/>
              </w:rPr>
              <w:t>14.7</w:t>
            </w:r>
          </w:p>
        </w:tc>
      </w:tr>
      <w:tr w:rsidR="003A491D" w:rsidRPr="00D238D0" w14:paraId="7FC86394"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49E6E3BB" w14:textId="77777777" w:rsidR="003A491D" w:rsidRDefault="003A491D" w:rsidP="00897071">
            <w:pPr>
              <w:jc w:val="right"/>
              <w:rPr>
                <w:rFonts w:cstheme="minorHAnsi"/>
                <w:bCs/>
                <w:sz w:val="16"/>
                <w:szCs w:val="16"/>
              </w:rPr>
            </w:pPr>
            <w:r w:rsidRPr="001963F3">
              <w:rPr>
                <w:rFonts w:cs="Arial"/>
                <w:sz w:val="16"/>
                <w:szCs w:val="16"/>
              </w:rPr>
              <w:t>Nil</w:t>
            </w:r>
          </w:p>
        </w:tc>
        <w:tc>
          <w:tcPr>
            <w:tcW w:w="1985" w:type="dxa"/>
            <w:noWrap/>
          </w:tcPr>
          <w:p w14:paraId="39BB58DF" w14:textId="77777777" w:rsidR="003A491D" w:rsidRPr="00301D58"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301D58">
              <w:rPr>
                <w:sz w:val="16"/>
                <w:szCs w:val="16"/>
              </w:rPr>
              <w:t>27.5</w:t>
            </w:r>
          </w:p>
        </w:tc>
        <w:tc>
          <w:tcPr>
            <w:tcW w:w="1985" w:type="dxa"/>
          </w:tcPr>
          <w:p w14:paraId="634D459E" w14:textId="77777777" w:rsidR="003A491D" w:rsidRPr="00301D58"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301D58">
              <w:rPr>
                <w:sz w:val="16"/>
                <w:szCs w:val="16"/>
              </w:rPr>
              <w:t>27.2</w:t>
            </w:r>
          </w:p>
        </w:tc>
        <w:tc>
          <w:tcPr>
            <w:tcW w:w="1985" w:type="dxa"/>
          </w:tcPr>
          <w:p w14:paraId="267499BD" w14:textId="77777777" w:rsidR="003A491D" w:rsidRPr="00301D58"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301D58">
              <w:rPr>
                <w:sz w:val="16"/>
                <w:szCs w:val="16"/>
              </w:rPr>
              <w:t>22.1</w:t>
            </w:r>
          </w:p>
        </w:tc>
        <w:tc>
          <w:tcPr>
            <w:tcW w:w="1985" w:type="dxa"/>
          </w:tcPr>
          <w:p w14:paraId="623AAB3E" w14:textId="77777777" w:rsidR="003A491D" w:rsidRPr="00301D58" w:rsidRDefault="003A491D" w:rsidP="00897071">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r w:rsidRPr="00301D58">
              <w:rPr>
                <w:sz w:val="16"/>
                <w:szCs w:val="16"/>
              </w:rPr>
              <w:t>22.4</w:t>
            </w:r>
          </w:p>
        </w:tc>
      </w:tr>
      <w:tr w:rsidR="003A491D" w:rsidRPr="00D238D0" w14:paraId="3548EEBF"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45A120D9" w14:textId="77777777" w:rsidR="003A491D" w:rsidRDefault="003A491D" w:rsidP="00897071">
            <w:pPr>
              <w:jc w:val="right"/>
              <w:rPr>
                <w:rFonts w:cstheme="minorHAnsi"/>
                <w:bCs/>
                <w:sz w:val="16"/>
                <w:szCs w:val="16"/>
              </w:rPr>
            </w:pPr>
          </w:p>
        </w:tc>
        <w:tc>
          <w:tcPr>
            <w:tcW w:w="1985" w:type="dxa"/>
            <w:noWrap/>
          </w:tcPr>
          <w:p w14:paraId="5175F6E1" w14:textId="77777777" w:rsidR="003A491D"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985" w:type="dxa"/>
          </w:tcPr>
          <w:p w14:paraId="358CEB9B" w14:textId="77777777" w:rsidR="003A491D"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985" w:type="dxa"/>
          </w:tcPr>
          <w:p w14:paraId="7A37794A" w14:textId="77777777" w:rsidR="003A491D"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985" w:type="dxa"/>
          </w:tcPr>
          <w:p w14:paraId="3D34FFDF" w14:textId="77777777" w:rsidR="003A491D" w:rsidRDefault="003A491D" w:rsidP="00897071">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A491D" w:rsidRPr="00D238D0" w14:paraId="0409DAC0"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49FBDBF8" w14:textId="4AB16C47" w:rsidR="003A491D" w:rsidRPr="001D461A" w:rsidRDefault="003A491D" w:rsidP="00897071">
            <w:pPr>
              <w:rPr>
                <w:sz w:val="16"/>
              </w:rPr>
            </w:pPr>
            <w:r w:rsidRPr="00BD67E6">
              <w:rPr>
                <w:rFonts w:cstheme="minorHAnsi"/>
                <w:sz w:val="16"/>
                <w:szCs w:val="16"/>
              </w:rPr>
              <w:t xml:space="preserve">Age at </w:t>
            </w:r>
            <w:r w:rsidR="00CF582C">
              <w:rPr>
                <w:rFonts w:cstheme="minorHAnsi"/>
                <w:sz w:val="16"/>
                <w:szCs w:val="16"/>
              </w:rPr>
              <w:t>c</w:t>
            </w:r>
            <w:r w:rsidRPr="00BD67E6">
              <w:rPr>
                <w:rFonts w:cstheme="minorHAnsi"/>
                <w:sz w:val="16"/>
                <w:szCs w:val="16"/>
              </w:rPr>
              <w:t>ommencement</w:t>
            </w:r>
          </w:p>
        </w:tc>
        <w:tc>
          <w:tcPr>
            <w:tcW w:w="1985" w:type="dxa"/>
            <w:noWrap/>
          </w:tcPr>
          <w:p w14:paraId="5E3296FA"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tcPr>
          <w:p w14:paraId="55D6E583"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tcPr>
          <w:p w14:paraId="302FB3A0"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c>
          <w:tcPr>
            <w:tcW w:w="1985" w:type="dxa"/>
          </w:tcPr>
          <w:p w14:paraId="310ABD38" w14:textId="77777777" w:rsidR="003A491D" w:rsidRPr="001D461A" w:rsidRDefault="003A491D" w:rsidP="00897071">
            <w:pPr>
              <w:jc w:val="right"/>
              <w:cnfStyle w:val="000000010000" w:firstRow="0" w:lastRow="0" w:firstColumn="0" w:lastColumn="0" w:oddVBand="0" w:evenVBand="0" w:oddHBand="0" w:evenHBand="1" w:firstRowFirstColumn="0" w:firstRowLastColumn="0" w:lastRowFirstColumn="0" w:lastRowLastColumn="0"/>
              <w:rPr>
                <w:sz w:val="16"/>
              </w:rPr>
            </w:pPr>
          </w:p>
        </w:tc>
      </w:tr>
      <w:tr w:rsidR="003A491D" w:rsidRPr="00D238D0" w14:paraId="5C973232"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09199D38" w14:textId="1393C71F" w:rsidR="003A491D" w:rsidRPr="006277C3" w:rsidRDefault="003A491D" w:rsidP="00897071">
            <w:pPr>
              <w:jc w:val="right"/>
              <w:rPr>
                <w:b w:val="0"/>
                <w:sz w:val="16"/>
              </w:rPr>
            </w:pPr>
            <w:r w:rsidRPr="00BD67E6">
              <w:rPr>
                <w:rFonts w:cstheme="minorHAnsi"/>
                <w:bCs/>
                <w:sz w:val="16"/>
                <w:szCs w:val="16"/>
              </w:rPr>
              <w:t>1</w:t>
            </w:r>
            <w:r>
              <w:rPr>
                <w:rFonts w:cstheme="minorHAnsi"/>
                <w:bCs/>
                <w:sz w:val="16"/>
                <w:szCs w:val="16"/>
              </w:rPr>
              <w:t>5</w:t>
            </w:r>
            <w:r w:rsidR="00CF582C">
              <w:rPr>
                <w:rFonts w:cstheme="minorHAnsi"/>
                <w:bCs/>
                <w:sz w:val="16"/>
                <w:szCs w:val="16"/>
              </w:rPr>
              <w:t>–</w:t>
            </w:r>
            <w:r>
              <w:rPr>
                <w:rFonts w:cstheme="minorHAnsi"/>
                <w:bCs/>
                <w:sz w:val="16"/>
                <w:szCs w:val="16"/>
              </w:rPr>
              <w:t>17</w:t>
            </w:r>
          </w:p>
        </w:tc>
        <w:tc>
          <w:tcPr>
            <w:tcW w:w="1985" w:type="dxa"/>
            <w:noWrap/>
          </w:tcPr>
          <w:p w14:paraId="36B119ED" w14:textId="77777777" w:rsidR="003A491D" w:rsidRPr="0004746B"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04746B">
              <w:rPr>
                <w:sz w:val="16"/>
                <w:szCs w:val="16"/>
              </w:rPr>
              <w:t>35.4</w:t>
            </w:r>
          </w:p>
        </w:tc>
        <w:tc>
          <w:tcPr>
            <w:tcW w:w="1985" w:type="dxa"/>
          </w:tcPr>
          <w:p w14:paraId="433C75DC" w14:textId="77777777" w:rsidR="003A491D" w:rsidRPr="0004746B"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04746B">
              <w:rPr>
                <w:sz w:val="16"/>
                <w:szCs w:val="16"/>
              </w:rPr>
              <w:t>33.9</w:t>
            </w:r>
          </w:p>
        </w:tc>
        <w:tc>
          <w:tcPr>
            <w:tcW w:w="1985" w:type="dxa"/>
          </w:tcPr>
          <w:p w14:paraId="01824DD2" w14:textId="77777777" w:rsidR="003A491D" w:rsidRPr="0004746B"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04746B">
              <w:rPr>
                <w:sz w:val="16"/>
                <w:szCs w:val="16"/>
              </w:rPr>
              <w:t>25.1</w:t>
            </w:r>
          </w:p>
        </w:tc>
        <w:tc>
          <w:tcPr>
            <w:tcW w:w="1985" w:type="dxa"/>
          </w:tcPr>
          <w:p w14:paraId="7EF01D0B" w14:textId="77777777" w:rsidR="003A491D" w:rsidRPr="0004746B"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04746B">
              <w:rPr>
                <w:sz w:val="16"/>
                <w:szCs w:val="16"/>
              </w:rPr>
              <w:t>27.7</w:t>
            </w:r>
          </w:p>
        </w:tc>
      </w:tr>
      <w:tr w:rsidR="003A491D" w:rsidRPr="00D238D0" w14:paraId="47979CE7" w14:textId="77777777" w:rsidTr="00C239FD">
        <w:trPr>
          <w:cnfStyle w:val="000000010000" w:firstRow="0" w:lastRow="0" w:firstColumn="0" w:lastColumn="0" w:oddVBand="0" w:evenVBand="0" w:oddHBand="0" w:evenHBand="1"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2F6D8FA4" w14:textId="274AB63F" w:rsidR="003A491D" w:rsidRPr="006277C3" w:rsidRDefault="003A491D" w:rsidP="00897071">
            <w:pPr>
              <w:jc w:val="right"/>
              <w:rPr>
                <w:b w:val="0"/>
                <w:sz w:val="16"/>
              </w:rPr>
            </w:pPr>
            <w:r w:rsidRPr="00BD67E6">
              <w:rPr>
                <w:rFonts w:cstheme="minorHAnsi"/>
                <w:bCs/>
                <w:sz w:val="16"/>
                <w:szCs w:val="16"/>
              </w:rPr>
              <w:t>18</w:t>
            </w:r>
            <w:r w:rsidR="00CF582C">
              <w:rPr>
                <w:rFonts w:cstheme="minorHAnsi"/>
                <w:bCs/>
                <w:sz w:val="16"/>
                <w:szCs w:val="16"/>
              </w:rPr>
              <w:t>–</w:t>
            </w:r>
            <w:r>
              <w:rPr>
                <w:rFonts w:cstheme="minorHAnsi"/>
                <w:bCs/>
                <w:sz w:val="16"/>
                <w:szCs w:val="16"/>
              </w:rPr>
              <w:t>20</w:t>
            </w:r>
          </w:p>
        </w:tc>
        <w:tc>
          <w:tcPr>
            <w:tcW w:w="1985" w:type="dxa"/>
            <w:noWrap/>
          </w:tcPr>
          <w:p w14:paraId="192C5A80" w14:textId="77777777" w:rsidR="003A491D" w:rsidRPr="0004746B"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04746B">
              <w:rPr>
                <w:sz w:val="16"/>
                <w:szCs w:val="16"/>
              </w:rPr>
              <w:t>55</w:t>
            </w:r>
            <w:r>
              <w:rPr>
                <w:sz w:val="16"/>
                <w:szCs w:val="16"/>
              </w:rPr>
              <w:t>.0</w:t>
            </w:r>
          </w:p>
        </w:tc>
        <w:tc>
          <w:tcPr>
            <w:tcW w:w="1985" w:type="dxa"/>
          </w:tcPr>
          <w:p w14:paraId="5598A4C2" w14:textId="77777777" w:rsidR="003A491D" w:rsidRPr="0004746B"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04746B">
              <w:rPr>
                <w:sz w:val="16"/>
                <w:szCs w:val="16"/>
              </w:rPr>
              <w:t>55.8</w:t>
            </w:r>
          </w:p>
        </w:tc>
        <w:tc>
          <w:tcPr>
            <w:tcW w:w="1985" w:type="dxa"/>
          </w:tcPr>
          <w:p w14:paraId="5BF59286" w14:textId="77777777" w:rsidR="003A491D" w:rsidRPr="0004746B"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04746B">
              <w:rPr>
                <w:sz w:val="16"/>
                <w:szCs w:val="16"/>
              </w:rPr>
              <w:t>53.4</w:t>
            </w:r>
          </w:p>
        </w:tc>
        <w:tc>
          <w:tcPr>
            <w:tcW w:w="1985" w:type="dxa"/>
          </w:tcPr>
          <w:p w14:paraId="7702F5AB" w14:textId="77777777" w:rsidR="003A491D" w:rsidRPr="0004746B" w:rsidRDefault="003A491D" w:rsidP="00897071">
            <w:pPr>
              <w:jc w:val="right"/>
              <w:cnfStyle w:val="000000010000" w:firstRow="0" w:lastRow="0" w:firstColumn="0" w:lastColumn="0" w:oddVBand="0" w:evenVBand="0" w:oddHBand="0" w:evenHBand="1" w:firstRowFirstColumn="0" w:firstRowLastColumn="0" w:lastRowFirstColumn="0" w:lastRowLastColumn="0"/>
              <w:rPr>
                <w:sz w:val="16"/>
                <w:szCs w:val="16"/>
              </w:rPr>
            </w:pPr>
            <w:r w:rsidRPr="0004746B">
              <w:rPr>
                <w:sz w:val="16"/>
                <w:szCs w:val="16"/>
              </w:rPr>
              <w:t>52.9</w:t>
            </w:r>
          </w:p>
        </w:tc>
      </w:tr>
      <w:tr w:rsidR="003A491D" w:rsidRPr="00D238D0" w14:paraId="730BF03C" w14:textId="77777777" w:rsidTr="00C239FD">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985" w:type="dxa"/>
            <w:noWrap/>
          </w:tcPr>
          <w:p w14:paraId="1E6B2675" w14:textId="783E5B63" w:rsidR="003A491D" w:rsidRPr="006277C3" w:rsidRDefault="003A491D" w:rsidP="00897071">
            <w:pPr>
              <w:jc w:val="right"/>
              <w:rPr>
                <w:b w:val="0"/>
                <w:sz w:val="16"/>
              </w:rPr>
            </w:pPr>
            <w:r w:rsidRPr="00BD67E6">
              <w:rPr>
                <w:rFonts w:cstheme="minorHAnsi"/>
                <w:bCs/>
                <w:sz w:val="16"/>
                <w:szCs w:val="16"/>
              </w:rPr>
              <w:t>21</w:t>
            </w:r>
            <w:r w:rsidR="00CF582C">
              <w:rPr>
                <w:rFonts w:cstheme="minorHAnsi"/>
                <w:bCs/>
                <w:sz w:val="16"/>
                <w:szCs w:val="16"/>
              </w:rPr>
              <w:t>–</w:t>
            </w:r>
            <w:r>
              <w:rPr>
                <w:rFonts w:cstheme="minorHAnsi"/>
                <w:bCs/>
                <w:sz w:val="16"/>
                <w:szCs w:val="16"/>
              </w:rPr>
              <w:t>25</w:t>
            </w:r>
          </w:p>
        </w:tc>
        <w:tc>
          <w:tcPr>
            <w:tcW w:w="1985" w:type="dxa"/>
            <w:noWrap/>
          </w:tcPr>
          <w:p w14:paraId="0FAF167F" w14:textId="77777777" w:rsidR="003A491D" w:rsidRPr="0004746B"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04746B">
              <w:rPr>
                <w:sz w:val="16"/>
                <w:szCs w:val="16"/>
              </w:rPr>
              <w:t>9.7</w:t>
            </w:r>
          </w:p>
        </w:tc>
        <w:tc>
          <w:tcPr>
            <w:tcW w:w="1985" w:type="dxa"/>
          </w:tcPr>
          <w:p w14:paraId="4AFEBE42" w14:textId="77777777" w:rsidR="003A491D" w:rsidRPr="0004746B"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04746B">
              <w:rPr>
                <w:sz w:val="16"/>
                <w:szCs w:val="16"/>
              </w:rPr>
              <w:t>10.3</w:t>
            </w:r>
          </w:p>
        </w:tc>
        <w:tc>
          <w:tcPr>
            <w:tcW w:w="1985" w:type="dxa"/>
          </w:tcPr>
          <w:p w14:paraId="29D5C5B1" w14:textId="77777777" w:rsidR="003A491D" w:rsidRPr="0004746B"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04746B">
              <w:rPr>
                <w:sz w:val="16"/>
                <w:szCs w:val="16"/>
              </w:rPr>
              <w:t>21.</w:t>
            </w:r>
            <w:r>
              <w:rPr>
                <w:sz w:val="16"/>
                <w:szCs w:val="16"/>
              </w:rPr>
              <w:t>5</w:t>
            </w:r>
          </w:p>
        </w:tc>
        <w:tc>
          <w:tcPr>
            <w:tcW w:w="1985" w:type="dxa"/>
          </w:tcPr>
          <w:p w14:paraId="090DD75E" w14:textId="77777777" w:rsidR="003A491D" w:rsidRPr="0004746B" w:rsidRDefault="003A491D" w:rsidP="00897071">
            <w:pPr>
              <w:jc w:val="right"/>
              <w:cnfStyle w:val="000000100000" w:firstRow="0" w:lastRow="0" w:firstColumn="0" w:lastColumn="0" w:oddVBand="0" w:evenVBand="0" w:oddHBand="1" w:evenHBand="0" w:firstRowFirstColumn="0" w:firstRowLastColumn="0" w:lastRowFirstColumn="0" w:lastRowLastColumn="0"/>
              <w:rPr>
                <w:sz w:val="16"/>
                <w:szCs w:val="16"/>
              </w:rPr>
            </w:pPr>
            <w:r w:rsidRPr="0004746B">
              <w:rPr>
                <w:sz w:val="16"/>
                <w:szCs w:val="16"/>
              </w:rPr>
              <w:t>19.4</w:t>
            </w:r>
          </w:p>
        </w:tc>
      </w:tr>
    </w:tbl>
    <w:p w14:paraId="2C0C2BC1" w14:textId="0B44D044" w:rsidR="003A491D" w:rsidRPr="00437DC9" w:rsidRDefault="003A491D" w:rsidP="003A491D">
      <w:pPr>
        <w:pStyle w:val="SourceandNotes"/>
      </w:pPr>
      <w:r w:rsidRPr="005E0ED0">
        <w:t xml:space="preserve">Source: The </w:t>
      </w:r>
      <w:r w:rsidRPr="00437DC9">
        <w:t>department</w:t>
      </w:r>
      <w:r w:rsidR="00F8391B">
        <w:t>’</w:t>
      </w:r>
      <w:r w:rsidRPr="00437DC9">
        <w:t>s administrative data</w:t>
      </w:r>
    </w:p>
    <w:p w14:paraId="69F74BA0" w14:textId="2FD4E4DF" w:rsidR="003A491D" w:rsidRDefault="003A491D" w:rsidP="003A491D">
      <w:pPr>
        <w:pStyle w:val="SourceandNotes"/>
      </w:pPr>
      <w:r>
        <w:t xml:space="preserve">Base: </w:t>
      </w:r>
      <w:r w:rsidR="003D4772">
        <w:t>S</w:t>
      </w:r>
      <w:r>
        <w:t>tudy populations (</w:t>
      </w:r>
      <w:r w:rsidR="003D4772">
        <w:t>b</w:t>
      </w:r>
      <w:r>
        <w:t xml:space="preserve">efore-policy-change inflow population: n=34,749, matched sample: n=30,345; </w:t>
      </w:r>
      <w:r w:rsidR="003D4772">
        <w:t>a</w:t>
      </w:r>
      <w:r>
        <w:t>fter-policy-change inflow population: n=34,749, matched sample: n=30,345)</w:t>
      </w:r>
    </w:p>
    <w:p w14:paraId="4F1D2206" w14:textId="165997B5" w:rsidR="003A491D" w:rsidRDefault="003A491D" w:rsidP="003A491D">
      <w:pPr>
        <w:pStyle w:val="SourceandNotes"/>
      </w:pPr>
      <w:r>
        <w:t>Note: Demographics are as at a participant</w:t>
      </w:r>
      <w:r w:rsidR="00F8391B">
        <w:t>’</w:t>
      </w:r>
      <w:r>
        <w:t xml:space="preserve">s JSCI assessment date, using the JSCI assessment that was closest to their TtW commencement date. Numbers and percentages within categories may not add to total population/100% as datum points with </w:t>
      </w:r>
      <w:r w:rsidR="00F8391B">
        <w:t>‘</w:t>
      </w:r>
      <w:r>
        <w:t>no information</w:t>
      </w:r>
      <w:r w:rsidR="00F8391B">
        <w:t>’</w:t>
      </w:r>
      <w:r>
        <w:t xml:space="preserve"> have not been included.</w:t>
      </w:r>
    </w:p>
    <w:p w14:paraId="2BAF2569" w14:textId="083C7B88" w:rsidR="003A491D" w:rsidRDefault="003A491D" w:rsidP="009251AF">
      <w:pPr>
        <w:pStyle w:val="Heading2a"/>
      </w:pPr>
      <w:bookmarkStart w:id="3984" w:name="_Toc132650552"/>
      <w:bookmarkStart w:id="3985" w:name="_Toc146033581"/>
      <w:bookmarkStart w:id="3986" w:name="_Hlk107323766"/>
      <w:r>
        <w:t>Regression analysis</w:t>
      </w:r>
      <w:bookmarkEnd w:id="3984"/>
      <w:bookmarkEnd w:id="3985"/>
    </w:p>
    <w:p w14:paraId="793AEFD4" w14:textId="75411677" w:rsidR="003A491D" w:rsidRDefault="003A491D" w:rsidP="003A491D">
      <w:r>
        <w:t>The analysis use</w:t>
      </w:r>
      <w:r w:rsidR="00F96204">
        <w:t>d</w:t>
      </w:r>
      <w:r>
        <w:t xml:space="preserve"> logistic regression models to</w:t>
      </w:r>
      <w:r w:rsidR="00F96204">
        <w:t xml:space="preserve"> try to</w:t>
      </w:r>
      <w:r>
        <w:t xml:space="preserve"> control for any remaining differences between the </w:t>
      </w:r>
      <w:r w:rsidR="00F8391B">
        <w:t>2</w:t>
      </w:r>
      <w:r>
        <w:t xml:space="preserve"> matched samples and for differences in economic conditions. However, the COVID-19 pandemic, which started in March 2020, and restrictions and employment-related policies introduced by federal and state governments in response to the pandemic, led to highly fluctuating employment conditions, most notably just after the policy change as </w:t>
      </w:r>
      <w:r w:rsidRPr="00D81F43">
        <w:t>shown in</w:t>
      </w:r>
      <w:r w:rsidR="00B80C93">
        <w:t xml:space="preserve"> </w:t>
      </w:r>
      <w:r w:rsidR="00B80C93" w:rsidRPr="00B80C93">
        <w:rPr>
          <w:b/>
          <w:bCs/>
        </w:rPr>
        <w:fldChar w:fldCharType="begin"/>
      </w:r>
      <w:r w:rsidR="00B80C93" w:rsidRPr="00B80C93">
        <w:rPr>
          <w:b/>
          <w:bCs/>
        </w:rPr>
        <w:instrText xml:space="preserve"> REF _Ref136531530 \h </w:instrText>
      </w:r>
      <w:r w:rsidR="00B80C93">
        <w:rPr>
          <w:b/>
          <w:bCs/>
        </w:rPr>
        <w:instrText xml:space="preserve"> \* MERGEFORMAT </w:instrText>
      </w:r>
      <w:r w:rsidR="00B80C93" w:rsidRPr="00B80C93">
        <w:rPr>
          <w:b/>
          <w:bCs/>
        </w:rPr>
      </w:r>
      <w:r w:rsidR="00B80C93" w:rsidRPr="00B80C93">
        <w:rPr>
          <w:b/>
          <w:bCs/>
        </w:rPr>
        <w:fldChar w:fldCharType="separate"/>
      </w:r>
      <w:r w:rsidR="00180E14" w:rsidRPr="00180E14">
        <w:rPr>
          <w:b/>
          <w:bCs/>
        </w:rPr>
        <w:t xml:space="preserve">Figure </w:t>
      </w:r>
      <w:r w:rsidR="00180E14" w:rsidRPr="00180E14">
        <w:rPr>
          <w:b/>
          <w:bCs/>
          <w:noProof/>
        </w:rPr>
        <w:t>51</w:t>
      </w:r>
      <w:r w:rsidR="00B80C93" w:rsidRPr="00B80C93">
        <w:rPr>
          <w:b/>
          <w:bCs/>
        </w:rPr>
        <w:fldChar w:fldCharType="end"/>
      </w:r>
      <w:r w:rsidRPr="00D81F43">
        <w:t>,</w:t>
      </w:r>
      <w:r>
        <w:t xml:space="preserve"> which </w:t>
      </w:r>
      <w:r>
        <w:lastRenderedPageBreak/>
        <w:t xml:space="preserve">shows time series of Internet Vacancy Index at </w:t>
      </w:r>
      <w:r w:rsidRPr="009F1529">
        <w:t>Skill Level</w:t>
      </w:r>
      <w:r>
        <w:t xml:space="preserve"> 5</w:t>
      </w:r>
      <w:r w:rsidR="00F96204">
        <w:t>.</w:t>
      </w:r>
      <w:r>
        <w:rPr>
          <w:rStyle w:val="FootnoteReference"/>
        </w:rPr>
        <w:footnoteReference w:id="125"/>
      </w:r>
      <w:r>
        <w:t xml:space="preserve"> This made regression modelling unreliable.</w:t>
      </w:r>
    </w:p>
    <w:p w14:paraId="650F8B2E" w14:textId="69A3530F" w:rsidR="003A491D" w:rsidRDefault="003A491D" w:rsidP="003A491D">
      <w:pPr>
        <w:pStyle w:val="Caption"/>
        <w:keepNext/>
      </w:pPr>
      <w:bookmarkStart w:id="3987" w:name="_Ref136531530"/>
      <w:bookmarkStart w:id="3988" w:name="_Toc132647892"/>
      <w:bookmarkStart w:id="3989" w:name="_Toc145883361"/>
      <w:bookmarkStart w:id="3990" w:name="_Hlk124856324"/>
      <w:r>
        <w:t xml:space="preserve">Figure </w:t>
      </w:r>
      <w:r w:rsidR="00BE71D4">
        <w:fldChar w:fldCharType="begin"/>
      </w:r>
      <w:r w:rsidR="00BE71D4">
        <w:instrText xml:space="preserve"> SEQ Figure \* ARABIC </w:instrText>
      </w:r>
      <w:r w:rsidR="00BE71D4">
        <w:fldChar w:fldCharType="separate"/>
      </w:r>
      <w:r w:rsidR="00180E14">
        <w:rPr>
          <w:noProof/>
        </w:rPr>
        <w:t>51</w:t>
      </w:r>
      <w:r w:rsidR="00BE71D4">
        <w:rPr>
          <w:noProof/>
        </w:rPr>
        <w:fldChar w:fldCharType="end"/>
      </w:r>
      <w:bookmarkEnd w:id="3987"/>
      <w:r>
        <w:t xml:space="preserve">: </w:t>
      </w:r>
      <w:r w:rsidRPr="000816FB">
        <w:t>Internet Vacancy Index</w:t>
      </w:r>
      <w:r w:rsidRPr="005140AF">
        <w:t xml:space="preserve"> at </w:t>
      </w:r>
      <w:r w:rsidR="009F1529">
        <w:t>S</w:t>
      </w:r>
      <w:r w:rsidRPr="009F1529">
        <w:t xml:space="preserve">kill </w:t>
      </w:r>
      <w:r w:rsidR="009F1529">
        <w:t>L</w:t>
      </w:r>
      <w:r w:rsidRPr="009F1529">
        <w:t>evel</w:t>
      </w:r>
      <w:r w:rsidRPr="005140AF">
        <w:t xml:space="preserve"> 5 between Jan</w:t>
      </w:r>
      <w:r w:rsidR="00393D2C">
        <w:t>uary</w:t>
      </w:r>
      <w:r w:rsidRPr="005140AF">
        <w:t xml:space="preserve"> 2018 and Dec</w:t>
      </w:r>
      <w:r w:rsidR="00393D2C">
        <w:t>ember</w:t>
      </w:r>
      <w:r w:rsidRPr="005140AF">
        <w:t xml:space="preserve"> 2021</w:t>
      </w:r>
      <w:r w:rsidR="00393D2C">
        <w:t>,</w:t>
      </w:r>
      <w:r w:rsidRPr="005140AF">
        <w:t xml:space="preserve"> by</w:t>
      </w:r>
      <w:r w:rsidR="00393D2C">
        <w:t> </w:t>
      </w:r>
      <w:r w:rsidRPr="005140AF">
        <w:t>s</w:t>
      </w:r>
      <w:r>
        <w:t>t</w:t>
      </w:r>
      <w:r w:rsidRPr="005140AF">
        <w:t>ate</w:t>
      </w:r>
      <w:bookmarkEnd w:id="3988"/>
      <w:bookmarkEnd w:id="398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9"/>
      </w:tblGrid>
      <w:tr w:rsidR="003A491D" w14:paraId="68634FBC" w14:textId="77777777" w:rsidTr="00897071">
        <w:tc>
          <w:tcPr>
            <w:tcW w:w="7366" w:type="dxa"/>
          </w:tcPr>
          <w:p w14:paraId="205B4498" w14:textId="38EAF800" w:rsidR="003A491D" w:rsidRPr="001D461A" w:rsidRDefault="009532DA" w:rsidP="00897071">
            <w:pPr>
              <w:pStyle w:val="SourceandNotes"/>
            </w:pPr>
            <w:r w:rsidRPr="001D461A">
              <w:rPr>
                <w:noProof/>
              </w:rPr>
              <w:drawing>
                <wp:anchor distT="0" distB="0" distL="114300" distR="114300" simplePos="0" relativeHeight="251658240" behindDoc="0" locked="0" layoutInCell="1" allowOverlap="1" wp14:anchorId="54040E25" wp14:editId="4551B210">
                  <wp:simplePos x="0" y="0"/>
                  <wp:positionH relativeFrom="margin">
                    <wp:posOffset>-6985</wp:posOffset>
                  </wp:positionH>
                  <wp:positionV relativeFrom="paragraph">
                    <wp:posOffset>81280</wp:posOffset>
                  </wp:positionV>
                  <wp:extent cx="4694555" cy="3856355"/>
                  <wp:effectExtent l="0" t="0" r="0" b="0"/>
                  <wp:wrapSquare wrapText="bothSides"/>
                  <wp:docPr id="221" name="Picture 221" descr="Graph showing the trends discussed in the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Graph showing the trends discussed in the preceding paragraphs."/>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694555" cy="3856355"/>
                          </a:xfrm>
                          <a:prstGeom prst="rect">
                            <a:avLst/>
                          </a:prstGeom>
                          <a:noFill/>
                        </pic:spPr>
                      </pic:pic>
                    </a:graphicData>
                  </a:graphic>
                  <wp14:sizeRelH relativeFrom="margin">
                    <wp14:pctWidth>0</wp14:pctWidth>
                  </wp14:sizeRelH>
                  <wp14:sizeRelV relativeFrom="margin">
                    <wp14:pctHeight>0</wp14:pctHeight>
                  </wp14:sizeRelV>
                </wp:anchor>
              </w:drawing>
            </w:r>
            <w:r w:rsidR="00965494">
              <w:rPr>
                <w:noProof/>
              </w:rPr>
              <mc:AlternateContent>
                <mc:Choice Requires="wps">
                  <w:drawing>
                    <wp:anchor distT="4294967293" distB="4294967293" distL="114300" distR="114300" simplePos="0" relativeHeight="251661312" behindDoc="0" locked="0" layoutInCell="1" allowOverlap="1" wp14:anchorId="38BB4A35" wp14:editId="78AC104B">
                      <wp:simplePos x="0" y="0"/>
                      <wp:positionH relativeFrom="column">
                        <wp:posOffset>2159635</wp:posOffset>
                      </wp:positionH>
                      <wp:positionV relativeFrom="paragraph">
                        <wp:posOffset>1010284</wp:posOffset>
                      </wp:positionV>
                      <wp:extent cx="1133475" cy="0"/>
                      <wp:effectExtent l="38100" t="76200" r="0" b="76200"/>
                      <wp:wrapNone/>
                      <wp:docPr id="34" name="Straight Arrow Connector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34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468B43D" id="_x0000_t32" coordsize="21600,21600" o:spt="32" o:oned="t" path="m,l21600,21600e" filled="f">
                      <v:path arrowok="t" fillok="f" o:connecttype="none"/>
                      <o:lock v:ext="edit" shapetype="t"/>
                    </v:shapetype>
                    <v:shape id="Straight Arrow Connector 34" o:spid="_x0000_s1026" type="#_x0000_t32" alt="&quot;&quot;" style="position:absolute;margin-left:170.05pt;margin-top:79.55pt;width:89.25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" strokecolor="#002d3f [3204]" strokeweight=".5pt">
                      <v:stroke startarrow="block" endarrow="block" joinstyle="miter"/>
                      <o:lock v:ext="edit" shapetype="f"/>
                    </v:shape>
                  </w:pict>
                </mc:Fallback>
              </mc:AlternateContent>
            </w:r>
            <w:r w:rsidR="00965494">
              <w:rPr>
                <w:noProof/>
              </w:rPr>
              <mc:AlternateContent>
                <mc:Choice Requires="wps">
                  <w:drawing>
                    <wp:anchor distT="0" distB="0" distL="114300" distR="114300" simplePos="0" relativeHeight="251662336" behindDoc="0" locked="0" layoutInCell="1" allowOverlap="1" wp14:anchorId="391E17DD" wp14:editId="7BFA129D">
                      <wp:simplePos x="0" y="0"/>
                      <wp:positionH relativeFrom="column">
                        <wp:posOffset>683895</wp:posOffset>
                      </wp:positionH>
                      <wp:positionV relativeFrom="paragraph">
                        <wp:posOffset>1010285</wp:posOffset>
                      </wp:positionV>
                      <wp:extent cx="1466850" cy="9525"/>
                      <wp:effectExtent l="38100" t="76200" r="0" b="66675"/>
                      <wp:wrapNone/>
                      <wp:docPr id="33" name="Straight Arrow Connector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6685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1714EE0" id="Straight Arrow Connector 33" o:spid="_x0000_s1026" type="#_x0000_t32" alt="&quot;&quot;" style="position:absolute;margin-left:53.85pt;margin-top:79.55pt;width:115.5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" strokecolor="#002d3f [3204]" strokeweight=".5pt">
                      <v:stroke startarrow="block" endarrow="block" joinstyle="miter"/>
                      <o:lock v:ext="edit" shapetype="f"/>
                    </v:shape>
                  </w:pict>
                </mc:Fallback>
              </mc:AlternateContent>
            </w:r>
            <w:r w:rsidR="00965494">
              <w:rPr>
                <w:noProof/>
              </w:rPr>
              <mc:AlternateContent>
                <mc:Choice Requires="wps">
                  <w:drawing>
                    <wp:anchor distT="45720" distB="45720" distL="114300" distR="114300" simplePos="0" relativeHeight="251660288" behindDoc="0" locked="0" layoutInCell="1" allowOverlap="1" wp14:anchorId="7F28D81D" wp14:editId="1B8D4A27">
                      <wp:simplePos x="0" y="0"/>
                      <wp:positionH relativeFrom="column">
                        <wp:posOffset>2236470</wp:posOffset>
                      </wp:positionH>
                      <wp:positionV relativeFrom="paragraph">
                        <wp:posOffset>410210</wp:posOffset>
                      </wp:positionV>
                      <wp:extent cx="1009650" cy="552450"/>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52450"/>
                              </a:xfrm>
                              <a:prstGeom prst="rect">
                                <a:avLst/>
                              </a:prstGeom>
                              <a:solidFill>
                                <a:srgbClr val="FFFFFF"/>
                              </a:solidFill>
                              <a:ln w="9525">
                                <a:solidFill>
                                  <a:schemeClr val="bg1"/>
                                </a:solidFill>
                                <a:miter lim="800000"/>
                                <a:headEnd/>
                                <a:tailEnd/>
                              </a:ln>
                            </wps:spPr>
                            <wps:txbx>
                              <w:txbxContent>
                                <w:p w14:paraId="2F6C3C82" w14:textId="77777777" w:rsidR="003A491D" w:rsidRPr="00F2718F" w:rsidRDefault="003A491D" w:rsidP="003A491D">
                                  <w:pPr>
                                    <w:jc w:val="center"/>
                                    <w:rPr>
                                      <w:sz w:val="18"/>
                                      <w:szCs w:val="18"/>
                                    </w:rPr>
                                  </w:pPr>
                                  <w:r w:rsidRPr="00F2718F">
                                    <w:rPr>
                                      <w:sz w:val="18"/>
                                      <w:szCs w:val="18"/>
                                    </w:rPr>
                                    <w:t xml:space="preserve">After policy change </w:t>
                                  </w:r>
                                  <w:r>
                                    <w:rPr>
                                      <w:sz w:val="18"/>
                                      <w:szCs w:val="18"/>
                                    </w:rPr>
                                    <w:t xml:space="preserve">inflow </w:t>
                                  </w:r>
                                  <w:r w:rsidRPr="00F2718F">
                                    <w:rPr>
                                      <w:sz w:val="18"/>
                                      <w:szCs w:val="18"/>
                                    </w:rPr>
                                    <w:t>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8D81D" id="_x0000_t202" coordsize="21600,21600" o:spt="202" path="m,l,21600r21600,l21600,xe">
                      <v:stroke joinstyle="miter"/>
                      <v:path gradientshapeok="t" o:connecttype="rect"/>
                    </v:shapetype>
                    <v:shape id="Text Box 32" o:spid="_x0000_s1026" type="#_x0000_t202" style="position:absolute;margin-left:176.1pt;margin-top:32.3pt;width:79.5pt;height:4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" strokecolor="white [3212]">
                      <v:textbox>
                        <w:txbxContent>
                          <w:p w14:paraId="2F6C3C82" w14:textId="77777777" w:rsidR="003A491D" w:rsidRPr="00F2718F" w:rsidRDefault="003A491D" w:rsidP="003A491D">
                            <w:pPr>
                              <w:jc w:val="center"/>
                              <w:rPr>
                                <w:sz w:val="18"/>
                                <w:szCs w:val="18"/>
                              </w:rPr>
                            </w:pPr>
                            <w:r w:rsidRPr="00F2718F">
                              <w:rPr>
                                <w:sz w:val="18"/>
                                <w:szCs w:val="18"/>
                              </w:rPr>
                              <w:t xml:space="preserve">After policy change </w:t>
                            </w:r>
                            <w:r>
                              <w:rPr>
                                <w:sz w:val="18"/>
                                <w:szCs w:val="18"/>
                              </w:rPr>
                              <w:t xml:space="preserve">inflow </w:t>
                            </w:r>
                            <w:r w:rsidRPr="00F2718F">
                              <w:rPr>
                                <w:sz w:val="18"/>
                                <w:szCs w:val="18"/>
                              </w:rPr>
                              <w:t>population</w:t>
                            </w:r>
                          </w:p>
                        </w:txbxContent>
                      </v:textbox>
                      <w10:wrap type="square"/>
                    </v:shape>
                  </w:pict>
                </mc:Fallback>
              </mc:AlternateContent>
            </w:r>
            <w:r w:rsidR="00965494">
              <w:rPr>
                <w:noProof/>
              </w:rPr>
              <mc:AlternateContent>
                <mc:Choice Requires="wps">
                  <w:drawing>
                    <wp:anchor distT="45720" distB="45720" distL="114300" distR="114300" simplePos="0" relativeHeight="251656192" behindDoc="0" locked="0" layoutInCell="1" allowOverlap="1" wp14:anchorId="01F4CDE4" wp14:editId="5ED133F1">
                      <wp:simplePos x="0" y="0"/>
                      <wp:positionH relativeFrom="column">
                        <wp:posOffset>2928620</wp:posOffset>
                      </wp:positionH>
                      <wp:positionV relativeFrom="paragraph">
                        <wp:posOffset>52705</wp:posOffset>
                      </wp:positionV>
                      <wp:extent cx="857250" cy="409575"/>
                      <wp:effectExtent l="0" t="0" r="0" b="952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09575"/>
                              </a:xfrm>
                              <a:prstGeom prst="rect">
                                <a:avLst/>
                              </a:prstGeom>
                              <a:solidFill>
                                <a:srgbClr val="FFFFFF"/>
                              </a:solidFill>
                              <a:ln w="9525">
                                <a:solidFill>
                                  <a:schemeClr val="bg1"/>
                                </a:solidFill>
                                <a:miter lim="800000"/>
                                <a:headEnd/>
                                <a:tailEnd/>
                              </a:ln>
                            </wps:spPr>
                            <wps:txbx>
                              <w:txbxContent>
                                <w:p w14:paraId="665A18BF" w14:textId="77777777" w:rsidR="003A491D" w:rsidRPr="00F2718F" w:rsidRDefault="003A491D" w:rsidP="003A491D">
                                  <w:pPr>
                                    <w:rPr>
                                      <w:sz w:val="18"/>
                                      <w:szCs w:val="18"/>
                                    </w:rPr>
                                  </w:pPr>
                                  <w:r w:rsidRPr="00F2718F">
                                    <w:rPr>
                                      <w:sz w:val="18"/>
                                      <w:szCs w:val="18"/>
                                    </w:rPr>
                                    <w:t>Policy change</w:t>
                                  </w:r>
                                  <w:r>
                                    <w:rPr>
                                      <w:sz w:val="18"/>
                                      <w:szCs w:val="18"/>
                                    </w:rPr>
                                    <w:t>:</w:t>
                                  </w:r>
                                  <w:r w:rsidRPr="00F2718F">
                                    <w:rPr>
                                      <w:sz w:val="18"/>
                                      <w:szCs w:val="18"/>
                                    </w:rPr>
                                    <w:t xml:space="preserve"> 30 June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4CDE4" id="Text Box 29" o:spid="_x0000_s1027" type="#_x0000_t202" style="position:absolute;margin-left:230.6pt;margin-top:4.15pt;width:67.5pt;height:32.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" strokecolor="white [3212]">
                      <v:textbox>
                        <w:txbxContent>
                          <w:p w14:paraId="665A18BF" w14:textId="77777777" w:rsidR="003A491D" w:rsidRPr="00F2718F" w:rsidRDefault="003A491D" w:rsidP="003A491D">
                            <w:pPr>
                              <w:rPr>
                                <w:sz w:val="18"/>
                                <w:szCs w:val="18"/>
                              </w:rPr>
                            </w:pPr>
                            <w:r w:rsidRPr="00F2718F">
                              <w:rPr>
                                <w:sz w:val="18"/>
                                <w:szCs w:val="18"/>
                              </w:rPr>
                              <w:t>Policy change</w:t>
                            </w:r>
                            <w:r>
                              <w:rPr>
                                <w:sz w:val="18"/>
                                <w:szCs w:val="18"/>
                              </w:rPr>
                              <w:t>:</w:t>
                            </w:r>
                            <w:r w:rsidRPr="00F2718F">
                              <w:rPr>
                                <w:sz w:val="18"/>
                                <w:szCs w:val="18"/>
                              </w:rPr>
                              <w:t xml:space="preserve"> 30 June 2020</w:t>
                            </w:r>
                          </w:p>
                        </w:txbxContent>
                      </v:textbox>
                      <w10:wrap type="square"/>
                    </v:shape>
                  </w:pict>
                </mc:Fallback>
              </mc:AlternateContent>
            </w:r>
            <w:r w:rsidR="00965494">
              <w:rPr>
                <w:noProof/>
              </w:rPr>
              <mc:AlternateContent>
                <mc:Choice Requires="wps">
                  <w:drawing>
                    <wp:anchor distT="45720" distB="45720" distL="114300" distR="114300" simplePos="0" relativeHeight="251659264" behindDoc="0" locked="0" layoutInCell="1" allowOverlap="1" wp14:anchorId="1404565F" wp14:editId="5BF5193B">
                      <wp:simplePos x="0" y="0"/>
                      <wp:positionH relativeFrom="column">
                        <wp:posOffset>922020</wp:posOffset>
                      </wp:positionH>
                      <wp:positionV relativeFrom="paragraph">
                        <wp:posOffset>410210</wp:posOffset>
                      </wp:positionV>
                      <wp:extent cx="1085850" cy="542925"/>
                      <wp:effectExtent l="0" t="0" r="0" b="952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542925"/>
                              </a:xfrm>
                              <a:prstGeom prst="rect">
                                <a:avLst/>
                              </a:prstGeom>
                              <a:solidFill>
                                <a:srgbClr val="FFFFFF"/>
                              </a:solidFill>
                              <a:ln w="9525">
                                <a:solidFill>
                                  <a:schemeClr val="bg1"/>
                                </a:solidFill>
                                <a:miter lim="800000"/>
                                <a:headEnd/>
                                <a:tailEnd/>
                              </a:ln>
                            </wps:spPr>
                            <wps:txbx>
                              <w:txbxContent>
                                <w:p w14:paraId="29744934" w14:textId="77777777" w:rsidR="003A491D" w:rsidRPr="00F2718F" w:rsidRDefault="003A491D" w:rsidP="003A491D">
                                  <w:pPr>
                                    <w:jc w:val="center"/>
                                    <w:rPr>
                                      <w:sz w:val="18"/>
                                      <w:szCs w:val="18"/>
                                    </w:rPr>
                                  </w:pPr>
                                  <w:r w:rsidRPr="00F2718F">
                                    <w:rPr>
                                      <w:sz w:val="18"/>
                                      <w:szCs w:val="18"/>
                                    </w:rPr>
                                    <w:t xml:space="preserve">Before policy change </w:t>
                                  </w:r>
                                  <w:r>
                                    <w:rPr>
                                      <w:sz w:val="18"/>
                                      <w:szCs w:val="18"/>
                                    </w:rPr>
                                    <w:t xml:space="preserve">inflow </w:t>
                                  </w:r>
                                  <w:r w:rsidRPr="00F2718F">
                                    <w:rPr>
                                      <w:sz w:val="18"/>
                                      <w:szCs w:val="18"/>
                                    </w:rPr>
                                    <w:t>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4565F" id="Text Box 26" o:spid="_x0000_s1028" type="#_x0000_t202" style="position:absolute;margin-left:72.6pt;margin-top:32.3pt;width:85.5pt;height:4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" strokecolor="white [3212]">
                      <v:textbox>
                        <w:txbxContent>
                          <w:p w14:paraId="29744934" w14:textId="77777777" w:rsidR="003A491D" w:rsidRPr="00F2718F" w:rsidRDefault="003A491D" w:rsidP="003A491D">
                            <w:pPr>
                              <w:jc w:val="center"/>
                              <w:rPr>
                                <w:sz w:val="18"/>
                                <w:szCs w:val="18"/>
                              </w:rPr>
                            </w:pPr>
                            <w:r w:rsidRPr="00F2718F">
                              <w:rPr>
                                <w:sz w:val="18"/>
                                <w:szCs w:val="18"/>
                              </w:rPr>
                              <w:t xml:space="preserve">Before policy change </w:t>
                            </w:r>
                            <w:r>
                              <w:rPr>
                                <w:sz w:val="18"/>
                                <w:szCs w:val="18"/>
                              </w:rPr>
                              <w:t xml:space="preserve">inflow </w:t>
                            </w:r>
                            <w:r w:rsidRPr="00F2718F">
                              <w:rPr>
                                <w:sz w:val="18"/>
                                <w:szCs w:val="18"/>
                              </w:rPr>
                              <w:t>population</w:t>
                            </w:r>
                          </w:p>
                        </w:txbxContent>
                      </v:textbox>
                      <w10:wrap type="square"/>
                    </v:shape>
                  </w:pict>
                </mc:Fallback>
              </mc:AlternateContent>
            </w:r>
            <w:r w:rsidR="00965494">
              <w:rPr>
                <w:noProof/>
              </w:rPr>
              <mc:AlternateContent>
                <mc:Choice Requires="wps">
                  <w:drawing>
                    <wp:anchor distT="0" distB="0" distL="114300" distR="114300" simplePos="0" relativeHeight="251653120" behindDoc="0" locked="0" layoutInCell="1" allowOverlap="1" wp14:anchorId="2F2F04DE" wp14:editId="43A91D87">
                      <wp:simplePos x="0" y="0"/>
                      <wp:positionH relativeFrom="column">
                        <wp:posOffset>2147570</wp:posOffset>
                      </wp:positionH>
                      <wp:positionV relativeFrom="paragraph">
                        <wp:posOffset>205105</wp:posOffset>
                      </wp:positionV>
                      <wp:extent cx="9525" cy="3476625"/>
                      <wp:effectExtent l="0" t="0" r="9525" b="952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34766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2B8B35" id="Straight Connector 2" o:spid="_x0000_s1026" alt="&quot;&quot;" style="position:absolute;flip:x 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1pt,16.15pt" to="169.85pt,2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" strokecolor="#f26322 [3205]" strokeweight=".5pt">
                      <v:stroke joinstyle="miter"/>
                      <o:lock v:ext="edit" shapetype="f"/>
                    </v:line>
                  </w:pict>
                </mc:Fallback>
              </mc:AlternateContent>
            </w:r>
            <w:r w:rsidR="00965494">
              <w:rPr>
                <w:noProof/>
              </w:rPr>
              <mc:AlternateContent>
                <mc:Choice Requires="wps">
                  <w:drawing>
                    <wp:anchor distT="0" distB="0" distL="114300" distR="114300" simplePos="0" relativeHeight="251654144" behindDoc="0" locked="0" layoutInCell="1" allowOverlap="1" wp14:anchorId="5855177E" wp14:editId="49DE8DB2">
                      <wp:simplePos x="0" y="0"/>
                      <wp:positionH relativeFrom="column">
                        <wp:posOffset>3290570</wp:posOffset>
                      </wp:positionH>
                      <wp:positionV relativeFrom="paragraph">
                        <wp:posOffset>195580</wp:posOffset>
                      </wp:positionV>
                      <wp:extent cx="9525" cy="3486150"/>
                      <wp:effectExtent l="0" t="0" r="9525"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 cy="3486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FBC51B" id="Straight Connector 1" o:spid="_x0000_s1026" alt="&quot;&quot;"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1pt,15.4pt" to="259.85pt,2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" strokecolor="#002d3f [3204]" strokeweight=".5pt">
                      <v:stroke joinstyle="miter"/>
                      <o:lock v:ext="edit" shapetype="f"/>
                    </v:line>
                  </w:pict>
                </mc:Fallback>
              </mc:AlternateContent>
            </w:r>
            <w:r w:rsidR="003A491D" w:rsidRPr="001D461A">
              <w:t xml:space="preserve">Source: </w:t>
            </w:r>
            <w:hyperlink r:id="rId126" w:history="1">
              <w:r w:rsidR="003A491D">
                <w:rPr>
                  <w:rStyle w:val="Hyperlink"/>
                  <w:rFonts w:eastAsiaTheme="majorEastAsia"/>
                </w:rPr>
                <w:t>Internet Vacancy Index | Labour Market Insights</w:t>
              </w:r>
            </w:hyperlink>
            <w:r w:rsidR="003A491D">
              <w:t xml:space="preserve"> </w:t>
            </w:r>
          </w:p>
        </w:tc>
      </w:tr>
    </w:tbl>
    <w:p w14:paraId="44F6DB4E" w14:textId="108D1617" w:rsidR="003A491D" w:rsidRDefault="003A491D" w:rsidP="009251AF">
      <w:pPr>
        <w:pStyle w:val="Heading2a"/>
      </w:pPr>
      <w:bookmarkStart w:id="3991" w:name="_Toc132650553"/>
      <w:bookmarkStart w:id="3992" w:name="_Toc146033582"/>
      <w:bookmarkEnd w:id="3990"/>
      <w:r>
        <w:t>Limitations</w:t>
      </w:r>
      <w:bookmarkEnd w:id="3991"/>
      <w:bookmarkEnd w:id="3992"/>
    </w:p>
    <w:p w14:paraId="4D480A6A" w14:textId="0B709CCD" w:rsidR="003A491D" w:rsidRDefault="003A491D" w:rsidP="003A491D">
      <w:pPr>
        <w:spacing w:after="120"/>
      </w:pPr>
      <w:r>
        <w:t>In the before</w:t>
      </w:r>
      <w:r w:rsidR="009F1529">
        <w:t xml:space="preserve"> </w:t>
      </w:r>
      <w:r w:rsidRPr="00A761B8">
        <w:t>policy</w:t>
      </w:r>
      <w:r w:rsidR="009F1529">
        <w:t xml:space="preserve"> </w:t>
      </w:r>
      <w:r w:rsidRPr="00A761B8">
        <w:t xml:space="preserve">change inflow </w:t>
      </w:r>
      <w:r>
        <w:t>sample,</w:t>
      </w:r>
      <w:r w:rsidRPr="00A761B8">
        <w:t xml:space="preserve"> </w:t>
      </w:r>
      <w:r>
        <w:t>all participants have exited the program and their outcomes have been claimed. However, in the</w:t>
      </w:r>
      <w:r w:rsidRPr="00A761B8">
        <w:t xml:space="preserve"> after</w:t>
      </w:r>
      <w:r w:rsidR="009F1529">
        <w:t xml:space="preserve"> </w:t>
      </w:r>
      <w:r w:rsidRPr="00A761B8">
        <w:t>policy</w:t>
      </w:r>
      <w:r w:rsidR="009F1529">
        <w:t xml:space="preserve"> </w:t>
      </w:r>
      <w:r w:rsidRPr="00A761B8">
        <w:t xml:space="preserve">change inflow </w:t>
      </w:r>
      <w:r>
        <w:t>sample</w:t>
      </w:r>
      <w:r w:rsidRPr="00A761B8">
        <w:t xml:space="preserve">, though the cut-off commencement date </w:t>
      </w:r>
      <w:r>
        <w:t>of</w:t>
      </w:r>
      <w:r w:rsidRPr="00A761B8">
        <w:t xml:space="preserve"> 30 June 2020 </w:t>
      </w:r>
      <w:r>
        <w:t xml:space="preserve">was chosen </w:t>
      </w:r>
      <w:r w:rsidRPr="00A761B8">
        <w:t>so that all participants could have been in the program for at least 18 months when we constructed the dataset</w:t>
      </w:r>
      <w:r>
        <w:t xml:space="preserve">, some participants may still progress towards their outcomes </w:t>
      </w:r>
      <w:r w:rsidR="004B7414">
        <w:t xml:space="preserve">when </w:t>
      </w:r>
      <w:r>
        <w:t>no claim has been made. Therefore, the outcome count for after</w:t>
      </w:r>
      <w:r w:rsidR="009F1529">
        <w:t xml:space="preserve"> </w:t>
      </w:r>
      <w:r>
        <w:t>policy</w:t>
      </w:r>
      <w:r w:rsidR="009F1529">
        <w:t xml:space="preserve"> </w:t>
      </w:r>
      <w:r>
        <w:t>change sample might be under</w:t>
      </w:r>
      <w:r w:rsidR="004B7414">
        <w:t>-</w:t>
      </w:r>
      <w:r>
        <w:t>counted.</w:t>
      </w:r>
    </w:p>
    <w:p w14:paraId="5FC45E7F" w14:textId="2FECB9DF" w:rsidR="003A491D" w:rsidRPr="00A761B8" w:rsidRDefault="003A491D" w:rsidP="003A491D">
      <w:pPr>
        <w:spacing w:after="120"/>
      </w:pPr>
      <w:r>
        <w:t>The other potential effect is that all participants in the</w:t>
      </w:r>
      <w:r w:rsidRPr="00A761B8">
        <w:t xml:space="preserve"> after</w:t>
      </w:r>
      <w:r w:rsidR="009F1529">
        <w:t xml:space="preserve"> </w:t>
      </w:r>
      <w:r w:rsidRPr="00A761B8">
        <w:t>policy</w:t>
      </w:r>
      <w:r w:rsidR="009F1529">
        <w:t xml:space="preserve"> </w:t>
      </w:r>
      <w:r w:rsidRPr="00A761B8">
        <w:t xml:space="preserve">change </w:t>
      </w:r>
      <w:r>
        <w:t xml:space="preserve">sample (commencement date </w:t>
      </w:r>
      <w:r w:rsidRPr="007F6263">
        <w:t>between 1 </w:t>
      </w:r>
      <w:r>
        <w:t>July</w:t>
      </w:r>
      <w:r w:rsidRPr="007F6263">
        <w:t xml:space="preserve"> 20</w:t>
      </w:r>
      <w:r>
        <w:t>19</w:t>
      </w:r>
      <w:r w:rsidRPr="007F6263">
        <w:t xml:space="preserve"> and </w:t>
      </w:r>
      <w:r>
        <w:t>30</w:t>
      </w:r>
      <w:r w:rsidRPr="007F6263">
        <w:t> </w:t>
      </w:r>
      <w:r>
        <w:t>June</w:t>
      </w:r>
      <w:r w:rsidRPr="007F6263">
        <w:t xml:space="preserve"> 20</w:t>
      </w:r>
      <w:r>
        <w:t>20) commenced their program before the policy</w:t>
      </w:r>
      <w:r w:rsidR="00B243F2">
        <w:t xml:space="preserve"> </w:t>
      </w:r>
      <w:r>
        <w:t xml:space="preserve">change effective date (1 July 2020) and some participants exited the program before they were aware of the policy change. We assumed here that these participants would exit the program with the similar POS even if they knew </w:t>
      </w:r>
      <w:r w:rsidR="00C23CCF">
        <w:t xml:space="preserve">of the </w:t>
      </w:r>
      <w:r>
        <w:t>policy change.</w:t>
      </w:r>
      <w:r w:rsidR="005075A8">
        <w:br w:type="page"/>
      </w:r>
    </w:p>
    <w:p w14:paraId="73B0549B" w14:textId="45CB85C4" w:rsidR="00B30A41" w:rsidRDefault="00B30A41" w:rsidP="009251AF">
      <w:pPr>
        <w:pStyle w:val="Heading1a"/>
      </w:pPr>
      <w:bookmarkStart w:id="3993" w:name="_Toc132209669"/>
      <w:bookmarkStart w:id="3994" w:name="_Toc132209834"/>
      <w:bookmarkStart w:id="3995" w:name="_Toc132209999"/>
      <w:bookmarkStart w:id="3996" w:name="_Toc132647756"/>
      <w:bookmarkStart w:id="3997" w:name="_Hlk106711243"/>
      <w:bookmarkStart w:id="3998" w:name="_Toc132650554"/>
      <w:bookmarkStart w:id="3999" w:name="_Toc146033583"/>
      <w:bookmarkEnd w:id="3986"/>
      <w:bookmarkEnd w:id="3993"/>
      <w:bookmarkEnd w:id="3994"/>
      <w:bookmarkEnd w:id="3995"/>
      <w:bookmarkEnd w:id="3996"/>
      <w:r>
        <w:lastRenderedPageBreak/>
        <w:t xml:space="preserve">Methodology, data and calculations used in the </w:t>
      </w:r>
      <w:r w:rsidRPr="00A02B89">
        <w:t>value</w:t>
      </w:r>
      <w:r w:rsidR="00A02B89">
        <w:t>-</w:t>
      </w:r>
      <w:r w:rsidRPr="00A02B89">
        <w:t>for</w:t>
      </w:r>
      <w:r w:rsidR="00A02B89">
        <w:t>-</w:t>
      </w:r>
      <w:r w:rsidRPr="00A02B89">
        <w:t>money</w:t>
      </w:r>
      <w:r>
        <w:t xml:space="preserve"> analysis of TtW</w:t>
      </w:r>
      <w:bookmarkStart w:id="4000" w:name="_Toc105427809"/>
      <w:bookmarkEnd w:id="3926"/>
      <w:bookmarkEnd w:id="3997"/>
      <w:bookmarkEnd w:id="3998"/>
      <w:bookmarkEnd w:id="3999"/>
    </w:p>
    <w:p w14:paraId="749D965B" w14:textId="439B4CFF" w:rsidR="002549DB" w:rsidRPr="004F7993" w:rsidRDefault="00B30A41" w:rsidP="009251AF">
      <w:pPr>
        <w:pStyle w:val="Heading2a"/>
      </w:pPr>
      <w:bookmarkStart w:id="4001" w:name="_Toc106711924"/>
      <w:bookmarkStart w:id="4002" w:name="_Toc132650555"/>
      <w:bookmarkStart w:id="4003" w:name="_Toc146033584"/>
      <w:r>
        <w:t>I</w:t>
      </w:r>
      <w:r w:rsidR="002549DB" w:rsidRPr="0045010E">
        <w:t>ntroduction</w:t>
      </w:r>
      <w:bookmarkEnd w:id="4000"/>
      <w:bookmarkEnd w:id="4001"/>
      <w:bookmarkEnd w:id="4002"/>
      <w:bookmarkEnd w:id="4003"/>
    </w:p>
    <w:p w14:paraId="5C9E20A9" w14:textId="702D22E7" w:rsidR="002549DB" w:rsidRPr="003E7AE8" w:rsidRDefault="002549DB" w:rsidP="002549DB">
      <w:r>
        <w:t xml:space="preserve">This </w:t>
      </w:r>
      <w:r w:rsidR="00393D2C">
        <w:t>a</w:t>
      </w:r>
      <w:r>
        <w:t xml:space="preserve">ppendix </w:t>
      </w:r>
      <w:r w:rsidR="002F7CB4">
        <w:t xml:space="preserve">outlines the </w:t>
      </w:r>
      <w:r>
        <w:t>methodology, data and calculations used in the value</w:t>
      </w:r>
      <w:r w:rsidR="00A02B89">
        <w:t>-</w:t>
      </w:r>
      <w:r>
        <w:t>for</w:t>
      </w:r>
      <w:r w:rsidR="00A02B89">
        <w:t>-</w:t>
      </w:r>
      <w:r>
        <w:t>money analysis of Tt</w:t>
      </w:r>
      <w:r w:rsidR="00C80889">
        <w:t>W</w:t>
      </w:r>
      <w:r>
        <w:t xml:space="preserve"> and should be read in the context of findings presented in </w:t>
      </w:r>
      <w:r w:rsidR="007638D2">
        <w:rPr>
          <w:b/>
          <w:bCs/>
        </w:rPr>
        <w:t>Chapters</w:t>
      </w:r>
      <w:r w:rsidR="007638D2" w:rsidRPr="001431BC">
        <w:rPr>
          <w:b/>
          <w:bCs/>
        </w:rPr>
        <w:t xml:space="preserve"> </w:t>
      </w:r>
      <w:r w:rsidR="00023E59">
        <w:rPr>
          <w:b/>
          <w:bCs/>
        </w:rPr>
        <w:t>3</w:t>
      </w:r>
      <w:r w:rsidR="00393D2C">
        <w:rPr>
          <w:b/>
          <w:bCs/>
        </w:rPr>
        <w:t xml:space="preserve"> to </w:t>
      </w:r>
      <w:r w:rsidR="00023E59">
        <w:rPr>
          <w:b/>
          <w:bCs/>
        </w:rPr>
        <w:t>5</w:t>
      </w:r>
      <w:r>
        <w:t>.</w:t>
      </w:r>
    </w:p>
    <w:p w14:paraId="3957DA1F" w14:textId="7A3C238F" w:rsidR="002549DB" w:rsidRPr="003E7AE8" w:rsidRDefault="002549DB" w:rsidP="002549DB">
      <w:r w:rsidRPr="003E7AE8">
        <w:t>In order to ensure that the analysis does not over</w:t>
      </w:r>
      <w:r>
        <w:t>estimate benefits or underestimate costs</w:t>
      </w:r>
      <w:r w:rsidRPr="003E7AE8">
        <w:t xml:space="preserve">, a number of factors </w:t>
      </w:r>
      <w:r>
        <w:t>were</w:t>
      </w:r>
      <w:r w:rsidRPr="003E7AE8">
        <w:t xml:space="preserve"> considered.</w:t>
      </w:r>
    </w:p>
    <w:p w14:paraId="7A57B239" w14:textId="0EA0DECC" w:rsidR="002549DB" w:rsidRPr="003E7AE8" w:rsidRDefault="002549DB" w:rsidP="007F37E0">
      <w:pPr>
        <w:pStyle w:val="ListBullet"/>
      </w:pPr>
      <w:r w:rsidRPr="00C239FD">
        <w:rPr>
          <w:b/>
          <w:bCs/>
        </w:rPr>
        <w:t>Deadweight</w:t>
      </w:r>
      <w:r w:rsidRPr="003E7AE8">
        <w:t xml:space="preserve"> acknowledges that in some instances outcomes will be achieved regardless of the program intervention (for example, young people may become more (or less) satisfied with their lives regardless of the intervention of an employment program). </w:t>
      </w:r>
      <w:r>
        <w:t xml:space="preserve">This is particularly problematic if a before and after intervention comparison is made. This analysis avoids deadweight by establishing the difference in outcomes between </w:t>
      </w:r>
      <w:r w:rsidR="00F8391B">
        <w:t>2</w:t>
      </w:r>
      <w:r>
        <w:t xml:space="preserve"> c</w:t>
      </w:r>
      <w:r w:rsidRPr="003E7AE8">
        <w:t xml:space="preserve">omparable populations </w:t>
      </w:r>
      <w:r>
        <w:t>over the same time period.</w:t>
      </w:r>
    </w:p>
    <w:p w14:paraId="115D222E" w14:textId="38C7B8F8" w:rsidR="002549DB" w:rsidRPr="003E7AE8" w:rsidRDefault="002549DB" w:rsidP="007F37E0">
      <w:pPr>
        <w:pStyle w:val="ListBullet"/>
      </w:pPr>
      <w:r w:rsidRPr="00C239FD">
        <w:rPr>
          <w:b/>
          <w:bCs/>
        </w:rPr>
        <w:t>Attribution and causality</w:t>
      </w:r>
      <w:r w:rsidRPr="003E7AE8">
        <w:rPr>
          <w:b/>
          <w:bCs/>
          <w:i/>
          <w:iCs/>
        </w:rPr>
        <w:t xml:space="preserve"> </w:t>
      </w:r>
      <w:r w:rsidRPr="00DD22DA">
        <w:t>r</w:t>
      </w:r>
      <w:r w:rsidRPr="003E7AE8">
        <w:t xml:space="preserve">ecognises that the investment and core program activity may not be wholly responsible for all of the value created. In order to ensure that only changes that are attributable to TtW are included, analysis involved identifying evidence linking support provided </w:t>
      </w:r>
      <w:r w:rsidR="00E3552F">
        <w:t xml:space="preserve">through the program </w:t>
      </w:r>
      <w:r w:rsidRPr="003E7AE8">
        <w:t>to the outcomes achieved, and applying a methodology to control for other factors that may have contributed to this change (through using comparable samples and regression analysis)</w:t>
      </w:r>
      <w:r w:rsidR="004C694E">
        <w:t>.</w:t>
      </w:r>
    </w:p>
    <w:p w14:paraId="3CF500B9" w14:textId="0577B552" w:rsidR="002549DB" w:rsidRDefault="002549DB" w:rsidP="007F37E0">
      <w:pPr>
        <w:pStyle w:val="ListBullet"/>
      </w:pPr>
      <w:r w:rsidRPr="00C239FD">
        <w:rPr>
          <w:b/>
          <w:bCs/>
        </w:rPr>
        <w:t>Duration and drop-off</w:t>
      </w:r>
      <w:r w:rsidRPr="00393D2C">
        <w:t>:</w:t>
      </w:r>
      <w:r w:rsidRPr="003E7AE8">
        <w:t xml:space="preserve"> </w:t>
      </w:r>
      <w:r w:rsidR="00F8391B">
        <w:t>‘</w:t>
      </w:r>
      <w:r w:rsidRPr="003E7AE8">
        <w:t>Duration</w:t>
      </w:r>
      <w:r w:rsidR="00F8391B">
        <w:t>’</w:t>
      </w:r>
      <w:r w:rsidRPr="003E7AE8">
        <w:t xml:space="preserve"> recognises that outcomes may continue for many years. </w:t>
      </w:r>
      <w:r w:rsidR="00F8391B">
        <w:t>‘</w:t>
      </w:r>
      <w:r w:rsidRPr="003E7AE8">
        <w:t>Drop</w:t>
      </w:r>
      <w:r w:rsidR="0012566B">
        <w:t>-</w:t>
      </w:r>
      <w:r w:rsidRPr="003E7AE8">
        <w:t>off</w:t>
      </w:r>
      <w:r w:rsidR="00F8391B">
        <w:t>’</w:t>
      </w:r>
      <w:r w:rsidRPr="003E7AE8">
        <w:t xml:space="preserve"> recognises that the value of outcomes declines</w:t>
      </w:r>
      <w:r>
        <w:t xml:space="preserve"> over time</w:t>
      </w:r>
      <w:r w:rsidRPr="003E7AE8">
        <w:t>. For this analysis</w:t>
      </w:r>
      <w:r>
        <w:t>,</w:t>
      </w:r>
      <w:r w:rsidRPr="003E7AE8">
        <w:t xml:space="preserve"> actual costs and benefits accruing over time have been used where possible (assuming no additional duration and full drop</w:t>
      </w:r>
      <w:r w:rsidR="00557AA5">
        <w:t>-</w:t>
      </w:r>
      <w:r w:rsidRPr="003E7AE8">
        <w:t>of</w:t>
      </w:r>
      <w:r w:rsidR="00557AA5">
        <w:t>f</w:t>
      </w:r>
      <w:r w:rsidRPr="003E7AE8">
        <w:t xml:space="preserve">). </w:t>
      </w:r>
      <w:r w:rsidR="00E3552F">
        <w:t>While the analysis assesses costs and benefits over 12 months, it is assumed that any benefit accrued through increased human capabilities drops off after 6</w:t>
      </w:r>
      <w:r w:rsidR="00557AA5">
        <w:t> </w:t>
      </w:r>
      <w:r w:rsidR="00E3552F">
        <w:t>months.</w:t>
      </w:r>
    </w:p>
    <w:p w14:paraId="1E299406" w14:textId="600F0019" w:rsidR="002549DB" w:rsidRPr="003E7AE8" w:rsidRDefault="002549DB" w:rsidP="007F37E0">
      <w:pPr>
        <w:pStyle w:val="ListBullet"/>
      </w:pPr>
      <w:r w:rsidRPr="00C239FD">
        <w:rPr>
          <w:b/>
          <w:bCs/>
        </w:rPr>
        <w:t>The valuation of wellbeing</w:t>
      </w:r>
      <w:r w:rsidR="00F8391B">
        <w:t xml:space="preserve"> </w:t>
      </w:r>
      <w:r w:rsidRPr="003E7AE8">
        <w:t>is slightly problematic, as data</w:t>
      </w:r>
      <w:r w:rsidR="00E3552F">
        <w:t xml:space="preserve"> on the impact of the program on participants</w:t>
      </w:r>
      <w:r w:rsidR="00E92BC4">
        <w:t>’</w:t>
      </w:r>
      <w:r w:rsidR="00E3552F">
        <w:t xml:space="preserve"> human capabilities</w:t>
      </w:r>
      <w:r w:rsidRPr="003E7AE8">
        <w:t xml:space="preserve"> is only available for one point in time, while the analysis is looking at the impact over </w:t>
      </w:r>
      <w:r w:rsidR="00CA13A9">
        <w:t>12 months</w:t>
      </w:r>
      <w:r w:rsidRPr="003E7AE8">
        <w:t xml:space="preserve">. </w:t>
      </w:r>
      <w:r w:rsidR="00CA13A9">
        <w:t>As noted above, t</w:t>
      </w:r>
      <w:r w:rsidRPr="003E7AE8">
        <w:t xml:space="preserve">he value of the change in wellbeing is assumed to be a one-off benefit </w:t>
      </w:r>
      <w:r>
        <w:t xml:space="preserve">that lasts for </w:t>
      </w:r>
      <w:r w:rsidR="00F8391B">
        <w:t>6</w:t>
      </w:r>
      <w:r>
        <w:t xml:space="preserve"> months</w:t>
      </w:r>
      <w:r w:rsidRPr="003E7AE8">
        <w:t>.</w:t>
      </w:r>
    </w:p>
    <w:p w14:paraId="3C20635A" w14:textId="2405C3F9" w:rsidR="002549DB" w:rsidRPr="005E7EA5" w:rsidRDefault="002549DB" w:rsidP="007F37E0">
      <w:pPr>
        <w:pStyle w:val="ListBullet"/>
      </w:pPr>
      <w:r w:rsidRPr="00C239FD">
        <w:rPr>
          <w:b/>
          <w:bCs/>
        </w:rPr>
        <w:t>Discounting</w:t>
      </w:r>
      <w:r w:rsidRPr="00393D2C">
        <w:t>:</w:t>
      </w:r>
      <w:r w:rsidRPr="005E7EA5">
        <w:t xml:space="preserve"> This analysis uses current dollars and does not apply discounting or deflation for comparisons over the period of the analysis</w:t>
      </w:r>
      <w:r w:rsidR="00CA13A9">
        <w:t>, due to the complexity that this would add to the analysis, and the fa</w:t>
      </w:r>
      <w:r w:rsidR="00E92BC4">
        <w:t>c</w:t>
      </w:r>
      <w:r w:rsidR="00CA13A9">
        <w:t>t that t</w:t>
      </w:r>
      <w:r>
        <w:t>he analysis is undertaken during a period of relative inflationary stability (inflation averaged 1.8 per year between June 2016 and June 2021)</w:t>
      </w:r>
      <w:r w:rsidR="00CA13A9">
        <w:t>. I</w:t>
      </w:r>
      <w:r>
        <w:t xml:space="preserve">t is acknowledged that the period </w:t>
      </w:r>
      <w:r w:rsidR="006057A4">
        <w:t>following</w:t>
      </w:r>
      <w:r>
        <w:t xml:space="preserve"> this analysis is experiencing more rapid inflation, and there is also an argument to use the </w:t>
      </w:r>
      <w:r w:rsidR="006150C6">
        <w:t>long-term</w:t>
      </w:r>
      <w:r>
        <w:t xml:space="preserve"> cost of capital. A more exacting </w:t>
      </w:r>
      <w:r w:rsidR="006057A4">
        <w:t>c</w:t>
      </w:r>
      <w:r w:rsidR="00825E4A">
        <w:t>ost</w:t>
      </w:r>
      <w:r w:rsidR="006057A4">
        <w:t>-b</w:t>
      </w:r>
      <w:r w:rsidR="00825E4A">
        <w:t xml:space="preserve">enefit </w:t>
      </w:r>
      <w:r w:rsidR="006057A4">
        <w:t>a</w:t>
      </w:r>
      <w:r w:rsidR="00825E4A">
        <w:t xml:space="preserve">nalysis </w:t>
      </w:r>
      <w:r>
        <w:t>would require discounting to be undertaken.</w:t>
      </w:r>
    </w:p>
    <w:p w14:paraId="41903DE0" w14:textId="3E446381" w:rsidR="002549DB" w:rsidRDefault="002549DB" w:rsidP="009251AF">
      <w:pPr>
        <w:pStyle w:val="Heading2a"/>
      </w:pPr>
      <w:bookmarkStart w:id="4004" w:name="_Toc103596263"/>
      <w:bookmarkStart w:id="4005" w:name="_Toc103596264"/>
      <w:bookmarkStart w:id="4006" w:name="_Toc103596265"/>
      <w:bookmarkStart w:id="4007" w:name="_Toc103596266"/>
      <w:bookmarkStart w:id="4008" w:name="_Toc103596267"/>
      <w:bookmarkStart w:id="4009" w:name="_Toc103596268"/>
      <w:bookmarkStart w:id="4010" w:name="_Toc103596269"/>
      <w:bookmarkStart w:id="4011" w:name="_Toc103596270"/>
      <w:bookmarkStart w:id="4012" w:name="_Toc103596271"/>
      <w:bookmarkStart w:id="4013" w:name="_Toc103596272"/>
      <w:bookmarkStart w:id="4014" w:name="_Toc103596273"/>
      <w:bookmarkStart w:id="4015" w:name="_Toc103596274"/>
      <w:bookmarkStart w:id="4016" w:name="_Toc103596275"/>
      <w:bookmarkStart w:id="4017" w:name="_Toc103596276"/>
      <w:bookmarkStart w:id="4018" w:name="_Toc103596277"/>
      <w:bookmarkStart w:id="4019" w:name="_Toc103596282"/>
      <w:bookmarkStart w:id="4020" w:name="_Toc103596306"/>
      <w:bookmarkStart w:id="4021" w:name="_Toc103596307"/>
      <w:bookmarkStart w:id="4022" w:name="_Toc103596308"/>
      <w:bookmarkStart w:id="4023" w:name="_Toc103596309"/>
      <w:bookmarkStart w:id="4024" w:name="_Toc103596310"/>
      <w:bookmarkStart w:id="4025" w:name="_Toc103596311"/>
      <w:bookmarkStart w:id="4026" w:name="_Toc103596312"/>
      <w:bookmarkStart w:id="4027" w:name="_Toc103596313"/>
      <w:bookmarkStart w:id="4028" w:name="_Toc103596314"/>
      <w:bookmarkStart w:id="4029" w:name="_Toc103596315"/>
      <w:bookmarkStart w:id="4030" w:name="_Toc103596371"/>
      <w:bookmarkStart w:id="4031" w:name="_Toc103596372"/>
      <w:bookmarkStart w:id="4032" w:name="_Toc103596373"/>
      <w:bookmarkStart w:id="4033" w:name="_Toc103596374"/>
      <w:bookmarkStart w:id="4034" w:name="_Toc103596375"/>
      <w:bookmarkStart w:id="4035" w:name="_Toc103596376"/>
      <w:bookmarkStart w:id="4036" w:name="_Toc103596400"/>
      <w:bookmarkStart w:id="4037" w:name="_Toc105427810"/>
      <w:bookmarkStart w:id="4038" w:name="_Toc106711925"/>
      <w:bookmarkStart w:id="4039" w:name="_Toc132650556"/>
      <w:bookmarkStart w:id="4040" w:name="_Toc146033585"/>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r>
        <w:lastRenderedPageBreak/>
        <w:t xml:space="preserve">Valuing the </w:t>
      </w:r>
      <w:r w:rsidR="009A184D">
        <w:t xml:space="preserve">broader </w:t>
      </w:r>
      <w:r>
        <w:t>benefits of TtW</w:t>
      </w:r>
      <w:bookmarkEnd w:id="4037"/>
      <w:bookmarkEnd w:id="4038"/>
      <w:bookmarkEnd w:id="4039"/>
      <w:bookmarkEnd w:id="4040"/>
    </w:p>
    <w:p w14:paraId="55A28D78" w14:textId="1EC6A29C" w:rsidR="002549DB" w:rsidRDefault="002549DB" w:rsidP="002549DB">
      <w:r>
        <w:t xml:space="preserve">This analysis explores how the </w:t>
      </w:r>
      <w:r w:rsidR="009A184D">
        <w:t xml:space="preserve">broader </w:t>
      </w:r>
      <w:r>
        <w:t>benefits of TtW could be valued and compares these to the relative cost of TtW compared to jobactive. It includes:</w:t>
      </w:r>
    </w:p>
    <w:p w14:paraId="581A1F4A" w14:textId="77777777" w:rsidR="002549DB" w:rsidRDefault="002549DB" w:rsidP="007F37E0">
      <w:pPr>
        <w:pStyle w:val="ListBullet"/>
      </w:pPr>
      <w:r>
        <w:t>valuing changes in wellbeing attributable to TtW</w:t>
      </w:r>
    </w:p>
    <w:p w14:paraId="7D2F4CE5" w14:textId="77777777" w:rsidR="002549DB" w:rsidRDefault="002549DB" w:rsidP="007F37E0">
      <w:pPr>
        <w:pStyle w:val="ListBullet"/>
      </w:pPr>
      <w:r>
        <w:t>valuing savings associated with reduced offending</w:t>
      </w:r>
    </w:p>
    <w:p w14:paraId="1AA5E66E" w14:textId="77777777" w:rsidR="002549DB" w:rsidRDefault="002549DB" w:rsidP="007F37E0">
      <w:pPr>
        <w:pStyle w:val="ListBullet"/>
      </w:pPr>
      <w:r>
        <w:t xml:space="preserve">calculating the average cost of servicing participants in TtW </w:t>
      </w:r>
    </w:p>
    <w:p w14:paraId="6985B98A" w14:textId="77777777" w:rsidR="002549DB" w:rsidRPr="003E7AE8" w:rsidRDefault="002549DB" w:rsidP="007F37E0">
      <w:pPr>
        <w:pStyle w:val="ListBullet"/>
      </w:pPr>
      <w:r>
        <w:t>calculating the average cost associated with additional income support payments received by TtW participants.</w:t>
      </w:r>
    </w:p>
    <w:p w14:paraId="4A2BCA16" w14:textId="4C8FFAB8" w:rsidR="002549DB" w:rsidRPr="0045010E" w:rsidRDefault="002549DB" w:rsidP="009251AF">
      <w:pPr>
        <w:pStyle w:val="Heading2a"/>
      </w:pPr>
      <w:bookmarkStart w:id="4041" w:name="_Toc105427811"/>
      <w:bookmarkStart w:id="4042" w:name="_Toc106711926"/>
      <w:bookmarkStart w:id="4043" w:name="_Toc110945433"/>
      <w:bookmarkStart w:id="4044" w:name="_Toc132650557"/>
      <w:bookmarkStart w:id="4045" w:name="_Toc146033586"/>
      <w:r w:rsidRPr="00CC7F95">
        <w:t>Valuing</w:t>
      </w:r>
      <w:r w:rsidRPr="0045010E">
        <w:t xml:space="preserve"> </w:t>
      </w:r>
      <w:r>
        <w:t>benefits associated with increased</w:t>
      </w:r>
      <w:r w:rsidRPr="0045010E">
        <w:t xml:space="preserve"> wellbeing</w:t>
      </w:r>
      <w:bookmarkEnd w:id="4041"/>
      <w:bookmarkEnd w:id="4042"/>
      <w:bookmarkEnd w:id="4043"/>
      <w:bookmarkEnd w:id="4044"/>
      <w:bookmarkEnd w:id="4045"/>
    </w:p>
    <w:p w14:paraId="0CF47780" w14:textId="4A92510A" w:rsidR="002549DB" w:rsidRDefault="002549DB" w:rsidP="002549DB">
      <w:r>
        <w:t xml:space="preserve">It is acknowledged </w:t>
      </w:r>
      <w:r w:rsidRPr="000F5A37">
        <w:t>up front</w:t>
      </w:r>
      <w:r>
        <w:t xml:space="preserve"> that valuing wellbeing, and the factors that affect it, can be problematic. </w:t>
      </w:r>
      <w:r w:rsidRPr="004A440A">
        <w:rPr>
          <w:b/>
          <w:bCs/>
        </w:rPr>
        <w:t xml:space="preserve">Section </w:t>
      </w:r>
      <w:r w:rsidR="00D81F43" w:rsidRPr="004A440A">
        <w:rPr>
          <w:b/>
          <w:bCs/>
        </w:rPr>
        <w:t>7</w:t>
      </w:r>
      <w:r w:rsidRPr="004A440A">
        <w:rPr>
          <w:b/>
          <w:bCs/>
        </w:rPr>
        <w:t>.</w:t>
      </w:r>
      <w:r w:rsidR="00D81F43" w:rsidRPr="00D81F43">
        <w:rPr>
          <w:b/>
          <w:bCs/>
        </w:rPr>
        <w:t>3.1</w:t>
      </w:r>
      <w:r w:rsidR="00D81F43" w:rsidRPr="00D81F43">
        <w:t xml:space="preserve"> </w:t>
      </w:r>
      <w:r w:rsidRPr="00D81F43">
        <w:t>provides a discussion</w:t>
      </w:r>
      <w:r>
        <w:t xml:space="preserve"> of the appropriateness of and methodologies for measuring and valuing wellbeing. While this research acknowledges the limitations associated with placing a value on wellbeing, it is an attempt to explore the feasibility of this to aid the assessment of the </w:t>
      </w:r>
      <w:r w:rsidR="008D288D">
        <w:t>v</w:t>
      </w:r>
      <w:r>
        <w:t xml:space="preserve">alue for </w:t>
      </w:r>
      <w:r w:rsidR="008D288D">
        <w:t>m</w:t>
      </w:r>
      <w:r>
        <w:t>oney that TtW provides.</w:t>
      </w:r>
    </w:p>
    <w:p w14:paraId="1999243F" w14:textId="2B5BEB04" w:rsidR="002549DB" w:rsidRDefault="002549DB" w:rsidP="00CD7319">
      <w:pPr>
        <w:pStyle w:val="Heading4"/>
        <w:numPr>
          <w:ilvl w:val="0"/>
          <w:numId w:val="0"/>
        </w:numPr>
        <w:ind w:left="864" w:hanging="864"/>
      </w:pPr>
      <w:bookmarkStart w:id="4046" w:name="_Toc105427812"/>
      <w:r>
        <w:t xml:space="preserve">Establishing </w:t>
      </w:r>
      <w:r w:rsidRPr="006079C0">
        <w:t>the</w:t>
      </w:r>
      <w:r>
        <w:t xml:space="preserve"> impact of TtW on wellbeing</w:t>
      </w:r>
      <w:bookmarkEnd w:id="4046"/>
    </w:p>
    <w:p w14:paraId="231047F3" w14:textId="2BD38232" w:rsidR="002549DB" w:rsidRDefault="002549DB" w:rsidP="002549DB">
      <w:r>
        <w:t xml:space="preserve">Changes in wellbeing that can be attributed to TtW were established through the 2021 TtW </w:t>
      </w:r>
      <w:r w:rsidR="00A86EEA">
        <w:t>p</w:t>
      </w:r>
      <w:r>
        <w:t xml:space="preserve">articipant </w:t>
      </w:r>
      <w:r w:rsidR="00A86EEA">
        <w:t>s</w:t>
      </w:r>
      <w:r>
        <w:t>urvey</w:t>
      </w:r>
      <w:r w:rsidR="00AD0DEA">
        <w:t>.</w:t>
      </w:r>
      <w:r>
        <w:rPr>
          <w:rStyle w:val="FootnoteReference"/>
        </w:rPr>
        <w:footnoteReference w:id="126"/>
      </w:r>
      <w:r>
        <w:t xml:space="preserve"> Participants were asked to respond to 7 questions regarding their satisfaction across a number of areas of their own life. Responses were combined into a score to determine participants</w:t>
      </w:r>
      <w:r w:rsidR="00F8391B">
        <w:t>’</w:t>
      </w:r>
      <w:r>
        <w:t xml:space="preserve"> </w:t>
      </w:r>
      <w:r w:rsidR="005F066A">
        <w:t>Personal Wellbeing Index (</w:t>
      </w:r>
      <w:r>
        <w:t>PWI</w:t>
      </w:r>
      <w:r w:rsidR="005F066A">
        <w:t>)</w:t>
      </w:r>
      <w:r>
        <w:t xml:space="preserve"> – a score out of 100, where higher scores indicate higher levels of personal wellbeing. The survey was undertaken in July 2021, with participants from across Australia. While it is acknowledged that COVID-19 and a number of other natural disasters are likely to have affected participants</w:t>
      </w:r>
      <w:r w:rsidR="000D13C7">
        <w:t>’</w:t>
      </w:r>
      <w:r>
        <w:t xml:space="preserve"> wellbeing, participants from TtW and the comparison group were surveyed at the same time, and efforts were made to ensure the comparability of these </w:t>
      </w:r>
      <w:r w:rsidR="00E138A6">
        <w:t>participants</w:t>
      </w:r>
      <w:r>
        <w:t xml:space="preserve">. It is assumed that these events would have had a similar influence on the average </w:t>
      </w:r>
      <w:r w:rsidR="005F4E5F">
        <w:t>PWI</w:t>
      </w:r>
      <w:r>
        <w:t xml:space="preserve">s of these </w:t>
      </w:r>
      <w:r w:rsidR="00F8391B">
        <w:t>2</w:t>
      </w:r>
      <w:r>
        <w:t xml:space="preserve"> groups.</w:t>
      </w:r>
    </w:p>
    <w:p w14:paraId="42A4FE8F" w14:textId="667386B0" w:rsidR="002549DB" w:rsidRDefault="002549DB" w:rsidP="002549DB">
      <w:r>
        <w:t xml:space="preserve">Overall, participants in the 2021 TtW </w:t>
      </w:r>
      <w:r w:rsidR="00A86EEA">
        <w:t>p</w:t>
      </w:r>
      <w:r>
        <w:t xml:space="preserve">articipant </w:t>
      </w:r>
      <w:r w:rsidR="00A86EEA">
        <w:t>s</w:t>
      </w:r>
      <w:r>
        <w:t xml:space="preserve">urvey had an average </w:t>
      </w:r>
      <w:r w:rsidR="005F4E5F">
        <w:t>PWI</w:t>
      </w:r>
      <w:r>
        <w:t xml:space="preserve"> of 71.1 out of 100. The comparison group scored an average o</w:t>
      </w:r>
      <w:r w:rsidR="00355878">
        <w:t>f</w:t>
      </w:r>
      <w:r>
        <w:t xml:space="preserve"> 65.6. This difference was statistically significant as assessed by regression which adjusted for the number of negative life events experienced in the past 12 months, and length of time in the respective </w:t>
      </w:r>
      <w:r w:rsidRPr="00D81F43">
        <w:t>program (</w:t>
      </w:r>
      <w:r w:rsidR="00B80C93" w:rsidRPr="00B80C93">
        <w:rPr>
          <w:b/>
          <w:bCs/>
        </w:rPr>
        <w:fldChar w:fldCharType="begin"/>
      </w:r>
      <w:r w:rsidR="00B80C93" w:rsidRPr="00B80C93">
        <w:rPr>
          <w:b/>
          <w:bCs/>
        </w:rPr>
        <w:instrText xml:space="preserve"> REF _Ref136531560 \h  \* MERGEFORMAT </w:instrText>
      </w:r>
      <w:r w:rsidR="00B80C93" w:rsidRPr="00B80C93">
        <w:rPr>
          <w:b/>
          <w:bCs/>
        </w:rPr>
      </w:r>
      <w:r w:rsidR="00B80C93" w:rsidRPr="00B80C93">
        <w:rPr>
          <w:b/>
          <w:bCs/>
        </w:rPr>
        <w:fldChar w:fldCharType="separate"/>
      </w:r>
      <w:r w:rsidR="00180E14" w:rsidRPr="00180E14">
        <w:rPr>
          <w:b/>
          <w:bCs/>
        </w:rPr>
        <w:t xml:space="preserve">Figure </w:t>
      </w:r>
      <w:r w:rsidR="00180E14" w:rsidRPr="00180E14">
        <w:rPr>
          <w:b/>
          <w:bCs/>
          <w:noProof/>
        </w:rPr>
        <w:t>52</w:t>
      </w:r>
      <w:r w:rsidR="00B80C93" w:rsidRPr="00B80C93">
        <w:rPr>
          <w:b/>
          <w:bCs/>
        </w:rPr>
        <w:fldChar w:fldCharType="end"/>
      </w:r>
      <w:r>
        <w:t>).</w:t>
      </w:r>
    </w:p>
    <w:p w14:paraId="4EC68027" w14:textId="2194DC79" w:rsidR="002549DB" w:rsidRDefault="002549DB" w:rsidP="002549DB">
      <w:pPr>
        <w:pStyle w:val="Caption"/>
        <w:keepNext/>
      </w:pPr>
      <w:bookmarkStart w:id="4047" w:name="_Ref136531560"/>
      <w:bookmarkStart w:id="4048" w:name="_Toc132647893"/>
      <w:bookmarkStart w:id="4049" w:name="_Toc145883362"/>
      <w:r>
        <w:lastRenderedPageBreak/>
        <w:t xml:space="preserve">Figure </w:t>
      </w:r>
      <w:r w:rsidR="00BE71D4">
        <w:fldChar w:fldCharType="begin"/>
      </w:r>
      <w:r w:rsidR="00BE71D4">
        <w:instrText xml:space="preserve"> SEQ Figure \* ARABIC </w:instrText>
      </w:r>
      <w:r w:rsidR="00BE71D4">
        <w:fldChar w:fldCharType="separate"/>
      </w:r>
      <w:r w:rsidR="00180E14">
        <w:rPr>
          <w:noProof/>
        </w:rPr>
        <w:t>52</w:t>
      </w:r>
      <w:r w:rsidR="00BE71D4">
        <w:rPr>
          <w:noProof/>
        </w:rPr>
        <w:fldChar w:fldCharType="end"/>
      </w:r>
      <w:bookmarkEnd w:id="4047"/>
      <w:r>
        <w:t xml:space="preserve">: </w:t>
      </w:r>
      <w:r w:rsidRPr="00B678C3">
        <w:t xml:space="preserve">Average </w:t>
      </w:r>
      <w:r w:rsidR="005F4E5F">
        <w:t>P</w:t>
      </w:r>
      <w:r w:rsidRPr="00B678C3">
        <w:t xml:space="preserve">ersonal </w:t>
      </w:r>
      <w:r w:rsidR="005F4E5F">
        <w:t>W</w:t>
      </w:r>
      <w:r w:rsidRPr="00B678C3">
        <w:t xml:space="preserve">ellbeing </w:t>
      </w:r>
      <w:r w:rsidR="005F4E5F">
        <w:t>I</w:t>
      </w:r>
      <w:r w:rsidRPr="00B678C3">
        <w:t>ndex</w:t>
      </w:r>
      <w:r w:rsidR="00CA13A9">
        <w:t xml:space="preserve"> </w:t>
      </w:r>
      <w:r w:rsidRPr="00B678C3">
        <w:t>score</w:t>
      </w:r>
      <w:bookmarkEnd w:id="4048"/>
      <w:bookmarkEnd w:id="4049"/>
    </w:p>
    <w:p w14:paraId="0D19D8E0" w14:textId="42F18742" w:rsidR="00FD2CDF" w:rsidRPr="00FD2CDF" w:rsidRDefault="00FD2CDF" w:rsidP="00FD2CDF">
      <w:r>
        <w:rPr>
          <w:noProof/>
        </w:rPr>
        <w:drawing>
          <wp:inline distT="0" distB="0" distL="0" distR="0" wp14:anchorId="7A9DD760" wp14:editId="09ADF049">
            <wp:extent cx="4681450" cy="2571750"/>
            <wp:effectExtent l="0" t="0" r="5080" b="0"/>
            <wp:docPr id="49" name="Picture 49" descr="National Average 15-24 year olds 2020, 75.1; TtW, 71.1; Comparison 65.6 (significantly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National Average 15-24 year olds 2020, 75.1; TtW, 71.1; Comparison 65.6 (significantly differen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99284" cy="2581547"/>
                    </a:xfrm>
                    <a:prstGeom prst="rect">
                      <a:avLst/>
                    </a:prstGeom>
                    <a:noFill/>
                  </pic:spPr>
                </pic:pic>
              </a:graphicData>
            </a:graphic>
          </wp:inline>
        </w:drawing>
      </w:r>
    </w:p>
    <w:p w14:paraId="68AD434A" w14:textId="5AF14135" w:rsidR="00700D57" w:rsidRPr="00862FA5" w:rsidRDefault="00700D57" w:rsidP="00700D57">
      <w:pPr>
        <w:pStyle w:val="SourceandNotes"/>
        <w:rPr>
          <w:strike/>
        </w:rPr>
      </w:pPr>
      <w:r>
        <w:t xml:space="preserve">Source: National </w:t>
      </w:r>
      <w:r w:rsidR="00450959">
        <w:t>a</w:t>
      </w:r>
      <w:r>
        <w:t>verage</w:t>
      </w:r>
      <w:r w:rsidR="00450959">
        <w:t>,</w:t>
      </w:r>
      <w:r>
        <w:t xml:space="preserve"> AIHW (2021) </w:t>
      </w:r>
      <w:r w:rsidRPr="007C2B81">
        <w:t>HILDA Survey</w:t>
      </w:r>
      <w:r w:rsidR="00450959">
        <w:t>;</w:t>
      </w:r>
      <w:r>
        <w:t xml:space="preserve"> TtW and jobactive</w:t>
      </w:r>
      <w:r w:rsidR="00450959">
        <w:t>,</w:t>
      </w:r>
      <w:r>
        <w:t xml:space="preserve"> </w:t>
      </w:r>
      <w:r w:rsidR="00450959">
        <w:t>p</w:t>
      </w:r>
      <w:r>
        <w:t xml:space="preserve">articipant </w:t>
      </w:r>
      <w:r w:rsidR="00A86EEA">
        <w:t>s</w:t>
      </w:r>
      <w:r>
        <w:t>urvey</w:t>
      </w:r>
      <w:r w:rsidR="00450959">
        <w:t xml:space="preserve"> 2021</w:t>
      </w:r>
    </w:p>
    <w:p w14:paraId="1C0EBA61" w14:textId="745F78B9" w:rsidR="002549DB" w:rsidRPr="00560D18" w:rsidRDefault="002549DB" w:rsidP="002549DB">
      <w:pPr>
        <w:pStyle w:val="SourceandNotes"/>
        <w:rPr>
          <w:strike/>
        </w:rPr>
      </w:pPr>
      <w:r w:rsidRPr="00560D18">
        <w:t>QHC2. Turning now to various areas of your life.</w:t>
      </w:r>
      <w:r>
        <w:t xml:space="preserve"> </w:t>
      </w:r>
      <w:r w:rsidRPr="00560D18">
        <w:t>Please answer use a scale from 0 to 10, where 0 is completely dissatisfied and 10 is completely satisfied</w:t>
      </w:r>
      <w:r>
        <w:t>.</w:t>
      </w:r>
    </w:p>
    <w:p w14:paraId="7C10CBA3" w14:textId="678ED371" w:rsidR="002549DB" w:rsidRDefault="002549DB" w:rsidP="002549DB">
      <w:pPr>
        <w:pStyle w:val="SourceandNotes"/>
      </w:pPr>
      <w:r w:rsidRPr="00862FA5">
        <w:t>Base: All respondents</w:t>
      </w:r>
      <w:r w:rsidR="00F8391B">
        <w:t xml:space="preserve"> – </w:t>
      </w:r>
      <w:r w:rsidRPr="00862FA5">
        <w:t>TtW participants (n=1,502), jobactive participants (n=580)</w:t>
      </w:r>
    </w:p>
    <w:p w14:paraId="4BE6001D" w14:textId="6D529115" w:rsidR="002549DB" w:rsidRDefault="002549DB" w:rsidP="002549DB">
      <w:pPr>
        <w:pStyle w:val="SourceandNotes"/>
      </w:pPr>
      <w:r w:rsidRPr="00D14A39">
        <w:rPr>
          <w:color w:val="FF0000"/>
        </w:rPr>
        <w:t>*</w:t>
      </w:r>
      <w:r>
        <w:t>R</w:t>
      </w:r>
      <w:r w:rsidRPr="00D14A39">
        <w:t>esult is significantly different to TtW participants (</w:t>
      </w:r>
      <w:r w:rsidRPr="00C239FD">
        <w:rPr>
          <w:i/>
          <w:iCs/>
        </w:rPr>
        <w:t>p</w:t>
      </w:r>
      <w:r w:rsidRPr="00D14A39">
        <w:t>&lt;0.05)</w:t>
      </w:r>
    </w:p>
    <w:p w14:paraId="519F44BB" w14:textId="1A608245" w:rsidR="002549DB" w:rsidRPr="00992D8A" w:rsidRDefault="002549DB" w:rsidP="00CD7319">
      <w:pPr>
        <w:pStyle w:val="Heading5"/>
        <w:numPr>
          <w:ilvl w:val="0"/>
          <w:numId w:val="0"/>
        </w:numPr>
        <w:ind w:left="1008" w:hanging="1008"/>
      </w:pPr>
      <w:r w:rsidRPr="00992D8A">
        <w:t>Calculation of the impact of TtW on participants</w:t>
      </w:r>
      <w:r w:rsidR="00F8391B">
        <w:t>’</w:t>
      </w:r>
      <w:r w:rsidRPr="00992D8A">
        <w:t xml:space="preserve"> wellbeing</w:t>
      </w:r>
    </w:p>
    <w:p w14:paraId="661C9EDC" w14:textId="77777777" w:rsidR="002549DB" w:rsidRDefault="002549DB" w:rsidP="002549DB">
      <w:pPr>
        <w:keepNext/>
        <w:ind w:left="426"/>
      </w:pPr>
      <w:r>
        <w:t>(TtW PWI – comparison group PWI) = per person wellbeing impact</w:t>
      </w:r>
    </w:p>
    <w:p w14:paraId="73075175" w14:textId="4B1EF887" w:rsidR="002549DB" w:rsidRDefault="002549DB" w:rsidP="002549DB">
      <w:pPr>
        <w:ind w:left="426"/>
      </w:pPr>
      <w:r>
        <w:t>(71.1</w:t>
      </w:r>
      <w:r w:rsidR="005C728B">
        <w:t xml:space="preserve"> – </w:t>
      </w:r>
      <w:r>
        <w:t>65.6) = 5.5 points (100</w:t>
      </w:r>
      <w:r w:rsidR="005C728B">
        <w:t>-</w:t>
      </w:r>
      <w:r>
        <w:t>point scale)</w:t>
      </w:r>
    </w:p>
    <w:p w14:paraId="7ACCF926" w14:textId="77777777" w:rsidR="002549DB" w:rsidRDefault="002549DB" w:rsidP="00CA13A9">
      <w:r>
        <w:t>An improvement in subjective wellbeing of 5.5 points can be attributed to participation in TtW. We assume that the wellbeing impact attributable to TtW remains relevant for at least 6 months.</w:t>
      </w:r>
    </w:p>
    <w:p w14:paraId="247F2C8E" w14:textId="08F28D87" w:rsidR="002549DB" w:rsidRDefault="00F36FF4" w:rsidP="00CD7319">
      <w:pPr>
        <w:pStyle w:val="Heading4"/>
        <w:numPr>
          <w:ilvl w:val="0"/>
          <w:numId w:val="0"/>
        </w:numPr>
        <w:ind w:left="864" w:hanging="864"/>
      </w:pPr>
      <w:bookmarkStart w:id="4050" w:name="_Toc105427813"/>
      <w:r>
        <w:t>C</w:t>
      </w:r>
      <w:r w:rsidR="002549DB" w:rsidRPr="00CC7F95">
        <w:t>alculating</w:t>
      </w:r>
      <w:r w:rsidR="002549DB">
        <w:t xml:space="preserve"> the value of changes in wellbeing</w:t>
      </w:r>
      <w:bookmarkEnd w:id="4050"/>
    </w:p>
    <w:p w14:paraId="3DDCFFE7" w14:textId="40C17E32" w:rsidR="002549DB" w:rsidRDefault="002549DB" w:rsidP="002549DB">
      <w:r>
        <w:t xml:space="preserve">As noted above, different measurement techniques and contexts result in different values being calculated for the monetary value of changes in wellbeing. </w:t>
      </w:r>
      <w:r w:rsidRPr="00C70649">
        <w:t>The benefit of an additional unit of wellbeing to an individual has also been shown to depend on their original level of wellbeing</w:t>
      </w:r>
      <w:r>
        <w:t xml:space="preserve">, and the direction in which the wellbeing is moving (a loss in wellbeing has been shown to have a higher </w:t>
      </w:r>
      <w:r w:rsidR="00F8391B">
        <w:t>‘</w:t>
      </w:r>
      <w:r>
        <w:t>cost</w:t>
      </w:r>
      <w:r w:rsidR="005C728B">
        <w:t>’</w:t>
      </w:r>
      <w:r>
        <w:t xml:space="preserve"> than the value of the same size increase in wellbeing)</w:t>
      </w:r>
      <w:r w:rsidRPr="00C70649">
        <w:t>. In order to estimate the value of the change in wellbeing, this research undertook a literature review to identified recent studies that attempt to value changes in wellbeing</w:t>
      </w:r>
      <w:r>
        <w:t>, and these values were used to determine a range in the value of wellbeing changes</w:t>
      </w:r>
      <w:r w:rsidRPr="006C12A3">
        <w:t xml:space="preserve">. </w:t>
      </w:r>
      <w:r w:rsidRPr="004A440A">
        <w:rPr>
          <w:b/>
          <w:bCs/>
        </w:rPr>
        <w:t xml:space="preserve">Table </w:t>
      </w:r>
      <w:r w:rsidR="00F45B1D">
        <w:rPr>
          <w:b/>
          <w:bCs/>
        </w:rPr>
        <w:t>26</w:t>
      </w:r>
      <w:r w:rsidR="006C12A3" w:rsidRPr="006C12A3">
        <w:t xml:space="preserve"> </w:t>
      </w:r>
      <w:r w:rsidRPr="006C12A3">
        <w:t>presents</w:t>
      </w:r>
      <w:r>
        <w:t xml:space="preserve"> a summary of values identified from these sources.</w:t>
      </w:r>
    </w:p>
    <w:p w14:paraId="62522339" w14:textId="51DE1756" w:rsidR="002549DB" w:rsidRDefault="002549DB" w:rsidP="002549DB">
      <w:r w:rsidRPr="00B870C8">
        <w:t>Cummins et al (2021)</w:t>
      </w:r>
      <w:r w:rsidRPr="0086057E">
        <w:rPr>
          <w:rStyle w:val="FootnoteReference"/>
        </w:rPr>
        <w:footnoteReference w:id="127"/>
      </w:r>
      <w:r>
        <w:t xml:space="preserve"> used survey data collected between 2016</w:t>
      </w:r>
      <w:r w:rsidR="00E3270C">
        <w:t xml:space="preserve"> and </w:t>
      </w:r>
      <w:r>
        <w:t>2020 for individuals across Australia that included PWI and income data. They found a strong association between wellbeing and income, with data demonstrating that for Australians as a whole, higher wellbeing is associated with higher household income until it reaches the $100,000</w:t>
      </w:r>
      <w:r w:rsidR="00F8391B">
        <w:t>–</w:t>
      </w:r>
      <w:r>
        <w:t>$150,000 p</w:t>
      </w:r>
      <w:r w:rsidR="00E3270C">
        <w:t>er annum</w:t>
      </w:r>
      <w:r>
        <w:t xml:space="preserve"> range, whe</w:t>
      </w:r>
      <w:r w:rsidR="00E3270C">
        <w:t>n</w:t>
      </w:r>
      <w:r>
        <w:t xml:space="preserve"> the </w:t>
      </w:r>
      <w:r>
        <w:lastRenderedPageBreak/>
        <w:t>relationship between income and wellbeing becomes weaker. People living on a gross household income of $60,000 p</w:t>
      </w:r>
      <w:r w:rsidR="00E3270C">
        <w:t>er annum</w:t>
      </w:r>
      <w:r>
        <w:t xml:space="preserve"> or less struggled to reach the average level of wellbeing (the average range of PWI since 2001 has been 74–78, with no particular pattern). This is consistent with the law of diminishing marginal utility of income</w:t>
      </w:r>
      <w:r w:rsidR="00E3270C">
        <w:t>, which</w:t>
      </w:r>
      <w:r>
        <w:t xml:space="preserve"> demonstrates that increases in income improve reported quality of life more for those on lower incomes than for those on higher incomes (</w:t>
      </w:r>
      <w:r w:rsidRPr="00EE6BC8">
        <w:rPr>
          <w:b/>
          <w:bCs/>
        </w:rPr>
        <w:t>Layard et al 2008</w:t>
      </w:r>
      <w:r>
        <w:t>)</w:t>
      </w:r>
      <w:r w:rsidR="00E3270C">
        <w:t>.</w:t>
      </w:r>
      <w:r>
        <w:rPr>
          <w:rStyle w:val="FootnoteReference"/>
        </w:rPr>
        <w:footnoteReference w:id="128"/>
      </w:r>
      <w:r>
        <w:t xml:space="preserve"> The research found that </w:t>
      </w:r>
      <w:r w:rsidR="00F8391B">
        <w:t>‘</w:t>
      </w:r>
      <w:r>
        <w:t>for those on a household income of less than $15,000</w:t>
      </w:r>
      <w:r w:rsidR="00393D2C">
        <w:t>,</w:t>
      </w:r>
      <w:r>
        <w:rPr>
          <w:rStyle w:val="FootnoteReference"/>
        </w:rPr>
        <w:footnoteReference w:id="129"/>
      </w:r>
      <w:r>
        <w:t xml:space="preserve"> a single wellbeing percentage point costs $3,659</w:t>
      </w:r>
      <w:r w:rsidR="00F8391B">
        <w:t>’</w:t>
      </w:r>
      <w:r>
        <w:t xml:space="preserve"> (i.e. using a 100</w:t>
      </w:r>
      <w:r w:rsidR="0094193C">
        <w:t>-</w:t>
      </w:r>
      <w:r>
        <w:t>point scale).</w:t>
      </w:r>
    </w:p>
    <w:p w14:paraId="041E278A" w14:textId="5FBC1B41" w:rsidR="002549DB" w:rsidRDefault="002549DB" w:rsidP="002549DB">
      <w:r>
        <w:t>Stanley et al (2021)</w:t>
      </w:r>
      <w:r>
        <w:rPr>
          <w:rStyle w:val="FootnoteReference"/>
        </w:rPr>
        <w:footnoteReference w:id="130"/>
      </w:r>
      <w:r>
        <w:t xml:space="preserve"> used standard and generalised ordered logit models to examine data from the 2006 ABS Census of Population and Housing General Community Profile and results from in-depth research undertaken in Victoria in 2008 focusing on social exclusion (aged 18</w:t>
      </w:r>
      <w:r w:rsidR="00B94098">
        <w:t>–</w:t>
      </w:r>
      <w:r>
        <w:t xml:space="preserve">39). Using the </w:t>
      </w:r>
      <w:r w:rsidR="00B94098">
        <w:t>PWI</w:t>
      </w:r>
      <w:r>
        <w:t xml:space="preserve"> (using an averaged 10-point scale), Stanley et al found that </w:t>
      </w:r>
      <w:r w:rsidR="00F8391B">
        <w:t>‘</w:t>
      </w:r>
      <w:r>
        <w:t>increasing a person</w:t>
      </w:r>
      <w:r w:rsidR="00F8391B">
        <w:t>’</w:t>
      </w:r>
      <w:r>
        <w:t>s subjective wellbeing by one unit was equivalent to giving them an extra AUD$124/day (2008 prices), about half the sample average household income (AUD$240/day)</w:t>
      </w:r>
      <w:r w:rsidR="00F8391B">
        <w:t>’</w:t>
      </w:r>
      <w:r>
        <w:t xml:space="preserve">. Over </w:t>
      </w:r>
      <w:r w:rsidR="00F8391B">
        <w:t>6</w:t>
      </w:r>
      <w:r>
        <w:t xml:space="preserve"> months, this is equivalent to $22,620 (2008 prices).</w:t>
      </w:r>
    </w:p>
    <w:p w14:paraId="13DF86D8" w14:textId="6A3BD18F" w:rsidR="002549DB" w:rsidRDefault="002549DB" w:rsidP="002549DB">
      <w:r>
        <w:t>Biddle et al (2020)</w:t>
      </w:r>
      <w:r>
        <w:rPr>
          <w:rStyle w:val="FootnoteReference"/>
        </w:rPr>
        <w:footnoteReference w:id="131"/>
      </w:r>
      <w:r>
        <w:t xml:space="preserve"> examined the impact of COVID-19 on people</w:t>
      </w:r>
      <w:r w:rsidR="00F8391B">
        <w:t>’</w:t>
      </w:r>
      <w:r>
        <w:t>s life satisfaction, through surveys undertaken in October 2019, January 2020 and April 2020. Using quadratic regression, they estimated that the reduction they observed in life satisfaction (using a 10</w:t>
      </w:r>
      <w:r w:rsidR="00F76106">
        <w:t>-</w:t>
      </w:r>
      <w:r>
        <w:t xml:space="preserve">point scale) from 6.90 to 6.40 was equivalent to a </w:t>
      </w:r>
      <w:r w:rsidR="00F76106">
        <w:t xml:space="preserve">reduction </w:t>
      </w:r>
      <w:r>
        <w:t>in income of $581 per person per week. A one</w:t>
      </w:r>
      <w:r w:rsidR="00F76106">
        <w:t>-</w:t>
      </w:r>
      <w:r>
        <w:t>point decrease would be equivalent to $1,452.50/person/week, or $37,765/person over 6 months).</w:t>
      </w:r>
    </w:p>
    <w:p w14:paraId="0144B84E" w14:textId="13E34E7E" w:rsidR="002549DB" w:rsidRDefault="002549DB" w:rsidP="002549DB">
      <w:r w:rsidRPr="00B870C8">
        <w:t>UK Treasury (2021a)</w:t>
      </w:r>
      <w:r>
        <w:t xml:space="preserve"> used a linear conversion with a range of values, based on </w:t>
      </w:r>
      <w:r w:rsidR="004632B5">
        <w:t>q</w:t>
      </w:r>
      <w:r>
        <w:t xml:space="preserve">uality of </w:t>
      </w:r>
      <w:r w:rsidR="004632B5">
        <w:t>l</w:t>
      </w:r>
      <w:r>
        <w:t xml:space="preserve">ife and </w:t>
      </w:r>
      <w:r w:rsidR="004632B5">
        <w:t>w</w:t>
      </w:r>
      <w:r>
        <w:t xml:space="preserve">illingness to </w:t>
      </w:r>
      <w:r w:rsidR="004632B5">
        <w:t>p</w:t>
      </w:r>
      <w:r>
        <w:t>ay evidence, and concluded that a change in life satisfaction of one unit (on a 10</w:t>
      </w:r>
      <w:r w:rsidR="00126069">
        <w:t>-</w:t>
      </w:r>
      <w:r>
        <w:t>point scale) per year was valued at $11,528</w:t>
      </w:r>
      <w:r w:rsidR="00393D2C">
        <w:t>.</w:t>
      </w:r>
      <w:r>
        <w:rPr>
          <w:rStyle w:val="FootnoteReference"/>
        </w:rPr>
        <w:footnoteReference w:id="132"/>
      </w:r>
    </w:p>
    <w:p w14:paraId="445F45C7" w14:textId="1F5514A5" w:rsidR="002549DB" w:rsidRDefault="002549DB" w:rsidP="00046630">
      <w:pPr>
        <w:pStyle w:val="Caption"/>
        <w:keepNext/>
        <w:keepLines/>
      </w:pPr>
      <w:bookmarkStart w:id="4051" w:name="_Toc132647804"/>
      <w:bookmarkStart w:id="4052" w:name="_Toc145877318"/>
      <w:r>
        <w:lastRenderedPageBreak/>
        <w:t xml:space="preserve">Table </w:t>
      </w:r>
      <w:r>
        <w:fldChar w:fldCharType="begin"/>
      </w:r>
      <w:r>
        <w:instrText>SEQ Table \* ARABIC</w:instrText>
      </w:r>
      <w:r>
        <w:fldChar w:fldCharType="separate"/>
      </w:r>
      <w:r w:rsidR="00180E14">
        <w:rPr>
          <w:noProof/>
        </w:rPr>
        <w:t>29</w:t>
      </w:r>
      <w:r>
        <w:fldChar w:fldCharType="end"/>
      </w:r>
      <w:r>
        <w:t>: Values ascribed to a one</w:t>
      </w:r>
      <w:r w:rsidR="00126069">
        <w:t>-</w:t>
      </w:r>
      <w:r>
        <w:t>point change in wellbeing (10</w:t>
      </w:r>
      <w:r w:rsidR="00126069">
        <w:t>-</w:t>
      </w:r>
      <w:r>
        <w:t>point scale)</w:t>
      </w:r>
      <w:bookmarkEnd w:id="4051"/>
      <w:bookmarkEnd w:id="4052"/>
    </w:p>
    <w:tbl>
      <w:tblPr>
        <w:tblStyle w:val="GridTable4"/>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5811"/>
      </w:tblGrid>
      <w:tr w:rsidR="000C16FD" w:rsidRPr="0096560E" w14:paraId="57915DD8" w14:textId="77777777" w:rsidTr="00C239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5D7A38"/>
          </w:tcPr>
          <w:p w14:paraId="1604BB0A" w14:textId="77777777" w:rsidR="002549DB" w:rsidRPr="00C239FD" w:rsidRDefault="002549DB" w:rsidP="00046630">
            <w:pPr>
              <w:keepNext/>
              <w:keepLines/>
              <w:rPr>
                <w:sz w:val="20"/>
                <w:szCs w:val="20"/>
              </w:rPr>
            </w:pPr>
            <w:bookmarkStart w:id="4053" w:name="_Hlk122365282"/>
            <w:r w:rsidRPr="00C239FD">
              <w:rPr>
                <w:sz w:val="20"/>
                <w:szCs w:val="20"/>
              </w:rPr>
              <w:t>Author</w:t>
            </w:r>
          </w:p>
        </w:tc>
        <w:tc>
          <w:tcPr>
            <w:tcW w:w="0" w:type="dxa"/>
            <w:shd w:val="clear" w:color="auto" w:fill="5D7A38"/>
          </w:tcPr>
          <w:p w14:paraId="4E88221C" w14:textId="600994D2" w:rsidR="002549DB" w:rsidRPr="00C239FD" w:rsidRDefault="002549DB" w:rsidP="00046630">
            <w:pPr>
              <w:keepNext/>
              <w:keepLines/>
              <w:jc w:val="right"/>
              <w:cnfStyle w:val="100000000000" w:firstRow="1" w:lastRow="0" w:firstColumn="0" w:lastColumn="0" w:oddVBand="0" w:evenVBand="0" w:oddHBand="0" w:evenHBand="0" w:firstRowFirstColumn="0" w:firstRowLastColumn="0" w:lastRowFirstColumn="0" w:lastRowLastColumn="0"/>
              <w:rPr>
                <w:sz w:val="20"/>
                <w:szCs w:val="20"/>
              </w:rPr>
            </w:pPr>
            <w:r w:rsidRPr="00C239FD">
              <w:rPr>
                <w:sz w:val="20"/>
                <w:szCs w:val="20"/>
              </w:rPr>
              <w:t>Value associated with a one</w:t>
            </w:r>
            <w:r w:rsidR="00126069" w:rsidRPr="00C239FD">
              <w:rPr>
                <w:sz w:val="20"/>
                <w:szCs w:val="20"/>
              </w:rPr>
              <w:t>-</w:t>
            </w:r>
            <w:r w:rsidRPr="00C239FD">
              <w:rPr>
                <w:sz w:val="20"/>
                <w:szCs w:val="20"/>
              </w:rPr>
              <w:t>point change in wellbeing (10</w:t>
            </w:r>
            <w:r w:rsidR="00AC3EFD" w:rsidRPr="00C239FD">
              <w:rPr>
                <w:sz w:val="20"/>
                <w:szCs w:val="20"/>
              </w:rPr>
              <w:noBreakHyphen/>
            </w:r>
            <w:r w:rsidRPr="00C239FD">
              <w:rPr>
                <w:sz w:val="20"/>
                <w:szCs w:val="20"/>
              </w:rPr>
              <w:t>point scale, 2020 dollars)</w:t>
            </w:r>
            <w:r w:rsidRPr="00C239FD">
              <w:rPr>
                <w:sz w:val="20"/>
                <w:szCs w:val="20"/>
                <w:vertAlign w:val="superscript"/>
              </w:rPr>
              <w:t>a</w:t>
            </w:r>
          </w:p>
        </w:tc>
      </w:tr>
      <w:tr w:rsidR="000C16FD" w:rsidRPr="0096560E" w14:paraId="74B16B8E"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ECA00DB" w14:textId="048CB8CA" w:rsidR="002549DB" w:rsidRPr="00C239FD" w:rsidRDefault="00825E4A" w:rsidP="00046630">
            <w:pPr>
              <w:keepNext/>
              <w:keepLines/>
              <w:rPr>
                <w:b w:val="0"/>
                <w:bCs w:val="0"/>
                <w:sz w:val="20"/>
                <w:szCs w:val="20"/>
              </w:rPr>
            </w:pPr>
            <w:r w:rsidRPr="00C239FD">
              <w:rPr>
                <w:sz w:val="20"/>
                <w:szCs w:val="20"/>
              </w:rPr>
              <w:t xml:space="preserve">HM </w:t>
            </w:r>
            <w:r w:rsidR="002549DB" w:rsidRPr="00C239FD">
              <w:rPr>
                <w:sz w:val="20"/>
                <w:szCs w:val="20"/>
              </w:rPr>
              <w:t>Treasury (2021a)</w:t>
            </w:r>
          </w:p>
        </w:tc>
        <w:tc>
          <w:tcPr>
            <w:tcW w:w="0" w:type="dxa"/>
          </w:tcPr>
          <w:p w14:paraId="268FC626" w14:textId="77777777" w:rsidR="002549DB" w:rsidRPr="00C239FD" w:rsidRDefault="002549DB" w:rsidP="00046630">
            <w:pPr>
              <w:keepNext/>
              <w:keepLines/>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b/>
                <w:bCs/>
                <w:sz w:val="20"/>
                <w:szCs w:val="20"/>
              </w:rPr>
              <w:t>$5,764</w:t>
            </w:r>
            <w:r w:rsidRPr="00C239FD">
              <w:rPr>
                <w:sz w:val="20"/>
                <w:szCs w:val="20"/>
              </w:rPr>
              <w:t xml:space="preserve">/person/6 months </w:t>
            </w:r>
          </w:p>
        </w:tc>
      </w:tr>
      <w:tr w:rsidR="00F74DEF" w:rsidRPr="0096560E" w14:paraId="57A75D71" w14:textId="77777777" w:rsidTr="009251AF">
        <w:tc>
          <w:tcPr>
            <w:cnfStyle w:val="001000000000" w:firstRow="0" w:lastRow="0" w:firstColumn="1" w:lastColumn="0" w:oddVBand="0" w:evenVBand="0" w:oddHBand="0" w:evenHBand="0" w:firstRowFirstColumn="0" w:firstRowLastColumn="0" w:lastRowFirstColumn="0" w:lastRowLastColumn="0"/>
            <w:tcW w:w="0" w:type="dxa"/>
          </w:tcPr>
          <w:p w14:paraId="557818ED" w14:textId="7573F266" w:rsidR="002549DB" w:rsidRPr="00C239FD" w:rsidRDefault="002549DB" w:rsidP="00046630">
            <w:pPr>
              <w:keepNext/>
              <w:keepLines/>
              <w:rPr>
                <w:b w:val="0"/>
                <w:bCs w:val="0"/>
                <w:sz w:val="20"/>
                <w:szCs w:val="20"/>
              </w:rPr>
            </w:pPr>
            <w:r w:rsidRPr="00C239FD">
              <w:rPr>
                <w:sz w:val="20"/>
                <w:szCs w:val="20"/>
              </w:rPr>
              <w:t>Stanley et al (2021)</w:t>
            </w:r>
          </w:p>
        </w:tc>
        <w:tc>
          <w:tcPr>
            <w:tcW w:w="0" w:type="dxa"/>
          </w:tcPr>
          <w:p w14:paraId="7B611D20" w14:textId="77777777" w:rsidR="002549DB" w:rsidRPr="00C239FD" w:rsidRDefault="002549DB" w:rsidP="00046630">
            <w:pPr>
              <w:keepNext/>
              <w:keepLines/>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 xml:space="preserve">$28,623/person/6 months </w:t>
            </w:r>
          </w:p>
        </w:tc>
      </w:tr>
      <w:tr w:rsidR="000C16FD" w:rsidRPr="0096560E" w14:paraId="79485ED6"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AB8ABF7" w14:textId="02F26A40" w:rsidR="002549DB" w:rsidRPr="00C239FD" w:rsidRDefault="002549DB" w:rsidP="00046630">
            <w:pPr>
              <w:keepNext/>
              <w:keepLines/>
              <w:rPr>
                <w:b w:val="0"/>
                <w:bCs w:val="0"/>
                <w:sz w:val="20"/>
                <w:szCs w:val="20"/>
              </w:rPr>
            </w:pPr>
            <w:r w:rsidRPr="00C239FD">
              <w:rPr>
                <w:sz w:val="20"/>
                <w:szCs w:val="20"/>
              </w:rPr>
              <w:t>Cummins et</w:t>
            </w:r>
            <w:r w:rsidR="00851DB0" w:rsidRPr="00C239FD">
              <w:rPr>
                <w:sz w:val="20"/>
                <w:szCs w:val="20"/>
              </w:rPr>
              <w:t xml:space="preserve"> </w:t>
            </w:r>
            <w:r w:rsidRPr="00C239FD">
              <w:rPr>
                <w:sz w:val="20"/>
                <w:szCs w:val="20"/>
              </w:rPr>
              <w:t>a</w:t>
            </w:r>
            <w:r w:rsidR="00851DB0" w:rsidRPr="00C239FD">
              <w:rPr>
                <w:sz w:val="20"/>
                <w:szCs w:val="20"/>
              </w:rPr>
              <w:t>l</w:t>
            </w:r>
            <w:r w:rsidRPr="00C239FD">
              <w:rPr>
                <w:sz w:val="20"/>
                <w:szCs w:val="20"/>
              </w:rPr>
              <w:t xml:space="preserve"> (2021)</w:t>
            </w:r>
          </w:p>
        </w:tc>
        <w:tc>
          <w:tcPr>
            <w:tcW w:w="0" w:type="dxa"/>
          </w:tcPr>
          <w:p w14:paraId="29A9FC7F" w14:textId="28E2CC21" w:rsidR="002549DB" w:rsidRPr="00C239FD" w:rsidRDefault="002549DB" w:rsidP="00046630">
            <w:pPr>
              <w:keepNext/>
              <w:keepLines/>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$36,590/person</w:t>
            </w:r>
            <w:r w:rsidRPr="00C239FD">
              <w:rPr>
                <w:sz w:val="20"/>
                <w:szCs w:val="20"/>
                <w:vertAlign w:val="superscript"/>
              </w:rPr>
              <w:t>b</w:t>
            </w:r>
            <w:r w:rsidRPr="00C239FD">
              <w:rPr>
                <w:sz w:val="20"/>
                <w:szCs w:val="20"/>
              </w:rPr>
              <w:t xml:space="preserve"> </w:t>
            </w:r>
          </w:p>
        </w:tc>
      </w:tr>
      <w:tr w:rsidR="000C16FD" w:rsidRPr="0096560E" w14:paraId="0D596887" w14:textId="77777777" w:rsidTr="009251AF">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686B3B9D" w14:textId="4F9F64CA" w:rsidR="002549DB" w:rsidRPr="00C239FD" w:rsidRDefault="002549DB" w:rsidP="00046630">
            <w:pPr>
              <w:keepNext/>
              <w:keepLines/>
              <w:rPr>
                <w:b w:val="0"/>
                <w:bCs w:val="0"/>
                <w:sz w:val="20"/>
                <w:szCs w:val="20"/>
              </w:rPr>
            </w:pPr>
            <w:r w:rsidRPr="00C239FD">
              <w:rPr>
                <w:sz w:val="20"/>
                <w:szCs w:val="20"/>
              </w:rPr>
              <w:t>Biddle et al (2020)</w:t>
            </w:r>
          </w:p>
        </w:tc>
        <w:tc>
          <w:tcPr>
            <w:tcW w:w="0" w:type="dxa"/>
            <w:tcBorders>
              <w:bottom w:val="single" w:sz="4" w:space="0" w:color="auto"/>
            </w:tcBorders>
          </w:tcPr>
          <w:p w14:paraId="74DAEA3F" w14:textId="77777777" w:rsidR="002549DB" w:rsidRPr="00C239FD" w:rsidRDefault="002549DB" w:rsidP="00046630">
            <w:pPr>
              <w:keepNext/>
              <w:keepLines/>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b/>
                <w:bCs/>
                <w:sz w:val="20"/>
                <w:szCs w:val="20"/>
              </w:rPr>
              <w:t>$37,765</w:t>
            </w:r>
            <w:r w:rsidRPr="00C239FD">
              <w:rPr>
                <w:sz w:val="20"/>
                <w:szCs w:val="20"/>
              </w:rPr>
              <w:t xml:space="preserve">/person/6 months </w:t>
            </w:r>
          </w:p>
        </w:tc>
      </w:tr>
    </w:tbl>
    <w:bookmarkEnd w:id="4053"/>
    <w:p w14:paraId="3A0BBD6A" w14:textId="77777777" w:rsidR="002549DB" w:rsidRDefault="002549DB" w:rsidP="00046630">
      <w:pPr>
        <w:pStyle w:val="SourceandNotes"/>
        <w:keepLines/>
      </w:pPr>
      <w:r>
        <w:t xml:space="preserve">Notes: </w:t>
      </w:r>
    </w:p>
    <w:p w14:paraId="6F6E5216" w14:textId="77777777" w:rsidR="002549DB" w:rsidRPr="00A15B40" w:rsidRDefault="002549DB" w:rsidP="00046630">
      <w:pPr>
        <w:pStyle w:val="SourceandNotes"/>
        <w:keepLines/>
      </w:pPr>
      <w:r w:rsidRPr="00C239FD">
        <w:t>a</w:t>
      </w:r>
      <w:r w:rsidRPr="00A15B40">
        <w:t xml:space="preserve"> All amounts were converted to 2020 dollars. To convert to 2021 dollars: $ amount x end period CPI/initial period CPI. CPI data sourced from </w:t>
      </w:r>
      <w:hyperlink r:id="rId127" w:history="1">
        <w:r w:rsidRPr="00A15B40">
          <w:rPr>
            <w:rStyle w:val="Hyperlink"/>
            <w:rFonts w:eastAsiaTheme="majorEastAsia"/>
          </w:rPr>
          <w:t>Consumer price index (CPI) rates | Australian Taxation Office (ato.gov.au)</w:t>
        </w:r>
      </w:hyperlink>
      <w:r w:rsidRPr="00A15B40">
        <w:t>. Annual CPI calculated as average over the 4 periods.</w:t>
      </w:r>
    </w:p>
    <w:p w14:paraId="76501A3D" w14:textId="77777777" w:rsidR="002549DB" w:rsidRPr="00A15B40" w:rsidRDefault="002549DB" w:rsidP="00046630">
      <w:pPr>
        <w:pStyle w:val="SourceandNotes"/>
        <w:keepLines/>
      </w:pPr>
      <w:r w:rsidRPr="00C239FD">
        <w:t>b</w:t>
      </w:r>
      <w:r w:rsidRPr="00A15B40">
        <w:t xml:space="preserve"> Transposing the percentage point change into a 10-point scale for equivalence.</w:t>
      </w:r>
    </w:p>
    <w:p w14:paraId="7A0B86ED" w14:textId="77777777" w:rsidR="002549DB" w:rsidRDefault="002549DB" w:rsidP="002549DB">
      <w:r>
        <w:t>This research presents the value of wellbeing as a range, taking into account the highest and lowest values for wellbeing identified in the literature.</w:t>
      </w:r>
    </w:p>
    <w:p w14:paraId="27441A2D" w14:textId="5D14D86F" w:rsidR="002549DB" w:rsidRDefault="002549DB" w:rsidP="00CD7319">
      <w:pPr>
        <w:pStyle w:val="Heading4"/>
        <w:numPr>
          <w:ilvl w:val="0"/>
          <w:numId w:val="0"/>
        </w:numPr>
        <w:ind w:left="864" w:hanging="864"/>
      </w:pPr>
      <w:bookmarkStart w:id="4054" w:name="_Toc105427814"/>
      <w:r>
        <w:t>Estimating the monetary value of changes in wellbeing per participant</w:t>
      </w:r>
      <w:bookmarkEnd w:id="4054"/>
    </w:p>
    <w:p w14:paraId="7AACEF5C" w14:textId="73016054" w:rsidR="002549DB" w:rsidRDefault="00481F1D" w:rsidP="002549DB">
      <w:r>
        <w:t xml:space="preserve">It is assumed that the impact of the program on a participant lasts on average for 6 months. </w:t>
      </w:r>
      <w:r w:rsidR="002549DB">
        <w:t xml:space="preserve">Using the PWI results from the 2022 TtW </w:t>
      </w:r>
      <w:r w:rsidR="00A86EEA">
        <w:t>p</w:t>
      </w:r>
      <w:r w:rsidR="002549DB">
        <w:t xml:space="preserve">articipant </w:t>
      </w:r>
      <w:r w:rsidR="00A86EEA">
        <w:t>s</w:t>
      </w:r>
      <w:r w:rsidR="002549DB">
        <w:t>urvey and the methodology presented above, the value of improved wellbeing attributable to TtW was estimated to be</w:t>
      </w:r>
      <w:r>
        <w:t xml:space="preserve"> between </w:t>
      </w:r>
      <w:r w:rsidRPr="005F4A1E">
        <w:t>$</w:t>
      </w:r>
      <w:r>
        <w:t>3,170 and $20,774</w:t>
      </w:r>
      <w:r w:rsidRPr="005F4A1E">
        <w:t xml:space="preserve"> </w:t>
      </w:r>
      <w:r w:rsidR="002549DB">
        <w:t xml:space="preserve">per TtW participant, as outlined </w:t>
      </w:r>
      <w:r w:rsidR="002549DB" w:rsidRPr="006C12A3">
        <w:t xml:space="preserve">in </w:t>
      </w:r>
      <w:r w:rsidRPr="00CD7319">
        <w:rPr>
          <w:b/>
          <w:bCs/>
        </w:rPr>
        <w:fldChar w:fldCharType="begin"/>
      </w:r>
      <w:r w:rsidRPr="00481F1D">
        <w:rPr>
          <w:b/>
          <w:bCs/>
        </w:rPr>
        <w:instrText xml:space="preserve"> REF _Ref120190040 \h </w:instrText>
      </w:r>
      <w:r w:rsidRPr="00CD7319">
        <w:rPr>
          <w:b/>
          <w:bCs/>
        </w:rPr>
        <w:instrText xml:space="preserve"> \* MERGEFORMAT </w:instrText>
      </w:r>
      <w:r w:rsidRPr="00CD7319">
        <w:rPr>
          <w:b/>
          <w:bCs/>
        </w:rPr>
      </w:r>
      <w:r w:rsidRPr="00CD7319">
        <w:rPr>
          <w:b/>
          <w:bCs/>
        </w:rPr>
        <w:fldChar w:fldCharType="separate"/>
      </w:r>
      <w:r w:rsidR="00180E14" w:rsidRPr="00180E14">
        <w:rPr>
          <w:b/>
          <w:bCs/>
        </w:rPr>
        <w:t xml:space="preserve">Table </w:t>
      </w:r>
      <w:r w:rsidR="00180E14" w:rsidRPr="00180E14">
        <w:rPr>
          <w:b/>
          <w:bCs/>
          <w:noProof/>
        </w:rPr>
        <w:t>30</w:t>
      </w:r>
      <w:r w:rsidRPr="00CD7319">
        <w:rPr>
          <w:b/>
          <w:bCs/>
        </w:rPr>
        <w:fldChar w:fldCharType="end"/>
      </w:r>
      <w:r w:rsidR="002549DB" w:rsidRPr="00C239FD">
        <w:t>.</w:t>
      </w:r>
    </w:p>
    <w:p w14:paraId="57679368" w14:textId="1A234373" w:rsidR="002549DB" w:rsidRDefault="002549DB" w:rsidP="002549DB">
      <w:pPr>
        <w:pStyle w:val="Caption"/>
        <w:keepNext/>
      </w:pPr>
      <w:bookmarkStart w:id="4055" w:name="_Ref120190040"/>
      <w:bookmarkStart w:id="4056" w:name="_Toc132647805"/>
      <w:bookmarkStart w:id="4057" w:name="_Toc145877319"/>
      <w:r>
        <w:t xml:space="preserve">Table </w:t>
      </w:r>
      <w:r>
        <w:fldChar w:fldCharType="begin"/>
      </w:r>
      <w:r>
        <w:instrText>SEQ Table \* ARABIC</w:instrText>
      </w:r>
      <w:r>
        <w:fldChar w:fldCharType="separate"/>
      </w:r>
      <w:r w:rsidR="00180E14">
        <w:rPr>
          <w:noProof/>
        </w:rPr>
        <w:t>30</w:t>
      </w:r>
      <w:r>
        <w:fldChar w:fldCharType="end"/>
      </w:r>
      <w:bookmarkEnd w:id="4055"/>
      <w:r>
        <w:t>: Estimated value of improved wellbeing attributed to TtW, per person</w:t>
      </w:r>
      <w:bookmarkEnd w:id="4056"/>
      <w:bookmarkEnd w:id="4057"/>
    </w:p>
    <w:tbl>
      <w:tblPr>
        <w:tblStyle w:val="GridTable4"/>
        <w:tblW w:w="8931" w:type="dxa"/>
        <w:tblLook w:val="04A0" w:firstRow="1" w:lastRow="0" w:firstColumn="1" w:lastColumn="0" w:noHBand="0" w:noVBand="1"/>
      </w:tblPr>
      <w:tblGrid>
        <w:gridCol w:w="5288"/>
        <w:gridCol w:w="3643"/>
      </w:tblGrid>
      <w:tr w:rsidR="006E41FD" w:rsidRPr="00A06389" w14:paraId="7FC5C1C8" w14:textId="77777777" w:rsidTr="009251AF">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shd w:val="clear" w:color="auto" w:fill="D9D9D9" w:themeFill="background1" w:themeFillShade="D9"/>
          </w:tcPr>
          <w:p w14:paraId="3B8EE7B4" w14:textId="77777777" w:rsidR="002549DB" w:rsidRPr="00A06389" w:rsidRDefault="002549DB" w:rsidP="00D11E39">
            <w:pPr>
              <w:keepNext/>
              <w:rPr>
                <w:color w:val="000000" w:themeColor="text1"/>
                <w:sz w:val="20"/>
                <w:szCs w:val="20"/>
              </w:rPr>
            </w:pPr>
            <w:r w:rsidRPr="00A06389">
              <w:rPr>
                <w:color w:val="000000" w:themeColor="text1"/>
                <w:sz w:val="20"/>
                <w:szCs w:val="20"/>
              </w:rPr>
              <w:t>TtW PWI</w:t>
            </w:r>
          </w:p>
        </w:tc>
        <w:tc>
          <w:tcPr>
            <w:tcW w:w="0" w:type="dxa"/>
            <w:tcBorders>
              <w:top w:val="nil"/>
              <w:bottom w:val="nil"/>
              <w:right w:val="nil"/>
            </w:tcBorders>
            <w:shd w:val="clear" w:color="auto" w:fill="D9D9D9" w:themeFill="background1" w:themeFillShade="D9"/>
          </w:tcPr>
          <w:p w14:paraId="745BC5F2" w14:textId="77777777" w:rsidR="002549DB" w:rsidRPr="00A06389" w:rsidRDefault="002549DB" w:rsidP="00D11E39">
            <w:pPr>
              <w:keepNext/>
              <w:jc w:val="right"/>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A06389">
              <w:rPr>
                <w:b w:val="0"/>
                <w:bCs w:val="0"/>
                <w:color w:val="000000" w:themeColor="text1"/>
                <w:sz w:val="20"/>
                <w:szCs w:val="20"/>
              </w:rPr>
              <w:t>71.1</w:t>
            </w:r>
          </w:p>
        </w:tc>
      </w:tr>
      <w:tr w:rsidR="002549DB" w:rsidRPr="0096560E" w14:paraId="0EA44AA3" w14:textId="77777777" w:rsidTr="009251A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hideMark/>
          </w:tcPr>
          <w:p w14:paraId="60A81302" w14:textId="77777777" w:rsidR="002549DB" w:rsidRPr="00C239FD" w:rsidRDefault="002549DB" w:rsidP="00D11E39">
            <w:pPr>
              <w:keepNext/>
              <w:rPr>
                <w:sz w:val="20"/>
                <w:szCs w:val="20"/>
              </w:rPr>
            </w:pPr>
            <w:r w:rsidRPr="00C239FD">
              <w:rPr>
                <w:sz w:val="20"/>
                <w:szCs w:val="20"/>
              </w:rPr>
              <w:t>Comparison group PWI (jobactive participants)</w:t>
            </w:r>
          </w:p>
        </w:tc>
        <w:tc>
          <w:tcPr>
            <w:tcW w:w="0" w:type="dxa"/>
            <w:tcBorders>
              <w:top w:val="nil"/>
              <w:left w:val="nil"/>
              <w:bottom w:val="nil"/>
              <w:right w:val="nil"/>
            </w:tcBorders>
            <w:shd w:val="clear" w:color="auto" w:fill="FFFFFF" w:themeFill="background1"/>
            <w:hideMark/>
          </w:tcPr>
          <w:p w14:paraId="2AEE2F96" w14:textId="77777777" w:rsidR="002549DB" w:rsidRPr="00C239FD" w:rsidRDefault="002549DB" w:rsidP="00D11E39">
            <w:pPr>
              <w:keepNext/>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65.6</w:t>
            </w:r>
          </w:p>
        </w:tc>
      </w:tr>
      <w:tr w:rsidR="002549DB" w:rsidRPr="0096560E" w14:paraId="273CD167" w14:textId="77777777" w:rsidTr="009251AF">
        <w:trPr>
          <w:trHeight w:val="516"/>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D9D9D9" w:themeFill="background1" w:themeFillShade="D9"/>
            <w:hideMark/>
          </w:tcPr>
          <w:p w14:paraId="4FD00B15" w14:textId="531A77EB" w:rsidR="002549DB" w:rsidRPr="00C239FD" w:rsidRDefault="00A15B40" w:rsidP="00D11E39">
            <w:pPr>
              <w:rPr>
                <w:sz w:val="20"/>
                <w:szCs w:val="20"/>
              </w:rPr>
            </w:pPr>
            <w:r w:rsidRPr="00C239FD">
              <w:rPr>
                <w:sz w:val="20"/>
                <w:szCs w:val="20"/>
              </w:rPr>
              <w:t>I</w:t>
            </w:r>
            <w:r w:rsidR="002549DB" w:rsidRPr="00C239FD">
              <w:rPr>
                <w:sz w:val="20"/>
                <w:szCs w:val="20"/>
              </w:rPr>
              <w:t>mpact of TtW on participants</w:t>
            </w:r>
            <w:r w:rsidR="00F8391B" w:rsidRPr="00C239FD">
              <w:rPr>
                <w:sz w:val="20"/>
                <w:szCs w:val="20"/>
              </w:rPr>
              <w:t>’</w:t>
            </w:r>
            <w:r w:rsidR="002549DB" w:rsidRPr="00C239FD">
              <w:rPr>
                <w:sz w:val="20"/>
                <w:szCs w:val="20"/>
              </w:rPr>
              <w:t xml:space="preserve"> subjective wellbeing</w:t>
            </w:r>
            <w:r w:rsidRPr="00C239FD">
              <w:rPr>
                <w:sz w:val="20"/>
                <w:szCs w:val="20"/>
              </w:rPr>
              <w:t xml:space="preserve"> (SWB)</w:t>
            </w:r>
          </w:p>
          <w:p w14:paraId="4800AA9A" w14:textId="62863A94" w:rsidR="002549DB" w:rsidRPr="00C239FD" w:rsidRDefault="002549DB" w:rsidP="000D316B">
            <w:pPr>
              <w:rPr>
                <w:sz w:val="20"/>
                <w:szCs w:val="20"/>
              </w:rPr>
            </w:pPr>
            <w:r w:rsidRPr="00C239FD">
              <w:rPr>
                <w:sz w:val="20"/>
                <w:szCs w:val="20"/>
              </w:rPr>
              <w:t>(TtW PWI – comparison group PWI) = per person wellbeing impact</w:t>
            </w:r>
          </w:p>
        </w:tc>
        <w:tc>
          <w:tcPr>
            <w:tcW w:w="0" w:type="dxa"/>
            <w:tcBorders>
              <w:top w:val="nil"/>
              <w:left w:val="nil"/>
              <w:bottom w:val="nil"/>
              <w:right w:val="nil"/>
            </w:tcBorders>
            <w:shd w:val="clear" w:color="auto" w:fill="D9D9D9" w:themeFill="background1" w:themeFillShade="D9"/>
            <w:hideMark/>
          </w:tcPr>
          <w:p w14:paraId="5C9DA7D7" w14:textId="77777777" w:rsidR="002549DB" w:rsidRPr="00C239FD" w:rsidRDefault="002549DB" w:rsidP="00D11E39">
            <w:pPr>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5.5 points</w:t>
            </w:r>
          </w:p>
        </w:tc>
      </w:tr>
      <w:tr w:rsidR="002549DB" w:rsidRPr="0096560E" w14:paraId="25D183AF" w14:textId="77777777" w:rsidTr="009251AF">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hideMark/>
          </w:tcPr>
          <w:p w14:paraId="633A1E47" w14:textId="099AA0AF" w:rsidR="002549DB" w:rsidRPr="00C239FD" w:rsidRDefault="002549DB" w:rsidP="00D11E39">
            <w:pPr>
              <w:rPr>
                <w:sz w:val="20"/>
                <w:szCs w:val="20"/>
              </w:rPr>
            </w:pPr>
            <w:r w:rsidRPr="00C239FD">
              <w:rPr>
                <w:sz w:val="20"/>
                <w:szCs w:val="20"/>
              </w:rPr>
              <w:t xml:space="preserve">Value of increasing SWB by </w:t>
            </w:r>
            <w:r w:rsidR="00A15B40" w:rsidRPr="00C239FD">
              <w:rPr>
                <w:sz w:val="20"/>
                <w:szCs w:val="20"/>
              </w:rPr>
              <w:t>1</w:t>
            </w:r>
            <w:r w:rsidRPr="00C239FD">
              <w:rPr>
                <w:sz w:val="20"/>
                <w:szCs w:val="20"/>
              </w:rPr>
              <w:t xml:space="preserve"> percentage point (100</w:t>
            </w:r>
            <w:r w:rsidR="00A15B40" w:rsidRPr="00C239FD">
              <w:rPr>
                <w:sz w:val="20"/>
                <w:szCs w:val="20"/>
              </w:rPr>
              <w:t>-</w:t>
            </w:r>
            <w:r w:rsidRPr="00C239FD">
              <w:rPr>
                <w:sz w:val="20"/>
                <w:szCs w:val="20"/>
              </w:rPr>
              <w:t>point scale)</w:t>
            </w:r>
            <w:r w:rsidR="00F8391B" w:rsidRPr="00C239FD">
              <w:rPr>
                <w:sz w:val="20"/>
                <w:szCs w:val="20"/>
              </w:rPr>
              <w:t xml:space="preserve"> – </w:t>
            </w:r>
            <w:r w:rsidRPr="00C239FD">
              <w:rPr>
                <w:sz w:val="20"/>
                <w:szCs w:val="20"/>
              </w:rPr>
              <w:t>range</w:t>
            </w:r>
          </w:p>
        </w:tc>
        <w:tc>
          <w:tcPr>
            <w:tcW w:w="0" w:type="dxa"/>
            <w:tcBorders>
              <w:top w:val="nil"/>
              <w:left w:val="nil"/>
              <w:bottom w:val="nil"/>
              <w:right w:val="nil"/>
            </w:tcBorders>
            <w:shd w:val="clear" w:color="auto" w:fill="FFFFFF" w:themeFill="background1"/>
            <w:hideMark/>
          </w:tcPr>
          <w:p w14:paraId="47A87D08" w14:textId="0C13112D" w:rsidR="002549DB" w:rsidRPr="00C239FD" w:rsidRDefault="002549DB" w:rsidP="00D11E39">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$576</w:t>
            </w:r>
            <w:r w:rsidR="00F8391B" w:rsidRPr="00C239FD">
              <w:rPr>
                <w:sz w:val="20"/>
                <w:szCs w:val="20"/>
              </w:rPr>
              <w:t xml:space="preserve"> – </w:t>
            </w:r>
            <w:r w:rsidRPr="00C239FD">
              <w:rPr>
                <w:sz w:val="20"/>
                <w:szCs w:val="20"/>
              </w:rPr>
              <w:t xml:space="preserve">$3,777 </w:t>
            </w:r>
          </w:p>
        </w:tc>
      </w:tr>
      <w:tr w:rsidR="002549DB" w:rsidRPr="0096560E" w14:paraId="16F4A323" w14:textId="77777777" w:rsidTr="009251AF">
        <w:trPr>
          <w:trHeight w:val="406"/>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single" w:sz="4" w:space="0" w:color="auto"/>
              <w:right w:val="nil"/>
            </w:tcBorders>
            <w:shd w:val="clear" w:color="auto" w:fill="D9D9D9" w:themeFill="background1" w:themeFillShade="D9"/>
            <w:hideMark/>
          </w:tcPr>
          <w:p w14:paraId="71B59A00" w14:textId="77777777" w:rsidR="002549DB" w:rsidRPr="00C239FD" w:rsidRDefault="002549DB" w:rsidP="00D11E39">
            <w:pPr>
              <w:rPr>
                <w:b w:val="0"/>
                <w:bCs w:val="0"/>
                <w:sz w:val="20"/>
                <w:szCs w:val="20"/>
              </w:rPr>
            </w:pPr>
            <w:r w:rsidRPr="00C239FD">
              <w:rPr>
                <w:sz w:val="20"/>
                <w:szCs w:val="20"/>
              </w:rPr>
              <w:t>Value of increased wellbeing attributable to TtW per participant</w:t>
            </w:r>
          </w:p>
          <w:p w14:paraId="5EE1F280" w14:textId="77777777" w:rsidR="002549DB" w:rsidRPr="00C239FD" w:rsidRDefault="002549DB" w:rsidP="00D11E39">
            <w:pPr>
              <w:rPr>
                <w:sz w:val="20"/>
                <w:szCs w:val="20"/>
              </w:rPr>
            </w:pPr>
            <w:r w:rsidRPr="00C239FD">
              <w:rPr>
                <w:sz w:val="20"/>
                <w:szCs w:val="20"/>
              </w:rPr>
              <w:t>5.5 x ($576 or $3,777) = $3,170 to $20,774</w:t>
            </w:r>
          </w:p>
        </w:tc>
        <w:tc>
          <w:tcPr>
            <w:tcW w:w="0" w:type="dxa"/>
            <w:tcBorders>
              <w:top w:val="nil"/>
              <w:left w:val="nil"/>
              <w:bottom w:val="single" w:sz="4" w:space="0" w:color="auto"/>
              <w:right w:val="nil"/>
            </w:tcBorders>
            <w:shd w:val="clear" w:color="auto" w:fill="D9D9D9" w:themeFill="background1" w:themeFillShade="D9"/>
            <w:hideMark/>
          </w:tcPr>
          <w:p w14:paraId="1D21061F" w14:textId="77777777" w:rsidR="002549DB" w:rsidRPr="00C239FD" w:rsidRDefault="002549DB" w:rsidP="00D11E39">
            <w:pPr>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 xml:space="preserve">$3,170 – $20,774 </w:t>
            </w:r>
          </w:p>
        </w:tc>
      </w:tr>
    </w:tbl>
    <w:p w14:paraId="42234151" w14:textId="5FC9BA5F" w:rsidR="002549DB" w:rsidRPr="00635698" w:rsidRDefault="002549DB" w:rsidP="00C239FD">
      <w:pPr>
        <w:pStyle w:val="SourceandNotes"/>
      </w:pPr>
      <w:r w:rsidRPr="00635698">
        <w:t xml:space="preserve">Source: </w:t>
      </w:r>
      <w:r w:rsidR="00450959">
        <w:t>P</w:t>
      </w:r>
      <w:r w:rsidRPr="00635698">
        <w:t xml:space="preserve">articipant </w:t>
      </w:r>
      <w:r w:rsidR="00450959">
        <w:t>s</w:t>
      </w:r>
      <w:r w:rsidRPr="00635698">
        <w:t>urvey</w:t>
      </w:r>
      <w:r w:rsidR="00450959">
        <w:t xml:space="preserve"> 2021;</w:t>
      </w:r>
      <w:r w:rsidRPr="00635698">
        <w:t xml:space="preserve"> </w:t>
      </w:r>
      <w:r w:rsidRPr="00B0425B">
        <w:t>UK Treasury (2021a)</w:t>
      </w:r>
      <w:r w:rsidR="00450959">
        <w:t>;</w:t>
      </w:r>
      <w:r>
        <w:t xml:space="preserve"> </w:t>
      </w:r>
      <w:r w:rsidRPr="00B57695">
        <w:t>Biddle et al (2020)</w:t>
      </w:r>
    </w:p>
    <w:p w14:paraId="5D8DA4D4" w14:textId="2CF900D7" w:rsidR="002549DB" w:rsidRDefault="002549DB" w:rsidP="009251AF">
      <w:pPr>
        <w:pStyle w:val="Heading3a"/>
      </w:pPr>
      <w:bookmarkStart w:id="4058" w:name="_Toc105427815"/>
      <w:bookmarkStart w:id="4059" w:name="_Toc106711927"/>
      <w:bookmarkStart w:id="4060" w:name="_Toc110945434"/>
      <w:bookmarkStart w:id="4061" w:name="_Toc132650558"/>
      <w:bookmarkStart w:id="4062" w:name="_Toc146033587"/>
      <w:r>
        <w:lastRenderedPageBreak/>
        <w:t>Valuing savings associated with reduced offending</w:t>
      </w:r>
      <w:bookmarkEnd w:id="4058"/>
      <w:bookmarkEnd w:id="4059"/>
      <w:bookmarkEnd w:id="4060"/>
      <w:bookmarkEnd w:id="4061"/>
      <w:bookmarkEnd w:id="4062"/>
    </w:p>
    <w:p w14:paraId="1DF94224" w14:textId="77777777" w:rsidR="002549DB" w:rsidRDefault="002549DB" w:rsidP="002549DB">
      <w:r>
        <w:t>In order to estimate the savings associated with reduced offending attributable to TtW it was necessary to:</w:t>
      </w:r>
    </w:p>
    <w:p w14:paraId="7E6B32D8" w14:textId="7591BBCA" w:rsidR="002549DB" w:rsidRDefault="001C706E" w:rsidP="007F37E0">
      <w:pPr>
        <w:pStyle w:val="ListBullet"/>
      </w:pPr>
      <w:r>
        <w:t>d</w:t>
      </w:r>
      <w:r w:rsidR="002549DB">
        <w:t xml:space="preserve">etermine the number of nights of incarceration that were avoided due to TtW participation </w:t>
      </w:r>
    </w:p>
    <w:p w14:paraId="718A8B84" w14:textId="51D64D57" w:rsidR="002549DB" w:rsidRDefault="001C706E" w:rsidP="007F37E0">
      <w:pPr>
        <w:pStyle w:val="ListBullet"/>
      </w:pPr>
      <w:r>
        <w:t>e</w:t>
      </w:r>
      <w:r w:rsidR="002549DB">
        <w:t>stimate the cost per person per night for incarceration</w:t>
      </w:r>
    </w:p>
    <w:p w14:paraId="6B173B51" w14:textId="35A65AD9" w:rsidR="002549DB" w:rsidRDefault="001C706E" w:rsidP="007F37E0">
      <w:pPr>
        <w:pStyle w:val="ListBullet"/>
      </w:pPr>
      <w:r>
        <w:t>e</w:t>
      </w:r>
      <w:r w:rsidR="002549DB">
        <w:t xml:space="preserve">stimate the total amount saved from reduced incarceration </w:t>
      </w:r>
    </w:p>
    <w:p w14:paraId="754B6FB5" w14:textId="4962CDA9" w:rsidR="002549DB" w:rsidRDefault="001C706E" w:rsidP="007F37E0">
      <w:pPr>
        <w:pStyle w:val="ListBullet"/>
      </w:pPr>
      <w:r>
        <w:t>c</w:t>
      </w:r>
      <w:r w:rsidR="002549DB">
        <w:t>alculate the savings per TtW participant.</w:t>
      </w:r>
    </w:p>
    <w:p w14:paraId="6A097880" w14:textId="4CA1C74E" w:rsidR="002549DB" w:rsidRDefault="002549DB" w:rsidP="00CD7319">
      <w:pPr>
        <w:pStyle w:val="Heading4"/>
        <w:numPr>
          <w:ilvl w:val="0"/>
          <w:numId w:val="0"/>
        </w:numPr>
        <w:ind w:left="864" w:hanging="864"/>
      </w:pPr>
      <w:bookmarkStart w:id="4063" w:name="_Toc105427816"/>
      <w:r>
        <w:t>Nights of incarceration that were avoided due to TtW participation</w:t>
      </w:r>
      <w:bookmarkEnd w:id="4063"/>
    </w:p>
    <w:p w14:paraId="0860A92F" w14:textId="04E77F4F" w:rsidR="002549DB" w:rsidRDefault="002549DB" w:rsidP="002549DB">
      <w:r>
        <w:t>In order to calculate the number of nights of incarceration that were avoided through participation in TtW, the research utilised the matched sample of TtW and jobactive participants who were referred between 1 April 2016 and 31 March 2017, followed from commencement for 48 months. The department</w:t>
      </w:r>
      <w:r w:rsidR="00F8391B">
        <w:t>’</w:t>
      </w:r>
      <w:r>
        <w:t>s administrative data was used to establish the number of episodes of incarceration and the average length of time (days) spent in prison.</w:t>
      </w:r>
    </w:p>
    <w:p w14:paraId="7F472C03" w14:textId="1246EEB3" w:rsidR="002549DB" w:rsidRPr="00992D8A" w:rsidRDefault="002549DB" w:rsidP="00CD7319">
      <w:pPr>
        <w:pStyle w:val="Heading5"/>
        <w:numPr>
          <w:ilvl w:val="0"/>
          <w:numId w:val="0"/>
        </w:numPr>
        <w:ind w:left="1008" w:hanging="1008"/>
      </w:pPr>
      <w:r w:rsidRPr="00992D8A">
        <w:t>The number of episodes of incarceration</w:t>
      </w:r>
    </w:p>
    <w:p w14:paraId="68707B47" w14:textId="464001F9" w:rsidR="002549DB" w:rsidRDefault="002549DB" w:rsidP="002549DB">
      <w:r>
        <w:t>All participants in the matched sample were on income support 28 days from commencement.</w:t>
      </w:r>
    </w:p>
    <w:p w14:paraId="3E364D4D" w14:textId="0E85CA06" w:rsidR="002549DB" w:rsidRDefault="002549DB" w:rsidP="002549DB">
      <w:r w:rsidRPr="00980FBF">
        <w:t xml:space="preserve">During a period of imprisonment people are exited from income support, </w:t>
      </w:r>
      <w:r>
        <w:t>with</w:t>
      </w:r>
      <w:r w:rsidRPr="00980FBF">
        <w:t xml:space="preserve"> the </w:t>
      </w:r>
      <w:r>
        <w:t>department</w:t>
      </w:r>
      <w:r w:rsidR="00F8391B">
        <w:t>’</w:t>
      </w:r>
      <w:r>
        <w:t xml:space="preserve">s </w:t>
      </w:r>
      <w:r w:rsidRPr="00980FBF">
        <w:t>admin</w:t>
      </w:r>
      <w:r>
        <w:t>istrative</w:t>
      </w:r>
      <w:r w:rsidRPr="00980FBF">
        <w:t xml:space="preserve"> system identifying </w:t>
      </w:r>
      <w:r>
        <w:t xml:space="preserve">that their </w:t>
      </w:r>
      <w:r w:rsidRPr="00980FBF">
        <w:t xml:space="preserve">exit </w:t>
      </w:r>
      <w:r>
        <w:t xml:space="preserve">was </w:t>
      </w:r>
      <w:r w:rsidRPr="00980FBF">
        <w:t>due to imprisonment.</w:t>
      </w:r>
      <w:r>
        <w:t xml:space="preserve"> Administrative data was used in this analysis to calculate the number of episodes of incarceration recorded for the matched sample. TtW participants had proportionately </w:t>
      </w:r>
      <w:r w:rsidR="00A15B40">
        <w:t xml:space="preserve">fewer </w:t>
      </w:r>
      <w:r>
        <w:t xml:space="preserve">incarcerations than jobactive participants </w:t>
      </w:r>
      <w:r w:rsidRPr="006C12A3">
        <w:t>(</w:t>
      </w:r>
      <w:r w:rsidR="00B80C93" w:rsidRPr="00B80C93">
        <w:fldChar w:fldCharType="begin"/>
      </w:r>
      <w:r w:rsidR="00B80C93" w:rsidRPr="00B80C93">
        <w:instrText xml:space="preserve"> REF _Ref136531655 \h </w:instrText>
      </w:r>
      <w:r w:rsidR="00B80C93">
        <w:instrText xml:space="preserve"> \* MERGEFORMAT </w:instrText>
      </w:r>
      <w:r w:rsidR="00B80C93" w:rsidRPr="00B80C93">
        <w:fldChar w:fldCharType="separate"/>
      </w:r>
      <w:r w:rsidR="00180E14">
        <w:t xml:space="preserve">Table </w:t>
      </w:r>
      <w:r w:rsidR="00180E14">
        <w:rPr>
          <w:noProof/>
        </w:rPr>
        <w:t>31</w:t>
      </w:r>
      <w:r w:rsidR="00B80C93" w:rsidRPr="00B80C93">
        <w:fldChar w:fldCharType="end"/>
      </w:r>
      <w:r>
        <w:t>). The difference was used to estimate the number of incarcerations that would have occurred in the absence of TtW.</w:t>
      </w:r>
    </w:p>
    <w:p w14:paraId="44405C23" w14:textId="08D8F554" w:rsidR="002549DB" w:rsidRDefault="002549DB" w:rsidP="002549DB">
      <w:pPr>
        <w:pStyle w:val="Caption"/>
        <w:keepNext/>
      </w:pPr>
      <w:bookmarkStart w:id="4064" w:name="_Ref136531655"/>
      <w:bookmarkStart w:id="4065" w:name="_Toc132647806"/>
      <w:bookmarkStart w:id="4066" w:name="_Toc145877320"/>
      <w:r>
        <w:t xml:space="preserve">Table </w:t>
      </w:r>
      <w:r>
        <w:fldChar w:fldCharType="begin"/>
      </w:r>
      <w:r>
        <w:instrText>SEQ Table \* ARABIC</w:instrText>
      </w:r>
      <w:r>
        <w:fldChar w:fldCharType="separate"/>
      </w:r>
      <w:r w:rsidR="00180E14">
        <w:rPr>
          <w:noProof/>
        </w:rPr>
        <w:t>31</w:t>
      </w:r>
      <w:r>
        <w:fldChar w:fldCharType="end"/>
      </w:r>
      <w:bookmarkEnd w:id="4064"/>
      <w:r>
        <w:t>: Incarceration (number of individuals and episodes)</w:t>
      </w:r>
      <w:bookmarkEnd w:id="4065"/>
      <w:bookmarkEnd w:id="4066"/>
    </w:p>
    <w:tbl>
      <w:tblPr>
        <w:tblStyle w:val="TtWReportTableTemplate2"/>
        <w:tblW w:w="9026" w:type="dxa"/>
        <w:tblLook w:val="04A0" w:firstRow="1" w:lastRow="0" w:firstColumn="1" w:lastColumn="0" w:noHBand="0" w:noVBand="1"/>
      </w:tblPr>
      <w:tblGrid>
        <w:gridCol w:w="2710"/>
        <w:gridCol w:w="1591"/>
        <w:gridCol w:w="1433"/>
        <w:gridCol w:w="1716"/>
        <w:gridCol w:w="1576"/>
      </w:tblGrid>
      <w:tr w:rsidR="002549DB" w:rsidRPr="00BD612E" w14:paraId="04903231" w14:textId="77777777" w:rsidTr="00674AE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710" w:type="dxa"/>
            <w:shd w:val="clear" w:color="auto" w:fill="5D7A38"/>
            <w:noWrap/>
            <w:hideMark/>
          </w:tcPr>
          <w:p w14:paraId="741B8A65" w14:textId="77777777" w:rsidR="002549DB" w:rsidRPr="00BD612E" w:rsidRDefault="002549DB" w:rsidP="00D11E39">
            <w:pPr>
              <w:keepNext/>
              <w:rPr>
                <w:sz w:val="22"/>
              </w:rPr>
            </w:pPr>
            <w:r>
              <w:t>Program</w:t>
            </w:r>
          </w:p>
        </w:tc>
        <w:tc>
          <w:tcPr>
            <w:tcW w:w="3024" w:type="dxa"/>
            <w:gridSpan w:val="2"/>
            <w:shd w:val="clear" w:color="auto" w:fill="5D7A38"/>
          </w:tcPr>
          <w:p w14:paraId="5F99432B" w14:textId="77777777" w:rsidR="002549DB" w:rsidRPr="00BD612E" w:rsidRDefault="002549DB" w:rsidP="00D11E39">
            <w:pPr>
              <w:keepNext/>
              <w:cnfStyle w:val="100000000000" w:firstRow="1" w:lastRow="0" w:firstColumn="0" w:lastColumn="0" w:oddVBand="0" w:evenVBand="0" w:oddHBand="0" w:evenHBand="0" w:firstRowFirstColumn="0" w:firstRowLastColumn="0" w:lastRowFirstColumn="0" w:lastRowLastColumn="0"/>
            </w:pPr>
            <w:r>
              <w:t>Number of participants</w:t>
            </w:r>
          </w:p>
        </w:tc>
        <w:tc>
          <w:tcPr>
            <w:tcW w:w="3292" w:type="dxa"/>
            <w:gridSpan w:val="2"/>
            <w:shd w:val="clear" w:color="auto" w:fill="5D7A38"/>
            <w:noWrap/>
            <w:hideMark/>
          </w:tcPr>
          <w:p w14:paraId="15B2B9D7" w14:textId="77777777" w:rsidR="002549DB" w:rsidRPr="00BD612E" w:rsidRDefault="002549DB" w:rsidP="00D11E39">
            <w:pPr>
              <w:keepNext/>
              <w:cnfStyle w:val="100000000000" w:firstRow="1" w:lastRow="0" w:firstColumn="0" w:lastColumn="0" w:oddVBand="0" w:evenVBand="0" w:oddHBand="0" w:evenHBand="0" w:firstRowFirstColumn="0" w:firstRowLastColumn="0" w:lastRowFirstColumn="0" w:lastRowLastColumn="0"/>
            </w:pPr>
            <w:r w:rsidRPr="00BD612E">
              <w:t>Episodes</w:t>
            </w:r>
            <w:r>
              <w:t xml:space="preserve"> of incarceration</w:t>
            </w:r>
          </w:p>
        </w:tc>
      </w:tr>
      <w:tr w:rsidR="002549DB" w:rsidRPr="00BD612E" w14:paraId="5DD4AB18"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0" w:type="dxa"/>
            <w:noWrap/>
          </w:tcPr>
          <w:p w14:paraId="2AE24769" w14:textId="77777777" w:rsidR="002549DB" w:rsidRDefault="002549DB" w:rsidP="00D11E39">
            <w:pPr>
              <w:keepNext/>
              <w:jc w:val="center"/>
            </w:pPr>
          </w:p>
        </w:tc>
        <w:tc>
          <w:tcPr>
            <w:tcW w:w="1591" w:type="dxa"/>
          </w:tcPr>
          <w:p w14:paraId="45DA572B" w14:textId="77777777" w:rsidR="002549DB" w:rsidRDefault="002549DB" w:rsidP="00D11E39">
            <w:pPr>
              <w:keepNext/>
              <w:cnfStyle w:val="000000100000" w:firstRow="0" w:lastRow="0" w:firstColumn="0" w:lastColumn="0" w:oddVBand="0" w:evenVBand="0" w:oddHBand="1" w:evenHBand="0" w:firstRowFirstColumn="0" w:firstRowLastColumn="0" w:lastRowFirstColumn="0" w:lastRowLastColumn="0"/>
            </w:pPr>
            <w:r>
              <w:t>#</w:t>
            </w:r>
          </w:p>
        </w:tc>
        <w:tc>
          <w:tcPr>
            <w:tcW w:w="1433" w:type="dxa"/>
          </w:tcPr>
          <w:p w14:paraId="644EE629" w14:textId="77777777" w:rsidR="002549DB" w:rsidRPr="00BD612E" w:rsidRDefault="002549DB" w:rsidP="00D11E39">
            <w:pPr>
              <w:keepNext/>
              <w:cnfStyle w:val="000000100000" w:firstRow="0" w:lastRow="0" w:firstColumn="0" w:lastColumn="0" w:oddVBand="0" w:evenVBand="0" w:oddHBand="1" w:evenHBand="0" w:firstRowFirstColumn="0" w:firstRowLastColumn="0" w:lastRowFirstColumn="0" w:lastRowLastColumn="0"/>
            </w:pPr>
            <w:r>
              <w:t>%</w:t>
            </w:r>
          </w:p>
        </w:tc>
        <w:tc>
          <w:tcPr>
            <w:tcW w:w="1716" w:type="dxa"/>
            <w:noWrap/>
          </w:tcPr>
          <w:p w14:paraId="41E08F0E" w14:textId="77777777" w:rsidR="002549DB" w:rsidRPr="00BD612E" w:rsidRDefault="002549DB" w:rsidP="00D11E39">
            <w:pPr>
              <w:keepNext/>
              <w:cnfStyle w:val="000000100000" w:firstRow="0" w:lastRow="0" w:firstColumn="0" w:lastColumn="0" w:oddVBand="0" w:evenVBand="0" w:oddHBand="1" w:evenHBand="0" w:firstRowFirstColumn="0" w:firstRowLastColumn="0" w:lastRowFirstColumn="0" w:lastRowLastColumn="0"/>
            </w:pPr>
            <w:r>
              <w:t>#</w:t>
            </w:r>
          </w:p>
        </w:tc>
        <w:tc>
          <w:tcPr>
            <w:tcW w:w="1576" w:type="dxa"/>
          </w:tcPr>
          <w:p w14:paraId="5EDCF5F5" w14:textId="77777777" w:rsidR="002549DB" w:rsidRPr="00BD612E" w:rsidRDefault="002549DB" w:rsidP="00D11E39">
            <w:pPr>
              <w:keepNext/>
              <w:cnfStyle w:val="000000100000" w:firstRow="0" w:lastRow="0" w:firstColumn="0" w:lastColumn="0" w:oddVBand="0" w:evenVBand="0" w:oddHBand="1" w:evenHBand="0" w:firstRowFirstColumn="0" w:firstRowLastColumn="0" w:lastRowFirstColumn="0" w:lastRowLastColumn="0"/>
            </w:pPr>
            <w:r>
              <w:t>%</w:t>
            </w:r>
          </w:p>
        </w:tc>
      </w:tr>
      <w:tr w:rsidR="002549DB" w14:paraId="779DBA63"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0" w:type="dxa"/>
            <w:noWrap/>
            <w:hideMark/>
          </w:tcPr>
          <w:p w14:paraId="42B4918F" w14:textId="77777777" w:rsidR="002549DB" w:rsidRDefault="002549DB" w:rsidP="00D11E39">
            <w:pPr>
              <w:keepNext/>
            </w:pPr>
            <w:r>
              <w:t>jobactive</w:t>
            </w:r>
          </w:p>
        </w:tc>
        <w:tc>
          <w:tcPr>
            <w:tcW w:w="1591" w:type="dxa"/>
          </w:tcPr>
          <w:p w14:paraId="2440ECA0" w14:textId="77777777"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516</w:t>
            </w:r>
          </w:p>
        </w:tc>
        <w:tc>
          <w:tcPr>
            <w:tcW w:w="1433" w:type="dxa"/>
          </w:tcPr>
          <w:p w14:paraId="69C26926" w14:textId="77777777"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6.2</w:t>
            </w:r>
          </w:p>
        </w:tc>
        <w:tc>
          <w:tcPr>
            <w:tcW w:w="1716" w:type="dxa"/>
            <w:noWrap/>
            <w:hideMark/>
          </w:tcPr>
          <w:p w14:paraId="6248CB64" w14:textId="1DF701EB"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1</w:t>
            </w:r>
            <w:r w:rsidR="00A15B40">
              <w:t>,</w:t>
            </w:r>
            <w:r>
              <w:t>025</w:t>
            </w:r>
          </w:p>
        </w:tc>
        <w:tc>
          <w:tcPr>
            <w:tcW w:w="1576" w:type="dxa"/>
          </w:tcPr>
          <w:p w14:paraId="1DAFAD72" w14:textId="77777777"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12.3</w:t>
            </w:r>
          </w:p>
        </w:tc>
      </w:tr>
      <w:tr w:rsidR="002549DB" w14:paraId="7AA3B196"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0" w:type="dxa"/>
            <w:noWrap/>
            <w:hideMark/>
          </w:tcPr>
          <w:p w14:paraId="79046F35" w14:textId="77777777" w:rsidR="002549DB" w:rsidRDefault="002549DB" w:rsidP="00D11E39">
            <w:pPr>
              <w:keepNext/>
            </w:pPr>
            <w:r>
              <w:t>TtW</w:t>
            </w:r>
          </w:p>
        </w:tc>
        <w:tc>
          <w:tcPr>
            <w:tcW w:w="1591" w:type="dxa"/>
          </w:tcPr>
          <w:p w14:paraId="3A2B3F36" w14:textId="77777777" w:rsidR="002549DB" w:rsidRDefault="002549DB" w:rsidP="00D11E39">
            <w:pPr>
              <w:keepNext/>
              <w:cnfStyle w:val="000000100000" w:firstRow="0" w:lastRow="0" w:firstColumn="0" w:lastColumn="0" w:oddVBand="0" w:evenVBand="0" w:oddHBand="1" w:evenHBand="0" w:firstRowFirstColumn="0" w:firstRowLastColumn="0" w:lastRowFirstColumn="0" w:lastRowLastColumn="0"/>
            </w:pPr>
            <w:r>
              <w:t>421</w:t>
            </w:r>
          </w:p>
        </w:tc>
        <w:tc>
          <w:tcPr>
            <w:tcW w:w="1433" w:type="dxa"/>
          </w:tcPr>
          <w:p w14:paraId="2824D74E" w14:textId="77777777" w:rsidR="002549DB" w:rsidRDefault="002549DB" w:rsidP="00D11E39">
            <w:pPr>
              <w:keepNext/>
              <w:cnfStyle w:val="000000100000" w:firstRow="0" w:lastRow="0" w:firstColumn="0" w:lastColumn="0" w:oddVBand="0" w:evenVBand="0" w:oddHBand="1" w:evenHBand="0" w:firstRowFirstColumn="0" w:firstRowLastColumn="0" w:lastRowFirstColumn="0" w:lastRowLastColumn="0"/>
            </w:pPr>
            <w:r>
              <w:t>5</w:t>
            </w:r>
          </w:p>
        </w:tc>
        <w:tc>
          <w:tcPr>
            <w:tcW w:w="1716" w:type="dxa"/>
            <w:noWrap/>
            <w:hideMark/>
          </w:tcPr>
          <w:p w14:paraId="28649943" w14:textId="77777777" w:rsidR="002549DB" w:rsidRDefault="002549DB" w:rsidP="00D11E39">
            <w:pPr>
              <w:keepNext/>
              <w:cnfStyle w:val="000000100000" w:firstRow="0" w:lastRow="0" w:firstColumn="0" w:lastColumn="0" w:oddVBand="0" w:evenVBand="0" w:oddHBand="1" w:evenHBand="0" w:firstRowFirstColumn="0" w:firstRowLastColumn="0" w:lastRowFirstColumn="0" w:lastRowLastColumn="0"/>
            </w:pPr>
            <w:r>
              <w:t>760</w:t>
            </w:r>
          </w:p>
        </w:tc>
        <w:tc>
          <w:tcPr>
            <w:tcW w:w="1576" w:type="dxa"/>
          </w:tcPr>
          <w:p w14:paraId="36587595" w14:textId="77777777" w:rsidR="002549DB" w:rsidRDefault="002549DB" w:rsidP="00D11E39">
            <w:pPr>
              <w:keepNext/>
              <w:cnfStyle w:val="000000100000" w:firstRow="0" w:lastRow="0" w:firstColumn="0" w:lastColumn="0" w:oddVBand="0" w:evenVBand="0" w:oddHBand="1" w:evenHBand="0" w:firstRowFirstColumn="0" w:firstRowLastColumn="0" w:lastRowFirstColumn="0" w:lastRowLastColumn="0"/>
            </w:pPr>
            <w:r>
              <w:t>9.1</w:t>
            </w:r>
          </w:p>
        </w:tc>
      </w:tr>
      <w:tr w:rsidR="002549DB" w14:paraId="76DA7554"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10" w:type="dxa"/>
            <w:noWrap/>
          </w:tcPr>
          <w:p w14:paraId="74E0CD3C" w14:textId="77777777" w:rsidR="002549DB" w:rsidRDefault="002549DB" w:rsidP="00D11E39">
            <w:pPr>
              <w:keepNext/>
            </w:pPr>
            <w:r>
              <w:t>Difference</w:t>
            </w:r>
          </w:p>
        </w:tc>
        <w:tc>
          <w:tcPr>
            <w:tcW w:w="1591" w:type="dxa"/>
          </w:tcPr>
          <w:p w14:paraId="6F2E7FD7" w14:textId="77777777"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95</w:t>
            </w:r>
          </w:p>
        </w:tc>
        <w:tc>
          <w:tcPr>
            <w:tcW w:w="1433" w:type="dxa"/>
          </w:tcPr>
          <w:p w14:paraId="65EB3D7C" w14:textId="77777777"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1.2</w:t>
            </w:r>
          </w:p>
        </w:tc>
        <w:tc>
          <w:tcPr>
            <w:tcW w:w="1716" w:type="dxa"/>
            <w:noWrap/>
          </w:tcPr>
          <w:p w14:paraId="0CA2AAEC" w14:textId="77777777"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265</w:t>
            </w:r>
          </w:p>
        </w:tc>
        <w:tc>
          <w:tcPr>
            <w:tcW w:w="1576" w:type="dxa"/>
          </w:tcPr>
          <w:p w14:paraId="5783D049" w14:textId="77777777"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3.2</w:t>
            </w:r>
          </w:p>
        </w:tc>
      </w:tr>
    </w:tbl>
    <w:p w14:paraId="59FB4F5D" w14:textId="42C134D2" w:rsidR="00700D57" w:rsidRPr="00862FA5" w:rsidRDefault="00700D57" w:rsidP="00700D57">
      <w:pPr>
        <w:pStyle w:val="SourceandNotes"/>
        <w:rPr>
          <w:strike/>
        </w:rPr>
      </w:pPr>
      <w:r>
        <w:t xml:space="preserve">Source: National </w:t>
      </w:r>
      <w:r w:rsidR="00450959">
        <w:t>a</w:t>
      </w:r>
      <w:r>
        <w:t>verage</w:t>
      </w:r>
      <w:r w:rsidR="00450959">
        <w:t>,</w:t>
      </w:r>
      <w:r>
        <w:t xml:space="preserve"> AIHW (2021) </w:t>
      </w:r>
      <w:r w:rsidRPr="007C2B81">
        <w:t>HILDA Survey</w:t>
      </w:r>
      <w:r w:rsidR="00450959">
        <w:t>;</w:t>
      </w:r>
      <w:r>
        <w:t xml:space="preserve"> TtW and jobactive</w:t>
      </w:r>
      <w:r w:rsidR="00450959">
        <w:t>,</w:t>
      </w:r>
      <w:r>
        <w:t xml:space="preserve"> </w:t>
      </w:r>
      <w:r w:rsidR="00A86EEA">
        <w:t>p</w:t>
      </w:r>
      <w:r>
        <w:t xml:space="preserve">articipant </w:t>
      </w:r>
      <w:r w:rsidR="00A86EEA">
        <w:t>s</w:t>
      </w:r>
      <w:r>
        <w:t>urvey</w:t>
      </w:r>
      <w:r w:rsidR="00450959">
        <w:t xml:space="preserve"> 2021</w:t>
      </w:r>
    </w:p>
    <w:p w14:paraId="35D41E8A" w14:textId="3CB737B6" w:rsidR="002549DB" w:rsidRDefault="002549DB" w:rsidP="002549DB">
      <w:pPr>
        <w:pStyle w:val="SourceandNotes"/>
      </w:pPr>
      <w:r>
        <w:t>Base: Matched sample: TtW (n=</w:t>
      </w:r>
      <w:r w:rsidR="0054194B">
        <w:t>8,361</w:t>
      </w:r>
      <w:r>
        <w:t>) and jobactive (n=</w:t>
      </w:r>
      <w:r w:rsidR="0054194B">
        <w:t>8,361</w:t>
      </w:r>
      <w:r>
        <w:t>)</w:t>
      </w:r>
    </w:p>
    <w:p w14:paraId="25A453E6" w14:textId="5BE1200D" w:rsidR="002549DB" w:rsidRDefault="002549DB" w:rsidP="002549DB">
      <w:pPr>
        <w:pStyle w:val="SourceandNotes"/>
      </w:pPr>
      <w:r>
        <w:t>Note: Incarceration within 48 months from participant</w:t>
      </w:r>
      <w:r w:rsidR="00F8391B">
        <w:t>’</w:t>
      </w:r>
      <w:r>
        <w:t>s commencement date</w:t>
      </w:r>
    </w:p>
    <w:p w14:paraId="4B2EC86D" w14:textId="5AF8B8CD" w:rsidR="002549DB" w:rsidRPr="00C248B8" w:rsidRDefault="002549DB" w:rsidP="002549DB">
      <w:r w:rsidRPr="00C248B8">
        <w:t xml:space="preserve">It should be noted that while a matched sample was used for this analysis, </w:t>
      </w:r>
      <w:r w:rsidR="00A15B40">
        <w:t>which</w:t>
      </w:r>
      <w:r w:rsidRPr="00C248B8">
        <w:t xml:space="preserve"> controlled for participant </w:t>
      </w:r>
      <w:r>
        <w:t>JSCI score and education level</w:t>
      </w:r>
      <w:r w:rsidRPr="00C248B8">
        <w:t>, this difference (</w:t>
      </w:r>
      <w:r>
        <w:t xml:space="preserve">95 individuals and </w:t>
      </w:r>
      <w:r w:rsidRPr="00C248B8">
        <w:t xml:space="preserve">265 episodes of incarceration) is the </w:t>
      </w:r>
      <w:r w:rsidR="00F8391B">
        <w:t>‘</w:t>
      </w:r>
      <w:r w:rsidRPr="00C248B8">
        <w:t>uncontrolled</w:t>
      </w:r>
      <w:r w:rsidR="00F8391B">
        <w:t>’</w:t>
      </w:r>
      <w:r>
        <w:t xml:space="preserve"> outcome</w:t>
      </w:r>
      <w:r w:rsidRPr="00C248B8">
        <w:t>. Using logistic regression (controlling for age, gender, Indigeneity</w:t>
      </w:r>
      <w:r>
        <w:t>,</w:t>
      </w:r>
      <w:r w:rsidRPr="00C248B8">
        <w:t xml:space="preserve"> work experience, time on income support, disability, English proficiency, ex-offender status, stability of housing, availability of transport, location, state, vocational qualification, other </w:t>
      </w:r>
      <w:r w:rsidRPr="00C248B8">
        <w:lastRenderedPageBreak/>
        <w:t>personal factors influencing employability</w:t>
      </w:r>
      <w:r w:rsidR="00A15B40">
        <w:t>,</w:t>
      </w:r>
      <w:r w:rsidRPr="00C248B8">
        <w:t xml:space="preserve"> and labour market conditions), statistical analysis confirmed that the difference in incarceration </w:t>
      </w:r>
      <w:r>
        <w:t xml:space="preserve">rate </w:t>
      </w:r>
      <w:r w:rsidRPr="00C248B8">
        <w:t>was driven by a program effect</w:t>
      </w:r>
      <w:r w:rsidR="00A15B40">
        <w:t xml:space="preserve"> –</w:t>
      </w:r>
      <w:r w:rsidRPr="00C248B8">
        <w:t xml:space="preserve"> that is, TtW participants were </w:t>
      </w:r>
      <w:r w:rsidRPr="0075668B">
        <w:t xml:space="preserve">0.83 percentage points less likely to be incarcerated in the 4 years from commencement than jobactive participants </w:t>
      </w:r>
      <w:r w:rsidRPr="00C248B8">
        <w:t>(</w:t>
      </w:r>
      <w:r>
        <w:t>TtW</w:t>
      </w:r>
      <w:r w:rsidR="00A15B40">
        <w:t xml:space="preserve"> </w:t>
      </w:r>
      <w:r>
        <w:t>:</w:t>
      </w:r>
      <w:r w:rsidR="00A15B40">
        <w:t xml:space="preserve"> </w:t>
      </w:r>
      <w:r>
        <w:t xml:space="preserve">jobactive </w:t>
      </w:r>
      <w:r w:rsidRPr="00C248B8">
        <w:t>odds ratio of 0.823</w:t>
      </w:r>
      <w:r>
        <w:rPr>
          <w:rStyle w:val="FootnoteReference"/>
        </w:rPr>
        <w:footnoteReference w:id="133"/>
      </w:r>
      <w:r>
        <w:t xml:space="preserve">). </w:t>
      </w:r>
      <w:r w:rsidRPr="0075668B">
        <w:t>While this seems to be a small difference, only around 5% of participants were incarcerated overall, so a 1 percentage point difference in the probability of being incarcerated is notable.</w:t>
      </w:r>
    </w:p>
    <w:p w14:paraId="5CCBE2E6" w14:textId="77777777" w:rsidR="002549DB" w:rsidRPr="00992D8A" w:rsidRDefault="002549DB" w:rsidP="00CD7319">
      <w:pPr>
        <w:pStyle w:val="Heading5"/>
        <w:numPr>
          <w:ilvl w:val="0"/>
          <w:numId w:val="0"/>
        </w:numPr>
        <w:ind w:left="1008" w:hanging="1008"/>
      </w:pPr>
      <w:r w:rsidRPr="00992D8A">
        <w:t>Average length of time (days) spent in prison</w:t>
      </w:r>
    </w:p>
    <w:p w14:paraId="14CC8193" w14:textId="63BB7300" w:rsidR="002549DB" w:rsidRDefault="002549DB" w:rsidP="002549DB">
      <w:r>
        <w:t>The department</w:t>
      </w:r>
      <w:r w:rsidR="00F8391B">
        <w:t>’</w:t>
      </w:r>
      <w:r>
        <w:t>s administrative income support data was again used to estimate the average duration of each prison stay. The average number of prison days for both TtW and jobactive participants was almost identical: TtW 142.2 days, jobactive 142.0 days.</w:t>
      </w:r>
    </w:p>
    <w:p w14:paraId="0493AD16" w14:textId="77777777" w:rsidR="002549DB" w:rsidRDefault="002549DB" w:rsidP="002549DB">
      <w:r>
        <w:t>An average duration of 142 incarceration days was used in our calculations of cost savings from reduced incarceration.</w:t>
      </w:r>
    </w:p>
    <w:p w14:paraId="3063DFD0" w14:textId="47948629" w:rsidR="002549DB" w:rsidRDefault="00742713" w:rsidP="00CD7319">
      <w:pPr>
        <w:pStyle w:val="Heading4"/>
        <w:numPr>
          <w:ilvl w:val="0"/>
          <w:numId w:val="0"/>
        </w:numPr>
        <w:ind w:left="864" w:hanging="864"/>
      </w:pPr>
      <w:bookmarkStart w:id="4067" w:name="_Toc105427817"/>
      <w:r>
        <w:t>Estimating</w:t>
      </w:r>
      <w:r w:rsidR="002549DB">
        <w:t xml:space="preserve"> the cost per person per night for incarceration</w:t>
      </w:r>
      <w:bookmarkEnd w:id="4067"/>
    </w:p>
    <w:p w14:paraId="028DF899" w14:textId="646039F3" w:rsidR="002549DB" w:rsidRDefault="002549DB" w:rsidP="002549DB">
      <w:r>
        <w:t>The Productivity Commission</w:t>
      </w:r>
      <w:r w:rsidR="00F8391B">
        <w:t>’</w:t>
      </w:r>
      <w:r>
        <w:t>s Report on Government Services (</w:t>
      </w:r>
      <w:r w:rsidR="000F5A37">
        <w:rPr>
          <w:b/>
          <w:bCs/>
        </w:rPr>
        <w:t xml:space="preserve">Productivity Commission </w:t>
      </w:r>
      <w:r>
        <w:rPr>
          <w:b/>
          <w:bCs/>
        </w:rPr>
        <w:t>2017</w:t>
      </w:r>
      <w:r w:rsidR="000F5A37">
        <w:rPr>
          <w:b/>
          <w:bCs/>
        </w:rPr>
        <w:t xml:space="preserve"> to </w:t>
      </w:r>
      <w:r>
        <w:rPr>
          <w:b/>
          <w:bCs/>
        </w:rPr>
        <w:t>2022</w:t>
      </w:r>
      <w:r>
        <w:t xml:space="preserve">) provides data on the cost of corrective services for both adults and youth, as </w:t>
      </w:r>
      <w:r w:rsidRPr="006C12A3">
        <w:t xml:space="preserve">shown in </w:t>
      </w:r>
      <w:r w:rsidR="00B80C93" w:rsidRPr="00B80C93">
        <w:rPr>
          <w:b/>
          <w:bCs/>
        </w:rPr>
        <w:fldChar w:fldCharType="begin"/>
      </w:r>
      <w:r w:rsidR="00B80C93" w:rsidRPr="00B80C93">
        <w:rPr>
          <w:b/>
          <w:bCs/>
        </w:rPr>
        <w:instrText xml:space="preserve"> REF _Ref136531675 \h  \* MERGEFORMAT </w:instrText>
      </w:r>
      <w:r w:rsidR="00B80C93" w:rsidRPr="00B80C93">
        <w:rPr>
          <w:b/>
          <w:bCs/>
        </w:rPr>
      </w:r>
      <w:r w:rsidR="00B80C93" w:rsidRPr="00B80C93">
        <w:rPr>
          <w:b/>
          <w:bCs/>
        </w:rPr>
        <w:fldChar w:fldCharType="separate"/>
      </w:r>
      <w:r w:rsidR="00180E14" w:rsidRPr="00180E14">
        <w:rPr>
          <w:b/>
          <w:bCs/>
        </w:rPr>
        <w:t>Table</w:t>
      </w:r>
      <w:r w:rsidR="00180E14">
        <w:t xml:space="preserve"> </w:t>
      </w:r>
      <w:r w:rsidR="00180E14">
        <w:rPr>
          <w:noProof/>
        </w:rPr>
        <w:t>32</w:t>
      </w:r>
      <w:r w:rsidR="00B80C93" w:rsidRPr="00B80C93">
        <w:rPr>
          <w:b/>
          <w:bCs/>
        </w:rPr>
        <w:fldChar w:fldCharType="end"/>
      </w:r>
      <w:r w:rsidR="00F45B1D" w:rsidRPr="00C239FD">
        <w:t>.</w:t>
      </w:r>
    </w:p>
    <w:p w14:paraId="1B86A461" w14:textId="294E517D" w:rsidR="002549DB" w:rsidRDefault="002549DB" w:rsidP="002549DB">
      <w:pPr>
        <w:pStyle w:val="Caption"/>
        <w:keepNext/>
      </w:pPr>
      <w:bookmarkStart w:id="4068" w:name="_Ref136531675"/>
      <w:bookmarkStart w:id="4069" w:name="_Toc132647807"/>
      <w:bookmarkStart w:id="4070" w:name="_Toc145877321"/>
      <w:r>
        <w:t xml:space="preserve">Table </w:t>
      </w:r>
      <w:r>
        <w:fldChar w:fldCharType="begin"/>
      </w:r>
      <w:r>
        <w:instrText>SEQ Table \* ARABIC</w:instrText>
      </w:r>
      <w:r>
        <w:fldChar w:fldCharType="separate"/>
      </w:r>
      <w:r w:rsidR="00180E14">
        <w:rPr>
          <w:noProof/>
        </w:rPr>
        <w:t>32</w:t>
      </w:r>
      <w:r>
        <w:fldChar w:fldCharType="end"/>
      </w:r>
      <w:bookmarkEnd w:id="4068"/>
      <w:r>
        <w:t>: Community</w:t>
      </w:r>
      <w:r w:rsidR="00A15B40">
        <w:t>-</w:t>
      </w:r>
      <w:r>
        <w:t>based supervision and incarceration: cost per person per day/night</w:t>
      </w:r>
      <w:bookmarkEnd w:id="4069"/>
      <w:bookmarkEnd w:id="4070"/>
    </w:p>
    <w:tbl>
      <w:tblPr>
        <w:tblStyle w:val="GridTable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3"/>
        <w:gridCol w:w="1980"/>
        <w:gridCol w:w="1980"/>
        <w:gridCol w:w="1980"/>
        <w:gridCol w:w="2398"/>
      </w:tblGrid>
      <w:tr w:rsidR="00F975E8" w:rsidRPr="000F5A37" w14:paraId="1D22E499" w14:textId="77777777" w:rsidTr="00674A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3" w:type="dxa"/>
            <w:shd w:val="clear" w:color="auto" w:fill="5D7A38"/>
          </w:tcPr>
          <w:p w14:paraId="175CE9D2" w14:textId="77777777" w:rsidR="002549DB" w:rsidRPr="00C239FD" w:rsidRDefault="002549DB" w:rsidP="00D11E39">
            <w:pPr>
              <w:keepNext/>
              <w:rPr>
                <w:sz w:val="20"/>
                <w:szCs w:val="20"/>
              </w:rPr>
            </w:pPr>
            <w:r w:rsidRPr="00C239FD">
              <w:rPr>
                <w:sz w:val="20"/>
                <w:szCs w:val="20"/>
              </w:rPr>
              <w:t>Year</w:t>
            </w:r>
          </w:p>
        </w:tc>
        <w:tc>
          <w:tcPr>
            <w:tcW w:w="1980" w:type="dxa"/>
            <w:shd w:val="clear" w:color="auto" w:fill="5D7A38"/>
          </w:tcPr>
          <w:p w14:paraId="6282D9D4" w14:textId="76398B1E" w:rsidR="002549DB" w:rsidRPr="00C239FD" w:rsidRDefault="002549DB" w:rsidP="00D11E39">
            <w:pPr>
              <w:keepNext/>
              <w:cnfStyle w:val="100000000000" w:firstRow="1" w:lastRow="0" w:firstColumn="0" w:lastColumn="0" w:oddVBand="0" w:evenVBand="0" w:oddHBand="0" w:evenHBand="0" w:firstRowFirstColumn="0" w:firstRowLastColumn="0" w:lastRowFirstColumn="0" w:lastRowLastColumn="0"/>
              <w:rPr>
                <w:b w:val="0"/>
                <w:bCs w:val="0"/>
                <w:sz w:val="20"/>
                <w:szCs w:val="20"/>
              </w:rPr>
            </w:pPr>
            <w:r w:rsidRPr="00C239FD">
              <w:rPr>
                <w:sz w:val="20"/>
                <w:szCs w:val="20"/>
              </w:rPr>
              <w:t>Youth community</w:t>
            </w:r>
            <w:r w:rsidR="00A15B40" w:rsidRPr="00C239FD">
              <w:rPr>
                <w:sz w:val="20"/>
                <w:szCs w:val="20"/>
              </w:rPr>
              <w:t>-</w:t>
            </w:r>
            <w:r w:rsidRPr="00C239FD">
              <w:rPr>
                <w:sz w:val="20"/>
                <w:szCs w:val="20"/>
              </w:rPr>
              <w:t xml:space="preserve">based supervision </w:t>
            </w:r>
          </w:p>
          <w:p w14:paraId="50EB913A" w14:textId="77777777" w:rsidR="002549DB" w:rsidRPr="00C239FD" w:rsidRDefault="002549DB" w:rsidP="00D11E39">
            <w:pPr>
              <w:keepNext/>
              <w:cnfStyle w:val="100000000000" w:firstRow="1" w:lastRow="0" w:firstColumn="0" w:lastColumn="0" w:oddVBand="0" w:evenVBand="0" w:oddHBand="0" w:evenHBand="0" w:firstRowFirstColumn="0" w:firstRowLastColumn="0" w:lastRowFirstColumn="0" w:lastRowLastColumn="0"/>
              <w:rPr>
                <w:sz w:val="20"/>
                <w:szCs w:val="20"/>
              </w:rPr>
            </w:pPr>
            <w:r w:rsidRPr="00C239FD">
              <w:rPr>
                <w:sz w:val="20"/>
                <w:szCs w:val="20"/>
              </w:rPr>
              <w:t>($, real expenditure)</w:t>
            </w:r>
          </w:p>
        </w:tc>
        <w:tc>
          <w:tcPr>
            <w:tcW w:w="1980" w:type="dxa"/>
            <w:shd w:val="clear" w:color="auto" w:fill="5D7A38"/>
          </w:tcPr>
          <w:p w14:paraId="782F3788" w14:textId="189AE23B" w:rsidR="002549DB" w:rsidRPr="00C239FD" w:rsidRDefault="002549DB" w:rsidP="00D11E39">
            <w:pPr>
              <w:keepNext/>
              <w:cnfStyle w:val="100000000000" w:firstRow="1" w:lastRow="0" w:firstColumn="0" w:lastColumn="0" w:oddVBand="0" w:evenVBand="0" w:oddHBand="0" w:evenHBand="0" w:firstRowFirstColumn="0" w:firstRowLastColumn="0" w:lastRowFirstColumn="0" w:lastRowLastColumn="0"/>
              <w:rPr>
                <w:b w:val="0"/>
                <w:bCs w:val="0"/>
                <w:sz w:val="20"/>
                <w:szCs w:val="20"/>
              </w:rPr>
            </w:pPr>
            <w:r w:rsidRPr="00C239FD">
              <w:rPr>
                <w:sz w:val="20"/>
                <w:szCs w:val="20"/>
              </w:rPr>
              <w:t>Youth detention</w:t>
            </w:r>
            <w:r w:rsidR="00A15B40" w:rsidRPr="00C239FD">
              <w:rPr>
                <w:sz w:val="20"/>
                <w:szCs w:val="20"/>
              </w:rPr>
              <w:t>-</w:t>
            </w:r>
            <w:r w:rsidRPr="00C239FD">
              <w:rPr>
                <w:sz w:val="20"/>
                <w:szCs w:val="20"/>
              </w:rPr>
              <w:t xml:space="preserve">based supervision </w:t>
            </w:r>
          </w:p>
          <w:p w14:paraId="467257F7" w14:textId="77777777" w:rsidR="002549DB" w:rsidRPr="00C239FD" w:rsidRDefault="002549DB" w:rsidP="00D11E39">
            <w:pPr>
              <w:keepNext/>
              <w:cnfStyle w:val="100000000000" w:firstRow="1" w:lastRow="0" w:firstColumn="0" w:lastColumn="0" w:oddVBand="0" w:evenVBand="0" w:oddHBand="0" w:evenHBand="0" w:firstRowFirstColumn="0" w:firstRowLastColumn="0" w:lastRowFirstColumn="0" w:lastRowLastColumn="0"/>
              <w:rPr>
                <w:sz w:val="20"/>
                <w:szCs w:val="20"/>
              </w:rPr>
            </w:pPr>
            <w:r w:rsidRPr="00C239FD">
              <w:rPr>
                <w:sz w:val="20"/>
                <w:szCs w:val="20"/>
              </w:rPr>
              <w:t>($, real expenditure)</w:t>
            </w:r>
          </w:p>
        </w:tc>
        <w:tc>
          <w:tcPr>
            <w:tcW w:w="1980" w:type="dxa"/>
            <w:shd w:val="clear" w:color="auto" w:fill="5D7A38"/>
          </w:tcPr>
          <w:p w14:paraId="2BA56670" w14:textId="77777777" w:rsidR="002549DB" w:rsidRPr="00C239FD" w:rsidRDefault="002549DB" w:rsidP="00D11E39">
            <w:pPr>
              <w:keepNext/>
              <w:cnfStyle w:val="100000000000" w:firstRow="1" w:lastRow="0" w:firstColumn="0" w:lastColumn="0" w:oddVBand="0" w:evenVBand="0" w:oddHBand="0" w:evenHBand="0" w:firstRowFirstColumn="0" w:firstRowLastColumn="0" w:lastRowFirstColumn="0" w:lastRowLastColumn="0"/>
              <w:rPr>
                <w:b w:val="0"/>
                <w:bCs w:val="0"/>
                <w:sz w:val="20"/>
                <w:szCs w:val="20"/>
              </w:rPr>
            </w:pPr>
            <w:r w:rsidRPr="00C239FD">
              <w:rPr>
                <w:sz w:val="20"/>
                <w:szCs w:val="20"/>
              </w:rPr>
              <w:t xml:space="preserve">Adult prisoners </w:t>
            </w:r>
          </w:p>
          <w:p w14:paraId="0357AA03" w14:textId="77777777" w:rsidR="002549DB" w:rsidRPr="00C239FD" w:rsidRDefault="002549DB" w:rsidP="00D11E39">
            <w:pPr>
              <w:keepNext/>
              <w:cnfStyle w:val="100000000000" w:firstRow="1" w:lastRow="0" w:firstColumn="0" w:lastColumn="0" w:oddVBand="0" w:evenVBand="0" w:oddHBand="0" w:evenHBand="0" w:firstRowFirstColumn="0" w:firstRowLastColumn="0" w:lastRowFirstColumn="0" w:lastRowLastColumn="0"/>
              <w:rPr>
                <w:sz w:val="20"/>
                <w:szCs w:val="20"/>
              </w:rPr>
            </w:pPr>
            <w:r w:rsidRPr="00C239FD">
              <w:rPr>
                <w:sz w:val="20"/>
                <w:szCs w:val="20"/>
              </w:rPr>
              <w:t>($, net real operating expenditure)</w:t>
            </w:r>
          </w:p>
        </w:tc>
        <w:tc>
          <w:tcPr>
            <w:tcW w:w="2398" w:type="dxa"/>
            <w:shd w:val="clear" w:color="auto" w:fill="5D7A38"/>
          </w:tcPr>
          <w:p w14:paraId="5521E7F7" w14:textId="77777777" w:rsidR="002549DB" w:rsidRPr="00C239FD" w:rsidRDefault="002549DB" w:rsidP="00D11E39">
            <w:pPr>
              <w:keepNext/>
              <w:cnfStyle w:val="100000000000" w:firstRow="1" w:lastRow="0" w:firstColumn="0" w:lastColumn="0" w:oddVBand="0" w:evenVBand="0" w:oddHBand="0" w:evenHBand="0" w:firstRowFirstColumn="0" w:firstRowLastColumn="0" w:lastRowFirstColumn="0" w:lastRowLastColumn="0"/>
              <w:rPr>
                <w:b w:val="0"/>
                <w:bCs w:val="0"/>
                <w:sz w:val="20"/>
                <w:szCs w:val="20"/>
              </w:rPr>
            </w:pPr>
            <w:r w:rsidRPr="00C239FD">
              <w:rPr>
                <w:sz w:val="20"/>
                <w:szCs w:val="20"/>
              </w:rPr>
              <w:t xml:space="preserve">Adult prisoners </w:t>
            </w:r>
          </w:p>
          <w:p w14:paraId="10CCD563" w14:textId="09B1D774" w:rsidR="002549DB" w:rsidRPr="00C239FD" w:rsidRDefault="002549DB" w:rsidP="00D11E39">
            <w:pPr>
              <w:keepNext/>
              <w:cnfStyle w:val="100000000000" w:firstRow="1" w:lastRow="0" w:firstColumn="0" w:lastColumn="0" w:oddVBand="0" w:evenVBand="0" w:oddHBand="0" w:evenHBand="0" w:firstRowFirstColumn="0" w:firstRowLastColumn="0" w:lastRowFirstColumn="0" w:lastRowLastColumn="0"/>
              <w:rPr>
                <w:sz w:val="20"/>
                <w:szCs w:val="20"/>
              </w:rPr>
            </w:pPr>
            <w:r w:rsidRPr="00C239FD">
              <w:rPr>
                <w:sz w:val="20"/>
                <w:szCs w:val="20"/>
              </w:rPr>
              <w:t>($, recurrent expenditure</w:t>
            </w:r>
            <w:r w:rsidR="00674AEB">
              <w:rPr>
                <w:sz w:val="20"/>
                <w:szCs w:val="20"/>
              </w:rPr>
              <w:t xml:space="preserve"> </w:t>
            </w:r>
            <w:r w:rsidRPr="00C239FD">
              <w:rPr>
                <w:sz w:val="20"/>
                <w:szCs w:val="20"/>
              </w:rPr>
              <w:t>/</w:t>
            </w:r>
            <w:r w:rsidR="00674AEB">
              <w:rPr>
                <w:sz w:val="20"/>
                <w:szCs w:val="20"/>
              </w:rPr>
              <w:t xml:space="preserve"> </w:t>
            </w:r>
            <w:r w:rsidRPr="00C239FD">
              <w:rPr>
                <w:sz w:val="20"/>
                <w:szCs w:val="20"/>
              </w:rPr>
              <w:t>prisoner</w:t>
            </w:r>
            <w:r w:rsidR="00674AEB">
              <w:rPr>
                <w:sz w:val="20"/>
                <w:szCs w:val="20"/>
              </w:rPr>
              <w:t xml:space="preserve"> </w:t>
            </w:r>
            <w:r w:rsidRPr="00C239FD">
              <w:rPr>
                <w:sz w:val="20"/>
                <w:szCs w:val="20"/>
              </w:rPr>
              <w:t>/ day (operating plus capital)</w:t>
            </w:r>
          </w:p>
        </w:tc>
      </w:tr>
      <w:tr w:rsidR="00164FB2" w:rsidRPr="000F5A37" w14:paraId="6F547740" w14:textId="77777777" w:rsidTr="00674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3" w:type="dxa"/>
          </w:tcPr>
          <w:p w14:paraId="5EA88CCF" w14:textId="08E5AD4E" w:rsidR="002549DB" w:rsidRPr="00C239FD" w:rsidRDefault="002549DB" w:rsidP="00D11E39">
            <w:pPr>
              <w:rPr>
                <w:sz w:val="20"/>
                <w:szCs w:val="20"/>
              </w:rPr>
            </w:pPr>
            <w:r w:rsidRPr="00C239FD">
              <w:rPr>
                <w:sz w:val="20"/>
                <w:szCs w:val="20"/>
              </w:rPr>
              <w:t>2020</w:t>
            </w:r>
            <w:r w:rsidR="00A15B40" w:rsidRPr="00C239FD">
              <w:rPr>
                <w:sz w:val="20"/>
                <w:szCs w:val="20"/>
              </w:rPr>
              <w:t>–</w:t>
            </w:r>
            <w:r w:rsidRPr="00C239FD">
              <w:rPr>
                <w:sz w:val="20"/>
                <w:szCs w:val="20"/>
              </w:rPr>
              <w:t>21</w:t>
            </w:r>
          </w:p>
        </w:tc>
        <w:tc>
          <w:tcPr>
            <w:tcW w:w="1980" w:type="dxa"/>
          </w:tcPr>
          <w:p w14:paraId="34E6A7FE" w14:textId="4F7A0FC9" w:rsidR="002549DB" w:rsidRPr="00C239FD" w:rsidRDefault="002549DB" w:rsidP="00674AEB">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246.80</w:t>
            </w:r>
          </w:p>
        </w:tc>
        <w:tc>
          <w:tcPr>
            <w:tcW w:w="1980" w:type="dxa"/>
          </w:tcPr>
          <w:p w14:paraId="757FAFEA" w14:textId="18BC8350" w:rsidR="002549DB" w:rsidRPr="00C239FD" w:rsidRDefault="002549DB" w:rsidP="00674AEB">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2</w:t>
            </w:r>
            <w:r w:rsidR="00464FC5" w:rsidRPr="00C239FD">
              <w:rPr>
                <w:sz w:val="20"/>
                <w:szCs w:val="20"/>
              </w:rPr>
              <w:t>,</w:t>
            </w:r>
            <w:r w:rsidRPr="00C239FD">
              <w:rPr>
                <w:sz w:val="20"/>
                <w:szCs w:val="20"/>
              </w:rPr>
              <w:t>517.52</w:t>
            </w:r>
          </w:p>
        </w:tc>
        <w:tc>
          <w:tcPr>
            <w:tcW w:w="1980" w:type="dxa"/>
          </w:tcPr>
          <w:p w14:paraId="3E8CA988" w14:textId="77777777" w:rsidR="002549DB" w:rsidRPr="00C239FD" w:rsidRDefault="002549DB" w:rsidP="007F339A">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272.41</w:t>
            </w:r>
          </w:p>
        </w:tc>
        <w:tc>
          <w:tcPr>
            <w:tcW w:w="2398" w:type="dxa"/>
          </w:tcPr>
          <w:p w14:paraId="35509442" w14:textId="77777777" w:rsidR="002549DB" w:rsidRPr="00C239FD" w:rsidRDefault="002549DB" w:rsidP="007F339A">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375.09</w:t>
            </w:r>
          </w:p>
        </w:tc>
      </w:tr>
      <w:tr w:rsidR="00F74DEF" w:rsidRPr="000F5A37" w14:paraId="70F8CA96" w14:textId="77777777" w:rsidTr="00674AEB">
        <w:tc>
          <w:tcPr>
            <w:cnfStyle w:val="001000000000" w:firstRow="0" w:lastRow="0" w:firstColumn="1" w:lastColumn="0" w:oddVBand="0" w:evenVBand="0" w:oddHBand="0" w:evenHBand="0" w:firstRowFirstColumn="0" w:firstRowLastColumn="0" w:lastRowFirstColumn="0" w:lastRowLastColumn="0"/>
            <w:tcW w:w="1013" w:type="dxa"/>
          </w:tcPr>
          <w:p w14:paraId="166FB2D6" w14:textId="6E3641D4" w:rsidR="002549DB" w:rsidRPr="00C239FD" w:rsidRDefault="002549DB" w:rsidP="00D11E39">
            <w:pPr>
              <w:rPr>
                <w:sz w:val="20"/>
                <w:szCs w:val="20"/>
              </w:rPr>
            </w:pPr>
            <w:r w:rsidRPr="00C239FD">
              <w:rPr>
                <w:sz w:val="20"/>
                <w:szCs w:val="20"/>
              </w:rPr>
              <w:t>2019</w:t>
            </w:r>
            <w:r w:rsidR="00A15B40" w:rsidRPr="00C239FD">
              <w:rPr>
                <w:sz w:val="20"/>
                <w:szCs w:val="20"/>
              </w:rPr>
              <w:t>–</w:t>
            </w:r>
            <w:r w:rsidRPr="00C239FD">
              <w:rPr>
                <w:sz w:val="20"/>
                <w:szCs w:val="20"/>
              </w:rPr>
              <w:t>20</w:t>
            </w:r>
          </w:p>
        </w:tc>
        <w:tc>
          <w:tcPr>
            <w:tcW w:w="1980" w:type="dxa"/>
          </w:tcPr>
          <w:p w14:paraId="027CBFF8" w14:textId="76A22062" w:rsidR="002549DB" w:rsidRPr="00C239FD" w:rsidRDefault="002549DB" w:rsidP="00674AEB">
            <w:pPr>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235.64</w:t>
            </w:r>
          </w:p>
        </w:tc>
        <w:tc>
          <w:tcPr>
            <w:tcW w:w="1980" w:type="dxa"/>
          </w:tcPr>
          <w:p w14:paraId="6DF515E3" w14:textId="1306601E" w:rsidR="002549DB" w:rsidRPr="00C239FD" w:rsidRDefault="002549DB" w:rsidP="00674AEB">
            <w:pPr>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1</w:t>
            </w:r>
            <w:r w:rsidR="00464FC5" w:rsidRPr="00C239FD">
              <w:rPr>
                <w:sz w:val="20"/>
                <w:szCs w:val="20"/>
              </w:rPr>
              <w:t>,</w:t>
            </w:r>
            <w:r w:rsidRPr="00C239FD">
              <w:rPr>
                <w:sz w:val="20"/>
                <w:szCs w:val="20"/>
              </w:rPr>
              <w:t>882.92</w:t>
            </w:r>
          </w:p>
        </w:tc>
        <w:tc>
          <w:tcPr>
            <w:tcW w:w="1980" w:type="dxa"/>
          </w:tcPr>
          <w:p w14:paraId="6E559E3D" w14:textId="77777777" w:rsidR="002549DB" w:rsidRPr="00C239FD" w:rsidRDefault="002549DB" w:rsidP="007F339A">
            <w:pPr>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250.94</w:t>
            </w:r>
          </w:p>
        </w:tc>
        <w:tc>
          <w:tcPr>
            <w:tcW w:w="2398" w:type="dxa"/>
          </w:tcPr>
          <w:p w14:paraId="65A473BB" w14:textId="77777777" w:rsidR="002549DB" w:rsidRPr="00C239FD" w:rsidRDefault="002549DB" w:rsidP="007F339A">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164FB2" w:rsidRPr="000F5A37" w14:paraId="1A11D6E5" w14:textId="77777777" w:rsidTr="00674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3" w:type="dxa"/>
          </w:tcPr>
          <w:p w14:paraId="1380CDC9" w14:textId="32886092" w:rsidR="002549DB" w:rsidRPr="00C239FD" w:rsidRDefault="002549DB" w:rsidP="00D11E39">
            <w:pPr>
              <w:rPr>
                <w:sz w:val="20"/>
                <w:szCs w:val="20"/>
              </w:rPr>
            </w:pPr>
            <w:r w:rsidRPr="00C239FD">
              <w:rPr>
                <w:sz w:val="20"/>
                <w:szCs w:val="20"/>
              </w:rPr>
              <w:t>2018</w:t>
            </w:r>
            <w:r w:rsidR="00A15B40" w:rsidRPr="00C239FD">
              <w:rPr>
                <w:sz w:val="20"/>
                <w:szCs w:val="20"/>
              </w:rPr>
              <w:t>–</w:t>
            </w:r>
            <w:r w:rsidRPr="00C239FD">
              <w:rPr>
                <w:sz w:val="20"/>
                <w:szCs w:val="20"/>
              </w:rPr>
              <w:t>19</w:t>
            </w:r>
          </w:p>
        </w:tc>
        <w:tc>
          <w:tcPr>
            <w:tcW w:w="1980" w:type="dxa"/>
          </w:tcPr>
          <w:p w14:paraId="4F636412" w14:textId="77777777" w:rsidR="002549DB" w:rsidRPr="00C239FD" w:rsidRDefault="002549DB" w:rsidP="007F339A">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200.30</w:t>
            </w:r>
          </w:p>
        </w:tc>
        <w:tc>
          <w:tcPr>
            <w:tcW w:w="1980" w:type="dxa"/>
          </w:tcPr>
          <w:p w14:paraId="128042BB" w14:textId="44C1465D" w:rsidR="002549DB" w:rsidRPr="00C239FD" w:rsidRDefault="002549DB" w:rsidP="00674AEB">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1</w:t>
            </w:r>
            <w:r w:rsidR="00464FC5" w:rsidRPr="00C239FD">
              <w:rPr>
                <w:sz w:val="20"/>
                <w:szCs w:val="20"/>
              </w:rPr>
              <w:t>,</w:t>
            </w:r>
            <w:r w:rsidRPr="00C239FD">
              <w:rPr>
                <w:sz w:val="20"/>
                <w:szCs w:val="20"/>
              </w:rPr>
              <w:t>698.71</w:t>
            </w:r>
          </w:p>
        </w:tc>
        <w:tc>
          <w:tcPr>
            <w:tcW w:w="1980" w:type="dxa"/>
          </w:tcPr>
          <w:p w14:paraId="5D8CAF96" w14:textId="77777777" w:rsidR="002549DB" w:rsidRPr="00C239FD" w:rsidRDefault="002549DB" w:rsidP="007F339A">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238.79</w:t>
            </w:r>
          </w:p>
        </w:tc>
        <w:tc>
          <w:tcPr>
            <w:tcW w:w="2398" w:type="dxa"/>
          </w:tcPr>
          <w:p w14:paraId="7938FB69" w14:textId="77777777" w:rsidR="002549DB" w:rsidRPr="00C239FD" w:rsidRDefault="002549DB" w:rsidP="007F339A">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F74DEF" w:rsidRPr="000F5A37" w14:paraId="25E22A70" w14:textId="77777777" w:rsidTr="00674AEB">
        <w:tc>
          <w:tcPr>
            <w:cnfStyle w:val="001000000000" w:firstRow="0" w:lastRow="0" w:firstColumn="1" w:lastColumn="0" w:oddVBand="0" w:evenVBand="0" w:oddHBand="0" w:evenHBand="0" w:firstRowFirstColumn="0" w:firstRowLastColumn="0" w:lastRowFirstColumn="0" w:lastRowLastColumn="0"/>
            <w:tcW w:w="1013" w:type="dxa"/>
          </w:tcPr>
          <w:p w14:paraId="396DCA76" w14:textId="34ED92F0" w:rsidR="002549DB" w:rsidRPr="00C239FD" w:rsidRDefault="002549DB" w:rsidP="00D11E39">
            <w:pPr>
              <w:rPr>
                <w:sz w:val="20"/>
                <w:szCs w:val="20"/>
              </w:rPr>
            </w:pPr>
            <w:r w:rsidRPr="00C239FD">
              <w:rPr>
                <w:sz w:val="20"/>
                <w:szCs w:val="20"/>
              </w:rPr>
              <w:t>2017</w:t>
            </w:r>
            <w:r w:rsidR="00A15B40" w:rsidRPr="00C239FD">
              <w:rPr>
                <w:sz w:val="20"/>
                <w:szCs w:val="20"/>
              </w:rPr>
              <w:t>–</w:t>
            </w:r>
            <w:r w:rsidRPr="00C239FD">
              <w:rPr>
                <w:sz w:val="20"/>
                <w:szCs w:val="20"/>
              </w:rPr>
              <w:t>18</w:t>
            </w:r>
          </w:p>
        </w:tc>
        <w:tc>
          <w:tcPr>
            <w:tcW w:w="1980" w:type="dxa"/>
          </w:tcPr>
          <w:p w14:paraId="56EAA8C3" w14:textId="53940D43" w:rsidR="002549DB" w:rsidRPr="00C239FD" w:rsidRDefault="002549DB" w:rsidP="00674AEB">
            <w:pPr>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181.46</w:t>
            </w:r>
          </w:p>
        </w:tc>
        <w:tc>
          <w:tcPr>
            <w:tcW w:w="1980" w:type="dxa"/>
          </w:tcPr>
          <w:p w14:paraId="107A87AF" w14:textId="45B533E1" w:rsidR="002549DB" w:rsidRPr="00C239FD" w:rsidRDefault="002549DB" w:rsidP="00674AEB">
            <w:pPr>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1</w:t>
            </w:r>
            <w:r w:rsidR="00464FC5" w:rsidRPr="00C239FD">
              <w:rPr>
                <w:sz w:val="20"/>
                <w:szCs w:val="20"/>
              </w:rPr>
              <w:t>,</w:t>
            </w:r>
            <w:r w:rsidRPr="00C239FD">
              <w:rPr>
                <w:sz w:val="20"/>
                <w:szCs w:val="20"/>
              </w:rPr>
              <w:t>515.50</w:t>
            </w:r>
          </w:p>
        </w:tc>
        <w:tc>
          <w:tcPr>
            <w:tcW w:w="1980" w:type="dxa"/>
          </w:tcPr>
          <w:p w14:paraId="47B3EF95" w14:textId="77777777" w:rsidR="002549DB" w:rsidRPr="00C239FD" w:rsidRDefault="002549DB" w:rsidP="007F339A">
            <w:pPr>
              <w:jc w:val="right"/>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236.5</w:t>
            </w:r>
          </w:p>
        </w:tc>
        <w:tc>
          <w:tcPr>
            <w:tcW w:w="2398" w:type="dxa"/>
          </w:tcPr>
          <w:p w14:paraId="5CFB0B02" w14:textId="77777777" w:rsidR="002549DB" w:rsidRPr="00C239FD" w:rsidRDefault="002549DB" w:rsidP="007F339A">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0C16FD" w:rsidRPr="000F5A37" w14:paraId="6FC29B5C" w14:textId="77777777" w:rsidTr="00674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3" w:type="dxa"/>
            <w:tcBorders>
              <w:bottom w:val="single" w:sz="4" w:space="0" w:color="auto"/>
            </w:tcBorders>
          </w:tcPr>
          <w:p w14:paraId="7082D4F0" w14:textId="192AC91F" w:rsidR="002549DB" w:rsidRPr="00C239FD" w:rsidRDefault="002549DB" w:rsidP="00D11E39">
            <w:pPr>
              <w:rPr>
                <w:sz w:val="20"/>
                <w:szCs w:val="20"/>
              </w:rPr>
            </w:pPr>
            <w:r w:rsidRPr="00C239FD">
              <w:rPr>
                <w:sz w:val="20"/>
                <w:szCs w:val="20"/>
              </w:rPr>
              <w:t>2016</w:t>
            </w:r>
            <w:r w:rsidR="00A15B40" w:rsidRPr="00C239FD">
              <w:rPr>
                <w:sz w:val="20"/>
                <w:szCs w:val="20"/>
              </w:rPr>
              <w:t>–</w:t>
            </w:r>
            <w:r w:rsidRPr="00C239FD">
              <w:rPr>
                <w:sz w:val="20"/>
                <w:szCs w:val="20"/>
              </w:rPr>
              <w:t>17</w:t>
            </w:r>
          </w:p>
        </w:tc>
        <w:tc>
          <w:tcPr>
            <w:tcW w:w="1980" w:type="dxa"/>
            <w:tcBorders>
              <w:bottom w:val="single" w:sz="4" w:space="0" w:color="auto"/>
            </w:tcBorders>
          </w:tcPr>
          <w:p w14:paraId="59D49CC3" w14:textId="265D1429" w:rsidR="002549DB" w:rsidRPr="00C239FD" w:rsidRDefault="002549DB" w:rsidP="00C239FD">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159.53</w:t>
            </w:r>
          </w:p>
        </w:tc>
        <w:tc>
          <w:tcPr>
            <w:tcW w:w="1980" w:type="dxa"/>
            <w:tcBorders>
              <w:bottom w:val="single" w:sz="4" w:space="0" w:color="auto"/>
            </w:tcBorders>
          </w:tcPr>
          <w:p w14:paraId="1B6108F2" w14:textId="0CA5481F" w:rsidR="002549DB" w:rsidRPr="00C239FD" w:rsidRDefault="002549DB" w:rsidP="00C239FD">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1</w:t>
            </w:r>
            <w:r w:rsidR="00464FC5" w:rsidRPr="00C239FD">
              <w:rPr>
                <w:sz w:val="20"/>
                <w:szCs w:val="20"/>
              </w:rPr>
              <w:t>,</w:t>
            </w:r>
            <w:r w:rsidRPr="00C239FD">
              <w:rPr>
                <w:sz w:val="20"/>
                <w:szCs w:val="20"/>
              </w:rPr>
              <w:t>558.57</w:t>
            </w:r>
          </w:p>
        </w:tc>
        <w:tc>
          <w:tcPr>
            <w:tcW w:w="1980" w:type="dxa"/>
            <w:tcBorders>
              <w:bottom w:val="single" w:sz="4" w:space="0" w:color="auto"/>
            </w:tcBorders>
          </w:tcPr>
          <w:p w14:paraId="74A0EDD9" w14:textId="77777777" w:rsidR="002549DB" w:rsidRPr="00C239FD" w:rsidRDefault="002549DB" w:rsidP="00C239FD">
            <w:pPr>
              <w:jc w:val="right"/>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230.85</w:t>
            </w:r>
          </w:p>
        </w:tc>
        <w:tc>
          <w:tcPr>
            <w:tcW w:w="2398" w:type="dxa"/>
            <w:tcBorders>
              <w:bottom w:val="single" w:sz="4" w:space="0" w:color="auto"/>
            </w:tcBorders>
          </w:tcPr>
          <w:p w14:paraId="5CD1980A" w14:textId="77777777" w:rsidR="002549DB" w:rsidRPr="00C239FD" w:rsidRDefault="002549DB" w:rsidP="00C239FD">
            <w:pPr>
              <w:jc w:val="right"/>
              <w:cnfStyle w:val="000000100000" w:firstRow="0" w:lastRow="0" w:firstColumn="0" w:lastColumn="0" w:oddVBand="0" w:evenVBand="0" w:oddHBand="1" w:evenHBand="0" w:firstRowFirstColumn="0" w:firstRowLastColumn="0" w:lastRowFirstColumn="0" w:lastRowLastColumn="0"/>
              <w:rPr>
                <w:sz w:val="20"/>
                <w:szCs w:val="20"/>
              </w:rPr>
            </w:pPr>
          </w:p>
        </w:tc>
      </w:tr>
    </w:tbl>
    <w:p w14:paraId="17CF0F90" w14:textId="1E2BA872" w:rsidR="002549DB" w:rsidRDefault="002549DB" w:rsidP="002549DB">
      <w:pPr>
        <w:pStyle w:val="SourceandNotes"/>
      </w:pPr>
      <w:r w:rsidRPr="00172B28">
        <w:rPr>
          <w:rFonts w:cstheme="minorHAnsi"/>
        </w:rPr>
        <w:t xml:space="preserve">Source: </w:t>
      </w:r>
      <w:r w:rsidR="00700D57">
        <w:t>Productivity Commission</w:t>
      </w:r>
      <w:r w:rsidR="00700D57" w:rsidRPr="00172B28">
        <w:t xml:space="preserve"> </w:t>
      </w:r>
      <w:r w:rsidRPr="00172B28">
        <w:t>(various dates)</w:t>
      </w:r>
      <w:r w:rsidR="006231CD">
        <w:t>,</w:t>
      </w:r>
      <w:r w:rsidRPr="00172B28">
        <w:t xml:space="preserve"> Report on Government Services </w:t>
      </w:r>
    </w:p>
    <w:p w14:paraId="7D94B397" w14:textId="15A71A47" w:rsidR="002549DB" w:rsidRDefault="002549DB" w:rsidP="002549DB">
      <w:pPr>
        <w:pStyle w:val="SourceandNotes"/>
      </w:pPr>
      <w:r>
        <w:t>Note</w:t>
      </w:r>
      <w:r w:rsidRPr="00524C2B">
        <w:rPr>
          <w:rFonts w:cstheme="minorHAnsi"/>
        </w:rPr>
        <w:t xml:space="preserve">: </w:t>
      </w:r>
      <w:r>
        <w:rPr>
          <w:rFonts w:cstheme="minorHAnsi"/>
        </w:rPr>
        <w:t xml:space="preserve">Net </w:t>
      </w:r>
      <w:r w:rsidR="006231CD">
        <w:rPr>
          <w:rFonts w:cstheme="minorHAnsi"/>
        </w:rPr>
        <w:t>r</w:t>
      </w:r>
      <w:r w:rsidRPr="00524C2B">
        <w:rPr>
          <w:rFonts w:cstheme="minorHAnsi"/>
        </w:rPr>
        <w:t xml:space="preserve">eal </w:t>
      </w:r>
      <w:r w:rsidR="006231CD">
        <w:rPr>
          <w:rFonts w:cstheme="minorHAnsi"/>
        </w:rPr>
        <w:t>o</w:t>
      </w:r>
      <w:r w:rsidRPr="00524C2B">
        <w:rPr>
          <w:rFonts w:cstheme="minorHAnsi"/>
        </w:rPr>
        <w:t xml:space="preserve">perating </w:t>
      </w:r>
      <w:r w:rsidR="006231CD">
        <w:rPr>
          <w:rFonts w:cstheme="minorHAnsi"/>
        </w:rPr>
        <w:t>e</w:t>
      </w:r>
      <w:r w:rsidRPr="00524C2B">
        <w:rPr>
          <w:rFonts w:cstheme="minorHAnsi"/>
        </w:rPr>
        <w:t>xpenditure</w:t>
      </w:r>
      <w:r>
        <w:t xml:space="preserve"> does not include capital costs – i.e., is the cost associated with housing and servicing a prisoner for one day</w:t>
      </w:r>
    </w:p>
    <w:p w14:paraId="4CBAB578" w14:textId="312B67D9" w:rsidR="002549DB" w:rsidRPr="006414AA" w:rsidRDefault="002549DB" w:rsidP="002549DB">
      <w:r>
        <w:t xml:space="preserve">Daily rates are significantly </w:t>
      </w:r>
      <w:r w:rsidR="009F1529">
        <w:t xml:space="preserve">higher </w:t>
      </w:r>
      <w:r>
        <w:t>in youth detention. Departmental administrative data demonstrated that the majority of participants wh</w:t>
      </w:r>
      <w:r w:rsidR="00464FC5">
        <w:t>o</w:t>
      </w:r>
      <w:r>
        <w:t xml:space="preserve"> were incarcerated from both TtW and jobactive were over 18 at the time of commencement. To simplify this analysis, and ensure not overclaiming, </w:t>
      </w:r>
      <w:r>
        <w:lastRenderedPageBreak/>
        <w:t>the average adult</w:t>
      </w:r>
      <w:r w:rsidRPr="006414AA">
        <w:t xml:space="preserve"> prisoners (net real operating expenditure) </w:t>
      </w:r>
      <w:r>
        <w:t xml:space="preserve">value is used. </w:t>
      </w:r>
      <w:r w:rsidR="006231CD">
        <w:rPr>
          <w:rFonts w:cstheme="minorHAnsi"/>
        </w:rPr>
        <w:t>N</w:t>
      </w:r>
      <w:r w:rsidRPr="00524C2B">
        <w:rPr>
          <w:rFonts w:cstheme="minorHAnsi"/>
        </w:rPr>
        <w:t>et</w:t>
      </w:r>
      <w:r w:rsidR="006231CD">
        <w:rPr>
          <w:rFonts w:cstheme="minorHAnsi"/>
        </w:rPr>
        <w:t xml:space="preserve"> real</w:t>
      </w:r>
      <w:r w:rsidRPr="00524C2B">
        <w:rPr>
          <w:rFonts w:cstheme="minorHAnsi"/>
        </w:rPr>
        <w:t xml:space="preserve"> operating expenditure</w:t>
      </w:r>
      <w:r>
        <w:t xml:space="preserve"> does not include capital costs – i.e., this is the cost associated with housing and servicing a prisoner for one day.</w:t>
      </w:r>
    </w:p>
    <w:p w14:paraId="31D0A21F" w14:textId="2F4B85C6" w:rsidR="002549DB" w:rsidRDefault="002549DB" w:rsidP="009251AF">
      <w:pPr>
        <w:pStyle w:val="Heading4a"/>
      </w:pPr>
      <w:bookmarkStart w:id="4071" w:name="_Toc105427818"/>
      <w:r>
        <w:t>Estimat</w:t>
      </w:r>
      <w:r w:rsidR="00CC7F95">
        <w:t>ing</w:t>
      </w:r>
      <w:r>
        <w:t xml:space="preserve"> the total amount saved from avoided incarceration</w:t>
      </w:r>
      <w:bookmarkEnd w:id="4071"/>
    </w:p>
    <w:p w14:paraId="2BE85DD3" w14:textId="138D0957" w:rsidR="002549DB" w:rsidRDefault="002549DB" w:rsidP="002549DB">
      <w:r>
        <w:t>The estimated saving from reduced incarceration attributable to TtW is $</w:t>
      </w:r>
      <w:r w:rsidRPr="008E4375">
        <w:t>1,147</w:t>
      </w:r>
      <w:r>
        <w:t xml:space="preserve"> per TtW participant, as outlined </w:t>
      </w:r>
      <w:r w:rsidRPr="006C12A3">
        <w:t xml:space="preserve">in </w:t>
      </w:r>
      <w:r w:rsidR="00B80C93" w:rsidRPr="00B80C93">
        <w:rPr>
          <w:b/>
          <w:bCs/>
        </w:rPr>
        <w:fldChar w:fldCharType="begin"/>
      </w:r>
      <w:r w:rsidR="00B80C93" w:rsidRPr="00B80C93">
        <w:rPr>
          <w:b/>
          <w:bCs/>
        </w:rPr>
        <w:instrText xml:space="preserve"> REF _Ref136531696 \h  \* MERGEFORMAT </w:instrText>
      </w:r>
      <w:r w:rsidR="00B80C93" w:rsidRPr="00B80C93">
        <w:rPr>
          <w:b/>
          <w:bCs/>
        </w:rPr>
      </w:r>
      <w:r w:rsidR="00B80C93" w:rsidRPr="00B80C93">
        <w:rPr>
          <w:b/>
          <w:bCs/>
        </w:rPr>
        <w:fldChar w:fldCharType="separate"/>
      </w:r>
      <w:r w:rsidR="00180E14" w:rsidRPr="00180E14">
        <w:rPr>
          <w:b/>
          <w:bCs/>
        </w:rPr>
        <w:t xml:space="preserve">Table </w:t>
      </w:r>
      <w:r w:rsidR="00180E14" w:rsidRPr="00180E14">
        <w:rPr>
          <w:b/>
          <w:bCs/>
          <w:noProof/>
        </w:rPr>
        <w:t>33</w:t>
      </w:r>
      <w:r w:rsidR="00B80C93" w:rsidRPr="00B80C93">
        <w:rPr>
          <w:b/>
          <w:bCs/>
        </w:rPr>
        <w:fldChar w:fldCharType="end"/>
      </w:r>
      <w:r w:rsidR="00F45B1D">
        <w:t>.</w:t>
      </w:r>
      <w:r w:rsidR="00605AC8">
        <w:t xml:space="preserve"> It should be noted that this is likely an underestimate of the benefit of reduced incarceration as it includes only costs directly associated with imprisoning individuals, and does not include costs associated with policing or the court system more generally, or the value of the avoided harm to victims and property.</w:t>
      </w:r>
    </w:p>
    <w:p w14:paraId="0C6423F9" w14:textId="4B7D1265" w:rsidR="002549DB" w:rsidRDefault="002549DB" w:rsidP="002549DB">
      <w:pPr>
        <w:pStyle w:val="Caption"/>
        <w:keepNext/>
      </w:pPr>
      <w:bookmarkStart w:id="4072" w:name="_Ref136531696"/>
      <w:bookmarkStart w:id="4073" w:name="_Toc132647808"/>
      <w:bookmarkStart w:id="4074" w:name="_Toc145877322"/>
      <w:r>
        <w:t xml:space="preserve">Table </w:t>
      </w:r>
      <w:r>
        <w:fldChar w:fldCharType="begin"/>
      </w:r>
      <w:r>
        <w:instrText>SEQ Table \* ARABIC</w:instrText>
      </w:r>
      <w:r>
        <w:fldChar w:fldCharType="separate"/>
      </w:r>
      <w:r w:rsidR="00180E14">
        <w:rPr>
          <w:noProof/>
        </w:rPr>
        <w:t>33</w:t>
      </w:r>
      <w:r>
        <w:fldChar w:fldCharType="end"/>
      </w:r>
      <w:bookmarkEnd w:id="4072"/>
      <w:r>
        <w:t xml:space="preserve">: </w:t>
      </w:r>
      <w:r w:rsidRPr="001E468E">
        <w:t>Estimated cost saving</w:t>
      </w:r>
      <w:r>
        <w:t>s</w:t>
      </w:r>
      <w:r w:rsidRPr="001E468E">
        <w:t xml:space="preserve"> due to reduced incarceration attributed to TtW, per person</w:t>
      </w:r>
      <w:bookmarkEnd w:id="4073"/>
      <w:bookmarkEnd w:id="4074"/>
    </w:p>
    <w:tbl>
      <w:tblPr>
        <w:tblStyle w:val="GridTable4"/>
        <w:tblW w:w="877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3"/>
        <w:gridCol w:w="1432"/>
      </w:tblGrid>
      <w:tr w:rsidR="007F339A" w:rsidRPr="006231CD" w14:paraId="00A84FD3" w14:textId="77777777" w:rsidTr="007F339A">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7343" w:type="dxa"/>
            <w:tcBorders>
              <w:top w:val="none" w:sz="0" w:space="0" w:color="auto"/>
              <w:left w:val="none" w:sz="0" w:space="0" w:color="auto"/>
              <w:bottom w:val="none" w:sz="0" w:space="0" w:color="auto"/>
              <w:right w:val="none" w:sz="0" w:space="0" w:color="auto"/>
            </w:tcBorders>
            <w:shd w:val="clear" w:color="auto" w:fill="CCCCCC"/>
          </w:tcPr>
          <w:p w14:paraId="419B3CD5" w14:textId="77777777" w:rsidR="004A08F9" w:rsidRPr="00A06389" w:rsidRDefault="004A08F9" w:rsidP="00A245F6">
            <w:pPr>
              <w:keepNext/>
              <w:rPr>
                <w:color w:val="000000" w:themeColor="text1"/>
                <w:sz w:val="20"/>
                <w:szCs w:val="20"/>
              </w:rPr>
            </w:pPr>
            <w:r w:rsidRPr="00A06389">
              <w:rPr>
                <w:color w:val="000000" w:themeColor="text1"/>
                <w:sz w:val="20"/>
                <w:szCs w:val="20"/>
              </w:rPr>
              <w:t>TtW participants in matched sample</w:t>
            </w:r>
          </w:p>
        </w:tc>
        <w:tc>
          <w:tcPr>
            <w:tcW w:w="1432" w:type="dxa"/>
            <w:tcBorders>
              <w:top w:val="none" w:sz="0" w:space="0" w:color="auto"/>
              <w:left w:val="none" w:sz="0" w:space="0" w:color="auto"/>
              <w:bottom w:val="none" w:sz="0" w:space="0" w:color="auto"/>
              <w:right w:val="none" w:sz="0" w:space="0" w:color="auto"/>
            </w:tcBorders>
            <w:shd w:val="clear" w:color="auto" w:fill="CCCCCC"/>
          </w:tcPr>
          <w:p w14:paraId="7B7989CC" w14:textId="2D708979" w:rsidR="004A08F9" w:rsidRPr="00A06389" w:rsidRDefault="0054194B" w:rsidP="00A245F6">
            <w:pPr>
              <w:keepNext/>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A06389">
              <w:rPr>
                <w:b w:val="0"/>
                <w:bCs w:val="0"/>
                <w:color w:val="000000" w:themeColor="text1"/>
                <w:sz w:val="20"/>
                <w:szCs w:val="20"/>
              </w:rPr>
              <w:t>8,361</w:t>
            </w:r>
            <w:r w:rsidR="004A08F9" w:rsidRPr="00A06389">
              <w:rPr>
                <w:b w:val="0"/>
                <w:bCs w:val="0"/>
                <w:color w:val="000000" w:themeColor="text1"/>
                <w:sz w:val="20"/>
                <w:szCs w:val="20"/>
              </w:rPr>
              <w:t xml:space="preserve"> </w:t>
            </w:r>
          </w:p>
        </w:tc>
      </w:tr>
      <w:tr w:rsidR="007F339A" w:rsidRPr="006231CD" w14:paraId="68778810" w14:textId="77777777" w:rsidTr="007F339A">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7343" w:type="dxa"/>
            <w:shd w:val="clear" w:color="auto" w:fill="FFFFFF" w:themeFill="background1"/>
            <w:hideMark/>
          </w:tcPr>
          <w:p w14:paraId="540AF6BE" w14:textId="77777777" w:rsidR="004A08F9" w:rsidRPr="00C239FD" w:rsidRDefault="004A08F9" w:rsidP="00A245F6">
            <w:pPr>
              <w:rPr>
                <w:b w:val="0"/>
                <w:bCs w:val="0"/>
                <w:sz w:val="20"/>
                <w:szCs w:val="20"/>
              </w:rPr>
            </w:pPr>
            <w:r w:rsidRPr="00C239FD">
              <w:rPr>
                <w:sz w:val="20"/>
                <w:szCs w:val="20"/>
              </w:rPr>
              <w:t>Reduction in number of incarceration episodes attributable to TtW for TtW participants in matched sample over 4 years</w:t>
            </w:r>
          </w:p>
          <w:p w14:paraId="3914913E" w14:textId="20AF81CD" w:rsidR="004A08F9" w:rsidRPr="00C239FD" w:rsidRDefault="004A08F9" w:rsidP="00A245F6">
            <w:pPr>
              <w:rPr>
                <w:sz w:val="20"/>
                <w:szCs w:val="20"/>
              </w:rPr>
            </w:pPr>
            <w:r w:rsidRPr="00C239FD">
              <w:rPr>
                <w:sz w:val="20"/>
                <w:szCs w:val="20"/>
              </w:rPr>
              <w:t>= (TtW number of incarceration episodes minus jobactive number of incarceration episodes)</w:t>
            </w:r>
          </w:p>
        </w:tc>
        <w:tc>
          <w:tcPr>
            <w:tcW w:w="1432" w:type="dxa"/>
            <w:shd w:val="clear" w:color="auto" w:fill="FFFFFF" w:themeFill="background1"/>
            <w:hideMark/>
          </w:tcPr>
          <w:p w14:paraId="6514C286" w14:textId="77777777" w:rsidR="004A08F9" w:rsidRPr="00C239FD" w:rsidRDefault="004A08F9" w:rsidP="00A245F6">
            <w:pPr>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265</w:t>
            </w:r>
          </w:p>
        </w:tc>
      </w:tr>
      <w:tr w:rsidR="004A08F9" w:rsidRPr="006231CD" w14:paraId="7849138F" w14:textId="77777777" w:rsidTr="007F339A">
        <w:trPr>
          <w:trHeight w:val="516"/>
        </w:trPr>
        <w:tc>
          <w:tcPr>
            <w:cnfStyle w:val="001000000000" w:firstRow="0" w:lastRow="0" w:firstColumn="1" w:lastColumn="0" w:oddVBand="0" w:evenVBand="0" w:oddHBand="0" w:evenHBand="0" w:firstRowFirstColumn="0" w:firstRowLastColumn="0" w:lastRowFirstColumn="0" w:lastRowLastColumn="0"/>
            <w:tcW w:w="7343" w:type="dxa"/>
            <w:shd w:val="clear" w:color="auto" w:fill="CCCCCC"/>
          </w:tcPr>
          <w:p w14:paraId="4CABB18B" w14:textId="77777777" w:rsidR="004A08F9" w:rsidRPr="00C239FD" w:rsidRDefault="004A08F9" w:rsidP="00A245F6">
            <w:pPr>
              <w:rPr>
                <w:sz w:val="20"/>
                <w:szCs w:val="20"/>
              </w:rPr>
            </w:pPr>
            <w:r w:rsidRPr="00C239FD">
              <w:rPr>
                <w:sz w:val="20"/>
                <w:szCs w:val="20"/>
              </w:rPr>
              <w:t>Average number of days in prison per incarceration</w:t>
            </w:r>
          </w:p>
        </w:tc>
        <w:tc>
          <w:tcPr>
            <w:tcW w:w="1432" w:type="dxa"/>
            <w:shd w:val="clear" w:color="auto" w:fill="CCCCCC"/>
          </w:tcPr>
          <w:p w14:paraId="71C6F244" w14:textId="77777777" w:rsidR="004A08F9" w:rsidRPr="00C239FD" w:rsidRDefault="004A08F9" w:rsidP="00A245F6">
            <w:pPr>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142</w:t>
            </w:r>
          </w:p>
        </w:tc>
      </w:tr>
      <w:tr w:rsidR="004A08F9" w:rsidRPr="006231CD" w14:paraId="04EA9807" w14:textId="77777777" w:rsidTr="007F339A">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7343" w:type="dxa"/>
            <w:shd w:val="clear" w:color="auto" w:fill="FFFFFF" w:themeFill="background1"/>
          </w:tcPr>
          <w:p w14:paraId="268054B4" w14:textId="77777777" w:rsidR="004A08F9" w:rsidRPr="00C239FD" w:rsidRDefault="004A08F9" w:rsidP="00A245F6">
            <w:pPr>
              <w:rPr>
                <w:sz w:val="20"/>
                <w:szCs w:val="20"/>
              </w:rPr>
            </w:pPr>
            <w:r w:rsidRPr="00C239FD">
              <w:rPr>
                <w:sz w:val="20"/>
                <w:szCs w:val="20"/>
              </w:rPr>
              <w:t>Cost of imprisonment ($/day)</w:t>
            </w:r>
          </w:p>
        </w:tc>
        <w:tc>
          <w:tcPr>
            <w:tcW w:w="1432" w:type="dxa"/>
            <w:shd w:val="clear" w:color="auto" w:fill="FFFFFF" w:themeFill="background1"/>
          </w:tcPr>
          <w:p w14:paraId="243E4BB1" w14:textId="77777777" w:rsidR="004A08F9" w:rsidRPr="00C239FD" w:rsidRDefault="004A08F9" w:rsidP="00A245F6">
            <w:pPr>
              <w:cnfStyle w:val="000000100000" w:firstRow="0" w:lastRow="0" w:firstColumn="0" w:lastColumn="0" w:oddVBand="0" w:evenVBand="0" w:oddHBand="1" w:evenHBand="0" w:firstRowFirstColumn="0" w:firstRowLastColumn="0" w:lastRowFirstColumn="0" w:lastRowLastColumn="0"/>
              <w:rPr>
                <w:sz w:val="20"/>
                <w:szCs w:val="20"/>
              </w:rPr>
            </w:pPr>
            <w:r w:rsidRPr="00C239FD">
              <w:rPr>
                <w:sz w:val="20"/>
                <w:szCs w:val="20"/>
              </w:rPr>
              <w:t>254.84</w:t>
            </w:r>
          </w:p>
        </w:tc>
      </w:tr>
      <w:tr w:rsidR="004A08F9" w:rsidRPr="006231CD" w14:paraId="6AB7CB1B" w14:textId="77777777" w:rsidTr="007F339A">
        <w:trPr>
          <w:trHeight w:val="579"/>
        </w:trPr>
        <w:tc>
          <w:tcPr>
            <w:cnfStyle w:val="001000000000" w:firstRow="0" w:lastRow="0" w:firstColumn="1" w:lastColumn="0" w:oddVBand="0" w:evenVBand="0" w:oddHBand="0" w:evenHBand="0" w:firstRowFirstColumn="0" w:firstRowLastColumn="0" w:lastRowFirstColumn="0" w:lastRowLastColumn="0"/>
            <w:tcW w:w="7343" w:type="dxa"/>
            <w:shd w:val="clear" w:color="auto" w:fill="CCCCCC"/>
            <w:hideMark/>
          </w:tcPr>
          <w:p w14:paraId="36D6E609" w14:textId="25B29396" w:rsidR="004A08F9" w:rsidRPr="00C239FD" w:rsidRDefault="004A08F9" w:rsidP="00A245F6">
            <w:pPr>
              <w:rPr>
                <w:b w:val="0"/>
                <w:bCs w:val="0"/>
                <w:sz w:val="20"/>
                <w:szCs w:val="20"/>
              </w:rPr>
            </w:pPr>
            <w:r w:rsidRPr="00C239FD">
              <w:rPr>
                <w:sz w:val="20"/>
                <w:szCs w:val="20"/>
              </w:rPr>
              <w:t>Total cost savings from reduced imprisonment (# incarceration episodes</w:t>
            </w:r>
            <w:r w:rsidR="006231CD" w:rsidRPr="00C239FD">
              <w:rPr>
                <w:sz w:val="20"/>
                <w:szCs w:val="20"/>
              </w:rPr>
              <w:t xml:space="preserve"> </w:t>
            </w:r>
            <w:r w:rsidR="006231CD">
              <w:rPr>
                <w:sz w:val="20"/>
                <w:szCs w:val="20"/>
              </w:rPr>
              <w:t>x</w:t>
            </w:r>
            <w:r w:rsidRPr="00C239FD">
              <w:rPr>
                <w:sz w:val="20"/>
                <w:szCs w:val="20"/>
              </w:rPr>
              <w:t xml:space="preserve"> #</w:t>
            </w:r>
            <w:r w:rsidR="006231CD" w:rsidRPr="00C239FD">
              <w:rPr>
                <w:sz w:val="20"/>
                <w:szCs w:val="20"/>
              </w:rPr>
              <w:t> </w:t>
            </w:r>
            <w:r w:rsidRPr="00C239FD">
              <w:rPr>
                <w:sz w:val="20"/>
                <w:szCs w:val="20"/>
              </w:rPr>
              <w:t>days per episode</w:t>
            </w:r>
            <w:r w:rsidR="006231CD" w:rsidRPr="00C239FD">
              <w:rPr>
                <w:sz w:val="20"/>
                <w:szCs w:val="20"/>
              </w:rPr>
              <w:t xml:space="preserve"> </w:t>
            </w:r>
            <w:r w:rsidR="006231CD">
              <w:rPr>
                <w:sz w:val="20"/>
                <w:szCs w:val="20"/>
              </w:rPr>
              <w:t>x</w:t>
            </w:r>
            <w:r w:rsidR="006231CD" w:rsidRPr="00C239FD">
              <w:rPr>
                <w:sz w:val="20"/>
                <w:szCs w:val="20"/>
              </w:rPr>
              <w:t xml:space="preserve"> </w:t>
            </w:r>
            <w:r w:rsidRPr="00C239FD">
              <w:rPr>
                <w:sz w:val="20"/>
                <w:szCs w:val="20"/>
              </w:rPr>
              <w:t>$/day)</w:t>
            </w:r>
          </w:p>
          <w:p w14:paraId="6D43C886" w14:textId="77777777" w:rsidR="004A08F9" w:rsidRPr="00C239FD" w:rsidRDefault="004A08F9" w:rsidP="00A245F6">
            <w:pPr>
              <w:rPr>
                <w:sz w:val="20"/>
                <w:szCs w:val="20"/>
              </w:rPr>
            </w:pPr>
            <w:r w:rsidRPr="00C239FD">
              <w:rPr>
                <w:sz w:val="20"/>
                <w:szCs w:val="20"/>
              </w:rPr>
              <w:t>= (265 x 142 x 254.84)</w:t>
            </w:r>
          </w:p>
        </w:tc>
        <w:tc>
          <w:tcPr>
            <w:tcW w:w="1432" w:type="dxa"/>
            <w:shd w:val="clear" w:color="auto" w:fill="CCCCCC"/>
            <w:hideMark/>
          </w:tcPr>
          <w:p w14:paraId="5C70B40A" w14:textId="77777777" w:rsidR="004A08F9" w:rsidRPr="00C239FD" w:rsidRDefault="004A08F9" w:rsidP="00A245F6">
            <w:pPr>
              <w:cnfStyle w:val="000000000000" w:firstRow="0" w:lastRow="0" w:firstColumn="0" w:lastColumn="0" w:oddVBand="0" w:evenVBand="0" w:oddHBand="0" w:evenHBand="0" w:firstRowFirstColumn="0" w:firstRowLastColumn="0" w:lastRowFirstColumn="0" w:lastRowLastColumn="0"/>
              <w:rPr>
                <w:sz w:val="20"/>
                <w:szCs w:val="20"/>
              </w:rPr>
            </w:pPr>
            <w:r w:rsidRPr="00C239FD">
              <w:rPr>
                <w:sz w:val="20"/>
                <w:szCs w:val="20"/>
              </w:rPr>
              <w:t>$9,589,629</w:t>
            </w:r>
          </w:p>
        </w:tc>
      </w:tr>
      <w:tr w:rsidR="004A08F9" w:rsidRPr="006231CD" w14:paraId="128CCB00" w14:textId="77777777" w:rsidTr="007F339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7343" w:type="dxa"/>
            <w:tcBorders>
              <w:bottom w:val="single" w:sz="4" w:space="0" w:color="auto"/>
            </w:tcBorders>
            <w:shd w:val="clear" w:color="auto" w:fill="FFFFFF" w:themeFill="background1"/>
            <w:hideMark/>
          </w:tcPr>
          <w:p w14:paraId="27F7C518" w14:textId="77777777" w:rsidR="004A08F9" w:rsidRPr="00C239FD" w:rsidRDefault="004A08F9" w:rsidP="00A245F6">
            <w:pPr>
              <w:rPr>
                <w:b w:val="0"/>
                <w:bCs w:val="0"/>
                <w:sz w:val="20"/>
                <w:szCs w:val="20"/>
              </w:rPr>
            </w:pPr>
            <w:r w:rsidRPr="00C239FD">
              <w:rPr>
                <w:sz w:val="20"/>
                <w:szCs w:val="20"/>
              </w:rPr>
              <w:t>Cost savings associated with reduced incarceration, per TtW participant in matched sample</w:t>
            </w:r>
          </w:p>
          <w:p w14:paraId="6750EDFA" w14:textId="77777777" w:rsidR="004A08F9" w:rsidRPr="00C239FD" w:rsidRDefault="004A08F9" w:rsidP="00A245F6">
            <w:pPr>
              <w:rPr>
                <w:sz w:val="20"/>
                <w:szCs w:val="20"/>
              </w:rPr>
            </w:pPr>
            <w:r w:rsidRPr="00C239FD">
              <w:rPr>
                <w:sz w:val="20"/>
                <w:szCs w:val="20"/>
              </w:rPr>
              <w:t>= (# incarcerations x days in prison x daily cost of imprisonment)/total population</w:t>
            </w:r>
          </w:p>
          <w:p w14:paraId="26C67BDE" w14:textId="4ED49AA9" w:rsidR="004A08F9" w:rsidRPr="00C239FD" w:rsidRDefault="004A08F9" w:rsidP="00A245F6">
            <w:pPr>
              <w:rPr>
                <w:sz w:val="20"/>
                <w:szCs w:val="20"/>
              </w:rPr>
            </w:pPr>
            <w:r w:rsidRPr="00C239FD">
              <w:rPr>
                <w:sz w:val="20"/>
                <w:szCs w:val="20"/>
              </w:rPr>
              <w:t>=$9,589,629/</w:t>
            </w:r>
            <w:r w:rsidR="0054194B" w:rsidRPr="00C239FD">
              <w:rPr>
                <w:sz w:val="20"/>
                <w:szCs w:val="20"/>
              </w:rPr>
              <w:t>8,361</w:t>
            </w:r>
          </w:p>
        </w:tc>
        <w:tc>
          <w:tcPr>
            <w:tcW w:w="1432" w:type="dxa"/>
            <w:tcBorders>
              <w:bottom w:val="single" w:sz="4" w:space="0" w:color="auto"/>
            </w:tcBorders>
            <w:shd w:val="clear" w:color="auto" w:fill="FFFFFF" w:themeFill="background1"/>
            <w:hideMark/>
          </w:tcPr>
          <w:p w14:paraId="278ACAA4" w14:textId="66A80B48" w:rsidR="004A08F9" w:rsidRPr="00C239FD" w:rsidRDefault="004A08F9" w:rsidP="00A245F6">
            <w:pPr>
              <w:cnfStyle w:val="000000100000" w:firstRow="0" w:lastRow="0" w:firstColumn="0" w:lastColumn="0" w:oddVBand="0" w:evenVBand="0" w:oddHBand="1" w:evenHBand="0" w:firstRowFirstColumn="0" w:firstRowLastColumn="0" w:lastRowFirstColumn="0" w:lastRowLastColumn="0"/>
              <w:rPr>
                <w:b/>
                <w:bCs/>
                <w:sz w:val="20"/>
                <w:szCs w:val="20"/>
              </w:rPr>
            </w:pPr>
            <w:r w:rsidRPr="00C239FD">
              <w:rPr>
                <w:b/>
                <w:bCs/>
                <w:sz w:val="20"/>
                <w:szCs w:val="20"/>
              </w:rPr>
              <w:t>$1,147 over 4</w:t>
            </w:r>
            <w:r w:rsidR="006231CD">
              <w:rPr>
                <w:b/>
                <w:bCs/>
                <w:sz w:val="20"/>
                <w:szCs w:val="20"/>
              </w:rPr>
              <w:t> </w:t>
            </w:r>
            <w:r w:rsidRPr="00C239FD">
              <w:rPr>
                <w:b/>
                <w:bCs/>
                <w:sz w:val="20"/>
                <w:szCs w:val="20"/>
              </w:rPr>
              <w:t>years, or $287 over 12</w:t>
            </w:r>
            <w:r w:rsidR="006231CD">
              <w:rPr>
                <w:b/>
                <w:bCs/>
                <w:sz w:val="20"/>
                <w:szCs w:val="20"/>
              </w:rPr>
              <w:t> </w:t>
            </w:r>
            <w:r w:rsidRPr="00C239FD">
              <w:rPr>
                <w:b/>
                <w:bCs/>
                <w:sz w:val="20"/>
                <w:szCs w:val="20"/>
              </w:rPr>
              <w:t>months</w:t>
            </w:r>
          </w:p>
        </w:tc>
      </w:tr>
    </w:tbl>
    <w:p w14:paraId="1FBC0D1E" w14:textId="26A02034" w:rsidR="002549DB" w:rsidRDefault="002549DB" w:rsidP="002549DB">
      <w:pPr>
        <w:pStyle w:val="SourceandNotes"/>
      </w:pPr>
      <w:r>
        <w:t xml:space="preserve">Source: </w:t>
      </w:r>
      <w:r w:rsidR="00450959">
        <w:t>The d</w:t>
      </w:r>
      <w:r>
        <w:t>epartment</w:t>
      </w:r>
      <w:r w:rsidR="00450959">
        <w:t>’s</w:t>
      </w:r>
      <w:r>
        <w:t xml:space="preserve"> administrative data</w:t>
      </w:r>
      <w:r w:rsidR="000F5A37">
        <w:t>;</w:t>
      </w:r>
      <w:r>
        <w:t xml:space="preserve"> </w:t>
      </w:r>
      <w:r w:rsidR="000F5A37">
        <w:t>Productivity Commission</w:t>
      </w:r>
      <w:r w:rsidRPr="00172B28">
        <w:t xml:space="preserve"> (various dates)</w:t>
      </w:r>
      <w:r w:rsidR="000F5A37">
        <w:t>,</w:t>
      </w:r>
      <w:r w:rsidRPr="00172B28">
        <w:t xml:space="preserve"> Report on Government Services </w:t>
      </w:r>
    </w:p>
    <w:p w14:paraId="1CF53267" w14:textId="20988919" w:rsidR="00416E22" w:rsidRDefault="00416E22" w:rsidP="009251AF">
      <w:pPr>
        <w:pStyle w:val="Heading3a"/>
      </w:pPr>
      <w:bookmarkStart w:id="4075" w:name="_Toc105427823"/>
      <w:bookmarkStart w:id="4076" w:name="_Toc106711928"/>
      <w:bookmarkStart w:id="4077" w:name="_Toc110945435"/>
      <w:bookmarkStart w:id="4078" w:name="_Toc132650559"/>
      <w:bookmarkStart w:id="4079" w:name="_Toc146033588"/>
      <w:r>
        <w:t>Limitations associated with calculation of benefits</w:t>
      </w:r>
      <w:bookmarkEnd w:id="4075"/>
      <w:bookmarkEnd w:id="4076"/>
      <w:bookmarkEnd w:id="4077"/>
      <w:bookmarkEnd w:id="4078"/>
      <w:bookmarkEnd w:id="4079"/>
    </w:p>
    <w:p w14:paraId="059B60D4" w14:textId="77777777" w:rsidR="00416E22" w:rsidRPr="00384D05" w:rsidRDefault="00416E22" w:rsidP="00CD7319">
      <w:pPr>
        <w:pStyle w:val="Heading4"/>
        <w:numPr>
          <w:ilvl w:val="0"/>
          <w:numId w:val="0"/>
        </w:numPr>
        <w:ind w:left="864" w:hanging="864"/>
      </w:pPr>
      <w:bookmarkStart w:id="4080" w:name="_Toc105427819"/>
      <w:r w:rsidRPr="00384D05">
        <w:t>Value of savings from reduced incarceration</w:t>
      </w:r>
    </w:p>
    <w:p w14:paraId="34DE5C77" w14:textId="48FD8FBF" w:rsidR="00416E22" w:rsidRDefault="00416E22" w:rsidP="00416E22">
      <w:r>
        <w:t>Average length of time in prison was calculated using administrative data on participants</w:t>
      </w:r>
      <w:r w:rsidR="006231CD">
        <w:t>’</w:t>
      </w:r>
      <w:r>
        <w:t xml:space="preserve"> income support status. It was assumed that for each period of incarceration an individual</w:t>
      </w:r>
      <w:r w:rsidR="00F8391B">
        <w:t>’</w:t>
      </w:r>
      <w:r>
        <w:t xml:space="preserve">s time in prison commenced when they exited income support due to entering prison as their exit reason, and ended when they recommenced income support. This may overestimate the average length of time in prison if individuals did not </w:t>
      </w:r>
      <w:r w:rsidRPr="008F2DC6">
        <w:t xml:space="preserve">recommence income support directly on their departure from prison. To minimise this overestimation, individuals who did not re-enter income support are excluded from </w:t>
      </w:r>
      <w:r w:rsidRPr="008F2DC6">
        <w:lastRenderedPageBreak/>
        <w:t>the analysis. For those who remained in prison</w:t>
      </w:r>
      <w:r>
        <w:t xml:space="preserve"> at the date</w:t>
      </w:r>
      <w:r w:rsidRPr="008F2DC6">
        <w:t xml:space="preserve"> </w:t>
      </w:r>
      <w:r>
        <w:t>4 years from their commencement (the end of the study period)</w:t>
      </w:r>
      <w:r w:rsidRPr="008F2DC6">
        <w:t xml:space="preserve">, the date they reached </w:t>
      </w:r>
      <w:r>
        <w:t xml:space="preserve">the </w:t>
      </w:r>
      <w:r w:rsidRPr="008F2DC6">
        <w:t xml:space="preserve">4-year </w:t>
      </w:r>
      <w:r>
        <w:t>cut-off</w:t>
      </w:r>
      <w:r w:rsidRPr="008F2DC6">
        <w:t xml:space="preserve"> minus in-prison commencement date</w:t>
      </w:r>
      <w:r w:rsidR="006231CD">
        <w:t xml:space="preserve"> was used</w:t>
      </w:r>
      <w:r>
        <w:t xml:space="preserve"> to calculate their length of time in prison</w:t>
      </w:r>
      <w:r w:rsidRPr="008F2DC6">
        <w:t>.</w:t>
      </w:r>
    </w:p>
    <w:p w14:paraId="518E0497" w14:textId="77777777" w:rsidR="00416E22" w:rsidRDefault="00416E22" w:rsidP="00CD7319">
      <w:pPr>
        <w:pStyle w:val="Heading4"/>
        <w:numPr>
          <w:ilvl w:val="0"/>
          <w:numId w:val="0"/>
        </w:numPr>
        <w:ind w:left="864" w:hanging="864"/>
      </w:pPr>
      <w:r>
        <w:t>Valuation of wellbeing</w:t>
      </w:r>
    </w:p>
    <w:p w14:paraId="5052FA02" w14:textId="16D03D2E" w:rsidR="00416E22" w:rsidRDefault="00416E22" w:rsidP="00416E22">
      <w:r>
        <w:t xml:space="preserve">As </w:t>
      </w:r>
      <w:r w:rsidRPr="00F808F0">
        <w:t>different measurement techniques and contexts result in different values being calculated for the monetary value of changes in wellbeing</w:t>
      </w:r>
      <w:r>
        <w:t>, this research uses the range of values for changes in wellbeing that have been identified in recent literature.</w:t>
      </w:r>
    </w:p>
    <w:p w14:paraId="77B8066C" w14:textId="313F8FA4" w:rsidR="00416E22" w:rsidRDefault="00416E22" w:rsidP="009251AF">
      <w:pPr>
        <w:pStyle w:val="Heading2a"/>
      </w:pPr>
      <w:bookmarkStart w:id="4081" w:name="_Toc106711929"/>
      <w:bookmarkStart w:id="4082" w:name="_Toc132650560"/>
      <w:bookmarkStart w:id="4083" w:name="_Toc146033589"/>
      <w:r>
        <w:t>Calculating the relative costs associated with TtW</w:t>
      </w:r>
      <w:bookmarkEnd w:id="4081"/>
      <w:bookmarkEnd w:id="4082"/>
      <w:bookmarkEnd w:id="4083"/>
    </w:p>
    <w:p w14:paraId="0C4FF280" w14:textId="4DC7D0EC" w:rsidR="002549DB" w:rsidRDefault="002549DB" w:rsidP="009251AF">
      <w:pPr>
        <w:pStyle w:val="Heading3a"/>
      </w:pPr>
      <w:bookmarkStart w:id="4084" w:name="_Toc106711930"/>
      <w:bookmarkStart w:id="4085" w:name="_Toc110945437"/>
      <w:bookmarkStart w:id="4086" w:name="_Toc132650561"/>
      <w:bookmarkStart w:id="4087" w:name="_Toc146033590"/>
      <w:r>
        <w:t>Calculating the cost of servicing one participant in TtW</w:t>
      </w:r>
      <w:bookmarkEnd w:id="4080"/>
      <w:bookmarkEnd w:id="4084"/>
      <w:bookmarkEnd w:id="4085"/>
      <w:bookmarkEnd w:id="4086"/>
      <w:bookmarkEnd w:id="4087"/>
    </w:p>
    <w:p w14:paraId="7216BE43" w14:textId="5F094C70" w:rsidR="002549DB" w:rsidRPr="008E4375" w:rsidRDefault="002549DB" w:rsidP="002549DB">
      <w:r w:rsidRPr="008E4375">
        <w:t xml:space="preserve">Average additional program costs </w:t>
      </w:r>
      <w:r>
        <w:t xml:space="preserve">associated with servicing one TtW </w:t>
      </w:r>
      <w:r w:rsidRPr="008E4375">
        <w:t xml:space="preserve">participant </w:t>
      </w:r>
      <w:r>
        <w:t xml:space="preserve">over </w:t>
      </w:r>
      <w:r w:rsidR="00F8391B">
        <w:t>4</w:t>
      </w:r>
      <w:r>
        <w:t xml:space="preserve"> years</w:t>
      </w:r>
      <w:r w:rsidRPr="008E4375">
        <w:t xml:space="preserve"> is $3,809.35</w:t>
      </w:r>
      <w:r w:rsidR="006231CD">
        <w:t>.</w:t>
      </w:r>
    </w:p>
    <w:p w14:paraId="6D8DFF28" w14:textId="232D2F41" w:rsidR="002549DB" w:rsidRDefault="002549DB" w:rsidP="002549DB">
      <w:r>
        <w:t xml:space="preserve">The </w:t>
      </w:r>
      <w:r w:rsidR="006231CD">
        <w:t>f</w:t>
      </w:r>
      <w:r>
        <w:t>inal evaluation calculated the average program cost per participant over a 12</w:t>
      </w:r>
      <w:r w:rsidR="006231CD">
        <w:t>-</w:t>
      </w:r>
      <w:r>
        <w:t xml:space="preserve">month period in 2021 dollars. This took into account the average time participants spent in either TtW </w:t>
      </w:r>
      <w:r w:rsidR="006231CD">
        <w:t>or</w:t>
      </w:r>
      <w:r>
        <w:t xml:space="preserve"> jobactive or outside employment services.</w:t>
      </w:r>
    </w:p>
    <w:p w14:paraId="3DF014E3" w14:textId="54D3AF3A" w:rsidR="006231CD" w:rsidRDefault="002549DB" w:rsidP="002549DB">
      <w:r>
        <w:t>Unit cost for a jobactive participant (a): $1,801</w:t>
      </w:r>
      <w:r w:rsidR="006231CD">
        <w:t>.</w:t>
      </w:r>
    </w:p>
    <w:p w14:paraId="7B82943E" w14:textId="56A7A852" w:rsidR="002549DB" w:rsidRDefault="002549DB" w:rsidP="002549DB">
      <w:r>
        <w:t>Unit cost for a TtW participant (b): $5,043.</w:t>
      </w:r>
    </w:p>
    <w:p w14:paraId="5B7E1252" w14:textId="5A555C54" w:rsidR="002549DB" w:rsidRDefault="002549DB" w:rsidP="002549DB">
      <w:r>
        <w:t>Therefore, the additional cost per participant (b</w:t>
      </w:r>
      <w:r w:rsidR="006231CD">
        <w:t xml:space="preserve"> – </w:t>
      </w:r>
      <w:r>
        <w:t>a) = $3,242 for a 12-month period</w:t>
      </w:r>
      <w:r w:rsidR="00BA693D">
        <w:t xml:space="preserve"> (</w:t>
      </w:r>
      <w:r>
        <w:t>2021 dollars).</w:t>
      </w:r>
    </w:p>
    <w:p w14:paraId="030848DC" w14:textId="17C3E93F" w:rsidR="002549DB" w:rsidRDefault="002549DB" w:rsidP="009251AF">
      <w:pPr>
        <w:pStyle w:val="Heading3a"/>
      </w:pPr>
      <w:bookmarkStart w:id="4088" w:name="_Toc105427820"/>
      <w:bookmarkStart w:id="4089" w:name="_Toc106711931"/>
      <w:bookmarkStart w:id="4090" w:name="_Toc110945438"/>
      <w:bookmarkStart w:id="4091" w:name="_Toc132650562"/>
      <w:bookmarkStart w:id="4092" w:name="_Toc146033591"/>
      <w:r>
        <w:t>Calculating the average cost/person associated with additional income support payments</w:t>
      </w:r>
      <w:bookmarkEnd w:id="4088"/>
      <w:bookmarkEnd w:id="4089"/>
      <w:bookmarkEnd w:id="4090"/>
      <w:bookmarkEnd w:id="4091"/>
      <w:bookmarkEnd w:id="4092"/>
    </w:p>
    <w:p w14:paraId="6FDFDC76" w14:textId="7DC821BE" w:rsidR="002549DB" w:rsidRDefault="002549DB" w:rsidP="002549DB">
      <w:r>
        <w:t xml:space="preserve">The average cost per participant associated with the lock-in </w:t>
      </w:r>
      <w:r w:rsidRPr="008E4375">
        <w:t xml:space="preserve">effect of TtW is </w:t>
      </w:r>
      <w:r w:rsidR="00A410DF">
        <w:t>$281</w:t>
      </w:r>
      <w:r w:rsidRPr="008E4375">
        <w:t xml:space="preserve"> over </w:t>
      </w:r>
      <w:r w:rsidR="00A410DF">
        <w:t>12 months</w:t>
      </w:r>
      <w:r>
        <w:t xml:space="preserve"> (see calculations below)</w:t>
      </w:r>
      <w:r w:rsidRPr="008E4375">
        <w:t>.</w:t>
      </w:r>
      <w:r w:rsidR="00A410DF">
        <w:t xml:space="preserve"> The below analysis calculates the additional cost/person </w:t>
      </w:r>
      <w:r w:rsidR="00A410DF" w:rsidRPr="00A410DF">
        <w:t>associated with additional income support payments</w:t>
      </w:r>
      <w:r w:rsidR="00A410DF">
        <w:t xml:space="preserve"> over 4 years, then divides this by 4 to calculate the cost/person over a 12</w:t>
      </w:r>
      <w:r w:rsidR="006231CD">
        <w:t>-</w:t>
      </w:r>
      <w:r w:rsidR="00A410DF">
        <w:t>month period</w:t>
      </w:r>
      <w:r w:rsidR="006231CD">
        <w:t>;</w:t>
      </w:r>
      <w:r w:rsidR="00A410DF">
        <w:t xml:space="preserve"> this was done to provide a more realistic </w:t>
      </w:r>
      <w:r w:rsidR="00F8391B">
        <w:t>‘</w:t>
      </w:r>
      <w:r w:rsidR="00A410DF">
        <w:t>average</w:t>
      </w:r>
      <w:r w:rsidR="00F8391B">
        <w:t>’</w:t>
      </w:r>
      <w:r w:rsidR="00A410DF">
        <w:t xml:space="preserve"> 12</w:t>
      </w:r>
      <w:r w:rsidR="006231CD">
        <w:t>-</w:t>
      </w:r>
      <w:r w:rsidR="00A410DF">
        <w:t>month benefit.</w:t>
      </w:r>
    </w:p>
    <w:p w14:paraId="7A199214" w14:textId="01C37F4C" w:rsidR="002549DB" w:rsidRDefault="00A410DF" w:rsidP="002549DB">
      <w:r>
        <w:t>It should be noted that t</w:t>
      </w:r>
      <w:r w:rsidR="002549DB">
        <w:t xml:space="preserve">he </w:t>
      </w:r>
      <w:r w:rsidR="006150C6">
        <w:t>long-term</w:t>
      </w:r>
      <w:r w:rsidR="002549DB">
        <w:t xml:space="preserve"> impact analysis found that </w:t>
      </w:r>
      <w:r w:rsidR="002549DB" w:rsidRPr="00D3438F">
        <w:t xml:space="preserve">for the first 24 months from commencement, slightly </w:t>
      </w:r>
      <w:r w:rsidR="006231CD">
        <w:t>fewer</w:t>
      </w:r>
      <w:r w:rsidR="002549DB" w:rsidRPr="00D3438F">
        <w:t xml:space="preserve"> TtW participants exited income support than the comparison group</w:t>
      </w:r>
      <w:r w:rsidR="002549DB">
        <w:t xml:space="preserve"> in each month, leading to higher government expenditure on income support payments. This equalised at 25 months, with slightly more TtW participants exiting income support in any month after this time.</w:t>
      </w:r>
    </w:p>
    <w:p w14:paraId="4205F9BC" w14:textId="7D233F2F" w:rsidR="002549DB" w:rsidRDefault="002549DB" w:rsidP="002549DB">
      <w:r>
        <w:t xml:space="preserve">This led to an increased cost associated with income support payments continuing for people who may otherwise have left income support. The cost of this lock-in effect is equal to sum of the percentage difference in the number of participants exiting income support in any fortnight </w:t>
      </w:r>
      <w:r w:rsidR="006231CD">
        <w:t>multiplied by</w:t>
      </w:r>
      <w:r>
        <w:t xml:space="preserve"> the </w:t>
      </w:r>
      <w:r w:rsidR="006231CD">
        <w:t xml:space="preserve">income support </w:t>
      </w:r>
      <w:r w:rsidR="00A410DF">
        <w:t xml:space="preserve">payment </w:t>
      </w:r>
      <w:r>
        <w:t>per fortnight.</w:t>
      </w:r>
    </w:p>
    <w:p w14:paraId="7A4A6D7F" w14:textId="05A6C4F4" w:rsidR="002549DB" w:rsidRPr="00992D8A" w:rsidRDefault="002549DB" w:rsidP="009251AF">
      <w:pPr>
        <w:pStyle w:val="Heading4a"/>
      </w:pPr>
      <w:bookmarkStart w:id="4093" w:name="_Toc105427821"/>
      <w:r w:rsidRPr="00992D8A">
        <w:lastRenderedPageBreak/>
        <w:t xml:space="preserve">What is the income support </w:t>
      </w:r>
      <w:r>
        <w:t>payment</w:t>
      </w:r>
      <w:r w:rsidRPr="00992D8A">
        <w:t xml:space="preserve"> received by participants</w:t>
      </w:r>
      <w:r>
        <w:t xml:space="preserve"> per fortnight</w:t>
      </w:r>
      <w:r w:rsidRPr="00992D8A">
        <w:t>?</w:t>
      </w:r>
      <w:bookmarkEnd w:id="4093"/>
    </w:p>
    <w:p w14:paraId="145796ED" w14:textId="77777777" w:rsidR="002549DB" w:rsidRPr="00DA46A8" w:rsidRDefault="002549DB" w:rsidP="00CD7319">
      <w:pPr>
        <w:pStyle w:val="Heading5"/>
        <w:numPr>
          <w:ilvl w:val="0"/>
          <w:numId w:val="0"/>
        </w:numPr>
        <w:ind w:left="1008" w:hanging="1008"/>
      </w:pPr>
      <w:r w:rsidRPr="00DA46A8">
        <w:t>Direct income support payments</w:t>
      </w:r>
    </w:p>
    <w:p w14:paraId="7F45CA40" w14:textId="4C3BDA45" w:rsidR="002549DB" w:rsidRDefault="002549DB" w:rsidP="002549DB">
      <w:r>
        <w:t xml:space="preserve">Participants could be receiving one of a number of income support types, which could change over time, with different fortnightly payments (depending on age, partner, children, living at home). Income support recipients can also be receiving other supplementary payments including the Energy </w:t>
      </w:r>
      <w:r w:rsidR="006231CD">
        <w:t>S</w:t>
      </w:r>
      <w:r>
        <w:t>upplement, Rent Assistance, and Pharmaceutical Allowance. Participants may also be receiving income support at less than 100%, and this rate may change over time.</w:t>
      </w:r>
    </w:p>
    <w:p w14:paraId="336CF662" w14:textId="69DE8899" w:rsidR="002549DB" w:rsidRDefault="002549DB" w:rsidP="002549DB">
      <w:r>
        <w:t>For simplicity, and to ensure that the cost of the lock-in effect was not undervalued, it is assumed that everyone is on a rate of 100%. In 2022 approximately 75% of TtW participants were on Youth Allowance and 25% were on JobSeeker (</w:t>
      </w:r>
      <w:r w:rsidR="00A5598E">
        <w:rPr>
          <w:b/>
          <w:bCs/>
        </w:rPr>
        <w:t>d</w:t>
      </w:r>
      <w:r w:rsidRPr="00720DA4">
        <w:rPr>
          <w:b/>
          <w:bCs/>
        </w:rPr>
        <w:t xml:space="preserve">epartmental </w:t>
      </w:r>
      <w:r w:rsidR="00A5598E">
        <w:rPr>
          <w:b/>
          <w:bCs/>
        </w:rPr>
        <w:t>a</w:t>
      </w:r>
      <w:r w:rsidRPr="00720DA4">
        <w:rPr>
          <w:b/>
          <w:bCs/>
        </w:rPr>
        <w:t>dministrative data</w:t>
      </w:r>
      <w:r>
        <w:t>), so this distribution of allowance types is used in this analysis.</w:t>
      </w:r>
    </w:p>
    <w:p w14:paraId="7634CE43" w14:textId="1E09ED0A" w:rsidR="002549DB" w:rsidRDefault="002549DB" w:rsidP="002549DB">
      <w:r>
        <w:t>Maximum u</w:t>
      </w:r>
      <w:r w:rsidRPr="00720DA4">
        <w:t xml:space="preserve">nemployment benefits have gradually increased between 2016 and 2022, with </w:t>
      </w:r>
      <w:r>
        <w:t>Y</w:t>
      </w:r>
      <w:r w:rsidRPr="00720DA4">
        <w:t>outh Allowance (</w:t>
      </w:r>
      <w:r w:rsidR="00A5598E">
        <w:t>O</w:t>
      </w:r>
      <w:r w:rsidRPr="00720DA4">
        <w:t xml:space="preserve">ther) for </w:t>
      </w:r>
      <w:r>
        <w:t xml:space="preserve">a </w:t>
      </w:r>
      <w:r w:rsidRPr="00720DA4">
        <w:t xml:space="preserve">single </w:t>
      </w:r>
      <w:r>
        <w:t>person</w:t>
      </w:r>
      <w:r w:rsidR="00A5598E">
        <w:t xml:space="preserve"> (to the age of 21)</w:t>
      </w:r>
      <w:r>
        <w:t xml:space="preserve"> </w:t>
      </w:r>
      <w:r w:rsidRPr="00720DA4">
        <w:t>living away from home</w:t>
      </w:r>
      <w:r w:rsidR="00A5598E">
        <w:t xml:space="preserve"> without children</w:t>
      </w:r>
      <w:r w:rsidRPr="00720DA4">
        <w:t xml:space="preserve"> increasing from $433.2</w:t>
      </w:r>
      <w:r>
        <w:t>0</w:t>
      </w:r>
      <w:r w:rsidR="00D23A4E">
        <w:t xml:space="preserve"> </w:t>
      </w:r>
      <w:r w:rsidR="00A5598E">
        <w:t xml:space="preserve">per fortnight </w:t>
      </w:r>
      <w:r>
        <w:t>in January 2016 to $530</w:t>
      </w:r>
      <w:r w:rsidR="00D23A4E">
        <w:t xml:space="preserve"> </w:t>
      </w:r>
      <w:r w:rsidR="00A5598E">
        <w:t xml:space="preserve">per fortnight </w:t>
      </w:r>
      <w:r>
        <w:t>in January 2022, and Job</w:t>
      </w:r>
      <w:r w:rsidR="00A5598E">
        <w:t>S</w:t>
      </w:r>
      <w:r>
        <w:t xml:space="preserve">eeker allowance for a single person </w:t>
      </w:r>
      <w:r w:rsidR="00A5598E">
        <w:t xml:space="preserve">(22 years or over) </w:t>
      </w:r>
      <w:r>
        <w:t>without children increasing from $527.60</w:t>
      </w:r>
      <w:r w:rsidR="00D23A4E">
        <w:t xml:space="preserve"> </w:t>
      </w:r>
      <w:r w:rsidR="00A5598E">
        <w:t>per fortnight</w:t>
      </w:r>
      <w:r>
        <w:t xml:space="preserve"> in March 2016 to $642.70 in March 2022 (</w:t>
      </w:r>
      <w:r w:rsidRPr="00720DA4">
        <w:rPr>
          <w:b/>
          <w:bCs/>
        </w:rPr>
        <w:t>Aust</w:t>
      </w:r>
      <w:r w:rsidR="00A5598E">
        <w:rPr>
          <w:b/>
          <w:bCs/>
        </w:rPr>
        <w:t>ralian</w:t>
      </w:r>
      <w:r w:rsidRPr="00720DA4">
        <w:rPr>
          <w:b/>
          <w:bCs/>
        </w:rPr>
        <w:t xml:space="preserve"> Gov</w:t>
      </w:r>
      <w:r w:rsidR="00A5598E">
        <w:rPr>
          <w:b/>
          <w:bCs/>
        </w:rPr>
        <w:t>ernmen</w:t>
      </w:r>
      <w:r w:rsidRPr="00720DA4">
        <w:rPr>
          <w:b/>
          <w:bCs/>
        </w:rPr>
        <w:t>t 2022</w:t>
      </w:r>
      <w:r>
        <w:t>)</w:t>
      </w:r>
      <w:r w:rsidR="00A5598E">
        <w:t>.</w:t>
      </w:r>
      <w:r>
        <w:rPr>
          <w:rStyle w:val="FootnoteReference"/>
          <w:bCs/>
        </w:rPr>
        <w:footnoteReference w:id="134"/>
      </w:r>
    </w:p>
    <w:p w14:paraId="62D9D72D" w14:textId="77777777" w:rsidR="002549DB" w:rsidRPr="00FB75B1" w:rsidRDefault="002549DB" w:rsidP="002549DB">
      <w:r>
        <w:t>For this analysis, the average of actual payments between 2016 and 2022 has been used:</w:t>
      </w:r>
    </w:p>
    <w:p w14:paraId="5A20B67B" w14:textId="192B4C1F" w:rsidR="002549DB" w:rsidRPr="00720DA4" w:rsidRDefault="002549DB" w:rsidP="006A7F40">
      <w:pPr>
        <w:pStyle w:val="ListBullet"/>
      </w:pPr>
      <w:r w:rsidRPr="00FB75B1">
        <w:t xml:space="preserve">Youth </w:t>
      </w:r>
      <w:r w:rsidRPr="00720DA4">
        <w:t xml:space="preserve">Allowance (Other), living away from home: $467.45 </w:t>
      </w:r>
      <w:r w:rsidR="00A5598E">
        <w:t>per fortnight</w:t>
      </w:r>
    </w:p>
    <w:p w14:paraId="3405846C" w14:textId="47AF3E6C" w:rsidR="002549DB" w:rsidRPr="00720DA4" w:rsidRDefault="002549DB" w:rsidP="006A7F40">
      <w:pPr>
        <w:pStyle w:val="ListBullet"/>
      </w:pPr>
      <w:r w:rsidRPr="00720DA4">
        <w:t>JobSeeker –</w:t>
      </w:r>
      <w:r w:rsidRPr="00FB75B1">
        <w:t xml:space="preserve"> over 22: $</w:t>
      </w:r>
      <w:r>
        <w:t>566.9</w:t>
      </w:r>
      <w:r w:rsidRPr="00FB75B1">
        <w:t xml:space="preserve"> </w:t>
      </w:r>
      <w:r w:rsidR="00A5598E">
        <w:t>per fortnight.</w:t>
      </w:r>
    </w:p>
    <w:p w14:paraId="52B5E0C0" w14:textId="77777777" w:rsidR="002549DB" w:rsidRDefault="002549DB" w:rsidP="002549DB">
      <w:r w:rsidRPr="00DA46A8">
        <w:t>Average fortnightly income support payment</w:t>
      </w:r>
      <w:r>
        <w:t xml:space="preserve"> =</w:t>
      </w:r>
      <w:r w:rsidRPr="00DA46A8">
        <w:t xml:space="preserve"> (%</w:t>
      </w:r>
      <w:r>
        <w:t xml:space="preserve"> participants on youth allowance x average Youth Allowance rate) + (% participants on JobSeeker x average Jobseeker rate)</w:t>
      </w:r>
    </w:p>
    <w:p w14:paraId="267C0476" w14:textId="77777777" w:rsidR="002549DB" w:rsidRDefault="002549DB" w:rsidP="002549DB">
      <w:r>
        <w:t xml:space="preserve">= (0.75 x </w:t>
      </w:r>
      <w:r w:rsidRPr="00BE201D">
        <w:t>$467.45</w:t>
      </w:r>
      <w:r>
        <w:t>)</w:t>
      </w:r>
      <w:r w:rsidRPr="00BE201D">
        <w:t xml:space="preserve"> + </w:t>
      </w:r>
      <w:r>
        <w:t>(</w:t>
      </w:r>
      <w:r w:rsidRPr="00BE201D">
        <w:t>0.25</w:t>
      </w:r>
      <w:r>
        <w:t xml:space="preserve"> x </w:t>
      </w:r>
      <w:r w:rsidRPr="00BE201D">
        <w:t>$</w:t>
      </w:r>
      <w:r>
        <w:t>566.9)</w:t>
      </w:r>
      <w:r w:rsidRPr="00BE201D">
        <w:t xml:space="preserve"> = </w:t>
      </w:r>
      <w:r w:rsidRPr="00BE201D">
        <w:rPr>
          <w:b/>
          <w:bCs/>
        </w:rPr>
        <w:t>$</w:t>
      </w:r>
      <w:r>
        <w:rPr>
          <w:b/>
          <w:bCs/>
        </w:rPr>
        <w:t>492pf</w:t>
      </w:r>
    </w:p>
    <w:p w14:paraId="7EC3ED1E" w14:textId="77777777" w:rsidR="002549DB" w:rsidRPr="00720DA4" w:rsidRDefault="002549DB" w:rsidP="00CD7319">
      <w:pPr>
        <w:pStyle w:val="Heading5"/>
        <w:numPr>
          <w:ilvl w:val="0"/>
          <w:numId w:val="0"/>
        </w:numPr>
        <w:ind w:left="1008" w:hanging="1008"/>
      </w:pPr>
      <w:r w:rsidRPr="00720DA4">
        <w:t>Supplementary payments</w:t>
      </w:r>
    </w:p>
    <w:p w14:paraId="3D6C9853" w14:textId="704B2B19" w:rsidR="002549DB" w:rsidRDefault="002549DB" w:rsidP="002549DB">
      <w:r>
        <w:t xml:space="preserve">The below data is for </w:t>
      </w:r>
      <w:r w:rsidR="00A5598E">
        <w:t>J</w:t>
      </w:r>
      <w:r>
        <w:t>ob</w:t>
      </w:r>
      <w:r w:rsidR="00A5598E">
        <w:t>S</w:t>
      </w:r>
      <w:r>
        <w:t>eeker payments (</w:t>
      </w:r>
      <w:r w:rsidRPr="003D24B0">
        <w:rPr>
          <w:b/>
          <w:bCs/>
        </w:rPr>
        <w:t>ACOSS, 2021</w:t>
      </w:r>
      <w:r>
        <w:rPr>
          <w:rStyle w:val="FootnoteReference"/>
        </w:rPr>
        <w:footnoteReference w:id="135"/>
      </w:r>
      <w:r>
        <w:t>) but it is assumed that equivalent payments are available for participants on Youth Allowance (</w:t>
      </w:r>
      <w:r w:rsidR="00A5598E">
        <w:t>O</w:t>
      </w:r>
      <w:r>
        <w:t>ther), and similar proportions of participants receive these payments.</w:t>
      </w:r>
    </w:p>
    <w:p w14:paraId="0A1C8EE2" w14:textId="2D140260" w:rsidR="002549DB" w:rsidRDefault="002549DB" w:rsidP="006A7F40">
      <w:pPr>
        <w:pStyle w:val="ListBullet"/>
      </w:pPr>
      <w:r>
        <w:t>Everyone receiving JobSeeker receives the Energy Supplement of $4.40 a week for a single person.</w:t>
      </w:r>
    </w:p>
    <w:p w14:paraId="04A228B5" w14:textId="73ABF0CB" w:rsidR="002549DB" w:rsidRDefault="002549DB" w:rsidP="006A7F40">
      <w:pPr>
        <w:pStyle w:val="ListBullet"/>
      </w:pPr>
      <w:r>
        <w:t>The next most common supplementary payment is Rent Assistance, received by 40% of people on JobSeeker. The maximum rate for a single person is $70 a week, provid</w:t>
      </w:r>
      <w:r w:rsidR="00A5598E">
        <w:t>ed they</w:t>
      </w:r>
      <w:r>
        <w:t xml:space="preserve"> pay more than twice this in rent.</w:t>
      </w:r>
    </w:p>
    <w:p w14:paraId="5C00487F" w14:textId="77777777" w:rsidR="002549DB" w:rsidRDefault="002549DB" w:rsidP="006A7F40">
      <w:pPr>
        <w:pStyle w:val="ListBullet"/>
      </w:pPr>
      <w:r>
        <w:lastRenderedPageBreak/>
        <w:t>The third most common supplementary payment is the Pharmaceutical Allowance, received by 38% of people on JobSeeker. It is $3.10 a week.</w:t>
      </w:r>
    </w:p>
    <w:p w14:paraId="11EA1871" w14:textId="6B2CF903" w:rsidR="002549DB" w:rsidRDefault="002549DB" w:rsidP="002549DB">
      <w:r>
        <w:t>Summary of average per person supplementary payments</w:t>
      </w:r>
      <w:r w:rsidR="00A5598E">
        <w:t>:</w:t>
      </w:r>
    </w:p>
    <w:p w14:paraId="5CB85488" w14:textId="2928C0D7" w:rsidR="002549DB" w:rsidRDefault="002549DB" w:rsidP="006A7F40">
      <w:pPr>
        <w:pStyle w:val="ListBullet"/>
      </w:pPr>
      <w:r>
        <w:t xml:space="preserve">Energy Supplement: $8.80 </w:t>
      </w:r>
      <w:r w:rsidR="00A5598E">
        <w:t>per fortnight</w:t>
      </w:r>
    </w:p>
    <w:p w14:paraId="268FC910" w14:textId="1B7AC1D6" w:rsidR="002549DB" w:rsidRDefault="002549DB" w:rsidP="006A7F40">
      <w:pPr>
        <w:pStyle w:val="ListBullet"/>
      </w:pPr>
      <w:r>
        <w:t>Rent assistance: 0.4 x $140 = $56</w:t>
      </w:r>
      <w:r w:rsidR="002A0DC7">
        <w:t xml:space="preserve"> </w:t>
      </w:r>
      <w:r w:rsidR="00A5598E">
        <w:t>per fortnight</w:t>
      </w:r>
    </w:p>
    <w:p w14:paraId="7521349D" w14:textId="56AE1F63" w:rsidR="002549DB" w:rsidRDefault="00A5598E" w:rsidP="006A7F40">
      <w:pPr>
        <w:pStyle w:val="ListBullet"/>
      </w:pPr>
      <w:r>
        <w:t>Pharmaceutical Allowance</w:t>
      </w:r>
      <w:r w:rsidR="002549DB">
        <w:t>: 0.38 x $6.20 =</w:t>
      </w:r>
      <w:r>
        <w:t xml:space="preserve"> </w:t>
      </w:r>
      <w:r w:rsidR="002549DB">
        <w:t>$2.36</w:t>
      </w:r>
      <w:r w:rsidR="002A0DC7">
        <w:t xml:space="preserve"> </w:t>
      </w:r>
      <w:r>
        <w:t>per fortnight</w:t>
      </w:r>
    </w:p>
    <w:p w14:paraId="15EC6805" w14:textId="70F709BB" w:rsidR="002549DB" w:rsidRDefault="002549DB" w:rsidP="002549DB">
      <w:pPr>
        <w:rPr>
          <w:b/>
          <w:bCs/>
        </w:rPr>
      </w:pPr>
      <w:r>
        <w:t xml:space="preserve">Total average per person supplementary payments = </w:t>
      </w:r>
      <w:r w:rsidRPr="00FB75B1">
        <w:rPr>
          <w:b/>
          <w:bCs/>
        </w:rPr>
        <w:t>$67</w:t>
      </w:r>
      <w:r w:rsidR="002A0DC7">
        <w:rPr>
          <w:b/>
          <w:bCs/>
        </w:rPr>
        <w:t xml:space="preserve"> </w:t>
      </w:r>
      <w:r w:rsidR="00A5598E">
        <w:t>per fortnight</w:t>
      </w:r>
    </w:p>
    <w:p w14:paraId="295F3A65" w14:textId="2641865F" w:rsidR="002549DB" w:rsidRPr="00C239FD" w:rsidRDefault="002549DB" w:rsidP="002549DB">
      <w:pPr>
        <w:rPr>
          <w:b/>
          <w:bCs/>
        </w:rPr>
      </w:pPr>
      <w:r w:rsidRPr="00C239FD">
        <w:rPr>
          <w:b/>
          <w:bCs/>
        </w:rPr>
        <w:t>Average total income support payments received by participant = $492 + $67 = $559</w:t>
      </w:r>
      <w:r w:rsidR="002A0DC7" w:rsidRPr="00C239FD">
        <w:rPr>
          <w:b/>
          <w:bCs/>
        </w:rPr>
        <w:t xml:space="preserve"> </w:t>
      </w:r>
      <w:r w:rsidR="00A5598E" w:rsidRPr="00C239FD">
        <w:rPr>
          <w:b/>
          <w:bCs/>
        </w:rPr>
        <w:t>per fortnight</w:t>
      </w:r>
      <w:r w:rsidRPr="00C239FD">
        <w:rPr>
          <w:b/>
          <w:bCs/>
        </w:rPr>
        <w:t xml:space="preserve"> = $1,118 per month</w:t>
      </w:r>
    </w:p>
    <w:p w14:paraId="454FFF78" w14:textId="3ACCB045" w:rsidR="002549DB" w:rsidRDefault="002549DB" w:rsidP="00CD7319">
      <w:pPr>
        <w:pStyle w:val="Heading4"/>
        <w:numPr>
          <w:ilvl w:val="0"/>
          <w:numId w:val="0"/>
        </w:numPr>
        <w:ind w:left="864" w:hanging="864"/>
      </w:pPr>
      <w:bookmarkStart w:id="4094" w:name="_Toc105427822"/>
      <w:r w:rsidRPr="00992D8A">
        <w:t>Average per p</w:t>
      </w:r>
      <w:r>
        <w:t>articipant</w:t>
      </w:r>
      <w:r w:rsidRPr="00992D8A">
        <w:t xml:space="preserve"> cost associated with lock-in effect of TtW</w:t>
      </w:r>
      <w:bookmarkEnd w:id="4094"/>
    </w:p>
    <w:p w14:paraId="20EFAE39" w14:textId="3F8091A2" w:rsidR="00543179" w:rsidRDefault="002549DB" w:rsidP="002549DB">
      <w:r w:rsidRPr="003D5A59">
        <w:t xml:space="preserve">Average per </w:t>
      </w:r>
      <w:r>
        <w:t>participant</w:t>
      </w:r>
      <w:r w:rsidRPr="003D5A59">
        <w:t xml:space="preserve"> cost associated with lock-in effect of TtW </w:t>
      </w:r>
      <w:r>
        <w:t xml:space="preserve">was calculated for different time periods, from commencement to 12, 24, 36 and 48 </w:t>
      </w:r>
      <w:r w:rsidRPr="006C12A3">
        <w:t>months (</w:t>
      </w:r>
      <w:r w:rsidR="00B80C93" w:rsidRPr="00B80C93">
        <w:rPr>
          <w:b/>
          <w:bCs/>
        </w:rPr>
        <w:fldChar w:fldCharType="begin"/>
      </w:r>
      <w:r w:rsidR="00B80C93" w:rsidRPr="00B80C93">
        <w:rPr>
          <w:b/>
          <w:bCs/>
        </w:rPr>
        <w:instrText xml:space="preserve"> REF _Ref120199865 \h  \* MERGEFORMAT </w:instrText>
      </w:r>
      <w:r w:rsidR="00B80C93" w:rsidRPr="00B80C93">
        <w:rPr>
          <w:b/>
          <w:bCs/>
        </w:rPr>
      </w:r>
      <w:r w:rsidR="00B80C93" w:rsidRPr="00B80C93">
        <w:rPr>
          <w:b/>
          <w:bCs/>
        </w:rPr>
        <w:fldChar w:fldCharType="separate"/>
      </w:r>
      <w:r w:rsidR="00180E14" w:rsidRPr="00180E14">
        <w:rPr>
          <w:b/>
          <w:bCs/>
        </w:rPr>
        <w:t xml:space="preserve">Table </w:t>
      </w:r>
      <w:r w:rsidR="00180E14" w:rsidRPr="00180E14">
        <w:rPr>
          <w:b/>
          <w:bCs/>
          <w:noProof/>
        </w:rPr>
        <w:t>34</w:t>
      </w:r>
      <w:r w:rsidR="00B80C93" w:rsidRPr="00B80C93">
        <w:rPr>
          <w:b/>
          <w:bCs/>
        </w:rPr>
        <w:fldChar w:fldCharType="end"/>
      </w:r>
      <w:r w:rsidRPr="006C12A3">
        <w:t>).</w:t>
      </w:r>
      <w:r>
        <w:t xml:space="preserve"> This cost increased to 24</w:t>
      </w:r>
      <w:r w:rsidR="00A5598E">
        <w:t> </w:t>
      </w:r>
      <w:r>
        <w:t>months as a greater number of jobactive participants left income support than TtW participants, but began to decrease after this time as a slightly greater number of TtW participants exited income support in most fortnights from this time forward.</w:t>
      </w:r>
    </w:p>
    <w:p w14:paraId="469939A2" w14:textId="288E9D40" w:rsidR="002549DB" w:rsidRDefault="002549DB" w:rsidP="002549DB">
      <w:pPr>
        <w:pStyle w:val="Caption"/>
        <w:keepNext/>
      </w:pPr>
      <w:bookmarkStart w:id="4095" w:name="_Ref120199865"/>
      <w:bookmarkStart w:id="4096" w:name="_Toc132647809"/>
      <w:bookmarkStart w:id="4097" w:name="_Toc145877323"/>
      <w:r>
        <w:t xml:space="preserve">Table </w:t>
      </w:r>
      <w:r>
        <w:fldChar w:fldCharType="begin"/>
      </w:r>
      <w:r>
        <w:instrText>SEQ Table \* ARABIC</w:instrText>
      </w:r>
      <w:r>
        <w:fldChar w:fldCharType="separate"/>
      </w:r>
      <w:r w:rsidR="00180E14">
        <w:rPr>
          <w:noProof/>
        </w:rPr>
        <w:t>34</w:t>
      </w:r>
      <w:r>
        <w:fldChar w:fldCharType="end"/>
      </w:r>
      <w:bookmarkEnd w:id="4095"/>
      <w:r>
        <w:t>:</w:t>
      </w:r>
      <w:r w:rsidR="002A0DC7">
        <w:t xml:space="preserve"> </w:t>
      </w:r>
      <w:r w:rsidRPr="00E91A35">
        <w:t>Average additional income support payments per participant associated with lock-in effect of TtW</w:t>
      </w:r>
      <w:bookmarkEnd w:id="4096"/>
      <w:bookmarkEnd w:id="4097"/>
    </w:p>
    <w:tbl>
      <w:tblPr>
        <w:tblStyle w:val="TtWReportTableTemplate2"/>
        <w:tblW w:w="0" w:type="auto"/>
        <w:tblLook w:val="04A0" w:firstRow="1" w:lastRow="0" w:firstColumn="1" w:lastColumn="0" w:noHBand="0" w:noVBand="1"/>
      </w:tblPr>
      <w:tblGrid>
        <w:gridCol w:w="4111"/>
        <w:gridCol w:w="3969"/>
      </w:tblGrid>
      <w:tr w:rsidR="002549DB" w14:paraId="634AC0DD" w14:textId="77777777" w:rsidTr="00674A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1" w:type="dxa"/>
            <w:shd w:val="clear" w:color="auto" w:fill="5D7A38"/>
          </w:tcPr>
          <w:p w14:paraId="7F44CB7F" w14:textId="77777777" w:rsidR="002549DB" w:rsidRDefault="002549DB" w:rsidP="00D11E39">
            <w:pPr>
              <w:keepNext/>
            </w:pPr>
            <w:r>
              <w:t>Period</w:t>
            </w:r>
          </w:p>
        </w:tc>
        <w:tc>
          <w:tcPr>
            <w:tcW w:w="3969" w:type="dxa"/>
            <w:shd w:val="clear" w:color="auto" w:fill="5D7A38"/>
          </w:tcPr>
          <w:p w14:paraId="0D3FCA90" w14:textId="77777777" w:rsidR="002549DB" w:rsidRDefault="002549DB" w:rsidP="00D11E39">
            <w:pPr>
              <w:keepNext/>
              <w:cnfStyle w:val="100000000000" w:firstRow="1" w:lastRow="0" w:firstColumn="0" w:lastColumn="0" w:oddVBand="0" w:evenVBand="0" w:oddHBand="0" w:evenHBand="0" w:firstRowFirstColumn="0" w:firstRowLastColumn="0" w:lastRowFirstColumn="0" w:lastRowLastColumn="0"/>
            </w:pPr>
            <w:r>
              <w:t>Total average cost for period per participant</w:t>
            </w:r>
          </w:p>
        </w:tc>
      </w:tr>
      <w:tr w:rsidR="002549DB" w14:paraId="7C96DAFE"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45D5D439" w14:textId="77777777" w:rsidR="002549DB" w:rsidRDefault="002549DB" w:rsidP="00D11E39">
            <w:pPr>
              <w:keepNext/>
            </w:pPr>
            <w:r>
              <w:t>Commencement to 12 months</w:t>
            </w:r>
          </w:p>
        </w:tc>
        <w:tc>
          <w:tcPr>
            <w:tcW w:w="3969" w:type="dxa"/>
          </w:tcPr>
          <w:p w14:paraId="373B64CD" w14:textId="77777777" w:rsidR="002549DB" w:rsidRDefault="002549DB" w:rsidP="00D11E39">
            <w:pPr>
              <w:keepNext/>
              <w:cnfStyle w:val="000000100000" w:firstRow="0" w:lastRow="0" w:firstColumn="0" w:lastColumn="0" w:oddVBand="0" w:evenVBand="0" w:oddHBand="1" w:evenHBand="0" w:firstRowFirstColumn="0" w:firstRowLastColumn="0" w:lastRowFirstColumn="0" w:lastRowLastColumn="0"/>
            </w:pPr>
            <w:r>
              <w:t>$855</w:t>
            </w:r>
          </w:p>
        </w:tc>
      </w:tr>
      <w:tr w:rsidR="002549DB" w14:paraId="4AFDCC6A"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425C5043" w14:textId="77777777" w:rsidR="002549DB" w:rsidRDefault="002549DB" w:rsidP="00D11E39">
            <w:pPr>
              <w:keepNext/>
            </w:pPr>
            <w:r>
              <w:t>Commencement to 24 months</w:t>
            </w:r>
          </w:p>
        </w:tc>
        <w:tc>
          <w:tcPr>
            <w:tcW w:w="3969" w:type="dxa"/>
          </w:tcPr>
          <w:p w14:paraId="6A7FFC45" w14:textId="77777777" w:rsidR="002549DB" w:rsidRDefault="002549DB" w:rsidP="00D11E39">
            <w:pPr>
              <w:keepNext/>
              <w:cnfStyle w:val="000000010000" w:firstRow="0" w:lastRow="0" w:firstColumn="0" w:lastColumn="0" w:oddVBand="0" w:evenVBand="0" w:oddHBand="0" w:evenHBand="1" w:firstRowFirstColumn="0" w:firstRowLastColumn="0" w:lastRowFirstColumn="0" w:lastRowLastColumn="0"/>
            </w:pPr>
            <w:r>
              <w:t>$1,260</w:t>
            </w:r>
          </w:p>
        </w:tc>
      </w:tr>
      <w:tr w:rsidR="002549DB" w14:paraId="46A4061B"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597E730" w14:textId="77777777" w:rsidR="002549DB" w:rsidRDefault="002549DB" w:rsidP="00D11E39">
            <w:pPr>
              <w:keepNext/>
            </w:pPr>
            <w:r>
              <w:t xml:space="preserve">Commencement to 36 months </w:t>
            </w:r>
          </w:p>
        </w:tc>
        <w:tc>
          <w:tcPr>
            <w:tcW w:w="3969" w:type="dxa"/>
          </w:tcPr>
          <w:p w14:paraId="2F8CC666" w14:textId="77777777" w:rsidR="002549DB" w:rsidRDefault="002549DB" w:rsidP="00D11E39">
            <w:pPr>
              <w:keepNext/>
              <w:cnfStyle w:val="000000100000" w:firstRow="0" w:lastRow="0" w:firstColumn="0" w:lastColumn="0" w:oddVBand="0" w:evenVBand="0" w:oddHBand="1" w:evenHBand="0" w:firstRowFirstColumn="0" w:firstRowLastColumn="0" w:lastRowFirstColumn="0" w:lastRowLastColumn="0"/>
            </w:pPr>
            <w:r>
              <w:t>$1,223</w:t>
            </w:r>
          </w:p>
        </w:tc>
      </w:tr>
      <w:tr w:rsidR="002549DB" w14:paraId="32665AE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D8B057D" w14:textId="77777777" w:rsidR="002549DB" w:rsidRDefault="002549DB" w:rsidP="00D11E39">
            <w:pPr>
              <w:keepNext/>
            </w:pPr>
            <w:r>
              <w:t>Commencement to 48 months</w:t>
            </w:r>
          </w:p>
        </w:tc>
        <w:tc>
          <w:tcPr>
            <w:tcW w:w="3969" w:type="dxa"/>
          </w:tcPr>
          <w:p w14:paraId="795E516A" w14:textId="77777777" w:rsidR="002549DB" w:rsidRPr="00C239FD" w:rsidRDefault="002549DB" w:rsidP="00D11E39">
            <w:pPr>
              <w:keepNext/>
              <w:cnfStyle w:val="000000010000" w:firstRow="0" w:lastRow="0" w:firstColumn="0" w:lastColumn="0" w:oddVBand="0" w:evenVBand="0" w:oddHBand="0" w:evenHBand="1" w:firstRowFirstColumn="0" w:firstRowLastColumn="0" w:lastRowFirstColumn="0" w:lastRowLastColumn="0"/>
            </w:pPr>
            <w:r w:rsidRPr="00C239FD">
              <w:t>$1,123</w:t>
            </w:r>
          </w:p>
        </w:tc>
      </w:tr>
    </w:tbl>
    <w:p w14:paraId="0DEC3837" w14:textId="3851EFA5" w:rsidR="00700D57" w:rsidRPr="00862FA5" w:rsidRDefault="00700D57" w:rsidP="00700D57">
      <w:pPr>
        <w:pStyle w:val="SourceandNotes"/>
        <w:rPr>
          <w:strike/>
        </w:rPr>
      </w:pPr>
      <w:r>
        <w:t xml:space="preserve">Source: National </w:t>
      </w:r>
      <w:r w:rsidR="00450959">
        <w:t>a</w:t>
      </w:r>
      <w:r>
        <w:t>verage</w:t>
      </w:r>
      <w:r w:rsidR="00450959">
        <w:t>,</w:t>
      </w:r>
      <w:r>
        <w:t xml:space="preserve"> AIHW (2021) </w:t>
      </w:r>
      <w:r w:rsidRPr="007C2B81">
        <w:t>HILDA Survey</w:t>
      </w:r>
      <w:r w:rsidR="00450959">
        <w:t>;</w:t>
      </w:r>
      <w:r>
        <w:t xml:space="preserve"> TtW and jobactive</w:t>
      </w:r>
      <w:r w:rsidR="00450959">
        <w:t>,</w:t>
      </w:r>
      <w:r>
        <w:t xml:space="preserve"> </w:t>
      </w:r>
      <w:r w:rsidR="00A86EEA">
        <w:t>p</w:t>
      </w:r>
      <w:r>
        <w:t xml:space="preserve">articipant </w:t>
      </w:r>
      <w:r w:rsidR="00A86EEA">
        <w:t>s</w:t>
      </w:r>
      <w:r>
        <w:t>urvey</w:t>
      </w:r>
      <w:r w:rsidR="00450959">
        <w:t xml:space="preserve"> 2021</w:t>
      </w:r>
    </w:p>
    <w:p w14:paraId="26C8227C" w14:textId="7D004ED6" w:rsidR="002549DB" w:rsidRDefault="002549DB" w:rsidP="00484450">
      <w:pPr>
        <w:pStyle w:val="SourceandNotes"/>
      </w:pPr>
      <w:r>
        <w:t xml:space="preserve">Note: </w:t>
      </w:r>
      <w:r w:rsidRPr="00E91A35">
        <w:t xml:space="preserve">Average additional income support payment per participant </w:t>
      </w:r>
      <w:r>
        <w:t xml:space="preserve">in any time period = </w:t>
      </w:r>
      <w:r w:rsidR="00D155A3">
        <w:t>s</w:t>
      </w:r>
      <w:r>
        <w:t>um of all months in period of [(</w:t>
      </w:r>
      <w:r w:rsidR="00D155A3">
        <w:t>e</w:t>
      </w:r>
      <w:r>
        <w:t>xits from comparison group – exits from TtW group in each month) x average income support payment for one person for a month ($</w:t>
      </w:r>
      <w:r w:rsidRPr="00BD5433">
        <w:t>1,118</w:t>
      </w:r>
      <w:r>
        <w:t>)] / sample size (</w:t>
      </w:r>
      <w:r w:rsidR="0054194B">
        <w:t>8,361</w:t>
      </w:r>
      <w:r>
        <w:t>).</w:t>
      </w:r>
    </w:p>
    <w:p w14:paraId="7DB0AB0B" w14:textId="77777777" w:rsidR="00E3552F" w:rsidRDefault="00E3552F" w:rsidP="00E3552F">
      <w:r>
        <w:t xml:space="preserve">Average </w:t>
      </w:r>
      <w:r w:rsidRPr="00E91A35">
        <w:t>additional income support payments per participant</w:t>
      </w:r>
      <w:r>
        <w:t xml:space="preserve"> </w:t>
      </w:r>
      <w:r w:rsidRPr="00E91A35">
        <w:t>associated with lock-in effect of TtW</w:t>
      </w:r>
      <w:r>
        <w:t xml:space="preserve"> over 48 months was $1,123. Average </w:t>
      </w:r>
      <w:r w:rsidRPr="00E91A35">
        <w:t>additional income support payments per participant</w:t>
      </w:r>
      <w:r>
        <w:t xml:space="preserve"> </w:t>
      </w:r>
      <w:r w:rsidRPr="00E91A35">
        <w:t>associated with lock-in effect of TtW</w:t>
      </w:r>
      <w:r>
        <w:t xml:space="preserve"> over 12 months was $281.</w:t>
      </w:r>
    </w:p>
    <w:p w14:paraId="61FC35C3" w14:textId="28FE3460" w:rsidR="002549DB" w:rsidRDefault="002549DB" w:rsidP="009251AF">
      <w:pPr>
        <w:pStyle w:val="Heading2a"/>
      </w:pPr>
      <w:bookmarkStart w:id="4098" w:name="_Toc105427824"/>
      <w:bookmarkStart w:id="4099" w:name="_Toc106711932"/>
      <w:bookmarkStart w:id="4100" w:name="_Toc132650563"/>
      <w:bookmarkStart w:id="4101" w:name="_Toc146033592"/>
      <w:r>
        <w:t xml:space="preserve">Estimating the </w:t>
      </w:r>
      <w:r w:rsidR="00D155A3">
        <w:t>c</w:t>
      </w:r>
      <w:r w:rsidR="00DA23FD">
        <w:t>ost</w:t>
      </w:r>
      <w:r>
        <w:t xml:space="preserve"> : </w:t>
      </w:r>
      <w:r w:rsidR="00D155A3">
        <w:t>b</w:t>
      </w:r>
      <w:r w:rsidR="00DA23FD">
        <w:t>enefit</w:t>
      </w:r>
      <w:r>
        <w:t xml:space="preserve"> </w:t>
      </w:r>
      <w:r w:rsidR="00D155A3">
        <w:t>r</w:t>
      </w:r>
      <w:r>
        <w:t>atio</w:t>
      </w:r>
      <w:bookmarkEnd w:id="4098"/>
      <w:bookmarkEnd w:id="4099"/>
      <w:bookmarkEnd w:id="4100"/>
      <w:bookmarkEnd w:id="4101"/>
    </w:p>
    <w:p w14:paraId="23A75362" w14:textId="2BAF87A0" w:rsidR="002549DB" w:rsidRPr="006079C0" w:rsidRDefault="002549DB" w:rsidP="002549DB">
      <w:r>
        <w:t xml:space="preserve">Summarising the above findings for the value of costs and benefits that could be monetised, it is estimated </w:t>
      </w:r>
      <w:r w:rsidR="00D155A3">
        <w:t xml:space="preserve">that </w:t>
      </w:r>
      <w:r w:rsidR="00E3552F">
        <w:t xml:space="preserve">over 12 months, </w:t>
      </w:r>
      <w:r>
        <w:t>every dollar spent on TtW has a social value of between $</w:t>
      </w:r>
      <w:r w:rsidR="00DA23FD">
        <w:t>1</w:t>
      </w:r>
      <w:r>
        <w:t xml:space="preserve"> and $</w:t>
      </w:r>
      <w:r w:rsidR="00DA23FD">
        <w:t>6</w:t>
      </w:r>
      <w:r>
        <w:t xml:space="preserve"> as presented in </w:t>
      </w:r>
      <w:r w:rsidR="00B80C93" w:rsidRPr="00B80C93">
        <w:rPr>
          <w:b/>
          <w:bCs/>
        </w:rPr>
        <w:fldChar w:fldCharType="begin"/>
      </w:r>
      <w:r w:rsidR="00B80C93" w:rsidRPr="00B80C93">
        <w:rPr>
          <w:b/>
          <w:bCs/>
        </w:rPr>
        <w:instrText xml:space="preserve"> REF _Ref136531741 \h  \* MERGEFORMAT </w:instrText>
      </w:r>
      <w:r w:rsidR="00B80C93" w:rsidRPr="00B80C93">
        <w:rPr>
          <w:b/>
          <w:bCs/>
        </w:rPr>
      </w:r>
      <w:r w:rsidR="00B80C93" w:rsidRPr="00B80C93">
        <w:rPr>
          <w:b/>
          <w:bCs/>
        </w:rPr>
        <w:fldChar w:fldCharType="separate"/>
      </w:r>
      <w:r w:rsidR="00180E14" w:rsidRPr="00180E14">
        <w:rPr>
          <w:b/>
          <w:bCs/>
        </w:rPr>
        <w:t xml:space="preserve">Table </w:t>
      </w:r>
      <w:r w:rsidR="00180E14" w:rsidRPr="00180E14">
        <w:rPr>
          <w:b/>
          <w:bCs/>
          <w:noProof/>
        </w:rPr>
        <w:t>35</w:t>
      </w:r>
      <w:r w:rsidR="00B80C93" w:rsidRPr="00B80C93">
        <w:rPr>
          <w:b/>
          <w:bCs/>
        </w:rPr>
        <w:fldChar w:fldCharType="end"/>
      </w:r>
      <w:r w:rsidRPr="00C239FD">
        <w:t>.</w:t>
      </w:r>
      <w:r w:rsidRPr="00CE51A4">
        <w:t xml:space="preserve"> This</w:t>
      </w:r>
      <w:r>
        <w:t xml:space="preserve"> does not include the value of non-monetised benefits, so the overall </w:t>
      </w:r>
      <w:r>
        <w:lastRenderedPageBreak/>
        <w:t>benefit</w:t>
      </w:r>
      <w:r w:rsidR="00D155A3">
        <w:t xml:space="preserve">: </w:t>
      </w:r>
      <w:r>
        <w:t xml:space="preserve">cost ratio is an underestimate, and should only be </w:t>
      </w:r>
      <w:r w:rsidR="00E3552F">
        <w:t>considered</w:t>
      </w:r>
      <w:r>
        <w:t xml:space="preserve"> in the context of the broader report.</w:t>
      </w:r>
    </w:p>
    <w:p w14:paraId="65368C66" w14:textId="2A054FD0" w:rsidR="002549DB" w:rsidRDefault="002549DB" w:rsidP="002549DB">
      <w:pPr>
        <w:pStyle w:val="Caption"/>
        <w:keepNext/>
      </w:pPr>
      <w:bookmarkStart w:id="4102" w:name="_Ref136531741"/>
      <w:bookmarkStart w:id="4103" w:name="_Toc132647810"/>
      <w:bookmarkStart w:id="4104" w:name="_Toc145877324"/>
      <w:r>
        <w:t xml:space="preserve">Table </w:t>
      </w:r>
      <w:r>
        <w:fldChar w:fldCharType="begin"/>
      </w:r>
      <w:r>
        <w:instrText>SEQ Table \* ARABIC</w:instrText>
      </w:r>
      <w:r>
        <w:fldChar w:fldCharType="separate"/>
      </w:r>
      <w:r w:rsidR="00180E14">
        <w:rPr>
          <w:noProof/>
        </w:rPr>
        <w:t>35</w:t>
      </w:r>
      <w:r>
        <w:fldChar w:fldCharType="end"/>
      </w:r>
      <w:bookmarkEnd w:id="4102"/>
      <w:r>
        <w:t xml:space="preserve">: Benefit </w:t>
      </w:r>
      <w:r w:rsidR="00D155A3">
        <w:t xml:space="preserve">: </w:t>
      </w:r>
      <w:r w:rsidR="00684712">
        <w:t>c</w:t>
      </w:r>
      <w:r>
        <w:t xml:space="preserve">ost </w:t>
      </w:r>
      <w:r w:rsidR="00684712">
        <w:t>r</w:t>
      </w:r>
      <w:r>
        <w:t>atio for the TtW program</w:t>
      </w:r>
      <w:bookmarkEnd w:id="4103"/>
      <w:bookmarkEnd w:id="4104"/>
    </w:p>
    <w:tbl>
      <w:tblPr>
        <w:tblStyle w:val="TtWReportTableTemplate2"/>
        <w:tblW w:w="8222" w:type="dxa"/>
        <w:tblLook w:val="04A0" w:firstRow="1" w:lastRow="0" w:firstColumn="1" w:lastColumn="0" w:noHBand="0" w:noVBand="1"/>
      </w:tblPr>
      <w:tblGrid>
        <w:gridCol w:w="2160"/>
        <w:gridCol w:w="2724"/>
        <w:gridCol w:w="1353"/>
        <w:gridCol w:w="1985"/>
      </w:tblGrid>
      <w:tr w:rsidR="00A410DF" w:rsidRPr="00BA759C" w14:paraId="503A939F" w14:textId="77777777" w:rsidTr="004A08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0" w:type="dxa"/>
            <w:shd w:val="clear" w:color="auto" w:fill="5D7A38"/>
          </w:tcPr>
          <w:p w14:paraId="78B50EED" w14:textId="630878EB" w:rsidR="00A410DF" w:rsidRPr="00BA759C" w:rsidRDefault="00A410DF" w:rsidP="00A410DF">
            <w:pPr>
              <w:keepNext/>
            </w:pPr>
            <w:bookmarkStart w:id="4105" w:name="_Hlk102643995"/>
            <w:r>
              <w:t xml:space="preserve">Benefit or </w:t>
            </w:r>
            <w:r w:rsidR="00684712">
              <w:t>c</w:t>
            </w:r>
            <w:r>
              <w:t xml:space="preserve">ost </w:t>
            </w:r>
            <w:r w:rsidR="00684712">
              <w:t>i</w:t>
            </w:r>
            <w:r>
              <w:t>tem</w:t>
            </w:r>
          </w:p>
        </w:tc>
        <w:tc>
          <w:tcPr>
            <w:tcW w:w="2724" w:type="dxa"/>
            <w:shd w:val="clear" w:color="auto" w:fill="5D7A38"/>
          </w:tcPr>
          <w:p w14:paraId="550A8D30" w14:textId="77777777" w:rsidR="00A410DF" w:rsidRDefault="00A410DF" w:rsidP="00A410DF">
            <w:pPr>
              <w:keepNext/>
              <w:cnfStyle w:val="100000000000" w:firstRow="1" w:lastRow="0" w:firstColumn="0" w:lastColumn="0" w:oddVBand="0" w:evenVBand="0" w:oddHBand="0" w:evenHBand="0" w:firstRowFirstColumn="0" w:firstRowLastColumn="0" w:lastRowFirstColumn="0" w:lastRowLastColumn="0"/>
            </w:pPr>
            <w:r>
              <w:t>Measure</w:t>
            </w:r>
          </w:p>
        </w:tc>
        <w:tc>
          <w:tcPr>
            <w:tcW w:w="1353" w:type="dxa"/>
            <w:shd w:val="clear" w:color="auto" w:fill="5D7A38"/>
          </w:tcPr>
          <w:p w14:paraId="709B6A38" w14:textId="0BD5527C" w:rsidR="00A410DF" w:rsidRDefault="00A410DF" w:rsidP="00A410DF">
            <w:pPr>
              <w:keepNext/>
              <w:cnfStyle w:val="100000000000" w:firstRow="1" w:lastRow="0" w:firstColumn="0" w:lastColumn="0" w:oddVBand="0" w:evenVBand="0" w:oddHBand="0" w:evenHBand="0" w:firstRowFirstColumn="0" w:firstRowLastColumn="0" w:lastRowFirstColumn="0" w:lastRowLastColumn="0"/>
              <w:rPr>
                <w:bCs/>
              </w:rPr>
            </w:pPr>
            <w:r>
              <w:rPr>
                <w:bCs/>
              </w:rPr>
              <w:t>Value of cost</w:t>
            </w:r>
          </w:p>
        </w:tc>
        <w:tc>
          <w:tcPr>
            <w:tcW w:w="1985" w:type="dxa"/>
            <w:shd w:val="clear" w:color="auto" w:fill="5D7A38"/>
          </w:tcPr>
          <w:p w14:paraId="10D74448" w14:textId="699E1513" w:rsidR="00A410DF" w:rsidRDefault="00A410DF" w:rsidP="00A410DF">
            <w:pPr>
              <w:keepNext/>
              <w:cnfStyle w:val="100000000000" w:firstRow="1" w:lastRow="0" w:firstColumn="0" w:lastColumn="0" w:oddVBand="0" w:evenVBand="0" w:oddHBand="0" w:evenHBand="0" w:firstRowFirstColumn="0" w:firstRowLastColumn="0" w:lastRowFirstColumn="0" w:lastRowLastColumn="0"/>
              <w:rPr>
                <w:bCs/>
              </w:rPr>
            </w:pPr>
            <w:r>
              <w:rPr>
                <w:bCs/>
              </w:rPr>
              <w:t>Value of benefit</w:t>
            </w:r>
          </w:p>
        </w:tc>
      </w:tr>
      <w:tr w:rsidR="00A410DF" w:rsidRPr="00BA759C" w14:paraId="1A711A46" w14:textId="77777777" w:rsidTr="004A0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23E08FC" w14:textId="77777777" w:rsidR="00A410DF" w:rsidRPr="00BA759C" w:rsidRDefault="00A410DF" w:rsidP="00A410DF">
            <w:pPr>
              <w:keepNext/>
            </w:pPr>
            <w:r w:rsidRPr="00BA759C">
              <w:t xml:space="preserve">Reduced contact with the criminal justice system over 4 years </w:t>
            </w:r>
          </w:p>
        </w:tc>
        <w:tc>
          <w:tcPr>
            <w:tcW w:w="2724" w:type="dxa"/>
          </w:tcPr>
          <w:p w14:paraId="50EB9DA9" w14:textId="77777777" w:rsidR="00A410DF" w:rsidRPr="00BA759C" w:rsidRDefault="00A410DF" w:rsidP="00A410DF">
            <w:pPr>
              <w:keepNext/>
              <w:cnfStyle w:val="000000100000" w:firstRow="0" w:lastRow="0" w:firstColumn="0" w:lastColumn="0" w:oddVBand="0" w:evenVBand="0" w:oddHBand="1" w:evenHBand="0" w:firstRowFirstColumn="0" w:firstRowLastColumn="0" w:lastRowFirstColumn="0" w:lastRowLastColumn="0"/>
            </w:pPr>
            <w:r>
              <w:t>Average s</w:t>
            </w:r>
            <w:r w:rsidRPr="00BA759C">
              <w:t xml:space="preserve">avings over 4 years associated with </w:t>
            </w:r>
            <w:r>
              <w:t xml:space="preserve">reduced </w:t>
            </w:r>
            <w:r w:rsidRPr="00BA759C">
              <w:t>incarceration</w:t>
            </w:r>
          </w:p>
        </w:tc>
        <w:tc>
          <w:tcPr>
            <w:tcW w:w="1353" w:type="dxa"/>
          </w:tcPr>
          <w:p w14:paraId="57E2AA67" w14:textId="77777777" w:rsidR="00A410DF" w:rsidRPr="003048D9" w:rsidRDefault="00A410DF" w:rsidP="00A410DF">
            <w:pPr>
              <w:keepNext/>
              <w:cnfStyle w:val="000000100000" w:firstRow="0" w:lastRow="0" w:firstColumn="0" w:lastColumn="0" w:oddVBand="0" w:evenVBand="0" w:oddHBand="1" w:evenHBand="0" w:firstRowFirstColumn="0" w:firstRowLastColumn="0" w:lastRowFirstColumn="0" w:lastRowLastColumn="0"/>
              <w:rPr>
                <w:b/>
              </w:rPr>
            </w:pPr>
          </w:p>
        </w:tc>
        <w:tc>
          <w:tcPr>
            <w:tcW w:w="1985" w:type="dxa"/>
          </w:tcPr>
          <w:p w14:paraId="7A0C4ECF" w14:textId="2C968CE9" w:rsidR="00A410DF" w:rsidRPr="003048D9" w:rsidRDefault="00A410DF" w:rsidP="00A410DF">
            <w:pPr>
              <w:keepNext/>
              <w:cnfStyle w:val="000000100000" w:firstRow="0" w:lastRow="0" w:firstColumn="0" w:lastColumn="0" w:oddVBand="0" w:evenVBand="0" w:oddHBand="1" w:evenHBand="0" w:firstRowFirstColumn="0" w:firstRowLastColumn="0" w:lastRowFirstColumn="0" w:lastRowLastColumn="0"/>
              <w:rPr>
                <w:b/>
              </w:rPr>
            </w:pPr>
            <w:r w:rsidRPr="003048D9">
              <w:rPr>
                <w:b/>
              </w:rPr>
              <w:t>$</w:t>
            </w:r>
            <w:r>
              <w:rPr>
                <w:b/>
              </w:rPr>
              <w:t>287</w:t>
            </w:r>
            <w:r>
              <w:rPr>
                <w:bCs/>
              </w:rPr>
              <w:t xml:space="preserve"> </w:t>
            </w:r>
            <w:r w:rsidRPr="00BA759C">
              <w:t xml:space="preserve">per </w:t>
            </w:r>
            <w:r>
              <w:t>participant</w:t>
            </w:r>
          </w:p>
        </w:tc>
      </w:tr>
      <w:tr w:rsidR="00A410DF" w:rsidRPr="00BA759C" w14:paraId="1A9B1955" w14:textId="77777777" w:rsidTr="004A08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009AD06" w14:textId="77777777" w:rsidR="00A410DF" w:rsidRPr="00BA759C" w:rsidRDefault="00A410DF" w:rsidP="00A410DF">
            <w:bookmarkStart w:id="4106" w:name="_Hlk104974398"/>
            <w:r w:rsidRPr="00BA759C">
              <w:t xml:space="preserve">Increased personal wellbeing </w:t>
            </w:r>
          </w:p>
        </w:tc>
        <w:tc>
          <w:tcPr>
            <w:tcW w:w="2724" w:type="dxa"/>
          </w:tcPr>
          <w:p w14:paraId="0E3F7E7F" w14:textId="5713AFE1" w:rsidR="00A410DF" w:rsidRPr="00BA759C" w:rsidRDefault="00A410DF" w:rsidP="00A410DF">
            <w:pPr>
              <w:cnfStyle w:val="000000010000" w:firstRow="0" w:lastRow="0" w:firstColumn="0" w:lastColumn="0" w:oddVBand="0" w:evenVBand="0" w:oddHBand="0" w:evenHBand="1" w:firstRowFirstColumn="0" w:firstRowLastColumn="0" w:lastRowFirstColumn="0" w:lastRowLastColumn="0"/>
            </w:pPr>
            <w:r>
              <w:t>Average v</w:t>
            </w:r>
            <w:r w:rsidRPr="00BA759C">
              <w:t>alue of increased wellbeing</w:t>
            </w:r>
            <w:r>
              <w:t xml:space="preserve"> (improved wellbeing effect lasts </w:t>
            </w:r>
            <w:r w:rsidR="00F8391B">
              <w:t>6</w:t>
            </w:r>
            <w:r>
              <w:t xml:space="preserve"> months)</w:t>
            </w:r>
          </w:p>
        </w:tc>
        <w:tc>
          <w:tcPr>
            <w:tcW w:w="1353" w:type="dxa"/>
          </w:tcPr>
          <w:p w14:paraId="559E554B" w14:textId="77777777" w:rsidR="00A410DF" w:rsidRPr="00BA759C" w:rsidRDefault="00A410DF" w:rsidP="00A410DF">
            <w:pPr>
              <w:cnfStyle w:val="000000010000" w:firstRow="0" w:lastRow="0" w:firstColumn="0" w:lastColumn="0" w:oddVBand="0" w:evenVBand="0" w:oddHBand="0" w:evenHBand="1" w:firstRowFirstColumn="0" w:firstRowLastColumn="0" w:lastRowFirstColumn="0" w:lastRowLastColumn="0"/>
              <w:rPr>
                <w:b/>
                <w:bCs/>
              </w:rPr>
            </w:pPr>
          </w:p>
        </w:tc>
        <w:tc>
          <w:tcPr>
            <w:tcW w:w="1985" w:type="dxa"/>
          </w:tcPr>
          <w:p w14:paraId="34E49446" w14:textId="294F22C8" w:rsidR="00A410DF" w:rsidRPr="00BA759C" w:rsidRDefault="00A410DF" w:rsidP="00A410DF">
            <w:pPr>
              <w:cnfStyle w:val="000000010000" w:firstRow="0" w:lastRow="0" w:firstColumn="0" w:lastColumn="0" w:oddVBand="0" w:evenVBand="0" w:oddHBand="0" w:evenHBand="1" w:firstRowFirstColumn="0" w:firstRowLastColumn="0" w:lastRowFirstColumn="0" w:lastRowLastColumn="0"/>
              <w:rPr>
                <w:b/>
                <w:bCs/>
              </w:rPr>
            </w:pPr>
            <w:r w:rsidRPr="00BA759C">
              <w:rPr>
                <w:b/>
                <w:bCs/>
              </w:rPr>
              <w:t>$</w:t>
            </w:r>
            <w:r>
              <w:rPr>
                <w:b/>
                <w:bCs/>
              </w:rPr>
              <w:t>3,170</w:t>
            </w:r>
            <w:r w:rsidR="00F8391B">
              <w:rPr>
                <w:b/>
                <w:bCs/>
              </w:rPr>
              <w:t xml:space="preserve"> – </w:t>
            </w:r>
            <w:r>
              <w:rPr>
                <w:b/>
                <w:bCs/>
              </w:rPr>
              <w:t xml:space="preserve">$20,777 </w:t>
            </w:r>
            <w:r w:rsidRPr="00BA759C">
              <w:t>per p</w:t>
            </w:r>
            <w:r>
              <w:t>articipant</w:t>
            </w:r>
          </w:p>
        </w:tc>
      </w:tr>
      <w:bookmarkEnd w:id="4106"/>
      <w:tr w:rsidR="00A410DF" w:rsidRPr="00BA759C" w14:paraId="77D9AF8F" w14:textId="77777777" w:rsidTr="004A0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B2798C3" w14:textId="77777777" w:rsidR="00A410DF" w:rsidRPr="00BA759C" w:rsidRDefault="00A410DF" w:rsidP="00A410DF">
            <w:r w:rsidRPr="00BA759C">
              <w:t xml:space="preserve">Total monetary </w:t>
            </w:r>
            <w:r>
              <w:t xml:space="preserve">value of </w:t>
            </w:r>
            <w:r w:rsidRPr="00BA759C">
              <w:t>benefit</w:t>
            </w:r>
            <w:r>
              <w:t>s</w:t>
            </w:r>
            <w:r w:rsidRPr="00BA759C">
              <w:t xml:space="preserve"> per participant</w:t>
            </w:r>
          </w:p>
        </w:tc>
        <w:tc>
          <w:tcPr>
            <w:tcW w:w="2724" w:type="dxa"/>
          </w:tcPr>
          <w:p w14:paraId="491C443C" w14:textId="77777777" w:rsidR="00A410DF" w:rsidRPr="00BA759C" w:rsidRDefault="00A410DF" w:rsidP="00A410DF">
            <w:pPr>
              <w:cnfStyle w:val="000000100000" w:firstRow="0" w:lastRow="0" w:firstColumn="0" w:lastColumn="0" w:oddVBand="0" w:evenVBand="0" w:oddHBand="1" w:evenHBand="0" w:firstRowFirstColumn="0" w:firstRowLastColumn="0" w:lastRowFirstColumn="0" w:lastRowLastColumn="0"/>
            </w:pPr>
          </w:p>
        </w:tc>
        <w:tc>
          <w:tcPr>
            <w:tcW w:w="1353" w:type="dxa"/>
          </w:tcPr>
          <w:p w14:paraId="125172E1" w14:textId="77777777" w:rsidR="00A410DF" w:rsidRPr="00BA759C" w:rsidRDefault="00A410DF" w:rsidP="00A410DF">
            <w:pPr>
              <w:cnfStyle w:val="000000100000" w:firstRow="0" w:lastRow="0" w:firstColumn="0" w:lastColumn="0" w:oddVBand="0" w:evenVBand="0" w:oddHBand="1" w:evenHBand="0" w:firstRowFirstColumn="0" w:firstRowLastColumn="0" w:lastRowFirstColumn="0" w:lastRowLastColumn="0"/>
              <w:rPr>
                <w:b/>
                <w:bCs/>
              </w:rPr>
            </w:pPr>
          </w:p>
        </w:tc>
        <w:tc>
          <w:tcPr>
            <w:tcW w:w="1985" w:type="dxa"/>
          </w:tcPr>
          <w:p w14:paraId="5C729201" w14:textId="5BF6168A" w:rsidR="00A410DF" w:rsidRPr="00BA759C" w:rsidRDefault="00A410DF" w:rsidP="00A410DF">
            <w:pPr>
              <w:cnfStyle w:val="000000100000" w:firstRow="0" w:lastRow="0" w:firstColumn="0" w:lastColumn="0" w:oddVBand="0" w:evenVBand="0" w:oddHBand="1" w:evenHBand="0" w:firstRowFirstColumn="0" w:firstRowLastColumn="0" w:lastRowFirstColumn="0" w:lastRowLastColumn="0"/>
              <w:rPr>
                <w:b/>
                <w:bCs/>
              </w:rPr>
            </w:pPr>
            <w:bookmarkStart w:id="4107" w:name="_Hlk104974407"/>
            <w:r w:rsidRPr="00BA759C">
              <w:rPr>
                <w:b/>
                <w:bCs/>
              </w:rPr>
              <w:t>$</w:t>
            </w:r>
            <w:r>
              <w:rPr>
                <w:b/>
                <w:bCs/>
              </w:rPr>
              <w:t>3,457</w:t>
            </w:r>
            <w:r w:rsidR="00F8391B">
              <w:rPr>
                <w:b/>
                <w:bCs/>
              </w:rPr>
              <w:t xml:space="preserve"> – </w:t>
            </w:r>
            <w:r>
              <w:rPr>
                <w:b/>
                <w:bCs/>
              </w:rPr>
              <w:t xml:space="preserve">$21,064 </w:t>
            </w:r>
            <w:r w:rsidRPr="00BA759C">
              <w:t>per p</w:t>
            </w:r>
            <w:r>
              <w:t>articipant</w:t>
            </w:r>
            <w:bookmarkEnd w:id="4107"/>
          </w:p>
        </w:tc>
      </w:tr>
      <w:tr w:rsidR="00A410DF" w:rsidRPr="00BA759C" w14:paraId="12B6F335" w14:textId="77777777" w:rsidTr="004A08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530EF04" w14:textId="40210DA0" w:rsidR="00A410DF" w:rsidRPr="00BA759C" w:rsidRDefault="00A410DF" w:rsidP="00A410DF">
            <w:r w:rsidRPr="00BA759C">
              <w:t>Expenditure by DESE</w:t>
            </w:r>
            <w:r w:rsidR="00D155A3">
              <w:t xml:space="preserve"> –</w:t>
            </w:r>
            <w:r>
              <w:t xml:space="preserve"> </w:t>
            </w:r>
            <w:r w:rsidR="00D155A3">
              <w:t>a</w:t>
            </w:r>
            <w:r w:rsidRPr="00BA759C">
              <w:t xml:space="preserve">dditional unit cost for a TtW participant </w:t>
            </w:r>
          </w:p>
        </w:tc>
        <w:tc>
          <w:tcPr>
            <w:tcW w:w="2724" w:type="dxa"/>
          </w:tcPr>
          <w:p w14:paraId="714E6635" w14:textId="77777777" w:rsidR="00A410DF" w:rsidRPr="00BA759C" w:rsidRDefault="00A410DF" w:rsidP="00A410DF">
            <w:pPr>
              <w:cnfStyle w:val="000000010000" w:firstRow="0" w:lastRow="0" w:firstColumn="0" w:lastColumn="0" w:oddVBand="0" w:evenVBand="0" w:oddHBand="0" w:evenHBand="1" w:firstRowFirstColumn="0" w:firstRowLastColumn="0" w:lastRowFirstColumn="0" w:lastRowLastColumn="0"/>
              <w:rPr>
                <w:b/>
                <w:bCs/>
              </w:rPr>
            </w:pPr>
            <w:r w:rsidRPr="001F77D2">
              <w:t>Average additional cost associated with TtW servicing over 4 years</w:t>
            </w:r>
          </w:p>
        </w:tc>
        <w:tc>
          <w:tcPr>
            <w:tcW w:w="1353" w:type="dxa"/>
          </w:tcPr>
          <w:p w14:paraId="70778A92" w14:textId="15FCE302" w:rsidR="00A410DF" w:rsidRPr="00BA759C" w:rsidRDefault="00A410DF" w:rsidP="00A410DF">
            <w:pPr>
              <w:cnfStyle w:val="000000010000" w:firstRow="0" w:lastRow="0" w:firstColumn="0" w:lastColumn="0" w:oddVBand="0" w:evenVBand="0" w:oddHBand="0" w:evenHBand="1" w:firstRowFirstColumn="0" w:firstRowLastColumn="0" w:lastRowFirstColumn="0" w:lastRowLastColumn="0"/>
              <w:rPr>
                <w:b/>
                <w:bCs/>
              </w:rPr>
            </w:pPr>
            <w:r w:rsidRPr="00BA759C">
              <w:rPr>
                <w:b/>
                <w:bCs/>
              </w:rPr>
              <w:t>$</w:t>
            </w:r>
            <w:r>
              <w:rPr>
                <w:b/>
                <w:bCs/>
              </w:rPr>
              <w:t xml:space="preserve">3,242 </w:t>
            </w:r>
            <w:r w:rsidRPr="001F77D2">
              <w:t>per participant</w:t>
            </w:r>
          </w:p>
        </w:tc>
        <w:tc>
          <w:tcPr>
            <w:tcW w:w="1985" w:type="dxa"/>
          </w:tcPr>
          <w:p w14:paraId="67B405E6" w14:textId="59B0D8BC" w:rsidR="00A410DF" w:rsidRPr="00BA759C" w:rsidRDefault="00A410DF" w:rsidP="00A410DF">
            <w:pPr>
              <w:cnfStyle w:val="000000010000" w:firstRow="0" w:lastRow="0" w:firstColumn="0" w:lastColumn="0" w:oddVBand="0" w:evenVBand="0" w:oddHBand="0" w:evenHBand="1" w:firstRowFirstColumn="0" w:firstRowLastColumn="0" w:lastRowFirstColumn="0" w:lastRowLastColumn="0"/>
              <w:rPr>
                <w:b/>
                <w:bCs/>
              </w:rPr>
            </w:pPr>
          </w:p>
        </w:tc>
      </w:tr>
      <w:tr w:rsidR="00A410DF" w:rsidRPr="00BA759C" w14:paraId="69CB2771" w14:textId="77777777" w:rsidTr="004A0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F9CFC38" w14:textId="77777777" w:rsidR="00A410DF" w:rsidRPr="00BA759C" w:rsidRDefault="00A410DF" w:rsidP="00A410DF">
            <w:r w:rsidRPr="00BA759C">
              <w:t>Increased income support payments associated with the small lock-in effect of TtW</w:t>
            </w:r>
          </w:p>
        </w:tc>
        <w:tc>
          <w:tcPr>
            <w:tcW w:w="2724" w:type="dxa"/>
          </w:tcPr>
          <w:p w14:paraId="1484A886" w14:textId="4F1486AB" w:rsidR="00A410DF" w:rsidRPr="00BA759C" w:rsidRDefault="00A410DF" w:rsidP="00A410DF">
            <w:pPr>
              <w:cnfStyle w:val="000000100000" w:firstRow="0" w:lastRow="0" w:firstColumn="0" w:lastColumn="0" w:oddVBand="0" w:evenVBand="0" w:oddHBand="1" w:evenHBand="0" w:firstRowFirstColumn="0" w:firstRowLastColumn="0" w:lastRowFirstColumn="0" w:lastRowLastColumn="0"/>
            </w:pPr>
            <w:r w:rsidRPr="00BA759C">
              <w:t xml:space="preserve">Average per person cost associated with small lock-in effect of TtW </w:t>
            </w:r>
            <w:r w:rsidR="00F8391B">
              <w:t>4</w:t>
            </w:r>
            <w:r w:rsidRPr="00BA759C">
              <w:t xml:space="preserve"> years from commencement</w:t>
            </w:r>
          </w:p>
        </w:tc>
        <w:tc>
          <w:tcPr>
            <w:tcW w:w="1353" w:type="dxa"/>
          </w:tcPr>
          <w:p w14:paraId="288C1735" w14:textId="526F9B3F" w:rsidR="00A410DF" w:rsidRPr="00BA759C" w:rsidRDefault="00A410DF" w:rsidP="00A410DF">
            <w:pPr>
              <w:cnfStyle w:val="000000100000" w:firstRow="0" w:lastRow="0" w:firstColumn="0" w:lastColumn="0" w:oddVBand="0" w:evenVBand="0" w:oddHBand="1" w:evenHBand="0" w:firstRowFirstColumn="0" w:firstRowLastColumn="0" w:lastRowFirstColumn="0" w:lastRowLastColumn="0"/>
              <w:rPr>
                <w:b/>
                <w:bCs/>
              </w:rPr>
            </w:pPr>
            <w:r w:rsidRPr="00BA759C">
              <w:rPr>
                <w:b/>
                <w:bCs/>
              </w:rPr>
              <w:t>$</w:t>
            </w:r>
            <w:r>
              <w:rPr>
                <w:b/>
                <w:bCs/>
              </w:rPr>
              <w:t xml:space="preserve">281 </w:t>
            </w:r>
            <w:r w:rsidRPr="001F77D2">
              <w:t>per participant</w:t>
            </w:r>
          </w:p>
        </w:tc>
        <w:tc>
          <w:tcPr>
            <w:tcW w:w="1985" w:type="dxa"/>
          </w:tcPr>
          <w:p w14:paraId="4041E0D9" w14:textId="350C00EB" w:rsidR="00A410DF" w:rsidRPr="00BA759C" w:rsidRDefault="00A410DF" w:rsidP="00A410DF">
            <w:pPr>
              <w:cnfStyle w:val="000000100000" w:firstRow="0" w:lastRow="0" w:firstColumn="0" w:lastColumn="0" w:oddVBand="0" w:evenVBand="0" w:oddHBand="1" w:evenHBand="0" w:firstRowFirstColumn="0" w:firstRowLastColumn="0" w:lastRowFirstColumn="0" w:lastRowLastColumn="0"/>
              <w:rPr>
                <w:b/>
                <w:bCs/>
              </w:rPr>
            </w:pPr>
          </w:p>
        </w:tc>
      </w:tr>
      <w:tr w:rsidR="00A410DF" w:rsidRPr="00BA759C" w14:paraId="2C8FE009" w14:textId="77777777" w:rsidTr="004A08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1B50D84" w14:textId="77777777" w:rsidR="00A410DF" w:rsidRPr="00BA759C" w:rsidRDefault="00A410DF" w:rsidP="00A410DF">
            <w:r w:rsidRPr="00BA759C">
              <w:t>Total cost per participant</w:t>
            </w:r>
          </w:p>
        </w:tc>
        <w:tc>
          <w:tcPr>
            <w:tcW w:w="2724" w:type="dxa"/>
          </w:tcPr>
          <w:p w14:paraId="09D45746" w14:textId="77777777" w:rsidR="00A410DF" w:rsidRPr="001F77D2" w:rsidRDefault="00A410DF" w:rsidP="00A410DF">
            <w:pPr>
              <w:cnfStyle w:val="000000010000" w:firstRow="0" w:lastRow="0" w:firstColumn="0" w:lastColumn="0" w:oddVBand="0" w:evenVBand="0" w:oddHBand="0" w:evenHBand="1" w:firstRowFirstColumn="0" w:firstRowLastColumn="0" w:lastRowFirstColumn="0" w:lastRowLastColumn="0"/>
            </w:pPr>
          </w:p>
        </w:tc>
        <w:tc>
          <w:tcPr>
            <w:tcW w:w="1353" w:type="dxa"/>
          </w:tcPr>
          <w:p w14:paraId="6FCE0586" w14:textId="2042E260" w:rsidR="00A410DF" w:rsidRPr="001F77D2" w:rsidRDefault="00A410DF" w:rsidP="00A410DF">
            <w:pPr>
              <w:cnfStyle w:val="000000010000" w:firstRow="0" w:lastRow="0" w:firstColumn="0" w:lastColumn="0" w:oddVBand="0" w:evenVBand="0" w:oddHBand="0" w:evenHBand="1" w:firstRowFirstColumn="0" w:firstRowLastColumn="0" w:lastRowFirstColumn="0" w:lastRowLastColumn="0"/>
              <w:rPr>
                <w:b/>
                <w:bCs/>
              </w:rPr>
            </w:pPr>
            <w:r w:rsidRPr="001F77D2">
              <w:rPr>
                <w:b/>
                <w:bCs/>
              </w:rPr>
              <w:t>$</w:t>
            </w:r>
            <w:r>
              <w:rPr>
                <w:b/>
                <w:bCs/>
              </w:rPr>
              <w:t xml:space="preserve">3,523 </w:t>
            </w:r>
            <w:r w:rsidRPr="00BA759C">
              <w:t>per p</w:t>
            </w:r>
            <w:r>
              <w:t>articipant</w:t>
            </w:r>
          </w:p>
        </w:tc>
        <w:tc>
          <w:tcPr>
            <w:tcW w:w="1985" w:type="dxa"/>
          </w:tcPr>
          <w:p w14:paraId="3224D57F" w14:textId="21630BF2" w:rsidR="00A410DF" w:rsidRPr="001F77D2" w:rsidRDefault="00A410DF" w:rsidP="00A410DF">
            <w:pPr>
              <w:cnfStyle w:val="000000010000" w:firstRow="0" w:lastRow="0" w:firstColumn="0" w:lastColumn="0" w:oddVBand="0" w:evenVBand="0" w:oddHBand="0" w:evenHBand="1" w:firstRowFirstColumn="0" w:firstRowLastColumn="0" w:lastRowFirstColumn="0" w:lastRowLastColumn="0"/>
              <w:rPr>
                <w:b/>
                <w:bCs/>
              </w:rPr>
            </w:pPr>
          </w:p>
        </w:tc>
      </w:tr>
      <w:tr w:rsidR="00A410DF" w:rsidRPr="003161F9" w14:paraId="75B7F598" w14:textId="77777777" w:rsidTr="004A0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6929116" w14:textId="6937D6FD" w:rsidR="00A410DF" w:rsidRPr="003161F9" w:rsidRDefault="00DA23FD" w:rsidP="00CD7319">
            <w:pPr>
              <w:keepNext/>
              <w:rPr>
                <w:b w:val="0"/>
                <w:bCs/>
              </w:rPr>
            </w:pPr>
            <w:r>
              <w:rPr>
                <w:bCs/>
              </w:rPr>
              <w:t>Cost</w:t>
            </w:r>
            <w:r w:rsidR="00A410DF" w:rsidRPr="003161F9">
              <w:rPr>
                <w:bCs/>
              </w:rPr>
              <w:t xml:space="preserve"> : </w:t>
            </w:r>
            <w:r w:rsidR="00D155A3">
              <w:rPr>
                <w:bCs/>
              </w:rPr>
              <w:t>b</w:t>
            </w:r>
            <w:r>
              <w:rPr>
                <w:bCs/>
              </w:rPr>
              <w:t>enefit</w:t>
            </w:r>
            <w:r w:rsidR="00A410DF" w:rsidRPr="003161F9">
              <w:rPr>
                <w:bCs/>
              </w:rPr>
              <w:t xml:space="preserve"> </w:t>
            </w:r>
            <w:r w:rsidR="00D155A3">
              <w:rPr>
                <w:bCs/>
              </w:rPr>
              <w:t>r</w:t>
            </w:r>
            <w:r w:rsidR="00A410DF" w:rsidRPr="003161F9">
              <w:rPr>
                <w:bCs/>
              </w:rPr>
              <w:t>atio</w:t>
            </w:r>
          </w:p>
        </w:tc>
        <w:tc>
          <w:tcPr>
            <w:tcW w:w="2724" w:type="dxa"/>
          </w:tcPr>
          <w:p w14:paraId="5FD4CE55" w14:textId="77777777" w:rsidR="00A410DF" w:rsidRPr="003161F9" w:rsidRDefault="00A410DF" w:rsidP="00A410DF">
            <w:pPr>
              <w:cnfStyle w:val="000000100000" w:firstRow="0" w:lastRow="0" w:firstColumn="0" w:lastColumn="0" w:oddVBand="0" w:evenVBand="0" w:oddHBand="1" w:evenHBand="0" w:firstRowFirstColumn="0" w:firstRowLastColumn="0" w:lastRowFirstColumn="0" w:lastRowLastColumn="0"/>
              <w:rPr>
                <w:b/>
                <w:bCs/>
              </w:rPr>
            </w:pPr>
          </w:p>
        </w:tc>
        <w:tc>
          <w:tcPr>
            <w:tcW w:w="1353" w:type="dxa"/>
          </w:tcPr>
          <w:p w14:paraId="799E634D" w14:textId="189E9FBE" w:rsidR="00A410DF" w:rsidDel="00A410DF" w:rsidRDefault="00A410DF" w:rsidP="00A410DF">
            <w:pP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1985" w:type="dxa"/>
          </w:tcPr>
          <w:p w14:paraId="01FC8ED0" w14:textId="703BE587" w:rsidR="00A410DF" w:rsidRPr="003161F9" w:rsidRDefault="00DA23FD" w:rsidP="00A410DF">
            <w:pPr>
              <w:cnfStyle w:val="000000100000" w:firstRow="0" w:lastRow="0" w:firstColumn="0" w:lastColumn="0" w:oddVBand="0" w:evenVBand="0" w:oddHBand="1" w:evenHBand="0" w:firstRowFirstColumn="0" w:firstRowLastColumn="0" w:lastRowFirstColumn="0" w:lastRowLastColumn="0"/>
              <w:rPr>
                <w:b/>
                <w:bCs/>
              </w:rPr>
            </w:pPr>
            <w:r>
              <w:rPr>
                <w:b/>
                <w:bCs/>
              </w:rPr>
              <w:t>1</w:t>
            </w:r>
            <w:r w:rsidR="00D155A3">
              <w:rPr>
                <w:b/>
                <w:bCs/>
              </w:rPr>
              <w:t xml:space="preserve"> to </w:t>
            </w:r>
            <w:r>
              <w:rPr>
                <w:b/>
                <w:bCs/>
              </w:rPr>
              <w:t>6</w:t>
            </w:r>
          </w:p>
        </w:tc>
      </w:tr>
    </w:tbl>
    <w:bookmarkEnd w:id="4105"/>
    <w:p w14:paraId="2D55BE75" w14:textId="77777777" w:rsidR="002549DB" w:rsidRPr="006079C0" w:rsidRDefault="002549DB" w:rsidP="00C239FD">
      <w:pPr>
        <w:pStyle w:val="SourceandNotes"/>
      </w:pPr>
      <w:r>
        <w:t>Source: Summary of above analysis</w:t>
      </w:r>
    </w:p>
    <w:p w14:paraId="4D785A42" w14:textId="7B2CD313" w:rsidR="002549DB" w:rsidRPr="00DD3FD3" w:rsidRDefault="002549DB" w:rsidP="009251AF">
      <w:pPr>
        <w:pStyle w:val="Heading2a"/>
      </w:pPr>
      <w:bookmarkStart w:id="4108" w:name="_Toc105427825"/>
      <w:bookmarkStart w:id="4109" w:name="_Toc106711933"/>
      <w:bookmarkStart w:id="4110" w:name="_Toc132650564"/>
      <w:bookmarkStart w:id="4111" w:name="_Toc146033593"/>
      <w:r w:rsidRPr="00DD3FD3">
        <w:t>Assessing risks and testing sensitivities</w:t>
      </w:r>
      <w:bookmarkEnd w:id="4108"/>
      <w:bookmarkEnd w:id="4109"/>
      <w:bookmarkEnd w:id="4110"/>
      <w:bookmarkEnd w:id="4111"/>
    </w:p>
    <w:p w14:paraId="1D2B61F5" w14:textId="7621B10B" w:rsidR="002549DB" w:rsidRDefault="002549DB" w:rsidP="002549DB">
      <w:bookmarkStart w:id="4112" w:name="_Hlk100671467"/>
      <w:r>
        <w:t>The above analysis relies on a range of assumptions. The most contentious is possibly the valuation of changes in wellbeing. It is appropriate, where there is less confidence around the valuation of elements of a</w:t>
      </w:r>
      <w:r w:rsidR="000F5A37">
        <w:t>n</w:t>
      </w:r>
      <w:r>
        <w:t xml:space="preserve"> </w:t>
      </w:r>
      <w:r w:rsidRPr="000F5A37">
        <w:t>SCBA</w:t>
      </w:r>
      <w:r>
        <w:t xml:space="preserve">, to include a sensitivity analysis testing a range of values. A sensitivity analysis has been undertaken to examine the impact of changes in wellbeing and incarceration indicators, summarised in </w:t>
      </w:r>
      <w:r w:rsidR="00B80C93" w:rsidRPr="00C239FD">
        <w:rPr>
          <w:b/>
          <w:bCs/>
        </w:rPr>
        <w:fldChar w:fldCharType="begin"/>
      </w:r>
      <w:r w:rsidR="00B80C93" w:rsidRPr="00C239FD">
        <w:rPr>
          <w:b/>
          <w:bCs/>
        </w:rPr>
        <w:instrText xml:space="preserve"> REF _Ref136531757 \h  \* MERGEFORMAT </w:instrText>
      </w:r>
      <w:r w:rsidR="00B80C93" w:rsidRPr="00C239FD">
        <w:rPr>
          <w:b/>
          <w:bCs/>
        </w:rPr>
      </w:r>
      <w:r w:rsidR="00B80C93" w:rsidRPr="00C239FD">
        <w:rPr>
          <w:b/>
          <w:bCs/>
        </w:rPr>
        <w:fldChar w:fldCharType="separate"/>
      </w:r>
      <w:r w:rsidR="00180E14" w:rsidRPr="00180E14">
        <w:rPr>
          <w:b/>
          <w:bCs/>
        </w:rPr>
        <w:t xml:space="preserve">Table </w:t>
      </w:r>
      <w:r w:rsidR="00180E14" w:rsidRPr="00180E14">
        <w:rPr>
          <w:b/>
          <w:bCs/>
          <w:noProof/>
        </w:rPr>
        <w:t>36</w:t>
      </w:r>
      <w:r w:rsidR="00B80C93" w:rsidRPr="00C239FD">
        <w:rPr>
          <w:b/>
          <w:bCs/>
        </w:rPr>
        <w:fldChar w:fldCharType="end"/>
      </w:r>
      <w:r w:rsidRPr="006C12A3">
        <w:t>.</w:t>
      </w:r>
    </w:p>
    <w:p w14:paraId="2459AE86" w14:textId="71C3BD6D" w:rsidR="002549DB" w:rsidRDefault="002549DB" w:rsidP="002549DB">
      <w:pPr>
        <w:pStyle w:val="Caption"/>
        <w:keepNext/>
      </w:pPr>
      <w:bookmarkStart w:id="4113" w:name="_Ref136531757"/>
      <w:bookmarkStart w:id="4114" w:name="_Toc132647811"/>
      <w:bookmarkStart w:id="4115" w:name="_Toc145877325"/>
      <w:r>
        <w:lastRenderedPageBreak/>
        <w:t xml:space="preserve">Table </w:t>
      </w:r>
      <w:r>
        <w:fldChar w:fldCharType="begin"/>
      </w:r>
      <w:r>
        <w:instrText>SEQ Table \* ARABIC</w:instrText>
      </w:r>
      <w:r>
        <w:fldChar w:fldCharType="separate"/>
      </w:r>
      <w:r w:rsidR="00180E14">
        <w:rPr>
          <w:noProof/>
        </w:rPr>
        <w:t>36</w:t>
      </w:r>
      <w:r>
        <w:fldChar w:fldCharType="end"/>
      </w:r>
      <w:bookmarkEnd w:id="4113"/>
      <w:r>
        <w:t xml:space="preserve">: </w:t>
      </w:r>
      <w:r w:rsidRPr="00FB1587">
        <w:t>Sensitivity analysis</w:t>
      </w:r>
      <w:r>
        <w:t xml:space="preserve"> of the </w:t>
      </w:r>
      <w:r w:rsidR="00684712">
        <w:t>c</w:t>
      </w:r>
      <w:r w:rsidR="00F13D00">
        <w:t xml:space="preserve">ost : </w:t>
      </w:r>
      <w:r w:rsidR="00684712">
        <w:t>b</w:t>
      </w:r>
      <w:r w:rsidR="00F13D00">
        <w:t>enefit</w:t>
      </w:r>
      <w:r>
        <w:t xml:space="preserve"> </w:t>
      </w:r>
      <w:r w:rsidR="00684712">
        <w:t>r</w:t>
      </w:r>
      <w:r>
        <w:t>atio for TtW</w:t>
      </w:r>
      <w:bookmarkEnd w:id="4114"/>
      <w:bookmarkEnd w:id="4115"/>
    </w:p>
    <w:tbl>
      <w:tblPr>
        <w:tblStyle w:val="TtWReportTableTemplate2"/>
        <w:tblW w:w="8207" w:type="dxa"/>
        <w:tblLook w:val="04A0" w:firstRow="1" w:lastRow="0" w:firstColumn="1" w:lastColumn="0" w:noHBand="0" w:noVBand="1"/>
      </w:tblPr>
      <w:tblGrid>
        <w:gridCol w:w="1418"/>
        <w:gridCol w:w="2126"/>
        <w:gridCol w:w="2245"/>
        <w:gridCol w:w="1015"/>
        <w:gridCol w:w="1403"/>
      </w:tblGrid>
      <w:tr w:rsidR="002549DB" w14:paraId="0180E716" w14:textId="77777777" w:rsidTr="00674AE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18" w:type="dxa"/>
            <w:shd w:val="clear" w:color="auto" w:fill="5D7A38"/>
            <w:hideMark/>
          </w:tcPr>
          <w:p w14:paraId="1F891F33" w14:textId="77777777" w:rsidR="002549DB" w:rsidRDefault="002549DB" w:rsidP="009532DA">
            <w:pPr>
              <w:keepNext/>
              <w:spacing w:after="0"/>
            </w:pPr>
            <w:r>
              <w:t>Indicator</w:t>
            </w:r>
          </w:p>
        </w:tc>
        <w:tc>
          <w:tcPr>
            <w:tcW w:w="2126" w:type="dxa"/>
            <w:shd w:val="clear" w:color="auto" w:fill="5D7A38"/>
            <w:hideMark/>
          </w:tcPr>
          <w:p w14:paraId="6A7EBD2B" w14:textId="77777777" w:rsidR="002549DB" w:rsidRDefault="002549DB" w:rsidP="009532DA">
            <w:pPr>
              <w:keepNext/>
              <w:spacing w:after="0"/>
              <w:cnfStyle w:val="100000000000" w:firstRow="1" w:lastRow="0" w:firstColumn="0" w:lastColumn="0" w:oddVBand="0" w:evenVBand="0" w:oddHBand="0" w:evenHBand="0" w:firstRowFirstColumn="0" w:firstRowLastColumn="0" w:lastRowFirstColumn="0" w:lastRowLastColumn="0"/>
            </w:pPr>
            <w:r>
              <w:t>Baseline assumption</w:t>
            </w:r>
          </w:p>
        </w:tc>
        <w:tc>
          <w:tcPr>
            <w:tcW w:w="2245" w:type="dxa"/>
            <w:shd w:val="clear" w:color="auto" w:fill="5D7A38"/>
            <w:hideMark/>
          </w:tcPr>
          <w:p w14:paraId="1B2C0C11" w14:textId="77777777" w:rsidR="002549DB" w:rsidRDefault="002549DB" w:rsidP="009532DA">
            <w:pPr>
              <w:keepNext/>
              <w:spacing w:after="0"/>
              <w:cnfStyle w:val="100000000000" w:firstRow="1" w:lastRow="0" w:firstColumn="0" w:lastColumn="0" w:oddVBand="0" w:evenVBand="0" w:oddHBand="0" w:evenHBand="0" w:firstRowFirstColumn="0" w:firstRowLastColumn="0" w:lastRowFirstColumn="0" w:lastRowLastColumn="0"/>
            </w:pPr>
            <w:r>
              <w:t>New assumption</w:t>
            </w:r>
          </w:p>
        </w:tc>
        <w:tc>
          <w:tcPr>
            <w:tcW w:w="2415" w:type="dxa"/>
            <w:gridSpan w:val="2"/>
            <w:shd w:val="clear" w:color="auto" w:fill="5D7A38"/>
            <w:hideMark/>
          </w:tcPr>
          <w:p w14:paraId="03D79BCE" w14:textId="73E355F2" w:rsidR="002549DB" w:rsidRDefault="00486024" w:rsidP="009532DA">
            <w:pPr>
              <w:keepNext/>
              <w:spacing w:after="0"/>
              <w:jc w:val="center"/>
              <w:cnfStyle w:val="100000000000" w:firstRow="1" w:lastRow="0" w:firstColumn="0" w:lastColumn="0" w:oddVBand="0" w:evenVBand="0" w:oddHBand="0" w:evenHBand="0" w:firstRowFirstColumn="0" w:firstRowLastColumn="0" w:lastRowFirstColumn="0" w:lastRowLastColumn="0"/>
            </w:pPr>
            <w:r>
              <w:t xml:space="preserve">Cost : </w:t>
            </w:r>
            <w:r w:rsidR="00684712">
              <w:t>b</w:t>
            </w:r>
            <w:r>
              <w:t xml:space="preserve">enefit </w:t>
            </w:r>
            <w:r w:rsidR="00684712">
              <w:t>r</w:t>
            </w:r>
            <w:r>
              <w:t>atio</w:t>
            </w:r>
          </w:p>
        </w:tc>
      </w:tr>
      <w:tr w:rsidR="001D461A" w:rsidRPr="00CE51A4" w14:paraId="570B2CAA" w14:textId="77777777" w:rsidTr="00674AE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18" w:type="dxa"/>
            <w:shd w:val="clear" w:color="auto" w:fill="5D7A38"/>
          </w:tcPr>
          <w:p w14:paraId="492DE1C7" w14:textId="77777777" w:rsidR="002549DB" w:rsidRPr="00CE51A4" w:rsidRDefault="002549DB" w:rsidP="009532DA">
            <w:pPr>
              <w:keepNext/>
              <w:spacing w:after="0"/>
              <w:rPr>
                <w:b w:val="0"/>
                <w:bCs/>
              </w:rPr>
            </w:pPr>
          </w:p>
        </w:tc>
        <w:tc>
          <w:tcPr>
            <w:tcW w:w="2126" w:type="dxa"/>
            <w:shd w:val="clear" w:color="auto" w:fill="5D7A38"/>
          </w:tcPr>
          <w:p w14:paraId="003B5E46" w14:textId="77777777" w:rsidR="002549DB" w:rsidRPr="00CE51A4" w:rsidRDefault="002549DB" w:rsidP="009532DA">
            <w:pPr>
              <w:keepNext/>
              <w:spacing w:after="0"/>
              <w:cnfStyle w:val="100000000000" w:firstRow="1" w:lastRow="0" w:firstColumn="0" w:lastColumn="0" w:oddVBand="0" w:evenVBand="0" w:oddHBand="0" w:evenHBand="0" w:firstRowFirstColumn="0" w:firstRowLastColumn="0" w:lastRowFirstColumn="0" w:lastRowLastColumn="0"/>
              <w:rPr>
                <w:b w:val="0"/>
                <w:bCs/>
              </w:rPr>
            </w:pPr>
          </w:p>
        </w:tc>
        <w:tc>
          <w:tcPr>
            <w:tcW w:w="2245" w:type="dxa"/>
            <w:shd w:val="clear" w:color="auto" w:fill="5D7A38"/>
          </w:tcPr>
          <w:p w14:paraId="009C4D3E" w14:textId="77777777" w:rsidR="002549DB" w:rsidRPr="00CE51A4" w:rsidRDefault="002549DB" w:rsidP="009532DA">
            <w:pPr>
              <w:keepNext/>
              <w:spacing w:after="0"/>
              <w:cnfStyle w:val="100000000000" w:firstRow="1" w:lastRow="0" w:firstColumn="0" w:lastColumn="0" w:oddVBand="0" w:evenVBand="0" w:oddHBand="0" w:evenHBand="0" w:firstRowFirstColumn="0" w:firstRowLastColumn="0" w:lastRowFirstColumn="0" w:lastRowLastColumn="0"/>
              <w:rPr>
                <w:b w:val="0"/>
                <w:bCs/>
              </w:rPr>
            </w:pPr>
          </w:p>
        </w:tc>
        <w:tc>
          <w:tcPr>
            <w:tcW w:w="1015" w:type="dxa"/>
            <w:shd w:val="clear" w:color="auto" w:fill="5D7A38"/>
          </w:tcPr>
          <w:p w14:paraId="074C04A4" w14:textId="77777777" w:rsidR="002549DB" w:rsidRPr="00CE51A4" w:rsidRDefault="002549DB" w:rsidP="009532DA">
            <w:pPr>
              <w:keepNext/>
              <w:spacing w:after="0"/>
              <w:cnfStyle w:val="100000000000" w:firstRow="1" w:lastRow="0" w:firstColumn="0" w:lastColumn="0" w:oddVBand="0" w:evenVBand="0" w:oddHBand="0" w:evenHBand="0" w:firstRowFirstColumn="0" w:firstRowLastColumn="0" w:lastRowFirstColumn="0" w:lastRowLastColumn="0"/>
              <w:rPr>
                <w:b w:val="0"/>
                <w:bCs/>
              </w:rPr>
            </w:pPr>
            <w:r w:rsidRPr="00CE51A4">
              <w:rPr>
                <w:bCs/>
              </w:rPr>
              <w:t>Highest</w:t>
            </w:r>
          </w:p>
        </w:tc>
        <w:tc>
          <w:tcPr>
            <w:tcW w:w="1403" w:type="dxa"/>
            <w:shd w:val="clear" w:color="auto" w:fill="5D7A38"/>
          </w:tcPr>
          <w:p w14:paraId="0A5AC383" w14:textId="77777777" w:rsidR="002549DB" w:rsidRPr="00CE51A4" w:rsidRDefault="002549DB" w:rsidP="009532DA">
            <w:pPr>
              <w:keepNext/>
              <w:spacing w:after="0"/>
              <w:cnfStyle w:val="100000000000" w:firstRow="1" w:lastRow="0" w:firstColumn="0" w:lastColumn="0" w:oddVBand="0" w:evenVBand="0" w:oddHBand="0" w:evenHBand="0" w:firstRowFirstColumn="0" w:firstRowLastColumn="0" w:lastRowFirstColumn="0" w:lastRowLastColumn="0"/>
              <w:rPr>
                <w:b w:val="0"/>
                <w:bCs/>
              </w:rPr>
            </w:pPr>
            <w:r w:rsidRPr="00CE51A4">
              <w:rPr>
                <w:bCs/>
              </w:rPr>
              <w:t>Lowest</w:t>
            </w:r>
          </w:p>
        </w:tc>
      </w:tr>
      <w:tr w:rsidR="002549DB" w14:paraId="09360704"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hideMark/>
          </w:tcPr>
          <w:p w14:paraId="62BD58D0" w14:textId="77777777" w:rsidR="002549DB" w:rsidRPr="00696236" w:rsidRDefault="002549DB" w:rsidP="009532DA">
            <w:pPr>
              <w:keepNext/>
              <w:spacing w:after="0"/>
              <w:rPr>
                <w:rFonts w:ascii="Calibri" w:hAnsi="Calibri" w:cs="Calibri"/>
                <w:color w:val="000000"/>
                <w:szCs w:val="18"/>
              </w:rPr>
            </w:pPr>
            <w:r w:rsidRPr="00696236">
              <w:rPr>
                <w:rFonts w:ascii="Calibri" w:hAnsi="Calibri" w:cs="Calibri"/>
                <w:color w:val="000000"/>
                <w:szCs w:val="18"/>
              </w:rPr>
              <w:t xml:space="preserve">Base </w:t>
            </w:r>
          </w:p>
        </w:tc>
        <w:tc>
          <w:tcPr>
            <w:tcW w:w="2126" w:type="dxa"/>
            <w:hideMark/>
          </w:tcPr>
          <w:p w14:paraId="1505025A" w14:textId="77777777" w:rsidR="002549DB" w:rsidRPr="00696236" w:rsidRDefault="002549DB" w:rsidP="009532DA">
            <w:pPr>
              <w:keepNext/>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sidRPr="00696236">
              <w:rPr>
                <w:rFonts w:ascii="Calibri" w:hAnsi="Calibri" w:cs="Calibri"/>
                <w:color w:val="000000"/>
                <w:szCs w:val="18"/>
              </w:rPr>
              <w:t> </w:t>
            </w:r>
          </w:p>
        </w:tc>
        <w:tc>
          <w:tcPr>
            <w:tcW w:w="2245" w:type="dxa"/>
            <w:hideMark/>
          </w:tcPr>
          <w:p w14:paraId="7C37E18D" w14:textId="77777777" w:rsidR="002549DB" w:rsidRPr="00696236" w:rsidRDefault="002549DB" w:rsidP="009532DA">
            <w:pPr>
              <w:keepNext/>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sidRPr="00696236">
              <w:rPr>
                <w:rFonts w:ascii="Calibri" w:hAnsi="Calibri" w:cs="Calibri"/>
                <w:color w:val="000000"/>
                <w:szCs w:val="18"/>
              </w:rPr>
              <w:t> </w:t>
            </w:r>
          </w:p>
        </w:tc>
        <w:tc>
          <w:tcPr>
            <w:tcW w:w="1015" w:type="dxa"/>
            <w:hideMark/>
          </w:tcPr>
          <w:p w14:paraId="06D4DA88" w14:textId="52E5597E" w:rsidR="002549DB" w:rsidRPr="00696236" w:rsidRDefault="00F13D00" w:rsidP="009532DA">
            <w:pPr>
              <w:keepNext/>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w:t>
            </w:r>
            <w:r w:rsidR="00486024">
              <w:rPr>
                <w:rFonts w:ascii="Calibri" w:hAnsi="Calibri" w:cs="Calibri"/>
                <w:color w:val="000000"/>
                <w:szCs w:val="18"/>
              </w:rPr>
              <w:t xml:space="preserve"> </w:t>
            </w:r>
            <w:r>
              <w:rPr>
                <w:rFonts w:ascii="Calibri" w:hAnsi="Calibri" w:cs="Calibri"/>
                <w:color w:val="000000"/>
                <w:szCs w:val="18"/>
              </w:rPr>
              <w:t>:</w:t>
            </w:r>
            <w:r w:rsidR="00486024">
              <w:rPr>
                <w:rFonts w:ascii="Calibri" w:hAnsi="Calibri" w:cs="Calibri"/>
                <w:color w:val="000000"/>
                <w:szCs w:val="18"/>
              </w:rPr>
              <w:t xml:space="preserve"> </w:t>
            </w:r>
            <w:r>
              <w:rPr>
                <w:rFonts w:ascii="Calibri" w:hAnsi="Calibri" w:cs="Calibri"/>
                <w:color w:val="000000"/>
                <w:szCs w:val="18"/>
              </w:rPr>
              <w:t>6.0</w:t>
            </w:r>
          </w:p>
        </w:tc>
        <w:tc>
          <w:tcPr>
            <w:tcW w:w="1403" w:type="dxa"/>
          </w:tcPr>
          <w:p w14:paraId="2ED05412" w14:textId="7DE149ED" w:rsidR="002549DB" w:rsidRPr="00696236" w:rsidRDefault="00F13D00" w:rsidP="009532DA">
            <w:pPr>
              <w:keepNext/>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w:t>
            </w:r>
            <w:r w:rsidR="00486024">
              <w:rPr>
                <w:rFonts w:ascii="Calibri" w:hAnsi="Calibri" w:cs="Calibri"/>
                <w:color w:val="000000"/>
                <w:szCs w:val="18"/>
              </w:rPr>
              <w:t xml:space="preserve"> </w:t>
            </w:r>
            <w:r>
              <w:rPr>
                <w:rFonts w:ascii="Calibri" w:hAnsi="Calibri" w:cs="Calibri"/>
                <w:color w:val="000000"/>
                <w:szCs w:val="18"/>
              </w:rPr>
              <w:t>:</w:t>
            </w:r>
            <w:r w:rsidR="00486024">
              <w:rPr>
                <w:rFonts w:ascii="Calibri" w:hAnsi="Calibri" w:cs="Calibri"/>
                <w:color w:val="000000"/>
                <w:szCs w:val="18"/>
              </w:rPr>
              <w:t xml:space="preserve"> </w:t>
            </w:r>
            <w:r>
              <w:rPr>
                <w:rFonts w:ascii="Calibri" w:hAnsi="Calibri" w:cs="Calibri"/>
                <w:color w:val="000000"/>
                <w:szCs w:val="18"/>
              </w:rPr>
              <w:t>1.0</w:t>
            </w:r>
          </w:p>
        </w:tc>
      </w:tr>
      <w:tr w:rsidR="002549DB" w14:paraId="34AC9E7D" w14:textId="77777777" w:rsidTr="004A08F9">
        <w:trPr>
          <w:cnfStyle w:val="000000010000" w:firstRow="0" w:lastRow="0" w:firstColumn="0" w:lastColumn="0" w:oddVBand="0" w:evenVBand="0" w:oddHBand="0" w:evenHBand="1"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418" w:type="dxa"/>
            <w:hideMark/>
          </w:tcPr>
          <w:p w14:paraId="78B7DB13" w14:textId="77777777" w:rsidR="002549DB" w:rsidRPr="00696236" w:rsidRDefault="002549DB" w:rsidP="009532DA">
            <w:pPr>
              <w:spacing w:after="0"/>
              <w:rPr>
                <w:rFonts w:ascii="Calibri" w:hAnsi="Calibri" w:cs="Calibri"/>
                <w:color w:val="000000"/>
                <w:szCs w:val="18"/>
              </w:rPr>
            </w:pPr>
            <w:r w:rsidRPr="00696236">
              <w:rPr>
                <w:rFonts w:ascii="Calibri" w:hAnsi="Calibri" w:cs="Calibri"/>
                <w:color w:val="000000"/>
                <w:szCs w:val="18"/>
              </w:rPr>
              <w:t>Wellbeing</w:t>
            </w:r>
          </w:p>
        </w:tc>
        <w:tc>
          <w:tcPr>
            <w:tcW w:w="2126" w:type="dxa"/>
            <w:hideMark/>
          </w:tcPr>
          <w:p w14:paraId="405C51B4" w14:textId="77777777" w:rsidR="002549DB" w:rsidRPr="00696236" w:rsidRDefault="002549DB" w:rsidP="009532DA">
            <w:pPr>
              <w:spacing w:after="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18"/>
              </w:rPr>
            </w:pPr>
            <w:r w:rsidRPr="00696236">
              <w:rPr>
                <w:rFonts w:ascii="Calibri" w:hAnsi="Calibri" w:cs="Calibri"/>
                <w:color w:val="000000"/>
                <w:szCs w:val="18"/>
              </w:rPr>
              <w:t>5.5 percentage point change in SWB</w:t>
            </w:r>
          </w:p>
        </w:tc>
        <w:tc>
          <w:tcPr>
            <w:tcW w:w="2245" w:type="dxa"/>
            <w:hideMark/>
          </w:tcPr>
          <w:p w14:paraId="30B72C26" w14:textId="77777777" w:rsidR="002549DB" w:rsidRPr="00696236" w:rsidRDefault="002549DB" w:rsidP="009532DA">
            <w:pPr>
              <w:spacing w:after="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18"/>
              </w:rPr>
            </w:pPr>
            <w:r w:rsidRPr="00696236">
              <w:rPr>
                <w:rFonts w:ascii="Calibri" w:hAnsi="Calibri" w:cs="Calibri"/>
                <w:color w:val="000000"/>
                <w:szCs w:val="18"/>
              </w:rPr>
              <w:t>Halve impact of TtW on SWB</w:t>
            </w:r>
          </w:p>
        </w:tc>
        <w:tc>
          <w:tcPr>
            <w:tcW w:w="1015" w:type="dxa"/>
            <w:hideMark/>
          </w:tcPr>
          <w:p w14:paraId="7E258BC3" w14:textId="46DDF31F" w:rsidR="002549DB" w:rsidRPr="00696236" w:rsidRDefault="00F13D00" w:rsidP="009532DA">
            <w:pPr>
              <w:spacing w:after="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18"/>
              </w:rPr>
            </w:pPr>
            <w:r>
              <w:rPr>
                <w:rFonts w:ascii="Calibri" w:hAnsi="Calibri" w:cs="Calibri"/>
                <w:color w:val="000000"/>
                <w:szCs w:val="18"/>
              </w:rPr>
              <w:t>1</w:t>
            </w:r>
            <w:r w:rsidR="00486024">
              <w:rPr>
                <w:rFonts w:ascii="Calibri" w:hAnsi="Calibri" w:cs="Calibri"/>
                <w:color w:val="000000"/>
                <w:szCs w:val="18"/>
              </w:rPr>
              <w:t xml:space="preserve"> </w:t>
            </w:r>
            <w:r>
              <w:rPr>
                <w:rFonts w:ascii="Calibri" w:hAnsi="Calibri" w:cs="Calibri"/>
                <w:color w:val="000000"/>
                <w:szCs w:val="18"/>
              </w:rPr>
              <w:t>:</w:t>
            </w:r>
            <w:r w:rsidR="00486024">
              <w:rPr>
                <w:rFonts w:ascii="Calibri" w:hAnsi="Calibri" w:cs="Calibri"/>
                <w:color w:val="000000"/>
                <w:szCs w:val="18"/>
              </w:rPr>
              <w:t xml:space="preserve"> </w:t>
            </w:r>
            <w:r>
              <w:rPr>
                <w:rFonts w:ascii="Calibri" w:hAnsi="Calibri" w:cs="Calibri"/>
                <w:color w:val="000000"/>
                <w:szCs w:val="18"/>
              </w:rPr>
              <w:t>3.0</w:t>
            </w:r>
          </w:p>
        </w:tc>
        <w:tc>
          <w:tcPr>
            <w:tcW w:w="1403" w:type="dxa"/>
          </w:tcPr>
          <w:p w14:paraId="016FAF81" w14:textId="4BC4C700" w:rsidR="002549DB" w:rsidRPr="00696236" w:rsidRDefault="00F13D00" w:rsidP="009532DA">
            <w:pPr>
              <w:spacing w:after="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18"/>
              </w:rPr>
            </w:pPr>
            <w:r>
              <w:rPr>
                <w:rFonts w:ascii="Calibri" w:hAnsi="Calibri" w:cs="Calibri"/>
                <w:color w:val="000000"/>
                <w:szCs w:val="18"/>
              </w:rPr>
              <w:t>1</w:t>
            </w:r>
            <w:r w:rsidR="00486024">
              <w:rPr>
                <w:rFonts w:ascii="Calibri" w:hAnsi="Calibri" w:cs="Calibri"/>
                <w:color w:val="000000"/>
                <w:szCs w:val="18"/>
              </w:rPr>
              <w:t xml:space="preserve"> </w:t>
            </w:r>
            <w:r>
              <w:rPr>
                <w:rFonts w:ascii="Calibri" w:hAnsi="Calibri" w:cs="Calibri"/>
                <w:color w:val="000000"/>
                <w:szCs w:val="18"/>
              </w:rPr>
              <w:t>:</w:t>
            </w:r>
            <w:r w:rsidR="00486024">
              <w:rPr>
                <w:rFonts w:ascii="Calibri" w:hAnsi="Calibri" w:cs="Calibri"/>
                <w:color w:val="000000"/>
                <w:szCs w:val="18"/>
              </w:rPr>
              <w:t xml:space="preserve"> </w:t>
            </w:r>
            <w:r>
              <w:rPr>
                <w:rFonts w:ascii="Calibri" w:hAnsi="Calibri" w:cs="Calibri"/>
                <w:color w:val="000000"/>
                <w:szCs w:val="18"/>
              </w:rPr>
              <w:t>0.5</w:t>
            </w:r>
          </w:p>
        </w:tc>
      </w:tr>
      <w:tr w:rsidR="002549DB" w14:paraId="0396B57A" w14:textId="77777777" w:rsidTr="004A08F9">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418" w:type="dxa"/>
          </w:tcPr>
          <w:p w14:paraId="5D48E4D8" w14:textId="77777777" w:rsidR="002549DB" w:rsidRPr="00696236" w:rsidRDefault="002549DB" w:rsidP="009532DA">
            <w:pPr>
              <w:spacing w:after="0"/>
              <w:rPr>
                <w:rFonts w:ascii="Calibri" w:hAnsi="Calibri" w:cs="Calibri"/>
                <w:color w:val="000000"/>
                <w:szCs w:val="18"/>
              </w:rPr>
            </w:pPr>
            <w:r>
              <w:rPr>
                <w:rFonts w:ascii="Calibri" w:hAnsi="Calibri" w:cs="Calibri"/>
                <w:color w:val="000000"/>
                <w:szCs w:val="18"/>
              </w:rPr>
              <w:t>Wellbeing</w:t>
            </w:r>
          </w:p>
        </w:tc>
        <w:tc>
          <w:tcPr>
            <w:tcW w:w="2126" w:type="dxa"/>
          </w:tcPr>
          <w:p w14:paraId="50802A17" w14:textId="77777777" w:rsidR="002549DB" w:rsidRPr="00696236" w:rsidRDefault="002549DB" w:rsidP="009532D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I</w:t>
            </w:r>
            <w:r w:rsidRPr="00696236">
              <w:rPr>
                <w:rFonts w:ascii="Calibri" w:hAnsi="Calibri" w:cs="Calibri"/>
                <w:color w:val="000000"/>
                <w:szCs w:val="18"/>
              </w:rPr>
              <w:t xml:space="preserve">mproved wellbeing effect </w:t>
            </w:r>
            <w:r>
              <w:rPr>
                <w:rFonts w:ascii="Calibri" w:hAnsi="Calibri" w:cs="Calibri"/>
                <w:color w:val="000000"/>
                <w:szCs w:val="18"/>
              </w:rPr>
              <w:t>lasts 6 months</w:t>
            </w:r>
          </w:p>
        </w:tc>
        <w:tc>
          <w:tcPr>
            <w:tcW w:w="2245" w:type="dxa"/>
          </w:tcPr>
          <w:p w14:paraId="5FDBA100" w14:textId="77777777" w:rsidR="002549DB" w:rsidRPr="00696236" w:rsidRDefault="002549DB" w:rsidP="009532D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I</w:t>
            </w:r>
            <w:r w:rsidRPr="00696236">
              <w:rPr>
                <w:rFonts w:ascii="Calibri" w:hAnsi="Calibri" w:cs="Calibri"/>
                <w:color w:val="000000"/>
                <w:szCs w:val="18"/>
              </w:rPr>
              <w:t xml:space="preserve">mproved wellbeing effect </w:t>
            </w:r>
            <w:r>
              <w:rPr>
                <w:rFonts w:ascii="Calibri" w:hAnsi="Calibri" w:cs="Calibri"/>
                <w:color w:val="000000"/>
                <w:szCs w:val="18"/>
              </w:rPr>
              <w:t>lasts 12 months</w:t>
            </w:r>
          </w:p>
        </w:tc>
        <w:tc>
          <w:tcPr>
            <w:tcW w:w="1015" w:type="dxa"/>
          </w:tcPr>
          <w:p w14:paraId="07BC6561" w14:textId="57132390" w:rsidR="002549DB" w:rsidRPr="00696236" w:rsidRDefault="00F13D00" w:rsidP="009532D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w:t>
            </w:r>
            <w:r w:rsidR="00486024">
              <w:rPr>
                <w:rFonts w:ascii="Calibri" w:hAnsi="Calibri" w:cs="Calibri"/>
                <w:color w:val="000000"/>
                <w:szCs w:val="18"/>
              </w:rPr>
              <w:t xml:space="preserve"> </w:t>
            </w:r>
            <w:r>
              <w:rPr>
                <w:rFonts w:ascii="Calibri" w:hAnsi="Calibri" w:cs="Calibri"/>
                <w:color w:val="000000"/>
                <w:szCs w:val="18"/>
              </w:rPr>
              <w:t>:</w:t>
            </w:r>
            <w:r w:rsidR="00486024">
              <w:rPr>
                <w:rFonts w:ascii="Calibri" w:hAnsi="Calibri" w:cs="Calibri"/>
                <w:color w:val="000000"/>
                <w:szCs w:val="18"/>
              </w:rPr>
              <w:t xml:space="preserve"> </w:t>
            </w:r>
            <w:r>
              <w:rPr>
                <w:rFonts w:ascii="Calibri" w:hAnsi="Calibri" w:cs="Calibri"/>
                <w:color w:val="000000"/>
                <w:szCs w:val="18"/>
              </w:rPr>
              <w:t>11.9</w:t>
            </w:r>
          </w:p>
        </w:tc>
        <w:tc>
          <w:tcPr>
            <w:tcW w:w="1403" w:type="dxa"/>
          </w:tcPr>
          <w:p w14:paraId="6189EEB0" w14:textId="14483FFB" w:rsidR="002549DB" w:rsidRPr="00696236" w:rsidRDefault="00F13D00" w:rsidP="009532D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w:t>
            </w:r>
            <w:r w:rsidR="00486024">
              <w:rPr>
                <w:rFonts w:ascii="Calibri" w:hAnsi="Calibri" w:cs="Calibri"/>
                <w:color w:val="000000"/>
                <w:szCs w:val="18"/>
              </w:rPr>
              <w:t xml:space="preserve"> </w:t>
            </w:r>
            <w:r>
              <w:rPr>
                <w:rFonts w:ascii="Calibri" w:hAnsi="Calibri" w:cs="Calibri"/>
                <w:color w:val="000000"/>
                <w:szCs w:val="18"/>
              </w:rPr>
              <w:t>:</w:t>
            </w:r>
            <w:r w:rsidR="00486024">
              <w:rPr>
                <w:rFonts w:ascii="Calibri" w:hAnsi="Calibri" w:cs="Calibri"/>
                <w:color w:val="000000"/>
                <w:szCs w:val="18"/>
              </w:rPr>
              <w:t xml:space="preserve"> </w:t>
            </w:r>
            <w:r>
              <w:rPr>
                <w:rFonts w:ascii="Calibri" w:hAnsi="Calibri" w:cs="Calibri"/>
                <w:color w:val="000000"/>
                <w:szCs w:val="18"/>
              </w:rPr>
              <w:t>1.9</w:t>
            </w:r>
          </w:p>
        </w:tc>
      </w:tr>
      <w:tr w:rsidR="002549DB" w14:paraId="50ECDD86" w14:textId="77777777" w:rsidTr="004A08F9">
        <w:trPr>
          <w:cnfStyle w:val="000000010000" w:firstRow="0" w:lastRow="0" w:firstColumn="0" w:lastColumn="0" w:oddVBand="0" w:evenVBand="0" w:oddHBand="0" w:evenHBand="1"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418" w:type="dxa"/>
            <w:hideMark/>
          </w:tcPr>
          <w:p w14:paraId="30B257E3" w14:textId="77777777" w:rsidR="002549DB" w:rsidRPr="00696236" w:rsidRDefault="002549DB" w:rsidP="009532DA">
            <w:pPr>
              <w:spacing w:after="0"/>
              <w:rPr>
                <w:rFonts w:ascii="Calibri" w:hAnsi="Calibri" w:cs="Calibri"/>
                <w:color w:val="000000"/>
                <w:szCs w:val="18"/>
              </w:rPr>
            </w:pPr>
            <w:r w:rsidRPr="00696236">
              <w:rPr>
                <w:rFonts w:ascii="Calibri" w:hAnsi="Calibri" w:cs="Calibri"/>
                <w:color w:val="000000"/>
                <w:szCs w:val="18"/>
              </w:rPr>
              <w:t>Incarceration</w:t>
            </w:r>
          </w:p>
        </w:tc>
        <w:tc>
          <w:tcPr>
            <w:tcW w:w="2126" w:type="dxa"/>
            <w:hideMark/>
          </w:tcPr>
          <w:p w14:paraId="44E27136" w14:textId="77777777" w:rsidR="002549DB" w:rsidRPr="00696236" w:rsidRDefault="002549DB" w:rsidP="009532DA">
            <w:pPr>
              <w:spacing w:after="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18"/>
              </w:rPr>
            </w:pPr>
            <w:r w:rsidRPr="00696236">
              <w:rPr>
                <w:rFonts w:ascii="Calibri" w:hAnsi="Calibri" w:cs="Calibri"/>
                <w:color w:val="000000"/>
                <w:szCs w:val="18"/>
              </w:rPr>
              <w:t>3.2% difference in incarceration rate</w:t>
            </w:r>
          </w:p>
        </w:tc>
        <w:tc>
          <w:tcPr>
            <w:tcW w:w="2245" w:type="dxa"/>
            <w:hideMark/>
          </w:tcPr>
          <w:p w14:paraId="3E1E04FA" w14:textId="77777777" w:rsidR="002549DB" w:rsidRPr="00696236" w:rsidRDefault="002549DB" w:rsidP="009532DA">
            <w:pPr>
              <w:spacing w:after="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18"/>
              </w:rPr>
            </w:pPr>
            <w:r w:rsidRPr="00696236">
              <w:rPr>
                <w:rFonts w:ascii="Calibri" w:hAnsi="Calibri" w:cs="Calibri"/>
                <w:color w:val="000000"/>
                <w:szCs w:val="18"/>
              </w:rPr>
              <w:t>Halve difference in incarceration rates</w:t>
            </w:r>
          </w:p>
        </w:tc>
        <w:tc>
          <w:tcPr>
            <w:tcW w:w="1015" w:type="dxa"/>
            <w:hideMark/>
          </w:tcPr>
          <w:p w14:paraId="20B1B4ED" w14:textId="32CB2C8B" w:rsidR="002549DB" w:rsidRPr="00696236" w:rsidRDefault="00486024" w:rsidP="009532DA">
            <w:pPr>
              <w:spacing w:after="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18"/>
              </w:rPr>
            </w:pPr>
            <w:r>
              <w:rPr>
                <w:rFonts w:ascii="Calibri" w:hAnsi="Calibri" w:cs="Calibri"/>
                <w:color w:val="000000"/>
                <w:szCs w:val="18"/>
              </w:rPr>
              <w:t>1 : 5.9</w:t>
            </w:r>
          </w:p>
        </w:tc>
        <w:tc>
          <w:tcPr>
            <w:tcW w:w="1403" w:type="dxa"/>
          </w:tcPr>
          <w:p w14:paraId="5C76B439" w14:textId="3778985A" w:rsidR="002549DB" w:rsidRPr="00696236" w:rsidRDefault="00486024" w:rsidP="009532DA">
            <w:pPr>
              <w:spacing w:after="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18"/>
              </w:rPr>
            </w:pPr>
            <w:r>
              <w:rPr>
                <w:rFonts w:ascii="Calibri" w:hAnsi="Calibri" w:cs="Calibri"/>
                <w:color w:val="000000"/>
                <w:szCs w:val="18"/>
              </w:rPr>
              <w:t>1 : 0.9</w:t>
            </w:r>
          </w:p>
        </w:tc>
      </w:tr>
      <w:tr w:rsidR="002549DB" w14:paraId="5552892A" w14:textId="77777777" w:rsidTr="004A08F9">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418" w:type="dxa"/>
            <w:hideMark/>
          </w:tcPr>
          <w:p w14:paraId="29FB5052" w14:textId="77777777" w:rsidR="002549DB" w:rsidRPr="00696236" w:rsidRDefault="002549DB" w:rsidP="009532DA">
            <w:pPr>
              <w:spacing w:after="0"/>
              <w:rPr>
                <w:rFonts w:ascii="Calibri" w:hAnsi="Calibri" w:cs="Calibri"/>
                <w:color w:val="000000"/>
                <w:szCs w:val="18"/>
              </w:rPr>
            </w:pPr>
            <w:r w:rsidRPr="00696236">
              <w:rPr>
                <w:rFonts w:ascii="Calibri" w:hAnsi="Calibri" w:cs="Calibri"/>
                <w:color w:val="000000"/>
                <w:szCs w:val="18"/>
              </w:rPr>
              <w:t>Incarceration</w:t>
            </w:r>
          </w:p>
        </w:tc>
        <w:tc>
          <w:tcPr>
            <w:tcW w:w="2126" w:type="dxa"/>
            <w:hideMark/>
          </w:tcPr>
          <w:p w14:paraId="2945302F" w14:textId="77777777" w:rsidR="002549DB" w:rsidRPr="00696236" w:rsidRDefault="002549DB" w:rsidP="009532D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sidRPr="00696236">
              <w:rPr>
                <w:rFonts w:ascii="Calibri" w:hAnsi="Calibri" w:cs="Calibri"/>
                <w:color w:val="000000"/>
                <w:szCs w:val="18"/>
              </w:rPr>
              <w:t>3.2% difference in incarceration rate</w:t>
            </w:r>
          </w:p>
        </w:tc>
        <w:tc>
          <w:tcPr>
            <w:tcW w:w="2245" w:type="dxa"/>
            <w:hideMark/>
          </w:tcPr>
          <w:p w14:paraId="5E563F1C" w14:textId="77777777" w:rsidR="002549DB" w:rsidRPr="00696236" w:rsidRDefault="002549DB" w:rsidP="009532D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sidRPr="00696236">
              <w:rPr>
                <w:rFonts w:ascii="Calibri" w:hAnsi="Calibri" w:cs="Calibri"/>
                <w:color w:val="000000"/>
                <w:szCs w:val="18"/>
              </w:rPr>
              <w:t>Double difference in incarceration rate</w:t>
            </w:r>
          </w:p>
        </w:tc>
        <w:tc>
          <w:tcPr>
            <w:tcW w:w="1015" w:type="dxa"/>
            <w:hideMark/>
          </w:tcPr>
          <w:p w14:paraId="2DBFEC51" w14:textId="287995F4" w:rsidR="002549DB" w:rsidRPr="00696236" w:rsidRDefault="00486024" w:rsidP="009532D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 : 6.1</w:t>
            </w:r>
          </w:p>
        </w:tc>
        <w:tc>
          <w:tcPr>
            <w:tcW w:w="1403" w:type="dxa"/>
          </w:tcPr>
          <w:p w14:paraId="36D99C6B" w14:textId="5B7A82A3" w:rsidR="002549DB" w:rsidRPr="00696236" w:rsidRDefault="00486024" w:rsidP="009532DA">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 : 1.1</w:t>
            </w:r>
          </w:p>
        </w:tc>
      </w:tr>
    </w:tbl>
    <w:bookmarkEnd w:id="4112"/>
    <w:p w14:paraId="5A64F75C" w14:textId="77777777" w:rsidR="002549DB" w:rsidRPr="003161F9" w:rsidRDefault="002549DB" w:rsidP="00C239FD">
      <w:pPr>
        <w:pStyle w:val="SourceandNotes"/>
      </w:pPr>
      <w:r>
        <w:t>Source: Data from above analysis</w:t>
      </w:r>
    </w:p>
    <w:p w14:paraId="6E725BDC" w14:textId="5A2B57D7" w:rsidR="002549DB" w:rsidRDefault="002549DB" w:rsidP="009251AF">
      <w:pPr>
        <w:pStyle w:val="Heading2a"/>
      </w:pPr>
      <w:bookmarkStart w:id="4116" w:name="_Toc105427826"/>
      <w:bookmarkStart w:id="4117" w:name="_Toc106711934"/>
      <w:bookmarkStart w:id="4118" w:name="_Toc132650565"/>
      <w:bookmarkStart w:id="4119" w:name="_Toc146033594"/>
      <w:r>
        <w:t>Future research needs</w:t>
      </w:r>
      <w:bookmarkEnd w:id="4116"/>
      <w:bookmarkEnd w:id="4117"/>
      <w:bookmarkEnd w:id="4118"/>
      <w:bookmarkEnd w:id="4119"/>
    </w:p>
    <w:p w14:paraId="343B0627" w14:textId="14CECAF1" w:rsidR="002549DB" w:rsidRDefault="002549DB" w:rsidP="002549DB">
      <w:r>
        <w:t>This analysis has raised a number of issues regarding estimating the social benefits and economic value of the TtW program. Specifically, it would be useful to undertake longitudinal research regarding longer</w:t>
      </w:r>
      <w:r w:rsidR="0009326F">
        <w:t>-</w:t>
      </w:r>
      <w:r>
        <w:t>term changes in wellbeing, and develop mechanisms to collect data that facilitates examination of the longer-term impact of TtW on participants</w:t>
      </w:r>
      <w:r w:rsidR="00D155A3">
        <w:t>’</w:t>
      </w:r>
      <w:r>
        <w:t xml:space="preserve"> study outcomes and </w:t>
      </w:r>
      <w:r w:rsidR="00D155A3">
        <w:t xml:space="preserve">on </w:t>
      </w:r>
      <w:r>
        <w:t>the quality and quantity of employment.</w:t>
      </w:r>
    </w:p>
    <w:p w14:paraId="5767CA20" w14:textId="11E6259B" w:rsidR="002549DB" w:rsidRPr="00A93C21" w:rsidRDefault="002549DB" w:rsidP="002549DB">
      <w:r>
        <w:t xml:space="preserve">The results from this analysis also demonstrate that the value that is placed on changes in wellbeing play a significant role in determining the overall social benefit of the TtW program. More detailed </w:t>
      </w:r>
      <w:r w:rsidRPr="00A93C21">
        <w:t>work looking at how to value changes in wellbeing</w:t>
      </w:r>
      <w:r>
        <w:t xml:space="preserve"> associated with the TtW program </w:t>
      </w:r>
      <w:r w:rsidR="004925BE">
        <w:t xml:space="preserve">is </w:t>
      </w:r>
      <w:r>
        <w:t>necessary to refine this analysis</w:t>
      </w:r>
      <w:r w:rsidRPr="00A93C21">
        <w:t>.</w:t>
      </w:r>
      <w:r w:rsidR="005075A8">
        <w:br w:type="page"/>
      </w:r>
    </w:p>
    <w:p w14:paraId="2100F32F" w14:textId="3C5F5B49" w:rsidR="00B45DF0" w:rsidRDefault="00561A11" w:rsidP="009251AF">
      <w:pPr>
        <w:pStyle w:val="Heading1a"/>
      </w:pPr>
      <w:bookmarkStart w:id="4120" w:name="_Toc132209682"/>
      <w:bookmarkStart w:id="4121" w:name="_Toc132209847"/>
      <w:bookmarkStart w:id="4122" w:name="_Toc132210012"/>
      <w:bookmarkStart w:id="4123" w:name="_Toc132647769"/>
      <w:bookmarkStart w:id="4124" w:name="_Toc106711935"/>
      <w:bookmarkStart w:id="4125" w:name="_Toc132650566"/>
      <w:bookmarkStart w:id="4126" w:name="_Toc146033595"/>
      <w:bookmarkEnd w:id="4120"/>
      <w:bookmarkEnd w:id="4121"/>
      <w:bookmarkEnd w:id="4122"/>
      <w:bookmarkEnd w:id="4123"/>
      <w:r>
        <w:lastRenderedPageBreak/>
        <w:t xml:space="preserve">Regression </w:t>
      </w:r>
      <w:r w:rsidR="00684712">
        <w:t>a</w:t>
      </w:r>
      <w:r>
        <w:t>nalysis</w:t>
      </w:r>
      <w:bookmarkEnd w:id="4124"/>
      <w:bookmarkEnd w:id="4125"/>
      <w:bookmarkEnd w:id="4126"/>
    </w:p>
    <w:p w14:paraId="6C268BDD" w14:textId="6F82B025" w:rsidR="00561A11" w:rsidRDefault="006150C6" w:rsidP="009251AF">
      <w:pPr>
        <w:pStyle w:val="Heading2a"/>
      </w:pPr>
      <w:bookmarkStart w:id="4127" w:name="_Toc106711937"/>
      <w:bookmarkStart w:id="4128" w:name="_Toc132650567"/>
      <w:bookmarkStart w:id="4129" w:name="_Toc146033596"/>
      <w:r>
        <w:t>Long-term</w:t>
      </w:r>
      <w:r w:rsidR="00374B10">
        <w:t xml:space="preserve"> </w:t>
      </w:r>
      <w:r w:rsidR="00684712">
        <w:t>i</w:t>
      </w:r>
      <w:r w:rsidR="00374B10">
        <w:t>mpact</w:t>
      </w:r>
      <w:r w:rsidR="00B45DF0">
        <w:t xml:space="preserve"> analysis – regression output</w:t>
      </w:r>
      <w:bookmarkEnd w:id="4127"/>
      <w:bookmarkEnd w:id="4128"/>
      <w:bookmarkEnd w:id="4129"/>
    </w:p>
    <w:p w14:paraId="29A07EF1" w14:textId="55D0D752" w:rsidR="00057AB2" w:rsidRDefault="00057AB2" w:rsidP="009251AF">
      <w:pPr>
        <w:pStyle w:val="Heading4a"/>
      </w:pPr>
      <w:r>
        <w:t>Methodology</w:t>
      </w:r>
    </w:p>
    <w:p w14:paraId="4E60A5A2" w14:textId="1CE1B296" w:rsidR="00057AB2" w:rsidRDefault="00057AB2" w:rsidP="00057AB2">
      <w:r>
        <w:t>To compare the effectiveness of TtW with jobactive for the selected population, the evaluation isolated the impact of TtW from the impact of participants</w:t>
      </w:r>
      <w:r w:rsidR="00F8391B">
        <w:t>’</w:t>
      </w:r>
      <w:r>
        <w:t xml:space="preserve"> personal characteristics. The evaluation achieved this using </w:t>
      </w:r>
      <w:r w:rsidR="00F8391B">
        <w:t>2</w:t>
      </w:r>
      <w:r>
        <w:t xml:space="preserve"> methods. First, to compare the performance of TtW with jobactive, the evaluation used a matched case-control sampling design to take matched samples of TtW and jobactive participants from the inflow population. This means that the analysis included </w:t>
      </w:r>
      <w:r w:rsidR="00F8391B">
        <w:t>2</w:t>
      </w:r>
      <w:r>
        <w:t xml:space="preserve"> groups of TtW and jobactive participants with similar characteristics.</w:t>
      </w:r>
    </w:p>
    <w:p w14:paraId="456CD8A1" w14:textId="33CA51A3" w:rsidR="00057AB2" w:rsidRDefault="00057AB2" w:rsidP="00057AB2">
      <w:r>
        <w:t xml:space="preserve">Second, the analysis used logistic regression models that controlled for any remaining differences between the TtW and jobactive matched samples. This means that, rather than just comparing the outcomes of the matched TtW and jobactive participants, the analysis adjusted for the personal characteristics of participants when making the comparisons. </w:t>
      </w:r>
      <w:r w:rsidR="00B80C93" w:rsidRPr="00C239FD">
        <w:rPr>
          <w:b/>
          <w:bCs/>
        </w:rPr>
        <w:fldChar w:fldCharType="begin"/>
      </w:r>
      <w:r w:rsidR="00B80C93" w:rsidRPr="00C239FD">
        <w:rPr>
          <w:b/>
          <w:bCs/>
        </w:rPr>
        <w:instrText xml:space="preserve"> REF _Ref116475951 \h  \* MERGEFORMAT </w:instrText>
      </w:r>
      <w:r w:rsidR="00B80C93" w:rsidRPr="00C239FD">
        <w:rPr>
          <w:b/>
          <w:bCs/>
        </w:rPr>
      </w:r>
      <w:r w:rsidR="00B80C93" w:rsidRPr="00C239FD">
        <w:rPr>
          <w:b/>
          <w:bCs/>
        </w:rPr>
        <w:fldChar w:fldCharType="separate"/>
      </w:r>
      <w:r w:rsidR="00180E14" w:rsidRPr="00180E14">
        <w:rPr>
          <w:b/>
          <w:bCs/>
        </w:rPr>
        <w:t xml:space="preserve">Table </w:t>
      </w:r>
      <w:r w:rsidR="00180E14" w:rsidRPr="00180E14">
        <w:rPr>
          <w:b/>
          <w:bCs/>
          <w:noProof/>
        </w:rPr>
        <w:t>37</w:t>
      </w:r>
      <w:r w:rsidR="00B80C93" w:rsidRPr="00C239FD">
        <w:rPr>
          <w:b/>
          <w:bCs/>
        </w:rPr>
        <w:fldChar w:fldCharType="end"/>
      </w:r>
      <w:r>
        <w:t xml:space="preserve"> describes the explanatory variables used in these analyses, including the controls.</w:t>
      </w:r>
    </w:p>
    <w:p w14:paraId="56ED8C17" w14:textId="5AF618B8" w:rsidR="00057AB2" w:rsidRDefault="00057AB2" w:rsidP="00CD7319">
      <w:pPr>
        <w:pStyle w:val="Caption"/>
        <w:keepNext/>
      </w:pPr>
      <w:bookmarkStart w:id="4130" w:name="_Ref116475951"/>
      <w:bookmarkStart w:id="4131" w:name="_Ref116475934"/>
      <w:bookmarkStart w:id="4132" w:name="_Toc132647812"/>
      <w:bookmarkStart w:id="4133" w:name="_Toc145877326"/>
      <w:r>
        <w:t xml:space="preserve">Table </w:t>
      </w:r>
      <w:r w:rsidR="00BE71D4">
        <w:fldChar w:fldCharType="begin"/>
      </w:r>
      <w:r w:rsidR="00BE71D4">
        <w:instrText xml:space="preserve"> SEQ Table \* ARABIC </w:instrText>
      </w:r>
      <w:r w:rsidR="00BE71D4">
        <w:fldChar w:fldCharType="separate"/>
      </w:r>
      <w:r w:rsidR="00180E14">
        <w:rPr>
          <w:noProof/>
        </w:rPr>
        <w:t>37</w:t>
      </w:r>
      <w:r w:rsidR="00BE71D4">
        <w:rPr>
          <w:noProof/>
        </w:rPr>
        <w:fldChar w:fldCharType="end"/>
      </w:r>
      <w:bookmarkEnd w:id="4130"/>
      <w:r>
        <w:t xml:space="preserve">: </w:t>
      </w:r>
      <w:r w:rsidRPr="00A67A9F">
        <w:t>Explanatory variables used in impact analyses</w:t>
      </w:r>
      <w:bookmarkEnd w:id="4131"/>
      <w:bookmarkEnd w:id="4132"/>
      <w:bookmarkEnd w:id="4133"/>
    </w:p>
    <w:tbl>
      <w:tblPr>
        <w:tblStyle w:val="TtWReportTableTemplate2"/>
        <w:tblW w:w="8986" w:type="dxa"/>
        <w:tblLook w:val="04A0" w:firstRow="1" w:lastRow="0" w:firstColumn="1" w:lastColumn="0" w:noHBand="0" w:noVBand="1"/>
      </w:tblPr>
      <w:tblGrid>
        <w:gridCol w:w="3035"/>
        <w:gridCol w:w="5951"/>
      </w:tblGrid>
      <w:tr w:rsidR="00057AB2" w:rsidRPr="00604709" w14:paraId="300C999B" w14:textId="77777777" w:rsidTr="009251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35" w:type="dxa"/>
            <w:shd w:val="clear" w:color="auto" w:fill="5D7A38"/>
          </w:tcPr>
          <w:p w14:paraId="0A631E76" w14:textId="77777777" w:rsidR="00057AB2" w:rsidRPr="00604709" w:rsidRDefault="00057AB2" w:rsidP="004E6757">
            <w:pPr>
              <w:pStyle w:val="TableText"/>
            </w:pPr>
            <w:r w:rsidRPr="00604709">
              <w:t>Variable</w:t>
            </w:r>
          </w:p>
        </w:tc>
        <w:tc>
          <w:tcPr>
            <w:tcW w:w="5951" w:type="dxa"/>
            <w:shd w:val="clear" w:color="auto" w:fill="5D7A38"/>
          </w:tcPr>
          <w:p w14:paraId="179451A3" w14:textId="77777777" w:rsidR="00057AB2" w:rsidRPr="00604709" w:rsidRDefault="00057AB2" w:rsidP="004E6757">
            <w:pPr>
              <w:pStyle w:val="TableText"/>
              <w:cnfStyle w:val="100000000000" w:firstRow="1" w:lastRow="0" w:firstColumn="0" w:lastColumn="0" w:oddVBand="0" w:evenVBand="0" w:oddHBand="0" w:evenHBand="0" w:firstRowFirstColumn="0" w:firstRowLastColumn="0" w:lastRowFirstColumn="0" w:lastRowLastColumn="0"/>
            </w:pPr>
            <w:r w:rsidRPr="00604709">
              <w:t>Description</w:t>
            </w:r>
          </w:p>
        </w:tc>
      </w:tr>
      <w:tr w:rsidR="00057AB2" w:rsidRPr="00604709" w14:paraId="3667184C"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6E6D9C68" w14:textId="77777777" w:rsidR="00057AB2" w:rsidRPr="00604709" w:rsidRDefault="00057AB2" w:rsidP="004E6757">
            <w:pPr>
              <w:pStyle w:val="TableText"/>
            </w:pPr>
            <w:r w:rsidRPr="00604709">
              <w:t>TtW</w:t>
            </w:r>
          </w:p>
        </w:tc>
        <w:tc>
          <w:tcPr>
            <w:tcW w:w="5951" w:type="dxa"/>
          </w:tcPr>
          <w:p w14:paraId="7E163E75" w14:textId="77777777" w:rsidR="00057AB2" w:rsidRPr="00604709" w:rsidRDefault="00057AB2" w:rsidP="004E6757">
            <w:pPr>
              <w:pStyle w:val="TableText"/>
              <w:cnfStyle w:val="000000100000" w:firstRow="0" w:lastRow="0" w:firstColumn="0" w:lastColumn="0" w:oddVBand="0" w:evenVBand="0" w:oddHBand="1" w:evenHBand="0" w:firstRowFirstColumn="0" w:firstRowLastColumn="0" w:lastRowFirstColumn="0" w:lastRowLastColumn="0"/>
            </w:pPr>
            <w:r>
              <w:t>Participant is in TtW rather than jobactive</w:t>
            </w:r>
          </w:p>
        </w:tc>
      </w:tr>
      <w:tr w:rsidR="00057AB2" w:rsidRPr="00604709" w14:paraId="194B70FC"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2C1BF6F3" w14:textId="77777777" w:rsidR="00057AB2" w:rsidRPr="00604709" w:rsidRDefault="00057AB2" w:rsidP="004E6757">
            <w:pPr>
              <w:pStyle w:val="TableText"/>
            </w:pPr>
            <w:r w:rsidRPr="00604709">
              <w:t>Age</w:t>
            </w:r>
          </w:p>
        </w:tc>
        <w:tc>
          <w:tcPr>
            <w:tcW w:w="5951" w:type="dxa"/>
          </w:tcPr>
          <w:p w14:paraId="47DD8BDD" w14:textId="77777777" w:rsidR="00057AB2" w:rsidRPr="00604709" w:rsidRDefault="00057AB2" w:rsidP="004E6757">
            <w:pPr>
              <w:pStyle w:val="TableText"/>
              <w:cnfStyle w:val="000000010000" w:firstRow="0" w:lastRow="0" w:firstColumn="0" w:lastColumn="0" w:oddVBand="0" w:evenVBand="0" w:oddHBand="0" w:evenHBand="1" w:firstRowFirstColumn="0" w:firstRowLastColumn="0" w:lastRowFirstColumn="0" w:lastRowLastColumn="0"/>
            </w:pPr>
            <w:r>
              <w:t>Age at referral in years</w:t>
            </w:r>
          </w:p>
        </w:tc>
      </w:tr>
      <w:tr w:rsidR="00057AB2" w:rsidRPr="00604709" w14:paraId="6AA5DEAC"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7E3A22E6" w14:textId="77777777" w:rsidR="00057AB2" w:rsidRPr="00604709" w:rsidRDefault="00057AB2" w:rsidP="004E6757">
            <w:pPr>
              <w:pStyle w:val="TableText"/>
            </w:pPr>
            <w:r w:rsidRPr="00604709">
              <w:t>Female</w:t>
            </w:r>
          </w:p>
        </w:tc>
        <w:tc>
          <w:tcPr>
            <w:tcW w:w="5951" w:type="dxa"/>
          </w:tcPr>
          <w:p w14:paraId="1759C9F8" w14:textId="77777777" w:rsidR="00057AB2" w:rsidRPr="00604709" w:rsidRDefault="00057AB2" w:rsidP="004E6757">
            <w:pPr>
              <w:pStyle w:val="TableText"/>
              <w:cnfStyle w:val="000000100000" w:firstRow="0" w:lastRow="0" w:firstColumn="0" w:lastColumn="0" w:oddVBand="0" w:evenVBand="0" w:oddHBand="1" w:evenHBand="0" w:firstRowFirstColumn="0" w:firstRowLastColumn="0" w:lastRowFirstColumn="0" w:lastRowLastColumn="0"/>
            </w:pPr>
            <w:r>
              <w:t>Participant is female rather than male</w:t>
            </w:r>
          </w:p>
        </w:tc>
      </w:tr>
      <w:tr w:rsidR="00057AB2" w:rsidRPr="00604709" w14:paraId="6F426DFB"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785C536F" w14:textId="77777777" w:rsidR="00057AB2" w:rsidRPr="00604709" w:rsidRDefault="00057AB2" w:rsidP="004E6757">
            <w:pPr>
              <w:pStyle w:val="TableText"/>
            </w:pPr>
            <w:r w:rsidRPr="00604709">
              <w:t>Non-Indigenous</w:t>
            </w:r>
          </w:p>
        </w:tc>
        <w:tc>
          <w:tcPr>
            <w:tcW w:w="5951" w:type="dxa"/>
          </w:tcPr>
          <w:p w14:paraId="08F9B932" w14:textId="77777777" w:rsidR="00057AB2" w:rsidRPr="00604709" w:rsidRDefault="00057AB2" w:rsidP="004E6757">
            <w:pPr>
              <w:pStyle w:val="TableText"/>
              <w:cnfStyle w:val="000000010000" w:firstRow="0" w:lastRow="0" w:firstColumn="0" w:lastColumn="0" w:oddVBand="0" w:evenVBand="0" w:oddHBand="0" w:evenHBand="1" w:firstRowFirstColumn="0" w:firstRowLastColumn="0" w:lastRowFirstColumn="0" w:lastRowLastColumn="0"/>
            </w:pPr>
            <w:r>
              <w:t>P</w:t>
            </w:r>
            <w:r w:rsidRPr="00604709">
              <w:t>articipant does not identify as Aboriginal or as Torres Strait Islander</w:t>
            </w:r>
          </w:p>
        </w:tc>
      </w:tr>
      <w:tr w:rsidR="00057AB2" w:rsidRPr="00604709" w14:paraId="6F0C10AC"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62822693" w14:textId="77777777" w:rsidR="00057AB2" w:rsidRPr="00604709" w:rsidRDefault="00057AB2" w:rsidP="004E6757">
            <w:pPr>
              <w:pStyle w:val="TableText"/>
            </w:pPr>
            <w:r w:rsidRPr="00604709">
              <w:t>Year 12 completer</w:t>
            </w:r>
          </w:p>
        </w:tc>
        <w:tc>
          <w:tcPr>
            <w:tcW w:w="5951" w:type="dxa"/>
          </w:tcPr>
          <w:p w14:paraId="360EC0ED" w14:textId="77777777" w:rsidR="00057AB2" w:rsidRPr="00604709" w:rsidRDefault="00057AB2" w:rsidP="004E6757">
            <w:pPr>
              <w:pStyle w:val="TableText"/>
              <w:cnfStyle w:val="000000100000" w:firstRow="0" w:lastRow="0" w:firstColumn="0" w:lastColumn="0" w:oddVBand="0" w:evenVBand="0" w:oddHBand="1" w:evenHBand="0" w:firstRowFirstColumn="0" w:firstRowLastColumn="0" w:lastRowFirstColumn="0" w:lastRowLastColumn="0"/>
            </w:pPr>
            <w:r>
              <w:t>P</w:t>
            </w:r>
            <w:r w:rsidRPr="00604709">
              <w:t xml:space="preserve">articipant has </w:t>
            </w:r>
            <w:r>
              <w:t>completed Year 12</w:t>
            </w:r>
          </w:p>
        </w:tc>
      </w:tr>
      <w:tr w:rsidR="00057AB2" w:rsidRPr="00604709" w14:paraId="1DDCBD45"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3CE888C0" w14:textId="77777777" w:rsidR="00057AB2" w:rsidRPr="00604709" w:rsidRDefault="00057AB2" w:rsidP="004E6757">
            <w:pPr>
              <w:pStyle w:val="TableText"/>
            </w:pPr>
            <w:r>
              <w:t>Transport</w:t>
            </w:r>
          </w:p>
        </w:tc>
        <w:tc>
          <w:tcPr>
            <w:tcW w:w="5951" w:type="dxa"/>
          </w:tcPr>
          <w:p w14:paraId="3FD307BD" w14:textId="77777777" w:rsidR="00057AB2" w:rsidRPr="00604709" w:rsidRDefault="00057AB2" w:rsidP="004E6757">
            <w:pPr>
              <w:pStyle w:val="TableText"/>
              <w:cnfStyle w:val="000000010000" w:firstRow="0" w:lastRow="0" w:firstColumn="0" w:lastColumn="0" w:oddVBand="0" w:evenVBand="0" w:oddHBand="0" w:evenHBand="1" w:firstRowFirstColumn="0" w:firstRowLastColumn="0" w:lastRowFirstColumn="0" w:lastRowLastColumn="0"/>
            </w:pPr>
            <w:r>
              <w:t xml:space="preserve">Whether </w:t>
            </w:r>
            <w:r w:rsidRPr="00604709">
              <w:t>participant has no transport</w:t>
            </w:r>
            <w:r>
              <w:t>, private transport or public transport</w:t>
            </w:r>
            <w:r w:rsidRPr="00604709">
              <w:t xml:space="preserve"> </w:t>
            </w:r>
            <w:r>
              <w:t>for travel to and from work</w:t>
            </w:r>
          </w:p>
        </w:tc>
      </w:tr>
      <w:tr w:rsidR="00057AB2" w:rsidRPr="00604709" w14:paraId="174CF0B7"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3855D137" w14:textId="77777777" w:rsidR="00057AB2" w:rsidRPr="00604709" w:rsidRDefault="00057AB2" w:rsidP="004E6757">
            <w:pPr>
              <w:pStyle w:val="TableText"/>
            </w:pPr>
            <w:r w:rsidRPr="00604709">
              <w:t>Stable residence</w:t>
            </w:r>
          </w:p>
        </w:tc>
        <w:tc>
          <w:tcPr>
            <w:tcW w:w="5951" w:type="dxa"/>
          </w:tcPr>
          <w:p w14:paraId="4F47F9F4" w14:textId="77777777" w:rsidR="00057AB2" w:rsidRPr="00604709" w:rsidRDefault="00057AB2" w:rsidP="004E6757">
            <w:pPr>
              <w:pStyle w:val="TableText"/>
              <w:cnfStyle w:val="000000100000" w:firstRow="0" w:lastRow="0" w:firstColumn="0" w:lastColumn="0" w:oddVBand="0" w:evenVBand="0" w:oddHBand="1" w:evenHBand="0" w:firstRowFirstColumn="0" w:firstRowLastColumn="0" w:lastRowFirstColumn="0" w:lastRowLastColumn="0"/>
            </w:pPr>
            <w:r>
              <w:t>P</w:t>
            </w:r>
            <w:r w:rsidRPr="00604709">
              <w:t>articipant has a stable residence</w:t>
            </w:r>
          </w:p>
        </w:tc>
      </w:tr>
      <w:tr w:rsidR="00057AB2" w:rsidRPr="00604709" w14:paraId="4636BFB7"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7DBB659B" w14:textId="77777777" w:rsidR="00057AB2" w:rsidRPr="00604709" w:rsidRDefault="00057AB2" w:rsidP="004E6757">
            <w:pPr>
              <w:pStyle w:val="TableText"/>
            </w:pPr>
            <w:r>
              <w:t>Work history</w:t>
            </w:r>
          </w:p>
        </w:tc>
        <w:tc>
          <w:tcPr>
            <w:tcW w:w="5951" w:type="dxa"/>
          </w:tcPr>
          <w:p w14:paraId="1935F64E" w14:textId="198CF139" w:rsidR="00057AB2" w:rsidRPr="00604709" w:rsidRDefault="00057AB2" w:rsidP="004E6757">
            <w:pPr>
              <w:pStyle w:val="TableText"/>
              <w:cnfStyle w:val="000000010000" w:firstRow="0" w:lastRow="0" w:firstColumn="0" w:lastColumn="0" w:oddVBand="0" w:evenVBand="0" w:oddHBand="0" w:evenHBand="1" w:firstRowFirstColumn="0" w:firstRowLastColumn="0" w:lastRowFirstColumn="0" w:lastRowLastColumn="0"/>
            </w:pPr>
            <w:r>
              <w:t>Whether</w:t>
            </w:r>
            <w:r w:rsidRPr="00604709">
              <w:t xml:space="preserve"> participant spent most of the previous </w:t>
            </w:r>
            <w:r w:rsidR="00F8391B">
              <w:t>2</w:t>
            </w:r>
            <w:r w:rsidRPr="00604709">
              <w:t xml:space="preserve"> years </w:t>
            </w:r>
            <w:r>
              <w:t>in</w:t>
            </w:r>
            <w:r w:rsidRPr="00604709">
              <w:t xml:space="preserve"> paid work</w:t>
            </w:r>
            <w:r>
              <w:t>, unpaid work or not working</w:t>
            </w:r>
          </w:p>
        </w:tc>
      </w:tr>
      <w:tr w:rsidR="00057AB2" w:rsidRPr="00604709" w14:paraId="1EC0BEFD"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3D659DDB" w14:textId="77777777" w:rsidR="00057AB2" w:rsidRPr="00604709" w:rsidRDefault="00057AB2" w:rsidP="004E6757">
            <w:pPr>
              <w:pStyle w:val="TableText"/>
            </w:pPr>
            <w:r>
              <w:t>I</w:t>
            </w:r>
            <w:r w:rsidRPr="00604709">
              <w:t>ncome support</w:t>
            </w:r>
            <w:r>
              <w:t xml:space="preserve"> duration</w:t>
            </w:r>
          </w:p>
        </w:tc>
        <w:tc>
          <w:tcPr>
            <w:tcW w:w="5951" w:type="dxa"/>
          </w:tcPr>
          <w:p w14:paraId="7E65B43F" w14:textId="77777777" w:rsidR="00057AB2" w:rsidRPr="00604709" w:rsidRDefault="00057AB2" w:rsidP="004E6757">
            <w:pPr>
              <w:pStyle w:val="TableText"/>
              <w:cnfStyle w:val="000000100000" w:firstRow="0" w:lastRow="0" w:firstColumn="0" w:lastColumn="0" w:oddVBand="0" w:evenVBand="0" w:oddHBand="1" w:evenHBand="0" w:firstRowFirstColumn="0" w:firstRowLastColumn="0" w:lastRowFirstColumn="0" w:lastRowLastColumn="0"/>
            </w:pPr>
            <w:r>
              <w:t xml:space="preserve">Whether </w:t>
            </w:r>
            <w:r w:rsidRPr="00604709">
              <w:t>participant spent less than 12 months on income support</w:t>
            </w:r>
            <w:r>
              <w:t>, spent more than 12 months on income support, or was not on income support</w:t>
            </w:r>
            <w:r w:rsidRPr="00604709">
              <w:t xml:space="preserve"> before commencing services </w:t>
            </w:r>
          </w:p>
        </w:tc>
      </w:tr>
      <w:tr w:rsidR="00057AB2" w:rsidRPr="00604709" w14:paraId="7F6FF13B"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636BAB2D" w14:textId="77777777" w:rsidR="00057AB2" w:rsidRPr="00604709" w:rsidRDefault="00057AB2" w:rsidP="004E6757">
            <w:pPr>
              <w:pStyle w:val="TableText"/>
            </w:pPr>
            <w:r w:rsidRPr="00604709">
              <w:t>Good English skills</w:t>
            </w:r>
          </w:p>
        </w:tc>
        <w:tc>
          <w:tcPr>
            <w:tcW w:w="5951" w:type="dxa"/>
          </w:tcPr>
          <w:p w14:paraId="3492D130" w14:textId="77777777" w:rsidR="00057AB2" w:rsidRPr="00604709" w:rsidRDefault="00057AB2" w:rsidP="004E6757">
            <w:pPr>
              <w:pStyle w:val="TableText"/>
              <w:cnfStyle w:val="000000010000" w:firstRow="0" w:lastRow="0" w:firstColumn="0" w:lastColumn="0" w:oddVBand="0" w:evenVBand="0" w:oddHBand="0" w:evenHBand="1" w:firstRowFirstColumn="0" w:firstRowLastColumn="0" w:lastRowFirstColumn="0" w:lastRowLastColumn="0"/>
            </w:pPr>
            <w:r>
              <w:t>P</w:t>
            </w:r>
            <w:r w:rsidRPr="00604709">
              <w:t>articipant reports having good English reading and writing skills</w:t>
            </w:r>
          </w:p>
        </w:tc>
      </w:tr>
      <w:tr w:rsidR="00057AB2" w:rsidRPr="00604709" w14:paraId="0DD419EE"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048659A0" w14:textId="77777777" w:rsidR="00057AB2" w:rsidRPr="00604709" w:rsidRDefault="00057AB2" w:rsidP="004E6757">
            <w:pPr>
              <w:pStyle w:val="TableText"/>
            </w:pPr>
            <w:r w:rsidRPr="00604709">
              <w:t>Personal factors</w:t>
            </w:r>
          </w:p>
        </w:tc>
        <w:tc>
          <w:tcPr>
            <w:tcW w:w="5951" w:type="dxa"/>
          </w:tcPr>
          <w:p w14:paraId="312905E6" w14:textId="77777777" w:rsidR="00057AB2" w:rsidRPr="00604709" w:rsidRDefault="00057AB2" w:rsidP="004E6757">
            <w:pPr>
              <w:pStyle w:val="TableText"/>
              <w:cnfStyle w:val="000000100000" w:firstRow="0" w:lastRow="0" w:firstColumn="0" w:lastColumn="0" w:oddVBand="0" w:evenVBand="0" w:oddHBand="1" w:evenHBand="0" w:firstRowFirstColumn="0" w:firstRowLastColumn="0" w:lastRowFirstColumn="0" w:lastRowLastColumn="0"/>
            </w:pPr>
            <w:r>
              <w:t>P</w:t>
            </w:r>
            <w:r w:rsidRPr="00604709">
              <w:t>articipant reports personal barriers to finding work</w:t>
            </w:r>
            <w:r>
              <w:t xml:space="preserve"> not otherwise recorded in </w:t>
            </w:r>
            <w:r w:rsidRPr="000C564F">
              <w:t>JSCI</w:t>
            </w:r>
          </w:p>
        </w:tc>
      </w:tr>
      <w:tr w:rsidR="00057AB2" w:rsidRPr="00604709" w14:paraId="76C068A8"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1CF37CFB" w14:textId="77777777" w:rsidR="00057AB2" w:rsidRPr="00604709" w:rsidRDefault="00057AB2" w:rsidP="004E6757">
            <w:pPr>
              <w:pStyle w:val="TableText"/>
            </w:pPr>
            <w:r w:rsidRPr="00604709">
              <w:t>Disability</w:t>
            </w:r>
          </w:p>
        </w:tc>
        <w:tc>
          <w:tcPr>
            <w:tcW w:w="5951" w:type="dxa"/>
          </w:tcPr>
          <w:p w14:paraId="440E6188" w14:textId="4F0ECB2F" w:rsidR="00057AB2" w:rsidRPr="00604709" w:rsidRDefault="00057AB2" w:rsidP="004E6757">
            <w:pPr>
              <w:pStyle w:val="TableText"/>
              <w:cnfStyle w:val="000000010000" w:firstRow="0" w:lastRow="0" w:firstColumn="0" w:lastColumn="0" w:oddVBand="0" w:evenVBand="0" w:oddHBand="0" w:evenHBand="1" w:firstRowFirstColumn="0" w:firstRowLastColumn="0" w:lastRowFirstColumn="0" w:lastRowLastColumn="0"/>
            </w:pPr>
            <w:r>
              <w:t>P</w:t>
            </w:r>
            <w:r w:rsidRPr="00604709">
              <w:t xml:space="preserve">articipant </w:t>
            </w:r>
            <w:r w:rsidR="00D155A3">
              <w:t xml:space="preserve">reports </w:t>
            </w:r>
            <w:r w:rsidR="00C4392F" w:rsidRPr="00C4392F">
              <w:t>having a disability o</w:t>
            </w:r>
            <w:r w:rsidR="00D155A3">
              <w:t>r</w:t>
            </w:r>
            <w:r w:rsidR="00C4392F" w:rsidRPr="00C4392F">
              <w:t xml:space="preserve"> medical condition that affects their ability to work</w:t>
            </w:r>
          </w:p>
        </w:tc>
      </w:tr>
      <w:tr w:rsidR="00057AB2" w:rsidRPr="00604709" w14:paraId="67D26265"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4E7BF575" w14:textId="77777777" w:rsidR="00057AB2" w:rsidRPr="00604709" w:rsidRDefault="00057AB2" w:rsidP="004E6757">
            <w:pPr>
              <w:pStyle w:val="TableText"/>
            </w:pPr>
            <w:r>
              <w:t>Income support payment</w:t>
            </w:r>
          </w:p>
        </w:tc>
        <w:tc>
          <w:tcPr>
            <w:tcW w:w="5951" w:type="dxa"/>
          </w:tcPr>
          <w:p w14:paraId="0484703C" w14:textId="77777777" w:rsidR="00057AB2" w:rsidRPr="00604709" w:rsidRDefault="00057AB2" w:rsidP="004E6757">
            <w:pPr>
              <w:pStyle w:val="TableText"/>
              <w:cnfStyle w:val="000000100000" w:firstRow="0" w:lastRow="0" w:firstColumn="0" w:lastColumn="0" w:oddVBand="0" w:evenVBand="0" w:oddHBand="1" w:evenHBand="0" w:firstRowFirstColumn="0" w:firstRowLastColumn="0" w:lastRowFirstColumn="0" w:lastRowLastColumn="0"/>
            </w:pPr>
            <w:r>
              <w:t xml:space="preserve">Whether participant has been on income support more than once </w:t>
            </w:r>
          </w:p>
        </w:tc>
      </w:tr>
      <w:tr w:rsidR="00057AB2" w:rsidRPr="00604709" w14:paraId="5F728502"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0D15AA2A" w14:textId="77777777" w:rsidR="00057AB2" w:rsidRPr="00604709" w:rsidRDefault="00057AB2" w:rsidP="004E6757">
            <w:pPr>
              <w:pStyle w:val="TableText"/>
            </w:pPr>
            <w:r w:rsidRPr="00604709">
              <w:t>Ex-offender</w:t>
            </w:r>
          </w:p>
        </w:tc>
        <w:tc>
          <w:tcPr>
            <w:tcW w:w="5951" w:type="dxa"/>
          </w:tcPr>
          <w:p w14:paraId="132DCF33" w14:textId="05959BC0" w:rsidR="00057AB2" w:rsidRPr="00C4392F" w:rsidRDefault="00C4392F" w:rsidP="00C4392F">
            <w:pPr>
              <w:pStyle w:val="CommentText"/>
              <w:cnfStyle w:val="000000010000" w:firstRow="0" w:lastRow="0" w:firstColumn="0" w:lastColumn="0" w:oddVBand="0" w:evenVBand="0" w:oddHBand="0" w:evenHBand="1" w:firstRowFirstColumn="0" w:firstRowLastColumn="0" w:lastRowFirstColumn="0" w:lastRowLastColumn="0"/>
              <w:rPr>
                <w:rFonts w:ascii="Calibri" w:hAnsi="Calibri" w:cs="Calibri"/>
                <w:lang w:eastAsia="en-AU"/>
              </w:rPr>
            </w:pPr>
            <w:r w:rsidRPr="00C4392F">
              <w:rPr>
                <w:rFonts w:ascii="Calibri" w:hAnsi="Calibri" w:cs="Calibri"/>
                <w:lang w:eastAsia="en-AU"/>
              </w:rPr>
              <w:t>Participant reports having been convicted of a criminal offence</w:t>
            </w:r>
          </w:p>
        </w:tc>
      </w:tr>
      <w:tr w:rsidR="00057AB2" w:rsidRPr="00604709" w14:paraId="45FCAA66"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47658162" w14:textId="77777777" w:rsidR="00057AB2" w:rsidRPr="00604709" w:rsidRDefault="00057AB2" w:rsidP="004E6757">
            <w:pPr>
              <w:pStyle w:val="TableText"/>
            </w:pPr>
            <w:r>
              <w:lastRenderedPageBreak/>
              <w:t>Geographic location</w:t>
            </w:r>
          </w:p>
        </w:tc>
        <w:tc>
          <w:tcPr>
            <w:tcW w:w="5951" w:type="dxa"/>
          </w:tcPr>
          <w:p w14:paraId="1C215669" w14:textId="5784C7C6" w:rsidR="00057AB2" w:rsidRPr="00604709" w:rsidRDefault="00057AB2" w:rsidP="004E6757">
            <w:pPr>
              <w:pStyle w:val="TableText"/>
              <w:cnfStyle w:val="000000100000" w:firstRow="0" w:lastRow="0" w:firstColumn="0" w:lastColumn="0" w:oddVBand="0" w:evenVBand="0" w:oddHBand="1" w:evenHBand="0" w:firstRowFirstColumn="0" w:firstRowLastColumn="0" w:lastRowFirstColumn="0" w:lastRowLastColumn="0"/>
            </w:pPr>
            <w:r>
              <w:t xml:space="preserve">Whether </w:t>
            </w:r>
            <w:r w:rsidRPr="00604709">
              <w:t>participant lives in Statistical Area Level 2 (SA2) with Accessibility/Remote</w:t>
            </w:r>
            <w:r>
              <w:t>ness</w:t>
            </w:r>
            <w:r w:rsidRPr="00604709">
              <w:t xml:space="preserve"> Index of Australia code </w:t>
            </w:r>
            <w:r w:rsidR="00F8391B">
              <w:t>‘</w:t>
            </w:r>
            <w:r w:rsidRPr="00604709">
              <w:t>Major Cities of Australia</w:t>
            </w:r>
            <w:r w:rsidR="00F8391B">
              <w:t>’</w:t>
            </w:r>
            <w:r>
              <w:t xml:space="preserve">, </w:t>
            </w:r>
            <w:r w:rsidR="00F8391B">
              <w:t>‘</w:t>
            </w:r>
            <w:r>
              <w:t>Inner Regional Australia</w:t>
            </w:r>
            <w:r w:rsidR="00F8391B">
              <w:t>’</w:t>
            </w:r>
            <w:r>
              <w:t xml:space="preserve">, </w:t>
            </w:r>
            <w:r w:rsidR="00F8391B">
              <w:t>‘</w:t>
            </w:r>
            <w:r>
              <w:t>Outer Regional Australia</w:t>
            </w:r>
            <w:r w:rsidR="00F8391B">
              <w:t>’</w:t>
            </w:r>
            <w:r w:rsidRPr="00604709">
              <w:t xml:space="preserve"> </w:t>
            </w:r>
            <w:r>
              <w:t xml:space="preserve">or </w:t>
            </w:r>
            <w:r w:rsidR="00F8391B">
              <w:t>‘</w:t>
            </w:r>
            <w:r>
              <w:t>Remote or Very Remote Australia</w:t>
            </w:r>
            <w:r w:rsidR="00F8391B">
              <w:t>’</w:t>
            </w:r>
          </w:p>
        </w:tc>
      </w:tr>
      <w:tr w:rsidR="00057AB2" w:rsidRPr="00604709" w14:paraId="1BFC5EFD"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0921E400" w14:textId="77777777" w:rsidR="00057AB2" w:rsidRPr="00604709" w:rsidRDefault="00057AB2" w:rsidP="004E6757">
            <w:pPr>
              <w:pStyle w:val="TableText"/>
            </w:pPr>
            <w:r w:rsidRPr="00604709">
              <w:t>Strength of local economy</w:t>
            </w:r>
          </w:p>
        </w:tc>
        <w:tc>
          <w:tcPr>
            <w:tcW w:w="5951" w:type="dxa"/>
          </w:tcPr>
          <w:p w14:paraId="7434786A" w14:textId="7C533936" w:rsidR="00057AB2" w:rsidRPr="00604709" w:rsidRDefault="00057AB2" w:rsidP="004E6757">
            <w:pPr>
              <w:pStyle w:val="TableText"/>
              <w:cnfStyle w:val="000000010000" w:firstRow="0" w:lastRow="0" w:firstColumn="0" w:lastColumn="0" w:oddVBand="0" w:evenVBand="0" w:oddHBand="0" w:evenHBand="1" w:firstRowFirstColumn="0" w:firstRowLastColumn="0" w:lastRowFirstColumn="0" w:lastRowLastColumn="0"/>
            </w:pPr>
            <w:r w:rsidRPr="00604709">
              <w:t>Internet Vacancy Index</w:t>
            </w:r>
            <w:r>
              <w:t xml:space="preserve"> (IVI)</w:t>
            </w:r>
            <w:r w:rsidRPr="00604709">
              <w:t xml:space="preserve"> score for Skill Level 5 (</w:t>
            </w:r>
            <w:r w:rsidRPr="000C564F">
              <w:t>i.e.</w:t>
            </w:r>
            <w:r w:rsidRPr="00604709">
              <w:t xml:space="preserve"> low-skill) jobs in the participant</w:t>
            </w:r>
            <w:r w:rsidR="00F8391B">
              <w:t>’</w:t>
            </w:r>
            <w:r w:rsidRPr="00604709">
              <w:t>s SA2</w:t>
            </w:r>
          </w:p>
        </w:tc>
      </w:tr>
    </w:tbl>
    <w:p w14:paraId="3BD4D9B7" w14:textId="77777777" w:rsidR="00057AB2" w:rsidRDefault="00057AB2" w:rsidP="00057AB2">
      <w:pPr>
        <w:pStyle w:val="SourceandNotes"/>
      </w:pPr>
      <w:r w:rsidRPr="00EF5DFD">
        <w:t xml:space="preserve">Source: Department of Employment, Skills, Small and Family Business </w:t>
      </w:r>
      <w:r>
        <w:t>regression analysis</w:t>
      </w:r>
    </w:p>
    <w:p w14:paraId="50F03ED4" w14:textId="77777777" w:rsidR="00057AB2" w:rsidRDefault="00057AB2" w:rsidP="00057AB2">
      <w:r>
        <w:t>To ensure that variables with the strongest impact were included in each model, a stepwise selection was conducted to screen out those that had no statistically significant relationship to outcome variables. The stepwise selection procedure evaluates the significance of the entire categorical variable using a chi-square test. It does not separately evaluate the significance of each individual category within the categorical variable.</w:t>
      </w:r>
    </w:p>
    <w:p w14:paraId="23F63083" w14:textId="1F198F8F" w:rsidR="00057AB2" w:rsidRDefault="00057AB2" w:rsidP="00CD7319">
      <w:r>
        <w:t xml:space="preserve">To illustrate how the stepwise selection procedure treats categorical variables, consider the </w:t>
      </w:r>
      <w:r w:rsidR="001C4589">
        <w:t>g</w:t>
      </w:r>
      <w:r>
        <w:t>eographic location variable. Residential location is often included in the final model. However, the individual residential location categories were usually statistically insignificant. This means that, while residential location appears to have some relationship with the outcome variables, it cannot be said with confidence that participants living in major cities</w:t>
      </w:r>
      <w:r w:rsidR="00D155A3">
        <w:t>,</w:t>
      </w:r>
      <w:r>
        <w:t xml:space="preserve"> for example</w:t>
      </w:r>
      <w:r w:rsidR="00D155A3">
        <w:t>,</w:t>
      </w:r>
      <w:r>
        <w:t xml:space="preserve"> have better outcomes than do other participants.</w:t>
      </w:r>
    </w:p>
    <w:p w14:paraId="002A30FD" w14:textId="479597B0" w:rsidR="00057AB2" w:rsidRDefault="00057AB2" w:rsidP="009251AF">
      <w:pPr>
        <w:pStyle w:val="Heading4a"/>
      </w:pPr>
      <w:bookmarkStart w:id="4134" w:name="_Toc55475729"/>
      <w:bookmarkStart w:id="4135" w:name="_Toc72481957"/>
      <w:r w:rsidRPr="00091F8D">
        <w:t>Interpreting the logistic regression tables</w:t>
      </w:r>
      <w:bookmarkEnd w:id="4134"/>
      <w:bookmarkEnd w:id="4135"/>
    </w:p>
    <w:p w14:paraId="40887B27" w14:textId="77777777" w:rsidR="00057AB2" w:rsidRDefault="00057AB2" w:rsidP="00057AB2">
      <w:r>
        <w:t>The logistic regression tables use odds ratios to represent the relationship between the explanatory or independent variables and the outcome or dependent variable. If a variable has an odds ratio greater than 1, then the variable has a positive relationship with the outcome of interest. Likewise, variables with odds ratios that are lower than 1 have a negative relationship with the outcome. Statistically significant effects are identified with an asterisk (*).</w:t>
      </w:r>
    </w:p>
    <w:p w14:paraId="122D5792" w14:textId="04881913" w:rsidR="00057AB2" w:rsidRDefault="00057AB2" w:rsidP="00057AB2">
      <w:r>
        <w:t xml:space="preserve">The odds ratios for variables with more than </w:t>
      </w:r>
      <w:r w:rsidR="00F8391B">
        <w:t>2</w:t>
      </w:r>
      <w:r>
        <w:t xml:space="preserve"> categories also need to be interpreted cautiously. An example is the variable </w:t>
      </w:r>
      <w:r w:rsidR="00F8391B">
        <w:t>‘</w:t>
      </w:r>
      <w:r>
        <w:t>Transport</w:t>
      </w:r>
      <w:r w:rsidR="00F8391B">
        <w:t>’</w:t>
      </w:r>
      <w:r>
        <w:t xml:space="preserve">, which contains </w:t>
      </w:r>
      <w:r w:rsidR="00F8391B">
        <w:t>3</w:t>
      </w:r>
      <w:r>
        <w:t xml:space="preserve"> categories: </w:t>
      </w:r>
      <w:r w:rsidR="00F8391B">
        <w:t>‘</w:t>
      </w:r>
      <w:r>
        <w:t>No transport</w:t>
      </w:r>
      <w:r w:rsidR="00F8391B">
        <w:t>’</w:t>
      </w:r>
      <w:r>
        <w:t xml:space="preserve">, </w:t>
      </w:r>
      <w:r w:rsidR="00F8391B">
        <w:t>‘</w:t>
      </w:r>
      <w:r>
        <w:t>Public transport</w:t>
      </w:r>
      <w:r w:rsidR="00F8391B">
        <w:t>’</w:t>
      </w:r>
      <w:r>
        <w:t xml:space="preserve"> and </w:t>
      </w:r>
      <w:r w:rsidR="00F8391B">
        <w:t>‘</w:t>
      </w:r>
      <w:r>
        <w:t>Private transport</w:t>
      </w:r>
      <w:r w:rsidR="00F8391B">
        <w:t>’</w:t>
      </w:r>
      <w:r>
        <w:t xml:space="preserve">. The odds ratio for a variable category does not compare the outcomes of participants in that category with those of participants in all other categories. It instead compares the outcomes of participants in that category with participants in a single </w:t>
      </w:r>
      <w:r w:rsidR="00F8391B">
        <w:t>‘</w:t>
      </w:r>
      <w:r>
        <w:t>reference category</w:t>
      </w:r>
      <w:r w:rsidR="00F8391B">
        <w:t>’</w:t>
      </w:r>
      <w:r>
        <w:t>. For example, the odds ratio for</w:t>
      </w:r>
      <w:r w:rsidR="00D155A3">
        <w:t xml:space="preserve"> the</w:t>
      </w:r>
      <w:r>
        <w:t xml:space="preserve"> variable </w:t>
      </w:r>
      <w:r w:rsidR="00F8391B">
        <w:t>‘</w:t>
      </w:r>
      <w:r>
        <w:t>Transport</w:t>
      </w:r>
      <w:r w:rsidR="00F8391B">
        <w:t>’</w:t>
      </w:r>
      <w:r>
        <w:t xml:space="preserve"> does not compare participants who had public transport with participants who had private transport. Rather, it compares these participants with young people who had no transport (the </w:t>
      </w:r>
      <w:r w:rsidR="00F8391B">
        <w:t>‘</w:t>
      </w:r>
      <w:r>
        <w:t>reference group</w:t>
      </w:r>
      <w:r w:rsidR="00F8391B">
        <w:t>’</w:t>
      </w:r>
      <w:r>
        <w:t>). In each table, the reference category for each variable is indicated to the right of the forward slash (/).</w:t>
      </w:r>
    </w:p>
    <w:p w14:paraId="5DD5C9D2" w14:textId="74369383" w:rsidR="00057AB2" w:rsidRPr="00057AB2" w:rsidRDefault="00057AB2" w:rsidP="009251AF">
      <w:pPr>
        <w:pStyle w:val="Heading4a"/>
      </w:pPr>
      <w:r>
        <w:lastRenderedPageBreak/>
        <w:t xml:space="preserve">Regression </w:t>
      </w:r>
      <w:r w:rsidR="00684712">
        <w:t>t</w:t>
      </w:r>
      <w:r>
        <w:t>ables</w:t>
      </w:r>
    </w:p>
    <w:p w14:paraId="1EB2D1C4" w14:textId="145AF6E0" w:rsidR="00401B08" w:rsidRDefault="00FF6E16" w:rsidP="00FF6E16">
      <w:pPr>
        <w:pStyle w:val="Caption"/>
        <w:keepNext/>
      </w:pPr>
      <w:bookmarkStart w:id="4136" w:name="_Toc132647813"/>
      <w:bookmarkStart w:id="4137" w:name="_Toc145877327"/>
      <w:r>
        <w:t xml:space="preserve">Table </w:t>
      </w:r>
      <w:r>
        <w:fldChar w:fldCharType="begin"/>
      </w:r>
      <w:r>
        <w:instrText>SEQ Table \* ARABIC</w:instrText>
      </w:r>
      <w:r>
        <w:fldChar w:fldCharType="separate"/>
      </w:r>
      <w:r w:rsidR="00180E14">
        <w:rPr>
          <w:noProof/>
        </w:rPr>
        <w:t>38</w:t>
      </w:r>
      <w:r>
        <w:fldChar w:fldCharType="end"/>
      </w:r>
      <w:r>
        <w:t xml:space="preserve">: </w:t>
      </w:r>
      <w:r w:rsidRPr="001835CF">
        <w:t xml:space="preserve">Logistic regression model – impact of TtW on probability of exiting income support </w:t>
      </w:r>
      <w:r w:rsidR="00401B08">
        <w:t>at</w:t>
      </w:r>
      <w:r w:rsidRPr="001835CF">
        <w:t xml:space="preserve"> 6</w:t>
      </w:r>
      <w:r w:rsidR="00D155A3">
        <w:t> </w:t>
      </w:r>
      <w:r w:rsidRPr="001835CF">
        <w:t>months after commencement</w:t>
      </w:r>
      <w:bookmarkEnd w:id="4136"/>
      <w:bookmarkEnd w:id="4137"/>
    </w:p>
    <w:tbl>
      <w:tblPr>
        <w:tblStyle w:val="TtWReportTableTemplate2"/>
        <w:tblW w:w="5237" w:type="pct"/>
        <w:tblLayout w:type="fixed"/>
        <w:tblLook w:val="04A0" w:firstRow="1" w:lastRow="0" w:firstColumn="1" w:lastColumn="0" w:noHBand="0" w:noVBand="1"/>
      </w:tblPr>
      <w:tblGrid>
        <w:gridCol w:w="4113"/>
        <w:gridCol w:w="1134"/>
        <w:gridCol w:w="2127"/>
        <w:gridCol w:w="2080"/>
      </w:tblGrid>
      <w:tr w:rsidR="00401B08" w:rsidRPr="004B5487" w14:paraId="081EA18F" w14:textId="77777777" w:rsidTr="00674AEB">
        <w:trPr>
          <w:cnfStyle w:val="100000000000" w:firstRow="1" w:lastRow="0" w:firstColumn="0" w:lastColumn="0" w:oddVBand="0" w:evenVBand="0" w:oddHBand="0" w:evenHBand="0" w:firstRowFirstColumn="0" w:firstRowLastColumn="0" w:lastRowFirstColumn="0" w:lastRowLastColumn="0"/>
          <w:trHeight w:val="534"/>
          <w:tblHeader/>
        </w:trPr>
        <w:tc>
          <w:tcPr>
            <w:cnfStyle w:val="001000000000" w:firstRow="0" w:lastRow="0" w:firstColumn="1" w:lastColumn="0" w:oddVBand="0" w:evenVBand="0" w:oddHBand="0" w:evenHBand="0" w:firstRowFirstColumn="0" w:firstRowLastColumn="0" w:lastRowFirstColumn="0" w:lastRowLastColumn="0"/>
            <w:tcW w:w="2175" w:type="pct"/>
            <w:shd w:val="clear" w:color="auto" w:fill="5D7A38"/>
          </w:tcPr>
          <w:p w14:paraId="4D261CAD" w14:textId="77777777" w:rsidR="00401B08" w:rsidRPr="004B5487" w:rsidRDefault="00401B08" w:rsidP="00D11E39">
            <w:pPr>
              <w:keepNext/>
              <w:adjustRightInd w:val="0"/>
              <w:spacing w:after="60"/>
              <w:rPr>
                <w:bCs/>
                <w:szCs w:val="20"/>
              </w:rPr>
            </w:pPr>
            <w:bookmarkStart w:id="4138" w:name="_Hlk116392609"/>
            <w:r w:rsidRPr="004B5487">
              <w:rPr>
                <w:bCs/>
                <w:szCs w:val="20"/>
              </w:rPr>
              <w:t>Variable</w:t>
            </w:r>
          </w:p>
        </w:tc>
        <w:tc>
          <w:tcPr>
            <w:tcW w:w="600" w:type="pct"/>
            <w:shd w:val="clear" w:color="auto" w:fill="5D7A38"/>
          </w:tcPr>
          <w:p w14:paraId="4A26F5D5" w14:textId="77777777" w:rsidR="00401B08" w:rsidRPr="004B5487" w:rsidRDefault="00401B08"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 xml:space="preserve">Odds </w:t>
            </w:r>
            <w:r>
              <w:rPr>
                <w:szCs w:val="20"/>
              </w:rPr>
              <w:t>r</w:t>
            </w:r>
            <w:r w:rsidRPr="004B5487">
              <w:rPr>
                <w:szCs w:val="20"/>
              </w:rPr>
              <w:t>atio</w:t>
            </w:r>
            <w:r>
              <w:rPr>
                <w:szCs w:val="20"/>
                <w:vertAlign w:val="superscript"/>
              </w:rPr>
              <w:t>1</w:t>
            </w:r>
          </w:p>
        </w:tc>
        <w:tc>
          <w:tcPr>
            <w:tcW w:w="1125" w:type="pct"/>
            <w:shd w:val="clear" w:color="auto" w:fill="5D7A38"/>
          </w:tcPr>
          <w:p w14:paraId="53B1D62D" w14:textId="77777777" w:rsidR="00401B08" w:rsidRPr="004B5487" w:rsidRDefault="00401B08"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 w:val="0"/>
                <w:szCs w:val="20"/>
              </w:rPr>
            </w:pPr>
            <w:r w:rsidRPr="004B5487">
              <w:rPr>
                <w:szCs w:val="20"/>
              </w:rPr>
              <w:t>Lower 95% </w:t>
            </w:r>
            <w:r>
              <w:rPr>
                <w:szCs w:val="20"/>
              </w:rPr>
              <w:t>c</w:t>
            </w:r>
            <w:r w:rsidRPr="004B5487">
              <w:rPr>
                <w:szCs w:val="20"/>
              </w:rPr>
              <w:t>onfidence </w:t>
            </w:r>
            <w:r>
              <w:rPr>
                <w:szCs w:val="20"/>
              </w:rPr>
              <w:t>l</w:t>
            </w:r>
            <w:r w:rsidRPr="004B5487">
              <w:rPr>
                <w:szCs w:val="20"/>
              </w:rPr>
              <w:t>imit</w:t>
            </w:r>
          </w:p>
        </w:tc>
        <w:tc>
          <w:tcPr>
            <w:tcW w:w="1100" w:type="pct"/>
            <w:shd w:val="clear" w:color="auto" w:fill="5D7A38"/>
          </w:tcPr>
          <w:p w14:paraId="68726878" w14:textId="77777777" w:rsidR="00401B08" w:rsidRPr="004B5487" w:rsidRDefault="00401B08"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Upper 95% </w:t>
            </w:r>
            <w:r>
              <w:rPr>
                <w:szCs w:val="20"/>
              </w:rPr>
              <w:t>c</w:t>
            </w:r>
            <w:r w:rsidRPr="004B5487">
              <w:rPr>
                <w:szCs w:val="20"/>
              </w:rPr>
              <w:t>onfidence </w:t>
            </w:r>
            <w:r>
              <w:rPr>
                <w:szCs w:val="20"/>
              </w:rPr>
              <w:t>l</w:t>
            </w:r>
            <w:r w:rsidRPr="004B5487">
              <w:rPr>
                <w:szCs w:val="20"/>
              </w:rPr>
              <w:t>imit</w:t>
            </w:r>
          </w:p>
        </w:tc>
      </w:tr>
      <w:bookmarkEnd w:id="4138"/>
      <w:tr w:rsidR="00401B08" w:rsidRPr="004B5487" w14:paraId="1BBB98A0"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A2895E3" w14:textId="5A99E463" w:rsidR="00401B08" w:rsidRPr="004B5487" w:rsidRDefault="00401B08" w:rsidP="00D11E39">
            <w:pPr>
              <w:keepNext/>
              <w:adjustRightInd w:val="0"/>
              <w:spacing w:after="60"/>
              <w:rPr>
                <w:bCs/>
                <w:color w:val="000000"/>
                <w:szCs w:val="20"/>
              </w:rPr>
            </w:pPr>
            <w:r w:rsidRPr="004B5487">
              <w:rPr>
                <w:bCs/>
                <w:color w:val="000000"/>
                <w:szCs w:val="20"/>
              </w:rPr>
              <w:t xml:space="preserve">TtW / </w:t>
            </w:r>
            <w:r w:rsidR="00140024">
              <w:rPr>
                <w:bCs/>
                <w:color w:val="000000"/>
                <w:szCs w:val="20"/>
              </w:rPr>
              <w:t>jobactive</w:t>
            </w:r>
          </w:p>
        </w:tc>
        <w:tc>
          <w:tcPr>
            <w:tcW w:w="600" w:type="pct"/>
          </w:tcPr>
          <w:p w14:paraId="220ADC04"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0.660</w:t>
            </w:r>
            <w:r>
              <w:t>*</w:t>
            </w:r>
          </w:p>
        </w:tc>
        <w:tc>
          <w:tcPr>
            <w:tcW w:w="1125" w:type="pct"/>
          </w:tcPr>
          <w:p w14:paraId="15A741EC"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0.603</w:t>
            </w:r>
          </w:p>
        </w:tc>
        <w:tc>
          <w:tcPr>
            <w:tcW w:w="1100" w:type="pct"/>
          </w:tcPr>
          <w:p w14:paraId="4C98C49D"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0.722</w:t>
            </w:r>
          </w:p>
        </w:tc>
      </w:tr>
      <w:tr w:rsidR="00401B08" w:rsidRPr="004B5487" w14:paraId="7F9259B3"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6DAE096" w14:textId="77777777" w:rsidR="00401B08" w:rsidRPr="004B5487" w:rsidRDefault="00401B08" w:rsidP="00D11E39">
            <w:pPr>
              <w:keepNext/>
              <w:adjustRightInd w:val="0"/>
              <w:spacing w:after="60"/>
              <w:rPr>
                <w:bCs/>
                <w:color w:val="000000"/>
                <w:szCs w:val="20"/>
              </w:rPr>
            </w:pPr>
            <w:r w:rsidRPr="004B5487">
              <w:rPr>
                <w:bCs/>
                <w:color w:val="000000"/>
                <w:szCs w:val="20"/>
              </w:rPr>
              <w:t>Female / Male</w:t>
            </w:r>
          </w:p>
        </w:tc>
        <w:tc>
          <w:tcPr>
            <w:tcW w:w="600" w:type="pct"/>
          </w:tcPr>
          <w:p w14:paraId="15E67F49"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0.604</w:t>
            </w:r>
            <w:r>
              <w:t>*</w:t>
            </w:r>
          </w:p>
        </w:tc>
        <w:tc>
          <w:tcPr>
            <w:tcW w:w="1125" w:type="pct"/>
          </w:tcPr>
          <w:p w14:paraId="46ADCE1D"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0.551</w:t>
            </w:r>
          </w:p>
        </w:tc>
        <w:tc>
          <w:tcPr>
            <w:tcW w:w="1100" w:type="pct"/>
          </w:tcPr>
          <w:p w14:paraId="14C90A07"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0.662</w:t>
            </w:r>
          </w:p>
        </w:tc>
      </w:tr>
      <w:tr w:rsidR="00401B08" w:rsidRPr="004B5487" w14:paraId="7B3D6CF6"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C8819D8" w14:textId="77777777" w:rsidR="00401B08" w:rsidRPr="004B5487" w:rsidRDefault="00401B08" w:rsidP="00D11E39">
            <w:pPr>
              <w:keepNext/>
              <w:adjustRightInd w:val="0"/>
              <w:spacing w:after="60"/>
              <w:rPr>
                <w:bCs/>
                <w:color w:val="000000"/>
                <w:szCs w:val="20"/>
              </w:rPr>
            </w:pPr>
            <w:r>
              <w:rPr>
                <w:bCs/>
                <w:color w:val="000000"/>
                <w:szCs w:val="20"/>
              </w:rPr>
              <w:t>Age (increased by 1 year)</w:t>
            </w:r>
          </w:p>
        </w:tc>
        <w:tc>
          <w:tcPr>
            <w:tcW w:w="600" w:type="pct"/>
          </w:tcPr>
          <w:p w14:paraId="7C544A02" w14:textId="77777777" w:rsidR="00401B08"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1.133</w:t>
            </w:r>
            <w:r>
              <w:t>*</w:t>
            </w:r>
          </w:p>
        </w:tc>
        <w:tc>
          <w:tcPr>
            <w:tcW w:w="1125" w:type="pct"/>
          </w:tcPr>
          <w:p w14:paraId="48A82710" w14:textId="77777777" w:rsidR="00401B08"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1.097</w:t>
            </w:r>
          </w:p>
        </w:tc>
        <w:tc>
          <w:tcPr>
            <w:tcW w:w="1100" w:type="pct"/>
          </w:tcPr>
          <w:p w14:paraId="75EF5FDC" w14:textId="77777777" w:rsidR="00401B08"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1.170</w:t>
            </w:r>
          </w:p>
        </w:tc>
      </w:tr>
      <w:tr w:rsidR="00401B08" w:rsidRPr="004B5487" w14:paraId="76C77524"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7E8A04E3" w14:textId="77777777" w:rsidR="00401B08" w:rsidRPr="004B5487" w:rsidRDefault="00401B08" w:rsidP="00D11E39">
            <w:pPr>
              <w:keepNext/>
              <w:adjustRightInd w:val="0"/>
              <w:spacing w:after="60"/>
              <w:rPr>
                <w:bCs/>
                <w:color w:val="000000"/>
                <w:szCs w:val="20"/>
              </w:rPr>
            </w:pPr>
            <w:r w:rsidRPr="004B5487">
              <w:rPr>
                <w:bCs/>
                <w:color w:val="000000"/>
                <w:szCs w:val="20"/>
              </w:rPr>
              <w:t>Non-Indigenous / Indigenous</w:t>
            </w:r>
          </w:p>
        </w:tc>
        <w:tc>
          <w:tcPr>
            <w:tcW w:w="600" w:type="pct"/>
          </w:tcPr>
          <w:p w14:paraId="0FEA6B7C"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1.166</w:t>
            </w:r>
            <w:r>
              <w:t>*</w:t>
            </w:r>
          </w:p>
        </w:tc>
        <w:tc>
          <w:tcPr>
            <w:tcW w:w="1125" w:type="pct"/>
          </w:tcPr>
          <w:p w14:paraId="2F2A20A1"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1.041</w:t>
            </w:r>
          </w:p>
        </w:tc>
        <w:tc>
          <w:tcPr>
            <w:tcW w:w="1100" w:type="pct"/>
          </w:tcPr>
          <w:p w14:paraId="7E329D3F"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1.307</w:t>
            </w:r>
          </w:p>
        </w:tc>
      </w:tr>
      <w:tr w:rsidR="00401B08" w:rsidRPr="004B5487" w14:paraId="03E2C80C"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5CE5DEA3" w14:textId="77777777" w:rsidR="00401B08" w:rsidRPr="004B5487" w:rsidRDefault="00401B08" w:rsidP="00D11E39">
            <w:pPr>
              <w:adjustRightInd w:val="0"/>
              <w:spacing w:after="60"/>
              <w:rPr>
                <w:bCs/>
                <w:color w:val="000000"/>
                <w:szCs w:val="20"/>
              </w:rPr>
            </w:pPr>
            <w:r w:rsidRPr="004B5487">
              <w:rPr>
                <w:bCs/>
                <w:color w:val="000000"/>
                <w:szCs w:val="20"/>
              </w:rPr>
              <w:t>Year 12 completer / Non-Year 12 completer</w:t>
            </w:r>
          </w:p>
        </w:tc>
        <w:tc>
          <w:tcPr>
            <w:tcW w:w="600" w:type="pct"/>
          </w:tcPr>
          <w:p w14:paraId="799AF717"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1.386</w:t>
            </w:r>
            <w:r>
              <w:t>*</w:t>
            </w:r>
          </w:p>
        </w:tc>
        <w:tc>
          <w:tcPr>
            <w:tcW w:w="1125" w:type="pct"/>
          </w:tcPr>
          <w:p w14:paraId="4906326E"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1.263</w:t>
            </w:r>
          </w:p>
        </w:tc>
        <w:tc>
          <w:tcPr>
            <w:tcW w:w="1100" w:type="pct"/>
          </w:tcPr>
          <w:p w14:paraId="0DC97038"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1.521</w:t>
            </w:r>
          </w:p>
        </w:tc>
      </w:tr>
      <w:tr w:rsidR="00401B08" w:rsidRPr="004B5487" w14:paraId="7CFBF322"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E213493" w14:textId="77777777" w:rsidR="00401B08" w:rsidRPr="004B5487" w:rsidRDefault="00401B08" w:rsidP="00D11E39">
            <w:pPr>
              <w:adjustRightInd w:val="0"/>
              <w:spacing w:after="60"/>
              <w:rPr>
                <w:bCs/>
                <w:color w:val="000000"/>
                <w:szCs w:val="20"/>
              </w:rPr>
            </w:pPr>
            <w:r w:rsidRPr="004B5487">
              <w:rPr>
                <w:szCs w:val="20"/>
              </w:rPr>
              <w:t>No transport / Public transport</w:t>
            </w:r>
          </w:p>
        </w:tc>
        <w:tc>
          <w:tcPr>
            <w:tcW w:w="600" w:type="pct"/>
          </w:tcPr>
          <w:p w14:paraId="4AEAB86E"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0.819</w:t>
            </w:r>
            <w:r>
              <w:t>*</w:t>
            </w:r>
          </w:p>
        </w:tc>
        <w:tc>
          <w:tcPr>
            <w:tcW w:w="1125" w:type="pct"/>
          </w:tcPr>
          <w:p w14:paraId="29B22350"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0.663</w:t>
            </w:r>
          </w:p>
        </w:tc>
        <w:tc>
          <w:tcPr>
            <w:tcW w:w="1100" w:type="pct"/>
          </w:tcPr>
          <w:p w14:paraId="32017540"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1.012</w:t>
            </w:r>
          </w:p>
        </w:tc>
      </w:tr>
      <w:tr w:rsidR="00401B08" w:rsidRPr="004B5487" w14:paraId="709DA0FC"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8AB6C37" w14:textId="77777777" w:rsidR="00401B08" w:rsidRPr="004B5487" w:rsidRDefault="00401B08" w:rsidP="00D11E39">
            <w:pPr>
              <w:adjustRightInd w:val="0"/>
              <w:spacing w:after="60"/>
              <w:rPr>
                <w:bCs/>
                <w:color w:val="000000"/>
                <w:szCs w:val="20"/>
              </w:rPr>
            </w:pPr>
            <w:r w:rsidRPr="004B5487">
              <w:rPr>
                <w:szCs w:val="20"/>
              </w:rPr>
              <w:t>Private transport / Public transport</w:t>
            </w:r>
          </w:p>
        </w:tc>
        <w:tc>
          <w:tcPr>
            <w:tcW w:w="600" w:type="pct"/>
          </w:tcPr>
          <w:p w14:paraId="13636668"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1.482</w:t>
            </w:r>
            <w:r>
              <w:t>*</w:t>
            </w:r>
          </w:p>
        </w:tc>
        <w:tc>
          <w:tcPr>
            <w:tcW w:w="1125" w:type="pct"/>
          </w:tcPr>
          <w:p w14:paraId="675C50E3"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1.351</w:t>
            </w:r>
          </w:p>
        </w:tc>
        <w:tc>
          <w:tcPr>
            <w:tcW w:w="1100" w:type="pct"/>
          </w:tcPr>
          <w:p w14:paraId="5B97FBA4"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1.625</w:t>
            </w:r>
          </w:p>
        </w:tc>
      </w:tr>
      <w:tr w:rsidR="00401B08" w:rsidRPr="004B5487" w14:paraId="1D88999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A35DEA7" w14:textId="77777777" w:rsidR="00401B08" w:rsidRPr="004B5487" w:rsidRDefault="00401B08" w:rsidP="00D11E39">
            <w:pPr>
              <w:adjustRightInd w:val="0"/>
              <w:spacing w:after="60"/>
              <w:rPr>
                <w:bCs/>
                <w:color w:val="000000"/>
                <w:szCs w:val="20"/>
              </w:rPr>
            </w:pPr>
            <w:r w:rsidRPr="004B5487">
              <w:rPr>
                <w:bCs/>
                <w:color w:val="000000"/>
                <w:szCs w:val="20"/>
              </w:rPr>
              <w:t>Stable residence / Unstable residence</w:t>
            </w:r>
          </w:p>
        </w:tc>
        <w:tc>
          <w:tcPr>
            <w:tcW w:w="600" w:type="pct"/>
          </w:tcPr>
          <w:p w14:paraId="2FAB974B"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1.361</w:t>
            </w:r>
            <w:r>
              <w:t>*</w:t>
            </w:r>
          </w:p>
        </w:tc>
        <w:tc>
          <w:tcPr>
            <w:tcW w:w="1125" w:type="pct"/>
          </w:tcPr>
          <w:p w14:paraId="64D7DDED"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1.162</w:t>
            </w:r>
          </w:p>
        </w:tc>
        <w:tc>
          <w:tcPr>
            <w:tcW w:w="1100" w:type="pct"/>
          </w:tcPr>
          <w:p w14:paraId="4869CA74"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1.594</w:t>
            </w:r>
          </w:p>
        </w:tc>
      </w:tr>
      <w:tr w:rsidR="00401B08" w:rsidRPr="004B5487" w14:paraId="74E31EE5"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C77DF7D" w14:textId="77777777" w:rsidR="00401B08" w:rsidRPr="004B5487" w:rsidRDefault="00401B08" w:rsidP="00D11E39">
            <w:pPr>
              <w:adjustRightInd w:val="0"/>
              <w:spacing w:after="60"/>
              <w:rPr>
                <w:bCs/>
                <w:color w:val="000000"/>
                <w:szCs w:val="20"/>
              </w:rPr>
            </w:pPr>
            <w:r w:rsidRPr="004B5487">
              <w:rPr>
                <w:szCs w:val="20"/>
              </w:rPr>
              <w:t xml:space="preserve">History of paid </w:t>
            </w:r>
            <w:r>
              <w:rPr>
                <w:szCs w:val="20"/>
              </w:rPr>
              <w:t xml:space="preserve">or unpaid </w:t>
            </w:r>
            <w:r w:rsidRPr="004B5487">
              <w:rPr>
                <w:szCs w:val="20"/>
              </w:rPr>
              <w:t>work / Was not working</w:t>
            </w:r>
          </w:p>
        </w:tc>
        <w:tc>
          <w:tcPr>
            <w:tcW w:w="600" w:type="pct"/>
          </w:tcPr>
          <w:p w14:paraId="3DC57E66"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1.695</w:t>
            </w:r>
            <w:r>
              <w:t>*</w:t>
            </w:r>
          </w:p>
        </w:tc>
        <w:tc>
          <w:tcPr>
            <w:tcW w:w="1125" w:type="pct"/>
          </w:tcPr>
          <w:p w14:paraId="5C8EED8A"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1.529</w:t>
            </w:r>
          </w:p>
        </w:tc>
        <w:tc>
          <w:tcPr>
            <w:tcW w:w="1100" w:type="pct"/>
          </w:tcPr>
          <w:p w14:paraId="723BA2D8"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1.879</w:t>
            </w:r>
          </w:p>
        </w:tc>
      </w:tr>
      <w:tr w:rsidR="00401B08" w:rsidRPr="004B5487" w14:paraId="62C0FBFE"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8251CB8" w14:textId="77777777" w:rsidR="00401B08" w:rsidRPr="004B5487" w:rsidRDefault="00401B08" w:rsidP="00D11E39">
            <w:pPr>
              <w:adjustRightInd w:val="0"/>
              <w:spacing w:after="60"/>
              <w:rPr>
                <w:bCs/>
                <w:color w:val="000000"/>
                <w:szCs w:val="20"/>
              </w:rPr>
            </w:pPr>
            <w:r w:rsidRPr="007E3B4A">
              <w:t xml:space="preserve">More than 12 months on income support / Less than 12 months on income support </w:t>
            </w:r>
          </w:p>
        </w:tc>
        <w:tc>
          <w:tcPr>
            <w:tcW w:w="600" w:type="pct"/>
          </w:tcPr>
          <w:p w14:paraId="52CB9D7A"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762733">
              <w:t>0.758</w:t>
            </w:r>
            <w:r>
              <w:t>*</w:t>
            </w:r>
          </w:p>
        </w:tc>
        <w:tc>
          <w:tcPr>
            <w:tcW w:w="1125" w:type="pct"/>
          </w:tcPr>
          <w:p w14:paraId="68653AF8"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762733">
              <w:t>0.649</w:t>
            </w:r>
          </w:p>
        </w:tc>
        <w:tc>
          <w:tcPr>
            <w:tcW w:w="1100" w:type="pct"/>
          </w:tcPr>
          <w:p w14:paraId="0E941A48"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762733">
              <w:t>0.886</w:t>
            </w:r>
          </w:p>
        </w:tc>
      </w:tr>
      <w:tr w:rsidR="00401B08" w:rsidRPr="004B5487" w14:paraId="25F9E58C"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0903630" w14:textId="77777777" w:rsidR="00401B08" w:rsidRPr="004B5487" w:rsidRDefault="00401B08" w:rsidP="00D11E39">
            <w:pPr>
              <w:adjustRightInd w:val="0"/>
              <w:spacing w:after="60"/>
              <w:rPr>
                <w:bCs/>
                <w:color w:val="000000"/>
                <w:szCs w:val="20"/>
              </w:rPr>
            </w:pPr>
            <w:r w:rsidRPr="004B5487">
              <w:rPr>
                <w:bCs/>
                <w:color w:val="000000"/>
                <w:szCs w:val="20"/>
              </w:rPr>
              <w:t>Disability / No disability</w:t>
            </w:r>
          </w:p>
        </w:tc>
        <w:tc>
          <w:tcPr>
            <w:tcW w:w="600" w:type="pct"/>
          </w:tcPr>
          <w:p w14:paraId="577B8D07"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0.634</w:t>
            </w:r>
            <w:r>
              <w:t>*</w:t>
            </w:r>
          </w:p>
        </w:tc>
        <w:tc>
          <w:tcPr>
            <w:tcW w:w="1125" w:type="pct"/>
          </w:tcPr>
          <w:p w14:paraId="39DE2B39"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0.511</w:t>
            </w:r>
          </w:p>
        </w:tc>
        <w:tc>
          <w:tcPr>
            <w:tcW w:w="1100" w:type="pct"/>
          </w:tcPr>
          <w:p w14:paraId="1B2CEFD8"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0.786</w:t>
            </w:r>
          </w:p>
        </w:tc>
      </w:tr>
      <w:tr w:rsidR="00401B08" w:rsidRPr="004B5487" w14:paraId="49CB223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7EE7E88C" w14:textId="77777777" w:rsidR="00401B08" w:rsidRPr="004B5487" w:rsidRDefault="00401B08" w:rsidP="00D11E39">
            <w:pPr>
              <w:adjustRightInd w:val="0"/>
              <w:spacing w:after="60"/>
              <w:rPr>
                <w:bCs/>
                <w:color w:val="000000"/>
                <w:szCs w:val="20"/>
              </w:rPr>
            </w:pPr>
            <w:r w:rsidRPr="004B5487">
              <w:rPr>
                <w:bCs/>
                <w:color w:val="000000"/>
                <w:szCs w:val="20"/>
              </w:rPr>
              <w:t xml:space="preserve">Good English skills / Poor or </w:t>
            </w:r>
            <w:r>
              <w:rPr>
                <w:bCs/>
                <w:color w:val="000000"/>
                <w:szCs w:val="20"/>
              </w:rPr>
              <w:t>c</w:t>
            </w:r>
            <w:r w:rsidRPr="004B5487">
              <w:rPr>
                <w:bCs/>
                <w:color w:val="000000"/>
                <w:szCs w:val="20"/>
              </w:rPr>
              <w:t>ombination of good and poor</w:t>
            </w:r>
          </w:p>
        </w:tc>
        <w:tc>
          <w:tcPr>
            <w:tcW w:w="600" w:type="pct"/>
          </w:tcPr>
          <w:p w14:paraId="21D14802" w14:textId="77777777" w:rsidR="00401B08"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1.252</w:t>
            </w:r>
            <w:r>
              <w:t>*</w:t>
            </w:r>
          </w:p>
        </w:tc>
        <w:tc>
          <w:tcPr>
            <w:tcW w:w="1125" w:type="pct"/>
          </w:tcPr>
          <w:p w14:paraId="74C44605" w14:textId="77777777" w:rsidR="00401B08"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1.039</w:t>
            </w:r>
          </w:p>
        </w:tc>
        <w:tc>
          <w:tcPr>
            <w:tcW w:w="1100" w:type="pct"/>
          </w:tcPr>
          <w:p w14:paraId="28BF3118" w14:textId="77777777" w:rsidR="00401B08"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1.510</w:t>
            </w:r>
          </w:p>
        </w:tc>
      </w:tr>
      <w:tr w:rsidR="00401B08" w:rsidRPr="004B5487" w14:paraId="16CE5D12"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0EB5552" w14:textId="77777777" w:rsidR="00401B08" w:rsidRPr="004B5487" w:rsidRDefault="00401B08" w:rsidP="00D11E39">
            <w:pPr>
              <w:adjustRightInd w:val="0"/>
              <w:spacing w:after="60"/>
              <w:rPr>
                <w:bCs/>
                <w:color w:val="000000"/>
                <w:szCs w:val="20"/>
              </w:rPr>
            </w:pPr>
            <w:r w:rsidRPr="0009327E">
              <w:rPr>
                <w:bCs/>
                <w:color w:val="000000"/>
                <w:szCs w:val="20"/>
              </w:rPr>
              <w:t xml:space="preserve">Personal factors – </w:t>
            </w:r>
            <w:r>
              <w:rPr>
                <w:bCs/>
                <w:color w:val="000000"/>
                <w:szCs w:val="20"/>
              </w:rPr>
              <w:t>N</w:t>
            </w:r>
            <w:r w:rsidRPr="0009327E">
              <w:rPr>
                <w:bCs/>
                <w:color w:val="000000"/>
                <w:szCs w:val="20"/>
              </w:rPr>
              <w:t xml:space="preserve">o impact </w:t>
            </w:r>
            <w:r>
              <w:rPr>
                <w:rFonts w:cstheme="minorHAnsi"/>
                <w:bCs/>
                <w:color w:val="000000"/>
                <w:szCs w:val="20"/>
              </w:rPr>
              <w:t>on employability</w:t>
            </w:r>
            <w:r w:rsidRPr="00ED6857">
              <w:rPr>
                <w:rFonts w:cstheme="minorHAnsi"/>
                <w:bCs/>
                <w:color w:val="000000"/>
                <w:szCs w:val="20"/>
              </w:rPr>
              <w:t xml:space="preserve"> </w:t>
            </w:r>
            <w:r w:rsidRPr="0009327E">
              <w:rPr>
                <w:bCs/>
                <w:color w:val="000000"/>
                <w:szCs w:val="20"/>
              </w:rPr>
              <w:t>/ Some impact</w:t>
            </w:r>
          </w:p>
        </w:tc>
        <w:tc>
          <w:tcPr>
            <w:tcW w:w="600" w:type="pct"/>
          </w:tcPr>
          <w:p w14:paraId="2F34E203" w14:textId="77777777" w:rsidR="00401B08"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1.239</w:t>
            </w:r>
            <w:r>
              <w:t>*</w:t>
            </w:r>
          </w:p>
        </w:tc>
        <w:tc>
          <w:tcPr>
            <w:tcW w:w="1125" w:type="pct"/>
          </w:tcPr>
          <w:p w14:paraId="1ACF61E9" w14:textId="77777777" w:rsidR="00401B08"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1.023</w:t>
            </w:r>
          </w:p>
        </w:tc>
        <w:tc>
          <w:tcPr>
            <w:tcW w:w="1100" w:type="pct"/>
          </w:tcPr>
          <w:p w14:paraId="20EBF2CD" w14:textId="77777777" w:rsidR="00401B08"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0F5C5B">
              <w:t>1.500</w:t>
            </w:r>
          </w:p>
        </w:tc>
      </w:tr>
      <w:tr w:rsidR="00401B08" w:rsidRPr="004B5487" w14:paraId="7D9CCF3A"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5D530AB" w14:textId="77777777" w:rsidR="00401B08" w:rsidRPr="004B5487" w:rsidRDefault="00401B08" w:rsidP="00D11E39">
            <w:pPr>
              <w:keepNext/>
              <w:adjustRightInd w:val="0"/>
              <w:spacing w:after="60"/>
              <w:rPr>
                <w:bCs/>
                <w:color w:val="000000"/>
                <w:szCs w:val="20"/>
              </w:rPr>
            </w:pPr>
            <w:r w:rsidRPr="004B5487">
              <w:rPr>
                <w:rFonts w:cstheme="minorHAnsi"/>
                <w:szCs w:val="20"/>
              </w:rPr>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600" w:type="pct"/>
          </w:tcPr>
          <w:p w14:paraId="5EB8BB47"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1.006</w:t>
            </w:r>
            <w:r>
              <w:t>*</w:t>
            </w:r>
          </w:p>
        </w:tc>
        <w:tc>
          <w:tcPr>
            <w:tcW w:w="1125" w:type="pct"/>
          </w:tcPr>
          <w:p w14:paraId="6FF5849B"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1.002</w:t>
            </w:r>
          </w:p>
        </w:tc>
        <w:tc>
          <w:tcPr>
            <w:tcW w:w="1100" w:type="pct"/>
          </w:tcPr>
          <w:p w14:paraId="38ED2B24"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0F5C5B">
              <w:t>1.010</w:t>
            </w:r>
          </w:p>
        </w:tc>
      </w:tr>
    </w:tbl>
    <w:p w14:paraId="0349FFC8" w14:textId="77777777" w:rsidR="00FF6E16" w:rsidRPr="00A80EA6" w:rsidRDefault="00FF6E16" w:rsidP="00FF6E16">
      <w:pPr>
        <w:pStyle w:val="SourceandNotes"/>
      </w:pPr>
      <w:r w:rsidRPr="00A80EA6">
        <w:t xml:space="preserve">Base: n (excluding missing) = </w:t>
      </w:r>
      <w:r>
        <w:t>16,278</w:t>
      </w:r>
    </w:p>
    <w:p w14:paraId="00310CBB" w14:textId="6C876591" w:rsidR="00F8391B" w:rsidRDefault="00FF6E16" w:rsidP="00FF6E16">
      <w:pPr>
        <w:pStyle w:val="SourceandNotes"/>
      </w:pPr>
      <w:bookmarkStart w:id="4139" w:name="_Hlk116392629"/>
      <w:r>
        <w:t xml:space="preserve">1. </w:t>
      </w:r>
      <w:bookmarkStart w:id="4140" w:name="_Hlk116392525"/>
      <w:r w:rsidRPr="00E46D8F">
        <w:t>*</w:t>
      </w:r>
      <w:r w:rsidR="00880FDC">
        <w:t>V</w:t>
      </w:r>
      <w:r w:rsidRPr="00E46D8F">
        <w:t>ariable</w:t>
      </w:r>
      <w:r>
        <w:t xml:space="preserve"> has statistically significant coefficient: </w:t>
      </w:r>
      <w:r w:rsidRPr="00E46D8F">
        <w:rPr>
          <w:i/>
        </w:rPr>
        <w:t xml:space="preserve">p </w:t>
      </w:r>
      <w:r w:rsidRPr="00E46D8F">
        <w:t>&lt; 0.05</w:t>
      </w:r>
      <w:bookmarkEnd w:id="4139"/>
      <w:bookmarkEnd w:id="4140"/>
    </w:p>
    <w:p w14:paraId="48E63E93" w14:textId="6CF81E6C" w:rsidR="00FF6E16" w:rsidRDefault="00FF6E16" w:rsidP="00FF6E16">
      <w:pPr>
        <w:pStyle w:val="SourceandNotes"/>
        <w:rPr>
          <w:rFonts w:eastAsia="Calibri" w:cs="Arial"/>
          <w:szCs w:val="18"/>
        </w:rPr>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7DDDE56F" w14:textId="36BBE44A" w:rsidR="00401B08" w:rsidRDefault="00FF6E16" w:rsidP="00FF6E16">
      <w:pPr>
        <w:pStyle w:val="Caption"/>
        <w:keepNext/>
      </w:pPr>
      <w:bookmarkStart w:id="4141" w:name="_Toc132647814"/>
      <w:bookmarkStart w:id="4142" w:name="_Toc145877328"/>
      <w:r>
        <w:t xml:space="preserve">Table </w:t>
      </w:r>
      <w:r>
        <w:fldChar w:fldCharType="begin"/>
      </w:r>
      <w:r>
        <w:instrText>SEQ Table \* ARABIC</w:instrText>
      </w:r>
      <w:r>
        <w:fldChar w:fldCharType="separate"/>
      </w:r>
      <w:r w:rsidR="00180E14">
        <w:rPr>
          <w:noProof/>
        </w:rPr>
        <w:t>39</w:t>
      </w:r>
      <w:r>
        <w:fldChar w:fldCharType="end"/>
      </w:r>
      <w:r>
        <w:t xml:space="preserve">: </w:t>
      </w:r>
      <w:r w:rsidRPr="00DB383C">
        <w:t xml:space="preserve">Logistic regression model – impact of TtW on probability of exiting income support </w:t>
      </w:r>
      <w:r w:rsidR="00D155A3">
        <w:t>one</w:t>
      </w:r>
      <w:r w:rsidRPr="00DB383C">
        <w:t xml:space="preserve"> to 12 months after commencement</w:t>
      </w:r>
      <w:bookmarkEnd w:id="4141"/>
      <w:bookmarkEnd w:id="4142"/>
    </w:p>
    <w:tbl>
      <w:tblPr>
        <w:tblStyle w:val="TtWReportTableTemplate2"/>
        <w:tblW w:w="5237" w:type="pct"/>
        <w:tblLayout w:type="fixed"/>
        <w:tblLook w:val="04A0" w:firstRow="1" w:lastRow="0" w:firstColumn="1" w:lastColumn="0" w:noHBand="0" w:noVBand="1"/>
      </w:tblPr>
      <w:tblGrid>
        <w:gridCol w:w="4113"/>
        <w:gridCol w:w="1134"/>
        <w:gridCol w:w="2127"/>
        <w:gridCol w:w="2080"/>
      </w:tblGrid>
      <w:tr w:rsidR="00401B08" w:rsidRPr="004B5487" w14:paraId="5125A899" w14:textId="77777777" w:rsidTr="00C239FD">
        <w:trPr>
          <w:cnfStyle w:val="100000000000" w:firstRow="1" w:lastRow="0" w:firstColumn="0" w:lastColumn="0" w:oddVBand="0" w:evenVBand="0" w:oddHBand="0" w:evenHBand="0" w:firstRowFirstColumn="0" w:firstRowLastColumn="0" w:lastRowFirstColumn="0" w:lastRowLastColumn="0"/>
          <w:trHeight w:val="534"/>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tcPr>
          <w:p w14:paraId="44B7C73D" w14:textId="77777777" w:rsidR="00401B08" w:rsidRPr="004B5487" w:rsidRDefault="00401B08" w:rsidP="00D11E39">
            <w:pPr>
              <w:keepNext/>
              <w:adjustRightInd w:val="0"/>
              <w:spacing w:after="60"/>
              <w:rPr>
                <w:bCs/>
                <w:szCs w:val="20"/>
              </w:rPr>
            </w:pPr>
            <w:bookmarkStart w:id="4143" w:name="_Hlk116392510"/>
            <w:r w:rsidRPr="004B5487">
              <w:rPr>
                <w:bCs/>
                <w:szCs w:val="20"/>
              </w:rPr>
              <w:t>Variable</w:t>
            </w:r>
          </w:p>
        </w:tc>
        <w:tc>
          <w:tcPr>
            <w:tcW w:w="0" w:type="pct"/>
            <w:shd w:val="clear" w:color="auto" w:fill="5D7A38"/>
          </w:tcPr>
          <w:p w14:paraId="596348FF" w14:textId="77777777" w:rsidR="00401B08" w:rsidRPr="004B5487" w:rsidRDefault="00401B08"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 xml:space="preserve">Odds </w:t>
            </w:r>
            <w:r>
              <w:rPr>
                <w:szCs w:val="20"/>
              </w:rPr>
              <w:t>r</w:t>
            </w:r>
            <w:r w:rsidRPr="004B5487">
              <w:rPr>
                <w:szCs w:val="20"/>
              </w:rPr>
              <w:t>atio</w:t>
            </w:r>
            <w:r>
              <w:rPr>
                <w:szCs w:val="20"/>
                <w:vertAlign w:val="superscript"/>
              </w:rPr>
              <w:t>1*</w:t>
            </w:r>
          </w:p>
        </w:tc>
        <w:tc>
          <w:tcPr>
            <w:tcW w:w="0" w:type="pct"/>
            <w:shd w:val="clear" w:color="auto" w:fill="5D7A38"/>
          </w:tcPr>
          <w:p w14:paraId="50F456AC" w14:textId="77777777" w:rsidR="00401B08" w:rsidRPr="004B5487" w:rsidRDefault="00401B08"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 w:val="0"/>
                <w:szCs w:val="20"/>
              </w:rPr>
            </w:pPr>
            <w:r w:rsidRPr="004B5487">
              <w:rPr>
                <w:szCs w:val="20"/>
              </w:rPr>
              <w:t>Lower 95% </w:t>
            </w:r>
            <w:r>
              <w:rPr>
                <w:szCs w:val="20"/>
              </w:rPr>
              <w:t>c</w:t>
            </w:r>
            <w:r w:rsidRPr="004B5487">
              <w:rPr>
                <w:szCs w:val="20"/>
              </w:rPr>
              <w:t>onfidence </w:t>
            </w:r>
            <w:r>
              <w:rPr>
                <w:szCs w:val="20"/>
              </w:rPr>
              <w:t>l</w:t>
            </w:r>
            <w:r w:rsidRPr="004B5487">
              <w:rPr>
                <w:szCs w:val="20"/>
              </w:rPr>
              <w:t>imit</w:t>
            </w:r>
          </w:p>
        </w:tc>
        <w:tc>
          <w:tcPr>
            <w:tcW w:w="0" w:type="pct"/>
            <w:shd w:val="clear" w:color="auto" w:fill="5D7A38"/>
          </w:tcPr>
          <w:p w14:paraId="48ADDDE0" w14:textId="77777777" w:rsidR="00401B08" w:rsidRPr="004B5487" w:rsidRDefault="00401B08"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Upper 95% </w:t>
            </w:r>
            <w:r>
              <w:rPr>
                <w:szCs w:val="20"/>
              </w:rPr>
              <w:t>c</w:t>
            </w:r>
            <w:r w:rsidRPr="004B5487">
              <w:rPr>
                <w:szCs w:val="20"/>
              </w:rPr>
              <w:t>onfidence </w:t>
            </w:r>
            <w:r>
              <w:rPr>
                <w:szCs w:val="20"/>
              </w:rPr>
              <w:t>l</w:t>
            </w:r>
            <w:r w:rsidRPr="004B5487">
              <w:rPr>
                <w:szCs w:val="20"/>
              </w:rPr>
              <w:t>imit</w:t>
            </w:r>
          </w:p>
        </w:tc>
      </w:tr>
      <w:bookmarkEnd w:id="4143"/>
      <w:tr w:rsidR="00401B08" w:rsidRPr="004B5487" w14:paraId="4C13AD6D"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CC1E7B3" w14:textId="6BBBB301" w:rsidR="00401B08" w:rsidRPr="004B5487" w:rsidRDefault="00401B08" w:rsidP="00D11E39">
            <w:pPr>
              <w:keepNext/>
              <w:adjustRightInd w:val="0"/>
              <w:spacing w:after="60"/>
              <w:rPr>
                <w:bCs/>
                <w:color w:val="000000"/>
                <w:szCs w:val="20"/>
              </w:rPr>
            </w:pPr>
            <w:r w:rsidRPr="004B5487">
              <w:rPr>
                <w:bCs/>
                <w:color w:val="000000"/>
                <w:szCs w:val="20"/>
              </w:rPr>
              <w:t xml:space="preserve">TtW / </w:t>
            </w:r>
            <w:r w:rsidR="00140024">
              <w:rPr>
                <w:bCs/>
                <w:color w:val="000000"/>
                <w:szCs w:val="20"/>
              </w:rPr>
              <w:t>jobactive</w:t>
            </w:r>
          </w:p>
        </w:tc>
        <w:tc>
          <w:tcPr>
            <w:tcW w:w="600" w:type="pct"/>
          </w:tcPr>
          <w:p w14:paraId="25E28A02"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0.811</w:t>
            </w:r>
            <w:r>
              <w:t>*</w:t>
            </w:r>
          </w:p>
        </w:tc>
        <w:tc>
          <w:tcPr>
            <w:tcW w:w="1125" w:type="pct"/>
          </w:tcPr>
          <w:p w14:paraId="7ED5293E"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0.752</w:t>
            </w:r>
          </w:p>
        </w:tc>
        <w:tc>
          <w:tcPr>
            <w:tcW w:w="1100" w:type="pct"/>
          </w:tcPr>
          <w:p w14:paraId="529C2A68"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0.875</w:t>
            </w:r>
          </w:p>
        </w:tc>
      </w:tr>
      <w:tr w:rsidR="00401B08" w:rsidRPr="004B5487" w14:paraId="04BB8672"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9F0F9AD" w14:textId="77777777" w:rsidR="00401B08" w:rsidRPr="004B5487" w:rsidRDefault="00401B08" w:rsidP="00D11E39">
            <w:pPr>
              <w:keepNext/>
              <w:adjustRightInd w:val="0"/>
              <w:spacing w:after="60"/>
              <w:rPr>
                <w:bCs/>
                <w:color w:val="000000"/>
                <w:szCs w:val="20"/>
              </w:rPr>
            </w:pPr>
            <w:r w:rsidRPr="004B5487">
              <w:rPr>
                <w:bCs/>
                <w:color w:val="000000"/>
                <w:szCs w:val="20"/>
              </w:rPr>
              <w:t>Female / Male</w:t>
            </w:r>
          </w:p>
        </w:tc>
        <w:tc>
          <w:tcPr>
            <w:tcW w:w="600" w:type="pct"/>
          </w:tcPr>
          <w:p w14:paraId="1CA73BD7"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0.564</w:t>
            </w:r>
            <w:r>
              <w:t>*</w:t>
            </w:r>
          </w:p>
        </w:tc>
        <w:tc>
          <w:tcPr>
            <w:tcW w:w="1125" w:type="pct"/>
          </w:tcPr>
          <w:p w14:paraId="56AF605A"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0.522</w:t>
            </w:r>
          </w:p>
        </w:tc>
        <w:tc>
          <w:tcPr>
            <w:tcW w:w="1100" w:type="pct"/>
          </w:tcPr>
          <w:p w14:paraId="21102DD8" w14:textId="77777777" w:rsidR="00401B08" w:rsidRPr="004B5487" w:rsidRDefault="00401B08"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0.609</w:t>
            </w:r>
          </w:p>
        </w:tc>
      </w:tr>
      <w:tr w:rsidR="00401B08" w:rsidRPr="004B5487" w14:paraId="4E7D99B5"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9218820" w14:textId="77777777" w:rsidR="00401B08" w:rsidRPr="004B5487" w:rsidRDefault="00401B08" w:rsidP="00D11E39">
            <w:pPr>
              <w:keepNext/>
              <w:adjustRightInd w:val="0"/>
              <w:spacing w:after="60"/>
              <w:rPr>
                <w:bCs/>
                <w:color w:val="000000"/>
                <w:szCs w:val="20"/>
              </w:rPr>
            </w:pPr>
            <w:r>
              <w:rPr>
                <w:bCs/>
                <w:color w:val="000000"/>
                <w:szCs w:val="20"/>
              </w:rPr>
              <w:t>Age (increased by 1 year)</w:t>
            </w:r>
          </w:p>
        </w:tc>
        <w:tc>
          <w:tcPr>
            <w:tcW w:w="600" w:type="pct"/>
          </w:tcPr>
          <w:p w14:paraId="066FFCC2" w14:textId="77777777" w:rsidR="00401B08"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1.134</w:t>
            </w:r>
            <w:r>
              <w:t>*</w:t>
            </w:r>
          </w:p>
        </w:tc>
        <w:tc>
          <w:tcPr>
            <w:tcW w:w="1125" w:type="pct"/>
          </w:tcPr>
          <w:p w14:paraId="11405CBF" w14:textId="77777777" w:rsidR="00401B08"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1.103</w:t>
            </w:r>
          </w:p>
        </w:tc>
        <w:tc>
          <w:tcPr>
            <w:tcW w:w="1100" w:type="pct"/>
          </w:tcPr>
          <w:p w14:paraId="6D32BCB0" w14:textId="77777777" w:rsidR="00401B08"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1.165</w:t>
            </w:r>
          </w:p>
        </w:tc>
      </w:tr>
      <w:tr w:rsidR="00401B08" w:rsidRPr="004B5487" w14:paraId="6AF34EB7"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37E92A4" w14:textId="77777777" w:rsidR="00401B08" w:rsidRPr="004B5487" w:rsidRDefault="00401B08" w:rsidP="00D11E39">
            <w:pPr>
              <w:keepNext/>
              <w:adjustRightInd w:val="0"/>
              <w:spacing w:after="60"/>
              <w:rPr>
                <w:bCs/>
                <w:color w:val="000000"/>
                <w:szCs w:val="20"/>
              </w:rPr>
            </w:pPr>
            <w:r w:rsidRPr="004B5487">
              <w:rPr>
                <w:bCs/>
                <w:color w:val="000000"/>
                <w:szCs w:val="20"/>
              </w:rPr>
              <w:t>Non-Indigenous / Indigenous</w:t>
            </w:r>
          </w:p>
        </w:tc>
        <w:tc>
          <w:tcPr>
            <w:tcW w:w="600" w:type="pct"/>
          </w:tcPr>
          <w:p w14:paraId="69CC67E8"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1.419</w:t>
            </w:r>
            <w:r>
              <w:t>*</w:t>
            </w:r>
          </w:p>
        </w:tc>
        <w:tc>
          <w:tcPr>
            <w:tcW w:w="1125" w:type="pct"/>
          </w:tcPr>
          <w:p w14:paraId="61BB1050"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1.287</w:t>
            </w:r>
          </w:p>
        </w:tc>
        <w:tc>
          <w:tcPr>
            <w:tcW w:w="1100" w:type="pct"/>
          </w:tcPr>
          <w:p w14:paraId="606DAF84"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1.565</w:t>
            </w:r>
          </w:p>
        </w:tc>
      </w:tr>
      <w:tr w:rsidR="00401B08" w:rsidRPr="004B5487" w14:paraId="42795691"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31FB4AD" w14:textId="77777777" w:rsidR="00401B08" w:rsidRPr="004B5487" w:rsidRDefault="00401B08" w:rsidP="00D11E39">
            <w:pPr>
              <w:adjustRightInd w:val="0"/>
              <w:spacing w:after="60"/>
              <w:rPr>
                <w:bCs/>
                <w:color w:val="000000"/>
                <w:szCs w:val="20"/>
              </w:rPr>
            </w:pPr>
            <w:r w:rsidRPr="004B5487">
              <w:rPr>
                <w:bCs/>
                <w:color w:val="000000"/>
                <w:szCs w:val="20"/>
              </w:rPr>
              <w:t>Year 12 completer / Non-Year 12 completer</w:t>
            </w:r>
          </w:p>
        </w:tc>
        <w:tc>
          <w:tcPr>
            <w:tcW w:w="600" w:type="pct"/>
          </w:tcPr>
          <w:p w14:paraId="4262FD6E"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1.441</w:t>
            </w:r>
            <w:r>
              <w:t>*</w:t>
            </w:r>
          </w:p>
        </w:tc>
        <w:tc>
          <w:tcPr>
            <w:tcW w:w="1125" w:type="pct"/>
          </w:tcPr>
          <w:p w14:paraId="6AA141B8"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1.332</w:t>
            </w:r>
          </w:p>
        </w:tc>
        <w:tc>
          <w:tcPr>
            <w:tcW w:w="1100" w:type="pct"/>
          </w:tcPr>
          <w:p w14:paraId="47632B1A"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1.560</w:t>
            </w:r>
          </w:p>
        </w:tc>
      </w:tr>
      <w:tr w:rsidR="00401B08" w:rsidRPr="004B5487" w14:paraId="066EEF3A"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3FAD583" w14:textId="77777777" w:rsidR="00401B08" w:rsidRPr="004B5487" w:rsidRDefault="00401B08" w:rsidP="00D11E39">
            <w:pPr>
              <w:adjustRightInd w:val="0"/>
              <w:spacing w:after="60"/>
              <w:rPr>
                <w:bCs/>
                <w:color w:val="000000"/>
                <w:szCs w:val="20"/>
              </w:rPr>
            </w:pPr>
            <w:r w:rsidRPr="004B5487">
              <w:rPr>
                <w:szCs w:val="20"/>
              </w:rPr>
              <w:t>No transport / Public transport</w:t>
            </w:r>
          </w:p>
        </w:tc>
        <w:tc>
          <w:tcPr>
            <w:tcW w:w="600" w:type="pct"/>
          </w:tcPr>
          <w:p w14:paraId="08DDDE75"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0.849</w:t>
            </w:r>
            <w:r>
              <w:t>*</w:t>
            </w:r>
          </w:p>
        </w:tc>
        <w:tc>
          <w:tcPr>
            <w:tcW w:w="1125" w:type="pct"/>
          </w:tcPr>
          <w:p w14:paraId="42ABD624"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0.715</w:t>
            </w:r>
          </w:p>
        </w:tc>
        <w:tc>
          <w:tcPr>
            <w:tcW w:w="1100" w:type="pct"/>
          </w:tcPr>
          <w:p w14:paraId="5543004A"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1.007</w:t>
            </w:r>
          </w:p>
        </w:tc>
      </w:tr>
      <w:tr w:rsidR="00401B08" w:rsidRPr="004B5487" w14:paraId="39997239"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8DC3D77" w14:textId="77777777" w:rsidR="00401B08" w:rsidRPr="004B5487" w:rsidRDefault="00401B08" w:rsidP="00D11E39">
            <w:pPr>
              <w:adjustRightInd w:val="0"/>
              <w:spacing w:after="60"/>
              <w:rPr>
                <w:bCs/>
                <w:color w:val="000000"/>
                <w:szCs w:val="20"/>
              </w:rPr>
            </w:pPr>
            <w:r w:rsidRPr="004B5487">
              <w:rPr>
                <w:szCs w:val="20"/>
              </w:rPr>
              <w:t>Private transport / Public transport</w:t>
            </w:r>
          </w:p>
        </w:tc>
        <w:tc>
          <w:tcPr>
            <w:tcW w:w="600" w:type="pct"/>
          </w:tcPr>
          <w:p w14:paraId="642EDD50"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1.410</w:t>
            </w:r>
            <w:r>
              <w:t>*</w:t>
            </w:r>
          </w:p>
        </w:tc>
        <w:tc>
          <w:tcPr>
            <w:tcW w:w="1125" w:type="pct"/>
          </w:tcPr>
          <w:p w14:paraId="74ED3328"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1.304</w:t>
            </w:r>
          </w:p>
        </w:tc>
        <w:tc>
          <w:tcPr>
            <w:tcW w:w="1100" w:type="pct"/>
          </w:tcPr>
          <w:p w14:paraId="4AD0715A"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1.526</w:t>
            </w:r>
          </w:p>
        </w:tc>
      </w:tr>
      <w:tr w:rsidR="00401B08" w:rsidRPr="004B5487" w14:paraId="33DEF08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EBFB718" w14:textId="77777777" w:rsidR="00401B08" w:rsidRPr="004B5487" w:rsidRDefault="00401B08" w:rsidP="00D11E39">
            <w:pPr>
              <w:adjustRightInd w:val="0"/>
              <w:spacing w:after="60"/>
              <w:rPr>
                <w:bCs/>
                <w:color w:val="000000"/>
                <w:szCs w:val="20"/>
              </w:rPr>
            </w:pPr>
            <w:r w:rsidRPr="004B5487">
              <w:rPr>
                <w:bCs/>
                <w:color w:val="000000"/>
                <w:szCs w:val="20"/>
              </w:rPr>
              <w:t>Stable residence / Unstable residence</w:t>
            </w:r>
          </w:p>
        </w:tc>
        <w:tc>
          <w:tcPr>
            <w:tcW w:w="600" w:type="pct"/>
          </w:tcPr>
          <w:p w14:paraId="2BDFEB03"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1.327</w:t>
            </w:r>
            <w:r>
              <w:t>*</w:t>
            </w:r>
          </w:p>
        </w:tc>
        <w:tc>
          <w:tcPr>
            <w:tcW w:w="1125" w:type="pct"/>
          </w:tcPr>
          <w:p w14:paraId="48479D05"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1.167</w:t>
            </w:r>
          </w:p>
        </w:tc>
        <w:tc>
          <w:tcPr>
            <w:tcW w:w="1100" w:type="pct"/>
          </w:tcPr>
          <w:p w14:paraId="7E5F94DD"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1.510</w:t>
            </w:r>
          </w:p>
        </w:tc>
      </w:tr>
      <w:tr w:rsidR="00401B08" w:rsidRPr="004B5487" w14:paraId="2EF1FCF9"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ABD2F0D" w14:textId="77777777" w:rsidR="00401B08" w:rsidRPr="004B5487" w:rsidRDefault="00401B08" w:rsidP="00D11E39">
            <w:pPr>
              <w:adjustRightInd w:val="0"/>
              <w:spacing w:after="60"/>
              <w:rPr>
                <w:bCs/>
                <w:color w:val="000000"/>
                <w:szCs w:val="20"/>
              </w:rPr>
            </w:pPr>
            <w:r w:rsidRPr="004B5487">
              <w:rPr>
                <w:szCs w:val="20"/>
              </w:rPr>
              <w:lastRenderedPageBreak/>
              <w:t xml:space="preserve">History of paid </w:t>
            </w:r>
            <w:r>
              <w:rPr>
                <w:szCs w:val="20"/>
              </w:rPr>
              <w:t xml:space="preserve">or unpaid </w:t>
            </w:r>
            <w:r w:rsidRPr="004B5487">
              <w:rPr>
                <w:szCs w:val="20"/>
              </w:rPr>
              <w:t>work / Was not working</w:t>
            </w:r>
          </w:p>
        </w:tc>
        <w:tc>
          <w:tcPr>
            <w:tcW w:w="600" w:type="pct"/>
          </w:tcPr>
          <w:p w14:paraId="16C2C351"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1.668</w:t>
            </w:r>
            <w:r>
              <w:t>*</w:t>
            </w:r>
          </w:p>
        </w:tc>
        <w:tc>
          <w:tcPr>
            <w:tcW w:w="1125" w:type="pct"/>
          </w:tcPr>
          <w:p w14:paraId="48CBB9BD"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1.524</w:t>
            </w:r>
          </w:p>
        </w:tc>
        <w:tc>
          <w:tcPr>
            <w:tcW w:w="1100" w:type="pct"/>
          </w:tcPr>
          <w:p w14:paraId="4AA17428"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A51A5">
              <w:t>1.825</w:t>
            </w:r>
          </w:p>
        </w:tc>
      </w:tr>
      <w:tr w:rsidR="00401B08" w:rsidRPr="004B5487" w14:paraId="737C7434"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4829927" w14:textId="77777777" w:rsidR="00401B08" w:rsidRPr="004B5487" w:rsidRDefault="00401B08" w:rsidP="00D11E39">
            <w:pPr>
              <w:adjustRightInd w:val="0"/>
              <w:spacing w:after="60"/>
              <w:rPr>
                <w:bCs/>
                <w:color w:val="000000"/>
                <w:szCs w:val="20"/>
              </w:rPr>
            </w:pPr>
            <w:r w:rsidRPr="004B5487">
              <w:rPr>
                <w:rFonts w:cstheme="minorHAnsi"/>
                <w:szCs w:val="20"/>
              </w:rPr>
              <w:t>More than 12 months on income support / Less than 12 months on income support</w:t>
            </w:r>
            <w:r>
              <w:rPr>
                <w:rFonts w:cstheme="minorHAnsi"/>
                <w:szCs w:val="20"/>
              </w:rPr>
              <w:t> </w:t>
            </w:r>
          </w:p>
        </w:tc>
        <w:tc>
          <w:tcPr>
            <w:tcW w:w="600" w:type="pct"/>
          </w:tcPr>
          <w:p w14:paraId="713A2596"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0.795</w:t>
            </w:r>
            <w:r>
              <w:t>*</w:t>
            </w:r>
          </w:p>
        </w:tc>
        <w:tc>
          <w:tcPr>
            <w:tcW w:w="1125" w:type="pct"/>
          </w:tcPr>
          <w:p w14:paraId="5EC0E314"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0.701</w:t>
            </w:r>
          </w:p>
        </w:tc>
        <w:tc>
          <w:tcPr>
            <w:tcW w:w="1100" w:type="pct"/>
          </w:tcPr>
          <w:p w14:paraId="28D44C36"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A51A5">
              <w:t>0.900</w:t>
            </w:r>
          </w:p>
        </w:tc>
      </w:tr>
      <w:tr w:rsidR="00401B08" w:rsidRPr="004B5487" w14:paraId="4EC1130D"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882DEC3" w14:textId="1ACF2660" w:rsidR="00401B08" w:rsidRPr="004B5487" w:rsidRDefault="00401B08" w:rsidP="00D11E39">
            <w:pPr>
              <w:adjustRightInd w:val="0"/>
              <w:spacing w:after="60"/>
              <w:rPr>
                <w:rFonts w:cstheme="minorHAnsi"/>
                <w:szCs w:val="20"/>
              </w:rPr>
            </w:pPr>
            <w:r w:rsidRPr="009D37DA">
              <w:t>Ex</w:t>
            </w:r>
            <w:r>
              <w:t>-</w:t>
            </w:r>
            <w:r w:rsidR="00D155A3">
              <w:t>o</w:t>
            </w:r>
            <w:r w:rsidRPr="009D37DA">
              <w:t>ffender</w:t>
            </w:r>
            <w:r>
              <w:t xml:space="preserve"> / N</w:t>
            </w:r>
            <w:r w:rsidRPr="009D37DA">
              <w:t>one</w:t>
            </w:r>
          </w:p>
        </w:tc>
        <w:tc>
          <w:tcPr>
            <w:tcW w:w="600" w:type="pct"/>
          </w:tcPr>
          <w:p w14:paraId="1FA899A9" w14:textId="77777777" w:rsidR="00401B08" w:rsidRPr="00FA51A5"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2A5392">
              <w:t>0.777</w:t>
            </w:r>
            <w:r>
              <w:t>*</w:t>
            </w:r>
          </w:p>
        </w:tc>
        <w:tc>
          <w:tcPr>
            <w:tcW w:w="1125" w:type="pct"/>
          </w:tcPr>
          <w:p w14:paraId="221BB26D" w14:textId="77777777" w:rsidR="00401B08" w:rsidRPr="00FA51A5"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2A5392">
              <w:t>0.673</w:t>
            </w:r>
          </w:p>
        </w:tc>
        <w:tc>
          <w:tcPr>
            <w:tcW w:w="1100" w:type="pct"/>
          </w:tcPr>
          <w:p w14:paraId="1B98C4C2" w14:textId="77777777" w:rsidR="00401B08" w:rsidRPr="00FA51A5"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2A5392">
              <w:t>0.897</w:t>
            </w:r>
          </w:p>
        </w:tc>
      </w:tr>
      <w:tr w:rsidR="00401B08" w:rsidRPr="004B5487" w14:paraId="133C198E"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004CBFD" w14:textId="77777777" w:rsidR="00401B08" w:rsidRPr="004B5487" w:rsidRDefault="00401B08" w:rsidP="00D11E39">
            <w:pPr>
              <w:adjustRightInd w:val="0"/>
              <w:spacing w:after="60"/>
              <w:rPr>
                <w:bCs/>
                <w:color w:val="000000"/>
                <w:szCs w:val="20"/>
              </w:rPr>
            </w:pPr>
            <w:r w:rsidRPr="004B5487">
              <w:rPr>
                <w:bCs/>
                <w:color w:val="000000"/>
                <w:szCs w:val="20"/>
              </w:rPr>
              <w:t>Disability / No disability</w:t>
            </w:r>
          </w:p>
        </w:tc>
        <w:tc>
          <w:tcPr>
            <w:tcW w:w="600" w:type="pct"/>
          </w:tcPr>
          <w:p w14:paraId="331282D3"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E5107D">
              <w:t>0.733</w:t>
            </w:r>
            <w:r>
              <w:t>*</w:t>
            </w:r>
          </w:p>
        </w:tc>
        <w:tc>
          <w:tcPr>
            <w:tcW w:w="1125" w:type="pct"/>
          </w:tcPr>
          <w:p w14:paraId="6831B14A"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E5107D">
              <w:t>0.620</w:t>
            </w:r>
          </w:p>
        </w:tc>
        <w:tc>
          <w:tcPr>
            <w:tcW w:w="1100" w:type="pct"/>
          </w:tcPr>
          <w:p w14:paraId="556B5F83" w14:textId="77777777" w:rsidR="00401B08" w:rsidRPr="004B5487"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E5107D">
              <w:t>0.868</w:t>
            </w:r>
          </w:p>
        </w:tc>
      </w:tr>
      <w:tr w:rsidR="00401B08" w:rsidRPr="004B5487" w14:paraId="781DE4F8"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3AD24D2" w14:textId="17FFF1D7" w:rsidR="00401B08" w:rsidRPr="004B5487" w:rsidRDefault="00401B08" w:rsidP="00D11E39">
            <w:pPr>
              <w:adjustRightInd w:val="0"/>
              <w:spacing w:after="60"/>
              <w:rPr>
                <w:bCs/>
                <w:color w:val="000000"/>
                <w:szCs w:val="20"/>
              </w:rPr>
            </w:pPr>
            <w:r w:rsidRPr="004B5487">
              <w:rPr>
                <w:bCs/>
                <w:color w:val="000000"/>
                <w:szCs w:val="20"/>
              </w:rPr>
              <w:t xml:space="preserve">Good English skills / Poor or </w:t>
            </w:r>
            <w:r w:rsidR="00D155A3">
              <w:rPr>
                <w:bCs/>
                <w:color w:val="000000"/>
                <w:szCs w:val="20"/>
              </w:rPr>
              <w:t>c</w:t>
            </w:r>
            <w:r w:rsidRPr="004B5487">
              <w:rPr>
                <w:bCs/>
                <w:color w:val="000000"/>
                <w:szCs w:val="20"/>
              </w:rPr>
              <w:t>ombination of good and poor</w:t>
            </w:r>
          </w:p>
        </w:tc>
        <w:tc>
          <w:tcPr>
            <w:tcW w:w="600" w:type="pct"/>
          </w:tcPr>
          <w:p w14:paraId="246A43AA"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675F61">
              <w:t>1.508</w:t>
            </w:r>
            <w:r>
              <w:t>*</w:t>
            </w:r>
          </w:p>
        </w:tc>
        <w:tc>
          <w:tcPr>
            <w:tcW w:w="1125" w:type="pct"/>
          </w:tcPr>
          <w:p w14:paraId="1BB28D27"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675F61">
              <w:t>1.286</w:t>
            </w:r>
          </w:p>
        </w:tc>
        <w:tc>
          <w:tcPr>
            <w:tcW w:w="1100" w:type="pct"/>
          </w:tcPr>
          <w:p w14:paraId="2BDDD415" w14:textId="77777777" w:rsidR="00401B08" w:rsidRPr="004B5487" w:rsidRDefault="00401B08"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675F61">
              <w:t>1.768</w:t>
            </w:r>
          </w:p>
        </w:tc>
      </w:tr>
      <w:tr w:rsidR="00401B08" w:rsidRPr="004B5487" w14:paraId="57F93C61"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DE5F8E7" w14:textId="77777777" w:rsidR="00401B08" w:rsidRPr="004B5487" w:rsidRDefault="00401B08" w:rsidP="00D11E39">
            <w:pPr>
              <w:adjustRightInd w:val="0"/>
              <w:spacing w:after="60"/>
              <w:rPr>
                <w:bCs/>
                <w:color w:val="000000"/>
                <w:szCs w:val="20"/>
              </w:rPr>
            </w:pPr>
            <w:r w:rsidRPr="00ED6857">
              <w:rPr>
                <w:rFonts w:cstheme="minorHAnsi"/>
                <w:bCs/>
                <w:color w:val="000000"/>
                <w:szCs w:val="20"/>
              </w:rPr>
              <w:t xml:space="preserve">Personal factors – No impact </w:t>
            </w:r>
            <w:r>
              <w:rPr>
                <w:rFonts w:cstheme="minorHAnsi"/>
                <w:bCs/>
                <w:color w:val="000000"/>
                <w:szCs w:val="20"/>
              </w:rPr>
              <w:t>on employability</w:t>
            </w:r>
            <w:r w:rsidRPr="00ED6857">
              <w:rPr>
                <w:rFonts w:cstheme="minorHAnsi"/>
                <w:bCs/>
                <w:color w:val="000000"/>
                <w:szCs w:val="20"/>
              </w:rPr>
              <w:t xml:space="preserve"> / Some impact</w:t>
            </w:r>
          </w:p>
        </w:tc>
        <w:tc>
          <w:tcPr>
            <w:tcW w:w="600" w:type="pct"/>
          </w:tcPr>
          <w:p w14:paraId="6A8A84AA" w14:textId="77777777" w:rsidR="00401B08"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204E2B">
              <w:t>1.338</w:t>
            </w:r>
            <w:r>
              <w:t>*</w:t>
            </w:r>
          </w:p>
        </w:tc>
        <w:tc>
          <w:tcPr>
            <w:tcW w:w="1125" w:type="pct"/>
          </w:tcPr>
          <w:p w14:paraId="5F106A49" w14:textId="77777777" w:rsidR="00401B08"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204E2B">
              <w:t>1.146</w:t>
            </w:r>
          </w:p>
        </w:tc>
        <w:tc>
          <w:tcPr>
            <w:tcW w:w="1100" w:type="pct"/>
          </w:tcPr>
          <w:p w14:paraId="13CA6E61" w14:textId="77777777" w:rsidR="00401B08" w:rsidRDefault="00401B08"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204E2B">
              <w:t>1.563</w:t>
            </w:r>
          </w:p>
        </w:tc>
      </w:tr>
      <w:tr w:rsidR="00401B08" w:rsidRPr="004B5487" w14:paraId="3B38035B"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F8E3779" w14:textId="77777777" w:rsidR="00401B08" w:rsidRPr="004B5487" w:rsidRDefault="00401B08" w:rsidP="00D11E39">
            <w:pPr>
              <w:keepNext/>
              <w:adjustRightInd w:val="0"/>
              <w:spacing w:after="60"/>
              <w:rPr>
                <w:bCs/>
                <w:color w:val="000000"/>
                <w:szCs w:val="20"/>
              </w:rPr>
            </w:pPr>
            <w:r w:rsidRPr="004B5487">
              <w:rPr>
                <w:rFonts w:cstheme="minorHAnsi"/>
                <w:szCs w:val="20"/>
              </w:rPr>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600" w:type="pct"/>
          </w:tcPr>
          <w:p w14:paraId="5DF2D574"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204E2B">
              <w:t>1.008</w:t>
            </w:r>
            <w:r>
              <w:t>*</w:t>
            </w:r>
          </w:p>
        </w:tc>
        <w:tc>
          <w:tcPr>
            <w:tcW w:w="1125" w:type="pct"/>
          </w:tcPr>
          <w:p w14:paraId="47F39B55"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204E2B">
              <w:t>1.005</w:t>
            </w:r>
          </w:p>
        </w:tc>
        <w:tc>
          <w:tcPr>
            <w:tcW w:w="1100" w:type="pct"/>
          </w:tcPr>
          <w:p w14:paraId="679ADDB3" w14:textId="77777777" w:rsidR="00401B08" w:rsidRPr="004B5487" w:rsidRDefault="00401B08"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204E2B">
              <w:t>1.012</w:t>
            </w:r>
          </w:p>
        </w:tc>
      </w:tr>
    </w:tbl>
    <w:p w14:paraId="0B89D32E" w14:textId="77777777" w:rsidR="00FF6E16" w:rsidRPr="00A80EA6" w:rsidRDefault="00FF6E16" w:rsidP="00FF6E16">
      <w:pPr>
        <w:pStyle w:val="SourceandNotes"/>
      </w:pPr>
      <w:r w:rsidRPr="00A80EA6">
        <w:t xml:space="preserve">Base: n (excluding missing) = </w:t>
      </w:r>
      <w:r>
        <w:t>16,278</w:t>
      </w:r>
    </w:p>
    <w:p w14:paraId="5947B65E" w14:textId="43FDBDDB" w:rsidR="00F8391B" w:rsidRDefault="00FF6E16" w:rsidP="00FF6E16">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41773466" w14:textId="786965DA" w:rsidR="00FF6E16" w:rsidRPr="0092218F" w:rsidRDefault="00FF6E16" w:rsidP="00FF6E16">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7DD56A96" w14:textId="5F79D19C" w:rsidR="00425905" w:rsidRDefault="00FF6E16" w:rsidP="00FF6E16">
      <w:pPr>
        <w:pStyle w:val="Caption"/>
        <w:keepNext/>
      </w:pPr>
      <w:bookmarkStart w:id="4144" w:name="_Toc132647815"/>
      <w:bookmarkStart w:id="4145" w:name="_Toc145877329"/>
      <w:r>
        <w:t xml:space="preserve">Table </w:t>
      </w:r>
      <w:r>
        <w:fldChar w:fldCharType="begin"/>
      </w:r>
      <w:r>
        <w:instrText>SEQ Table \* ARABIC</w:instrText>
      </w:r>
      <w:r>
        <w:fldChar w:fldCharType="separate"/>
      </w:r>
      <w:r w:rsidR="00180E14">
        <w:rPr>
          <w:noProof/>
        </w:rPr>
        <w:t>40</w:t>
      </w:r>
      <w:r>
        <w:fldChar w:fldCharType="end"/>
      </w:r>
      <w:r>
        <w:t xml:space="preserve">: </w:t>
      </w:r>
      <w:r w:rsidRPr="00530670">
        <w:t xml:space="preserve">Logistic regression model – impact of TtW on probability of exiting income support </w:t>
      </w:r>
      <w:r w:rsidR="00425905">
        <w:t>at</w:t>
      </w:r>
      <w:r w:rsidRPr="00530670">
        <w:t xml:space="preserve"> 24</w:t>
      </w:r>
      <w:r w:rsidR="00D155A3">
        <w:t> </w:t>
      </w:r>
      <w:r w:rsidRPr="00530670">
        <w:t>months after commencement</w:t>
      </w:r>
      <w:bookmarkEnd w:id="4144"/>
      <w:bookmarkEnd w:id="4145"/>
    </w:p>
    <w:tbl>
      <w:tblPr>
        <w:tblStyle w:val="TtWReportTableTemplate2"/>
        <w:tblW w:w="5237" w:type="pct"/>
        <w:tblLayout w:type="fixed"/>
        <w:tblLook w:val="04A0" w:firstRow="1" w:lastRow="0" w:firstColumn="1" w:lastColumn="0" w:noHBand="0" w:noVBand="1"/>
      </w:tblPr>
      <w:tblGrid>
        <w:gridCol w:w="4113"/>
        <w:gridCol w:w="1134"/>
        <w:gridCol w:w="2127"/>
        <w:gridCol w:w="2080"/>
      </w:tblGrid>
      <w:tr w:rsidR="00425905" w:rsidRPr="004B5487" w14:paraId="51E9EB52" w14:textId="77777777" w:rsidTr="00C239FD">
        <w:trPr>
          <w:cnfStyle w:val="100000000000" w:firstRow="1" w:lastRow="0" w:firstColumn="0" w:lastColumn="0" w:oddVBand="0" w:evenVBand="0" w:oddHBand="0" w:evenHBand="0" w:firstRowFirstColumn="0" w:firstRowLastColumn="0" w:lastRowFirstColumn="0" w:lastRowLastColumn="0"/>
          <w:trHeight w:val="534"/>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tcPr>
          <w:p w14:paraId="7F670469" w14:textId="77777777" w:rsidR="00425905" w:rsidRPr="004B5487" w:rsidRDefault="00425905" w:rsidP="00D11E39">
            <w:pPr>
              <w:keepNext/>
              <w:adjustRightInd w:val="0"/>
              <w:spacing w:after="60"/>
              <w:rPr>
                <w:bCs/>
                <w:szCs w:val="20"/>
              </w:rPr>
            </w:pPr>
            <w:r w:rsidRPr="004B5487">
              <w:rPr>
                <w:bCs/>
                <w:szCs w:val="20"/>
              </w:rPr>
              <w:t>Variable</w:t>
            </w:r>
          </w:p>
        </w:tc>
        <w:tc>
          <w:tcPr>
            <w:tcW w:w="0" w:type="pct"/>
            <w:shd w:val="clear" w:color="auto" w:fill="5D7A38"/>
          </w:tcPr>
          <w:p w14:paraId="2E211D2B"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 xml:space="preserve">Odds </w:t>
            </w:r>
            <w:r>
              <w:rPr>
                <w:szCs w:val="20"/>
              </w:rPr>
              <w:t>r</w:t>
            </w:r>
            <w:r w:rsidRPr="004B5487">
              <w:rPr>
                <w:szCs w:val="20"/>
              </w:rPr>
              <w:t>atio</w:t>
            </w:r>
            <w:r>
              <w:rPr>
                <w:szCs w:val="20"/>
                <w:vertAlign w:val="superscript"/>
              </w:rPr>
              <w:t>1*</w:t>
            </w:r>
          </w:p>
        </w:tc>
        <w:tc>
          <w:tcPr>
            <w:tcW w:w="0" w:type="pct"/>
            <w:shd w:val="clear" w:color="auto" w:fill="5D7A38"/>
          </w:tcPr>
          <w:p w14:paraId="4768B930"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 w:val="0"/>
                <w:szCs w:val="20"/>
              </w:rPr>
            </w:pPr>
            <w:r w:rsidRPr="004B5487">
              <w:rPr>
                <w:szCs w:val="20"/>
              </w:rPr>
              <w:t>Lower 95% </w:t>
            </w:r>
            <w:r>
              <w:rPr>
                <w:szCs w:val="20"/>
              </w:rPr>
              <w:t>c</w:t>
            </w:r>
            <w:r w:rsidRPr="004B5487">
              <w:rPr>
                <w:szCs w:val="20"/>
              </w:rPr>
              <w:t>onfidence </w:t>
            </w:r>
            <w:r>
              <w:rPr>
                <w:szCs w:val="20"/>
              </w:rPr>
              <w:t>l</w:t>
            </w:r>
            <w:r w:rsidRPr="004B5487">
              <w:rPr>
                <w:szCs w:val="20"/>
              </w:rPr>
              <w:t>imit</w:t>
            </w:r>
          </w:p>
        </w:tc>
        <w:tc>
          <w:tcPr>
            <w:tcW w:w="0" w:type="pct"/>
            <w:shd w:val="clear" w:color="auto" w:fill="5D7A38"/>
          </w:tcPr>
          <w:p w14:paraId="1795339E"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Upper 95% </w:t>
            </w:r>
            <w:r>
              <w:rPr>
                <w:szCs w:val="20"/>
              </w:rPr>
              <w:t>c</w:t>
            </w:r>
            <w:r w:rsidRPr="004B5487">
              <w:rPr>
                <w:szCs w:val="20"/>
              </w:rPr>
              <w:t>onfidence </w:t>
            </w:r>
            <w:r>
              <w:rPr>
                <w:szCs w:val="20"/>
              </w:rPr>
              <w:t>l</w:t>
            </w:r>
            <w:r w:rsidRPr="004B5487">
              <w:rPr>
                <w:szCs w:val="20"/>
              </w:rPr>
              <w:t>imit</w:t>
            </w:r>
          </w:p>
        </w:tc>
      </w:tr>
      <w:tr w:rsidR="00425905" w:rsidRPr="004B5487" w14:paraId="75D02513"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5F5881A" w14:textId="324F726F" w:rsidR="00425905" w:rsidRPr="004B5487" w:rsidRDefault="00425905" w:rsidP="00D11E39">
            <w:pPr>
              <w:keepNext/>
              <w:adjustRightInd w:val="0"/>
              <w:spacing w:after="60"/>
              <w:rPr>
                <w:bCs/>
                <w:color w:val="000000"/>
                <w:szCs w:val="20"/>
              </w:rPr>
            </w:pPr>
            <w:r w:rsidRPr="004B5487">
              <w:rPr>
                <w:bCs/>
                <w:color w:val="000000"/>
                <w:szCs w:val="20"/>
              </w:rPr>
              <w:t xml:space="preserve">TtW / </w:t>
            </w:r>
            <w:r w:rsidR="00140024">
              <w:rPr>
                <w:bCs/>
                <w:color w:val="000000"/>
                <w:szCs w:val="20"/>
              </w:rPr>
              <w:t>jobactive</w:t>
            </w:r>
          </w:p>
        </w:tc>
        <w:tc>
          <w:tcPr>
            <w:tcW w:w="600" w:type="pct"/>
          </w:tcPr>
          <w:p w14:paraId="077302B9"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0.924</w:t>
            </w:r>
            <w:r>
              <w:t>*</w:t>
            </w:r>
          </w:p>
        </w:tc>
        <w:tc>
          <w:tcPr>
            <w:tcW w:w="1125" w:type="pct"/>
          </w:tcPr>
          <w:p w14:paraId="623C2C4D"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0.863</w:t>
            </w:r>
          </w:p>
        </w:tc>
        <w:tc>
          <w:tcPr>
            <w:tcW w:w="1100" w:type="pct"/>
          </w:tcPr>
          <w:p w14:paraId="397C6F8C"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0.991</w:t>
            </w:r>
          </w:p>
        </w:tc>
      </w:tr>
      <w:tr w:rsidR="00425905" w:rsidRPr="004B5487" w14:paraId="58335445"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D2B343A" w14:textId="77777777" w:rsidR="00425905" w:rsidRPr="004B5487" w:rsidRDefault="00425905" w:rsidP="00D11E39">
            <w:pPr>
              <w:keepNext/>
              <w:adjustRightInd w:val="0"/>
              <w:spacing w:after="60"/>
              <w:rPr>
                <w:bCs/>
                <w:color w:val="000000"/>
                <w:szCs w:val="20"/>
              </w:rPr>
            </w:pPr>
            <w:r w:rsidRPr="004B5487">
              <w:rPr>
                <w:bCs/>
                <w:color w:val="000000"/>
                <w:szCs w:val="20"/>
              </w:rPr>
              <w:t>Female / Male</w:t>
            </w:r>
          </w:p>
        </w:tc>
        <w:tc>
          <w:tcPr>
            <w:tcW w:w="600" w:type="pct"/>
          </w:tcPr>
          <w:p w14:paraId="0D7F6552" w14:textId="77777777" w:rsidR="00425905" w:rsidRPr="004B5487"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0.580</w:t>
            </w:r>
            <w:r>
              <w:t>*</w:t>
            </w:r>
          </w:p>
        </w:tc>
        <w:tc>
          <w:tcPr>
            <w:tcW w:w="1125" w:type="pct"/>
          </w:tcPr>
          <w:p w14:paraId="6B5EC2DE" w14:textId="77777777" w:rsidR="00425905" w:rsidRPr="004B5487"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0.541</w:t>
            </w:r>
          </w:p>
        </w:tc>
        <w:tc>
          <w:tcPr>
            <w:tcW w:w="1100" w:type="pct"/>
          </w:tcPr>
          <w:p w14:paraId="2D66B4D0" w14:textId="77777777" w:rsidR="00425905" w:rsidRPr="004B5487"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0.622</w:t>
            </w:r>
          </w:p>
        </w:tc>
      </w:tr>
      <w:tr w:rsidR="00425905" w:rsidRPr="004B5487" w14:paraId="50B879BE"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434CA8F" w14:textId="77777777" w:rsidR="00425905" w:rsidRPr="004B5487" w:rsidRDefault="00425905" w:rsidP="00D11E39">
            <w:pPr>
              <w:keepNext/>
              <w:adjustRightInd w:val="0"/>
              <w:spacing w:after="60"/>
              <w:rPr>
                <w:bCs/>
                <w:color w:val="000000"/>
                <w:szCs w:val="20"/>
              </w:rPr>
            </w:pPr>
            <w:r>
              <w:rPr>
                <w:bCs/>
                <w:color w:val="000000"/>
                <w:szCs w:val="20"/>
              </w:rPr>
              <w:t>Age (increased by 1 year)</w:t>
            </w:r>
          </w:p>
        </w:tc>
        <w:tc>
          <w:tcPr>
            <w:tcW w:w="600" w:type="pct"/>
          </w:tcPr>
          <w:p w14:paraId="384BB494" w14:textId="77777777" w:rsidR="00425905"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1.108</w:t>
            </w:r>
            <w:r>
              <w:t>*</w:t>
            </w:r>
          </w:p>
        </w:tc>
        <w:tc>
          <w:tcPr>
            <w:tcW w:w="1125" w:type="pct"/>
          </w:tcPr>
          <w:p w14:paraId="4B5B696E" w14:textId="77777777" w:rsidR="00425905"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1.081</w:t>
            </w:r>
          </w:p>
        </w:tc>
        <w:tc>
          <w:tcPr>
            <w:tcW w:w="1100" w:type="pct"/>
          </w:tcPr>
          <w:p w14:paraId="0CE88EBC" w14:textId="77777777" w:rsidR="00425905"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1.136</w:t>
            </w:r>
          </w:p>
        </w:tc>
      </w:tr>
      <w:tr w:rsidR="00425905" w:rsidRPr="004B5487" w14:paraId="5E611F38"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502357BF" w14:textId="77777777" w:rsidR="00425905" w:rsidRPr="004B5487" w:rsidRDefault="00425905" w:rsidP="00D11E39">
            <w:pPr>
              <w:keepNext/>
              <w:adjustRightInd w:val="0"/>
              <w:spacing w:after="60"/>
              <w:rPr>
                <w:bCs/>
                <w:color w:val="000000"/>
                <w:szCs w:val="20"/>
              </w:rPr>
            </w:pPr>
            <w:r w:rsidRPr="004B5487">
              <w:rPr>
                <w:bCs/>
                <w:color w:val="000000"/>
                <w:szCs w:val="20"/>
              </w:rPr>
              <w:t>Non-Indigenous / Indigenous</w:t>
            </w:r>
          </w:p>
        </w:tc>
        <w:tc>
          <w:tcPr>
            <w:tcW w:w="600" w:type="pct"/>
          </w:tcPr>
          <w:p w14:paraId="76EA1F89"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1.611</w:t>
            </w:r>
            <w:r>
              <w:t>*</w:t>
            </w:r>
          </w:p>
        </w:tc>
        <w:tc>
          <w:tcPr>
            <w:tcW w:w="1125" w:type="pct"/>
          </w:tcPr>
          <w:p w14:paraId="0EC8D338"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1.476</w:t>
            </w:r>
          </w:p>
        </w:tc>
        <w:tc>
          <w:tcPr>
            <w:tcW w:w="1100" w:type="pct"/>
          </w:tcPr>
          <w:p w14:paraId="495BB5FA"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1.758</w:t>
            </w:r>
          </w:p>
        </w:tc>
      </w:tr>
      <w:tr w:rsidR="00425905" w:rsidRPr="004B5487" w14:paraId="205CB888"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EF79AA8" w14:textId="77777777" w:rsidR="00425905" w:rsidRPr="004B5487" w:rsidRDefault="00425905" w:rsidP="00D11E39">
            <w:pPr>
              <w:adjustRightInd w:val="0"/>
              <w:spacing w:after="60"/>
              <w:rPr>
                <w:bCs/>
                <w:color w:val="000000"/>
                <w:szCs w:val="20"/>
              </w:rPr>
            </w:pPr>
            <w:r w:rsidRPr="004B5487">
              <w:rPr>
                <w:bCs/>
                <w:color w:val="000000"/>
                <w:szCs w:val="20"/>
              </w:rPr>
              <w:t>Year 12 completer / Non-Year 12 completer</w:t>
            </w:r>
          </w:p>
        </w:tc>
        <w:tc>
          <w:tcPr>
            <w:tcW w:w="600" w:type="pct"/>
          </w:tcPr>
          <w:p w14:paraId="0BF50DC7"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1.480</w:t>
            </w:r>
            <w:r>
              <w:t>*</w:t>
            </w:r>
          </w:p>
        </w:tc>
        <w:tc>
          <w:tcPr>
            <w:tcW w:w="1125" w:type="pct"/>
          </w:tcPr>
          <w:p w14:paraId="531E509A"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1.376</w:t>
            </w:r>
          </w:p>
        </w:tc>
        <w:tc>
          <w:tcPr>
            <w:tcW w:w="1100" w:type="pct"/>
          </w:tcPr>
          <w:p w14:paraId="4D06FE75"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1.592</w:t>
            </w:r>
          </w:p>
        </w:tc>
      </w:tr>
      <w:tr w:rsidR="00425905" w:rsidRPr="004B5487" w14:paraId="38DCE244"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01FEDB5" w14:textId="77777777" w:rsidR="00425905" w:rsidRPr="004B5487" w:rsidRDefault="00425905" w:rsidP="00D11E39">
            <w:pPr>
              <w:adjustRightInd w:val="0"/>
              <w:spacing w:after="60"/>
              <w:rPr>
                <w:bCs/>
                <w:color w:val="000000"/>
                <w:szCs w:val="20"/>
              </w:rPr>
            </w:pPr>
            <w:r w:rsidRPr="004B5487">
              <w:rPr>
                <w:szCs w:val="20"/>
              </w:rPr>
              <w:t>No transport / Public transport</w:t>
            </w:r>
          </w:p>
        </w:tc>
        <w:tc>
          <w:tcPr>
            <w:tcW w:w="600" w:type="pct"/>
          </w:tcPr>
          <w:p w14:paraId="03EF0A5B"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0.908</w:t>
            </w:r>
          </w:p>
        </w:tc>
        <w:tc>
          <w:tcPr>
            <w:tcW w:w="1125" w:type="pct"/>
          </w:tcPr>
          <w:p w14:paraId="046CF11F"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0.784</w:t>
            </w:r>
          </w:p>
        </w:tc>
        <w:tc>
          <w:tcPr>
            <w:tcW w:w="1100" w:type="pct"/>
          </w:tcPr>
          <w:p w14:paraId="626ADE3E"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1.051</w:t>
            </w:r>
          </w:p>
        </w:tc>
      </w:tr>
      <w:tr w:rsidR="00425905" w:rsidRPr="004B5487" w14:paraId="0602F843"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CE11A35" w14:textId="77777777" w:rsidR="00425905" w:rsidRPr="004B5487" w:rsidRDefault="00425905" w:rsidP="00D11E39">
            <w:pPr>
              <w:adjustRightInd w:val="0"/>
              <w:spacing w:after="60"/>
              <w:rPr>
                <w:bCs/>
                <w:color w:val="000000"/>
                <w:szCs w:val="20"/>
              </w:rPr>
            </w:pPr>
            <w:r w:rsidRPr="004B5487">
              <w:rPr>
                <w:szCs w:val="20"/>
              </w:rPr>
              <w:t>Private transport / Public transport</w:t>
            </w:r>
          </w:p>
        </w:tc>
        <w:tc>
          <w:tcPr>
            <w:tcW w:w="600" w:type="pct"/>
          </w:tcPr>
          <w:p w14:paraId="32B70C04"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1.343</w:t>
            </w:r>
            <w:r>
              <w:t>*</w:t>
            </w:r>
          </w:p>
        </w:tc>
        <w:tc>
          <w:tcPr>
            <w:tcW w:w="1125" w:type="pct"/>
          </w:tcPr>
          <w:p w14:paraId="3354C81A"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1.249</w:t>
            </w:r>
          </w:p>
        </w:tc>
        <w:tc>
          <w:tcPr>
            <w:tcW w:w="1100" w:type="pct"/>
          </w:tcPr>
          <w:p w14:paraId="568D4E55"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1.444</w:t>
            </w:r>
          </w:p>
        </w:tc>
      </w:tr>
      <w:tr w:rsidR="00425905" w:rsidRPr="004B5487" w14:paraId="3E7C7B04"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3AFACC9A" w14:textId="77777777" w:rsidR="00425905" w:rsidRPr="004B5487" w:rsidRDefault="00425905" w:rsidP="00D11E39">
            <w:pPr>
              <w:adjustRightInd w:val="0"/>
              <w:spacing w:after="60"/>
              <w:rPr>
                <w:bCs/>
                <w:color w:val="000000"/>
                <w:szCs w:val="20"/>
              </w:rPr>
            </w:pPr>
            <w:r w:rsidRPr="004B5487">
              <w:rPr>
                <w:bCs/>
                <w:color w:val="000000"/>
                <w:szCs w:val="20"/>
              </w:rPr>
              <w:t>Stable residence / Unstable residence</w:t>
            </w:r>
          </w:p>
        </w:tc>
        <w:tc>
          <w:tcPr>
            <w:tcW w:w="600" w:type="pct"/>
          </w:tcPr>
          <w:p w14:paraId="4287F481"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1.324</w:t>
            </w:r>
            <w:r>
              <w:t>*</w:t>
            </w:r>
          </w:p>
        </w:tc>
        <w:tc>
          <w:tcPr>
            <w:tcW w:w="1125" w:type="pct"/>
          </w:tcPr>
          <w:p w14:paraId="74BBDA6B"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1.183</w:t>
            </w:r>
          </w:p>
        </w:tc>
        <w:tc>
          <w:tcPr>
            <w:tcW w:w="1100" w:type="pct"/>
          </w:tcPr>
          <w:p w14:paraId="65B727BD"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1.482</w:t>
            </w:r>
          </w:p>
        </w:tc>
      </w:tr>
      <w:tr w:rsidR="00425905" w:rsidRPr="004B5487" w14:paraId="0D12D83C"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8881DDF" w14:textId="77777777" w:rsidR="00425905" w:rsidRPr="004B5487" w:rsidRDefault="00425905" w:rsidP="00D11E39">
            <w:pPr>
              <w:adjustRightInd w:val="0"/>
              <w:spacing w:after="60"/>
              <w:rPr>
                <w:bCs/>
                <w:color w:val="000000"/>
                <w:szCs w:val="20"/>
              </w:rPr>
            </w:pPr>
            <w:r w:rsidRPr="004B5487">
              <w:rPr>
                <w:szCs w:val="20"/>
              </w:rPr>
              <w:t xml:space="preserve">History of paid </w:t>
            </w:r>
            <w:r>
              <w:rPr>
                <w:szCs w:val="20"/>
              </w:rPr>
              <w:t xml:space="preserve">or unpaid </w:t>
            </w:r>
            <w:r w:rsidRPr="004B5487">
              <w:rPr>
                <w:szCs w:val="20"/>
              </w:rPr>
              <w:t>work / Was not working</w:t>
            </w:r>
          </w:p>
        </w:tc>
        <w:tc>
          <w:tcPr>
            <w:tcW w:w="600" w:type="pct"/>
          </w:tcPr>
          <w:p w14:paraId="28EED08D"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1.529</w:t>
            </w:r>
            <w:r>
              <w:t>*</w:t>
            </w:r>
          </w:p>
        </w:tc>
        <w:tc>
          <w:tcPr>
            <w:tcW w:w="1125" w:type="pct"/>
          </w:tcPr>
          <w:p w14:paraId="6CC37136"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1.404</w:t>
            </w:r>
          </w:p>
        </w:tc>
        <w:tc>
          <w:tcPr>
            <w:tcW w:w="1100" w:type="pct"/>
          </w:tcPr>
          <w:p w14:paraId="20DB031B"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1.666</w:t>
            </w:r>
          </w:p>
        </w:tc>
      </w:tr>
      <w:tr w:rsidR="00425905" w:rsidRPr="004B5487" w14:paraId="562AD528"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6FE3CD5" w14:textId="77777777" w:rsidR="00425905" w:rsidRPr="004B5487" w:rsidRDefault="00425905" w:rsidP="00D11E39">
            <w:pPr>
              <w:adjustRightInd w:val="0"/>
              <w:spacing w:after="60"/>
              <w:rPr>
                <w:bCs/>
                <w:color w:val="000000"/>
                <w:szCs w:val="20"/>
              </w:rPr>
            </w:pPr>
            <w:r w:rsidRPr="004B5487">
              <w:rPr>
                <w:rFonts w:cstheme="minorHAnsi"/>
                <w:szCs w:val="20"/>
              </w:rPr>
              <w:t>More than 12 months on income support / Less than 12 months on income support</w:t>
            </w:r>
            <w:r>
              <w:rPr>
                <w:rFonts w:cstheme="minorHAnsi"/>
                <w:szCs w:val="20"/>
              </w:rPr>
              <w:t> </w:t>
            </w:r>
          </w:p>
        </w:tc>
        <w:tc>
          <w:tcPr>
            <w:tcW w:w="600" w:type="pct"/>
          </w:tcPr>
          <w:p w14:paraId="0270725A"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0.886</w:t>
            </w:r>
            <w:r>
              <w:t>*</w:t>
            </w:r>
          </w:p>
        </w:tc>
        <w:tc>
          <w:tcPr>
            <w:tcW w:w="1125" w:type="pct"/>
          </w:tcPr>
          <w:p w14:paraId="2EDF984D"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0.793</w:t>
            </w:r>
          </w:p>
        </w:tc>
        <w:tc>
          <w:tcPr>
            <w:tcW w:w="1100" w:type="pct"/>
          </w:tcPr>
          <w:p w14:paraId="52E27EE4"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0.991</w:t>
            </w:r>
          </w:p>
        </w:tc>
      </w:tr>
      <w:tr w:rsidR="00425905" w:rsidRPr="004B5487" w14:paraId="52F5C037"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44041B0" w14:textId="21B7D755" w:rsidR="00425905" w:rsidRPr="004B5487" w:rsidRDefault="00140024" w:rsidP="00D11E39">
            <w:pPr>
              <w:adjustRightInd w:val="0"/>
              <w:spacing w:after="60"/>
              <w:rPr>
                <w:rFonts w:cstheme="minorHAnsi"/>
                <w:szCs w:val="20"/>
              </w:rPr>
            </w:pPr>
            <w:r>
              <w:t>Ex-o</w:t>
            </w:r>
            <w:r w:rsidR="00425905" w:rsidRPr="009D37DA">
              <w:t>ffender</w:t>
            </w:r>
            <w:r w:rsidR="00425905">
              <w:t xml:space="preserve"> / N</w:t>
            </w:r>
            <w:r w:rsidR="00425905" w:rsidRPr="009D37DA">
              <w:t>one</w:t>
            </w:r>
          </w:p>
        </w:tc>
        <w:tc>
          <w:tcPr>
            <w:tcW w:w="600" w:type="pct"/>
          </w:tcPr>
          <w:p w14:paraId="7024D4D3" w14:textId="77777777" w:rsidR="00425905" w:rsidRPr="00FA51A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F8457D">
              <w:t>0.726</w:t>
            </w:r>
            <w:r>
              <w:t>*</w:t>
            </w:r>
          </w:p>
        </w:tc>
        <w:tc>
          <w:tcPr>
            <w:tcW w:w="1125" w:type="pct"/>
          </w:tcPr>
          <w:p w14:paraId="5005A554" w14:textId="77777777" w:rsidR="00425905" w:rsidRPr="00FA51A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F8457D">
              <w:t>0.637</w:t>
            </w:r>
          </w:p>
        </w:tc>
        <w:tc>
          <w:tcPr>
            <w:tcW w:w="1100" w:type="pct"/>
          </w:tcPr>
          <w:p w14:paraId="03A458F7" w14:textId="77777777" w:rsidR="00425905" w:rsidRPr="00FA51A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F8457D">
              <w:t>0.826</w:t>
            </w:r>
          </w:p>
        </w:tc>
      </w:tr>
      <w:tr w:rsidR="00425905" w:rsidRPr="004B5487" w14:paraId="552D68D5"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38DBD892" w14:textId="77777777" w:rsidR="00425905" w:rsidRPr="004B5487" w:rsidRDefault="00425905" w:rsidP="00D11E39">
            <w:pPr>
              <w:adjustRightInd w:val="0"/>
              <w:spacing w:after="60"/>
              <w:rPr>
                <w:bCs/>
                <w:color w:val="000000"/>
                <w:szCs w:val="20"/>
              </w:rPr>
            </w:pPr>
            <w:r w:rsidRPr="004B5487">
              <w:rPr>
                <w:bCs/>
                <w:color w:val="000000"/>
                <w:szCs w:val="20"/>
              </w:rPr>
              <w:t>Disability / No disability</w:t>
            </w:r>
          </w:p>
        </w:tc>
        <w:tc>
          <w:tcPr>
            <w:tcW w:w="600" w:type="pct"/>
          </w:tcPr>
          <w:p w14:paraId="651023AA"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0.589</w:t>
            </w:r>
            <w:r>
              <w:t>*</w:t>
            </w:r>
          </w:p>
        </w:tc>
        <w:tc>
          <w:tcPr>
            <w:tcW w:w="1125" w:type="pct"/>
          </w:tcPr>
          <w:p w14:paraId="37352DAA"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0.506</w:t>
            </w:r>
          </w:p>
        </w:tc>
        <w:tc>
          <w:tcPr>
            <w:tcW w:w="1100" w:type="pct"/>
          </w:tcPr>
          <w:p w14:paraId="0E25A4BC"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0.686</w:t>
            </w:r>
          </w:p>
        </w:tc>
      </w:tr>
      <w:tr w:rsidR="00425905" w:rsidRPr="004B5487" w14:paraId="45B762F8"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A1B977C" w14:textId="24CCA522" w:rsidR="00425905" w:rsidRPr="004B5487" w:rsidRDefault="00425905" w:rsidP="00D11E39">
            <w:pPr>
              <w:adjustRightInd w:val="0"/>
              <w:spacing w:after="60"/>
              <w:rPr>
                <w:bCs/>
                <w:color w:val="000000"/>
                <w:szCs w:val="20"/>
              </w:rPr>
            </w:pPr>
            <w:r w:rsidRPr="004B5487">
              <w:rPr>
                <w:bCs/>
                <w:color w:val="000000"/>
                <w:szCs w:val="20"/>
              </w:rPr>
              <w:t xml:space="preserve">Good English skills / Poor </w:t>
            </w:r>
            <w:r w:rsidR="00140024">
              <w:rPr>
                <w:bCs/>
                <w:color w:val="000000"/>
                <w:szCs w:val="20"/>
              </w:rPr>
              <w:t>or combination</w:t>
            </w:r>
            <w:r w:rsidRPr="004B5487">
              <w:rPr>
                <w:bCs/>
                <w:color w:val="000000"/>
                <w:szCs w:val="20"/>
              </w:rPr>
              <w:t xml:space="preserve"> of good and poor</w:t>
            </w:r>
          </w:p>
        </w:tc>
        <w:tc>
          <w:tcPr>
            <w:tcW w:w="600" w:type="pct"/>
          </w:tcPr>
          <w:p w14:paraId="1F8F3D4D"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1.495</w:t>
            </w:r>
            <w:r>
              <w:t>*</w:t>
            </w:r>
          </w:p>
        </w:tc>
        <w:tc>
          <w:tcPr>
            <w:tcW w:w="1125" w:type="pct"/>
          </w:tcPr>
          <w:p w14:paraId="552F70DD"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1.302</w:t>
            </w:r>
          </w:p>
        </w:tc>
        <w:tc>
          <w:tcPr>
            <w:tcW w:w="1100" w:type="pct"/>
          </w:tcPr>
          <w:p w14:paraId="1809A97A"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1.717</w:t>
            </w:r>
          </w:p>
        </w:tc>
      </w:tr>
      <w:tr w:rsidR="00425905" w:rsidRPr="004B5487" w14:paraId="5D73F626"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75CA008" w14:textId="77777777" w:rsidR="00425905" w:rsidRPr="004B5487" w:rsidRDefault="00425905" w:rsidP="00D11E39">
            <w:pPr>
              <w:adjustRightInd w:val="0"/>
              <w:spacing w:after="60"/>
              <w:rPr>
                <w:bCs/>
                <w:color w:val="000000"/>
                <w:szCs w:val="20"/>
              </w:rPr>
            </w:pPr>
            <w:r w:rsidRPr="00ED6857">
              <w:rPr>
                <w:rFonts w:cstheme="minorHAnsi"/>
                <w:bCs/>
                <w:color w:val="000000"/>
                <w:szCs w:val="20"/>
              </w:rPr>
              <w:t xml:space="preserve">Personal factors – No impact </w:t>
            </w:r>
            <w:r>
              <w:rPr>
                <w:rFonts w:cstheme="minorHAnsi"/>
                <w:bCs/>
                <w:color w:val="000000"/>
                <w:szCs w:val="20"/>
              </w:rPr>
              <w:t>on employability</w:t>
            </w:r>
            <w:r w:rsidRPr="00ED6857">
              <w:rPr>
                <w:rFonts w:cstheme="minorHAnsi"/>
                <w:bCs/>
                <w:color w:val="000000"/>
                <w:szCs w:val="20"/>
              </w:rPr>
              <w:t xml:space="preserve"> / Some impact</w:t>
            </w:r>
          </w:p>
        </w:tc>
        <w:tc>
          <w:tcPr>
            <w:tcW w:w="600" w:type="pct"/>
          </w:tcPr>
          <w:p w14:paraId="277427E0" w14:textId="77777777" w:rsidR="0042590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1.237</w:t>
            </w:r>
            <w:r>
              <w:t>*</w:t>
            </w:r>
          </w:p>
        </w:tc>
        <w:tc>
          <w:tcPr>
            <w:tcW w:w="1125" w:type="pct"/>
          </w:tcPr>
          <w:p w14:paraId="2E2A9577" w14:textId="77777777" w:rsidR="0042590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1.082</w:t>
            </w:r>
          </w:p>
        </w:tc>
        <w:tc>
          <w:tcPr>
            <w:tcW w:w="1100" w:type="pct"/>
          </w:tcPr>
          <w:p w14:paraId="32B4CEF2" w14:textId="77777777" w:rsidR="0042590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F8457D">
              <w:t>1.415</w:t>
            </w:r>
          </w:p>
        </w:tc>
      </w:tr>
      <w:tr w:rsidR="00425905" w:rsidRPr="004B5487" w14:paraId="43ACB7B0"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4B700A6" w14:textId="77777777" w:rsidR="00425905" w:rsidRPr="004B5487" w:rsidRDefault="00425905" w:rsidP="00D11E39">
            <w:pPr>
              <w:keepNext/>
              <w:adjustRightInd w:val="0"/>
              <w:spacing w:after="60"/>
              <w:rPr>
                <w:bCs/>
                <w:color w:val="000000"/>
                <w:szCs w:val="20"/>
              </w:rPr>
            </w:pPr>
            <w:r w:rsidRPr="004B5487">
              <w:rPr>
                <w:rFonts w:cstheme="minorHAnsi"/>
                <w:szCs w:val="20"/>
              </w:rPr>
              <w:lastRenderedPageBreak/>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600" w:type="pct"/>
          </w:tcPr>
          <w:p w14:paraId="3BA0A8E9"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1.007</w:t>
            </w:r>
            <w:r>
              <w:t>*</w:t>
            </w:r>
          </w:p>
        </w:tc>
        <w:tc>
          <w:tcPr>
            <w:tcW w:w="1125" w:type="pct"/>
          </w:tcPr>
          <w:p w14:paraId="1D7CCCDC"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1.004</w:t>
            </w:r>
          </w:p>
        </w:tc>
        <w:tc>
          <w:tcPr>
            <w:tcW w:w="1100" w:type="pct"/>
          </w:tcPr>
          <w:p w14:paraId="57CBE212"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F8457D">
              <w:t>1.010</w:t>
            </w:r>
          </w:p>
        </w:tc>
      </w:tr>
    </w:tbl>
    <w:p w14:paraId="3948031C" w14:textId="77777777" w:rsidR="00FF6E16" w:rsidRPr="00A80EA6" w:rsidRDefault="00FF6E16" w:rsidP="00FF6E16">
      <w:pPr>
        <w:pStyle w:val="SourceandNotes"/>
      </w:pPr>
      <w:r w:rsidRPr="00A80EA6">
        <w:t xml:space="preserve">Base: n (excluding missing) = </w:t>
      </w:r>
      <w:r>
        <w:t>16,278</w:t>
      </w:r>
    </w:p>
    <w:p w14:paraId="1F503846" w14:textId="59E7C73E" w:rsidR="00F8391B" w:rsidRDefault="00FF6E16" w:rsidP="00FF6E16">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1AAC136E" w14:textId="2BD370B6" w:rsidR="00FF6E16" w:rsidRPr="006333E9" w:rsidRDefault="00FF6E16" w:rsidP="00FF6E16">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52EE0413" w14:textId="3ABB62FF" w:rsidR="00425905" w:rsidRDefault="00FF6E16" w:rsidP="00FF6E16">
      <w:pPr>
        <w:pStyle w:val="Caption"/>
        <w:keepNext/>
      </w:pPr>
      <w:bookmarkStart w:id="4146" w:name="_Toc132647816"/>
      <w:bookmarkStart w:id="4147" w:name="_Toc145877330"/>
      <w:bookmarkStart w:id="4148" w:name="_Hlk116379840"/>
      <w:r>
        <w:t xml:space="preserve">Table </w:t>
      </w:r>
      <w:r>
        <w:fldChar w:fldCharType="begin"/>
      </w:r>
      <w:r>
        <w:instrText>SEQ Table \* ARABIC</w:instrText>
      </w:r>
      <w:r>
        <w:fldChar w:fldCharType="separate"/>
      </w:r>
      <w:r w:rsidR="00180E14">
        <w:rPr>
          <w:noProof/>
        </w:rPr>
        <w:t>41</w:t>
      </w:r>
      <w:r>
        <w:fldChar w:fldCharType="end"/>
      </w:r>
      <w:r>
        <w:t xml:space="preserve">: </w:t>
      </w:r>
      <w:r w:rsidRPr="001C5DC7">
        <w:t xml:space="preserve">Logistic regression model – impact of TtW on probability of exiting income support </w:t>
      </w:r>
      <w:r w:rsidR="00425905">
        <w:t>at</w:t>
      </w:r>
      <w:r w:rsidRPr="001C5DC7">
        <w:t xml:space="preserve"> 36</w:t>
      </w:r>
      <w:r w:rsidR="00140024">
        <w:t> </w:t>
      </w:r>
      <w:r w:rsidRPr="001C5DC7">
        <w:t>months after commencement</w:t>
      </w:r>
      <w:bookmarkEnd w:id="4146"/>
      <w:bookmarkEnd w:id="4147"/>
    </w:p>
    <w:tbl>
      <w:tblPr>
        <w:tblStyle w:val="TtWReportTableTemplate2"/>
        <w:tblW w:w="5237" w:type="pct"/>
        <w:tblLayout w:type="fixed"/>
        <w:tblLook w:val="04A0" w:firstRow="1" w:lastRow="0" w:firstColumn="1" w:lastColumn="0" w:noHBand="0" w:noVBand="1"/>
      </w:tblPr>
      <w:tblGrid>
        <w:gridCol w:w="4113"/>
        <w:gridCol w:w="1134"/>
        <w:gridCol w:w="2127"/>
        <w:gridCol w:w="2080"/>
      </w:tblGrid>
      <w:tr w:rsidR="00425905" w:rsidRPr="004B5487" w14:paraId="7A618BAD" w14:textId="77777777" w:rsidTr="00674AEB">
        <w:trPr>
          <w:cnfStyle w:val="100000000000" w:firstRow="1" w:lastRow="0" w:firstColumn="0" w:lastColumn="0" w:oddVBand="0" w:evenVBand="0" w:oddHBand="0" w:evenHBand="0" w:firstRowFirstColumn="0" w:firstRowLastColumn="0" w:lastRowFirstColumn="0" w:lastRowLastColumn="0"/>
          <w:trHeight w:val="534"/>
          <w:tblHeader/>
        </w:trPr>
        <w:tc>
          <w:tcPr>
            <w:cnfStyle w:val="001000000000" w:firstRow="0" w:lastRow="0" w:firstColumn="1" w:lastColumn="0" w:oddVBand="0" w:evenVBand="0" w:oddHBand="0" w:evenHBand="0" w:firstRowFirstColumn="0" w:firstRowLastColumn="0" w:lastRowFirstColumn="0" w:lastRowLastColumn="0"/>
            <w:tcW w:w="2175" w:type="pct"/>
            <w:shd w:val="clear" w:color="auto" w:fill="5D7A38"/>
          </w:tcPr>
          <w:p w14:paraId="101F3E46" w14:textId="77777777" w:rsidR="00425905" w:rsidRPr="004B5487" w:rsidRDefault="00425905" w:rsidP="00D11E39">
            <w:pPr>
              <w:keepNext/>
              <w:adjustRightInd w:val="0"/>
              <w:spacing w:after="60"/>
              <w:rPr>
                <w:bCs/>
                <w:szCs w:val="20"/>
              </w:rPr>
            </w:pPr>
            <w:r w:rsidRPr="004B5487">
              <w:rPr>
                <w:bCs/>
                <w:szCs w:val="20"/>
              </w:rPr>
              <w:t>Variable</w:t>
            </w:r>
          </w:p>
        </w:tc>
        <w:tc>
          <w:tcPr>
            <w:tcW w:w="600" w:type="pct"/>
            <w:shd w:val="clear" w:color="auto" w:fill="5D7A38"/>
          </w:tcPr>
          <w:p w14:paraId="19A4B017"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 xml:space="preserve">Odds </w:t>
            </w:r>
            <w:r>
              <w:rPr>
                <w:szCs w:val="20"/>
              </w:rPr>
              <w:t>r</w:t>
            </w:r>
            <w:r w:rsidRPr="004B5487">
              <w:rPr>
                <w:szCs w:val="20"/>
              </w:rPr>
              <w:t>atio</w:t>
            </w:r>
            <w:r>
              <w:rPr>
                <w:szCs w:val="20"/>
                <w:vertAlign w:val="superscript"/>
              </w:rPr>
              <w:t>1*</w:t>
            </w:r>
          </w:p>
        </w:tc>
        <w:tc>
          <w:tcPr>
            <w:tcW w:w="1125" w:type="pct"/>
            <w:shd w:val="clear" w:color="auto" w:fill="5D7A38"/>
          </w:tcPr>
          <w:p w14:paraId="5E041FB8"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 w:val="0"/>
                <w:szCs w:val="20"/>
              </w:rPr>
            </w:pPr>
            <w:r w:rsidRPr="004B5487">
              <w:rPr>
                <w:szCs w:val="20"/>
              </w:rPr>
              <w:t>Lower 95% </w:t>
            </w:r>
            <w:r>
              <w:rPr>
                <w:szCs w:val="20"/>
              </w:rPr>
              <w:t>c</w:t>
            </w:r>
            <w:r w:rsidRPr="004B5487">
              <w:rPr>
                <w:szCs w:val="20"/>
              </w:rPr>
              <w:t>onfidence </w:t>
            </w:r>
            <w:r>
              <w:rPr>
                <w:szCs w:val="20"/>
              </w:rPr>
              <w:t>l</w:t>
            </w:r>
            <w:r w:rsidRPr="004B5487">
              <w:rPr>
                <w:szCs w:val="20"/>
              </w:rPr>
              <w:t>imit</w:t>
            </w:r>
          </w:p>
        </w:tc>
        <w:tc>
          <w:tcPr>
            <w:tcW w:w="1100" w:type="pct"/>
            <w:shd w:val="clear" w:color="auto" w:fill="5D7A38"/>
          </w:tcPr>
          <w:p w14:paraId="5F41CCFA"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Upper 95% </w:t>
            </w:r>
            <w:r>
              <w:rPr>
                <w:szCs w:val="20"/>
              </w:rPr>
              <w:t>c</w:t>
            </w:r>
            <w:r w:rsidRPr="004B5487">
              <w:rPr>
                <w:szCs w:val="20"/>
              </w:rPr>
              <w:t>onfidence </w:t>
            </w:r>
            <w:r>
              <w:rPr>
                <w:szCs w:val="20"/>
              </w:rPr>
              <w:t>l</w:t>
            </w:r>
            <w:r w:rsidRPr="004B5487">
              <w:rPr>
                <w:szCs w:val="20"/>
              </w:rPr>
              <w:t>imit</w:t>
            </w:r>
          </w:p>
        </w:tc>
      </w:tr>
      <w:tr w:rsidR="00425905" w:rsidRPr="004B5487" w14:paraId="0E97DCBB"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B386B87" w14:textId="77777777" w:rsidR="00425905" w:rsidRPr="004B5487" w:rsidRDefault="00425905" w:rsidP="00D11E39">
            <w:pPr>
              <w:keepNext/>
              <w:adjustRightInd w:val="0"/>
              <w:spacing w:after="60"/>
              <w:rPr>
                <w:bCs/>
                <w:color w:val="000000"/>
                <w:szCs w:val="20"/>
              </w:rPr>
            </w:pPr>
            <w:r w:rsidRPr="004B5487">
              <w:rPr>
                <w:bCs/>
                <w:color w:val="000000"/>
                <w:szCs w:val="20"/>
              </w:rPr>
              <w:t>Female / Male</w:t>
            </w:r>
          </w:p>
        </w:tc>
        <w:tc>
          <w:tcPr>
            <w:tcW w:w="600" w:type="pct"/>
          </w:tcPr>
          <w:p w14:paraId="0E81E14E"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0.591</w:t>
            </w:r>
            <w:r>
              <w:t>*</w:t>
            </w:r>
          </w:p>
        </w:tc>
        <w:tc>
          <w:tcPr>
            <w:tcW w:w="1125" w:type="pct"/>
          </w:tcPr>
          <w:p w14:paraId="27AD16D9"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0.552</w:t>
            </w:r>
          </w:p>
        </w:tc>
        <w:tc>
          <w:tcPr>
            <w:tcW w:w="1100" w:type="pct"/>
          </w:tcPr>
          <w:p w14:paraId="36524E70"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0.632</w:t>
            </w:r>
          </w:p>
        </w:tc>
      </w:tr>
      <w:tr w:rsidR="00425905" w:rsidRPr="004B5487" w14:paraId="1DAC0B7B"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72FBB4B1" w14:textId="77777777" w:rsidR="00425905" w:rsidRPr="004B5487" w:rsidRDefault="00425905" w:rsidP="00D11E39">
            <w:pPr>
              <w:keepNext/>
              <w:adjustRightInd w:val="0"/>
              <w:spacing w:after="60"/>
              <w:rPr>
                <w:bCs/>
                <w:color w:val="000000"/>
                <w:szCs w:val="20"/>
              </w:rPr>
            </w:pPr>
            <w:r>
              <w:rPr>
                <w:bCs/>
                <w:color w:val="000000"/>
                <w:szCs w:val="20"/>
              </w:rPr>
              <w:t>Age (increased by 1 year)</w:t>
            </w:r>
          </w:p>
        </w:tc>
        <w:tc>
          <w:tcPr>
            <w:tcW w:w="600" w:type="pct"/>
          </w:tcPr>
          <w:p w14:paraId="3D4FE46F" w14:textId="77777777" w:rsidR="00425905"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1.081</w:t>
            </w:r>
            <w:r>
              <w:t>*</w:t>
            </w:r>
          </w:p>
        </w:tc>
        <w:tc>
          <w:tcPr>
            <w:tcW w:w="1125" w:type="pct"/>
          </w:tcPr>
          <w:p w14:paraId="3CFB5329" w14:textId="77777777" w:rsidR="00425905"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1.055</w:t>
            </w:r>
          </w:p>
        </w:tc>
        <w:tc>
          <w:tcPr>
            <w:tcW w:w="1100" w:type="pct"/>
          </w:tcPr>
          <w:p w14:paraId="10B227C3" w14:textId="77777777" w:rsidR="00425905"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1.108</w:t>
            </w:r>
          </w:p>
        </w:tc>
      </w:tr>
      <w:tr w:rsidR="00425905" w:rsidRPr="004B5487" w14:paraId="600425AA"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C412487" w14:textId="77777777" w:rsidR="00425905" w:rsidRPr="004B5487" w:rsidRDefault="00425905" w:rsidP="00D11E39">
            <w:pPr>
              <w:keepNext/>
              <w:adjustRightInd w:val="0"/>
              <w:spacing w:after="60"/>
              <w:rPr>
                <w:bCs/>
                <w:color w:val="000000"/>
                <w:szCs w:val="20"/>
              </w:rPr>
            </w:pPr>
            <w:r w:rsidRPr="004B5487">
              <w:rPr>
                <w:bCs/>
                <w:color w:val="000000"/>
                <w:szCs w:val="20"/>
              </w:rPr>
              <w:t>Non-Indigenous / Indigenous</w:t>
            </w:r>
          </w:p>
        </w:tc>
        <w:tc>
          <w:tcPr>
            <w:tcW w:w="600" w:type="pct"/>
          </w:tcPr>
          <w:p w14:paraId="1A234DC0"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1.657</w:t>
            </w:r>
            <w:r>
              <w:t>*</w:t>
            </w:r>
          </w:p>
        </w:tc>
        <w:tc>
          <w:tcPr>
            <w:tcW w:w="1125" w:type="pct"/>
          </w:tcPr>
          <w:p w14:paraId="576A7838"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1.523</w:t>
            </w:r>
          </w:p>
        </w:tc>
        <w:tc>
          <w:tcPr>
            <w:tcW w:w="1100" w:type="pct"/>
          </w:tcPr>
          <w:p w14:paraId="2A92E266"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1.804</w:t>
            </w:r>
          </w:p>
        </w:tc>
      </w:tr>
      <w:tr w:rsidR="00425905" w:rsidRPr="004B5487" w14:paraId="3AD17C16"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A25D6F5" w14:textId="77777777" w:rsidR="00425905" w:rsidRPr="004B5487" w:rsidRDefault="00425905" w:rsidP="00D11E39">
            <w:pPr>
              <w:adjustRightInd w:val="0"/>
              <w:spacing w:after="60"/>
              <w:rPr>
                <w:bCs/>
                <w:color w:val="000000"/>
                <w:szCs w:val="20"/>
              </w:rPr>
            </w:pPr>
            <w:r w:rsidRPr="004B5487">
              <w:rPr>
                <w:bCs/>
                <w:color w:val="000000"/>
                <w:szCs w:val="20"/>
              </w:rPr>
              <w:t>Year 12 completer / Non-Year 12 completer</w:t>
            </w:r>
          </w:p>
        </w:tc>
        <w:tc>
          <w:tcPr>
            <w:tcW w:w="600" w:type="pct"/>
          </w:tcPr>
          <w:p w14:paraId="38B43392"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1.412</w:t>
            </w:r>
            <w:r>
              <w:t>*</w:t>
            </w:r>
          </w:p>
        </w:tc>
        <w:tc>
          <w:tcPr>
            <w:tcW w:w="1125" w:type="pct"/>
          </w:tcPr>
          <w:p w14:paraId="742B3536"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1.314</w:t>
            </w:r>
          </w:p>
        </w:tc>
        <w:tc>
          <w:tcPr>
            <w:tcW w:w="1100" w:type="pct"/>
          </w:tcPr>
          <w:p w14:paraId="38A55C44"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1.518</w:t>
            </w:r>
          </w:p>
        </w:tc>
      </w:tr>
      <w:tr w:rsidR="00425905" w:rsidRPr="004B5487" w14:paraId="6F5E1EC3"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1923A9A" w14:textId="77777777" w:rsidR="00425905" w:rsidRPr="004B5487" w:rsidRDefault="00425905" w:rsidP="00D11E39">
            <w:pPr>
              <w:adjustRightInd w:val="0"/>
              <w:spacing w:after="60"/>
              <w:rPr>
                <w:bCs/>
                <w:color w:val="000000"/>
                <w:szCs w:val="20"/>
              </w:rPr>
            </w:pPr>
            <w:r w:rsidRPr="004B5487">
              <w:rPr>
                <w:szCs w:val="20"/>
              </w:rPr>
              <w:t>No transport / Public transport</w:t>
            </w:r>
          </w:p>
        </w:tc>
        <w:tc>
          <w:tcPr>
            <w:tcW w:w="600" w:type="pct"/>
          </w:tcPr>
          <w:p w14:paraId="31DEDAEC"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0.824</w:t>
            </w:r>
            <w:r>
              <w:t>*</w:t>
            </w:r>
          </w:p>
        </w:tc>
        <w:tc>
          <w:tcPr>
            <w:tcW w:w="1125" w:type="pct"/>
          </w:tcPr>
          <w:p w14:paraId="4D815352"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0.714</w:t>
            </w:r>
          </w:p>
        </w:tc>
        <w:tc>
          <w:tcPr>
            <w:tcW w:w="1100" w:type="pct"/>
          </w:tcPr>
          <w:p w14:paraId="7566447B"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0.950</w:t>
            </w:r>
          </w:p>
        </w:tc>
      </w:tr>
      <w:tr w:rsidR="00425905" w:rsidRPr="004B5487" w14:paraId="67BEE581"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8CF1741" w14:textId="77777777" w:rsidR="00425905" w:rsidRPr="004B5487" w:rsidRDefault="00425905" w:rsidP="00D11E39">
            <w:pPr>
              <w:adjustRightInd w:val="0"/>
              <w:spacing w:after="60"/>
              <w:rPr>
                <w:bCs/>
                <w:color w:val="000000"/>
                <w:szCs w:val="20"/>
              </w:rPr>
            </w:pPr>
            <w:r w:rsidRPr="004B5487">
              <w:rPr>
                <w:szCs w:val="20"/>
              </w:rPr>
              <w:t>Private transport / Public transport</w:t>
            </w:r>
          </w:p>
        </w:tc>
        <w:tc>
          <w:tcPr>
            <w:tcW w:w="600" w:type="pct"/>
          </w:tcPr>
          <w:p w14:paraId="0BBBC832"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1.356</w:t>
            </w:r>
            <w:r>
              <w:t>*</w:t>
            </w:r>
          </w:p>
        </w:tc>
        <w:tc>
          <w:tcPr>
            <w:tcW w:w="1125" w:type="pct"/>
          </w:tcPr>
          <w:p w14:paraId="3DFBE6C1"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1.262</w:t>
            </w:r>
          </w:p>
        </w:tc>
        <w:tc>
          <w:tcPr>
            <w:tcW w:w="1100" w:type="pct"/>
          </w:tcPr>
          <w:p w14:paraId="03D0439F"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1.456</w:t>
            </w:r>
          </w:p>
        </w:tc>
      </w:tr>
      <w:tr w:rsidR="00425905" w:rsidRPr="004B5487" w14:paraId="0D7CB947"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1776F4A" w14:textId="77777777" w:rsidR="00425905" w:rsidRPr="004B5487" w:rsidRDefault="00425905" w:rsidP="00D11E39">
            <w:pPr>
              <w:adjustRightInd w:val="0"/>
              <w:spacing w:after="60"/>
              <w:rPr>
                <w:bCs/>
                <w:color w:val="000000"/>
                <w:szCs w:val="20"/>
              </w:rPr>
            </w:pPr>
            <w:r w:rsidRPr="004B5487">
              <w:rPr>
                <w:bCs/>
                <w:color w:val="000000"/>
                <w:szCs w:val="20"/>
              </w:rPr>
              <w:t>Stable residence / Unstable residence</w:t>
            </w:r>
          </w:p>
        </w:tc>
        <w:tc>
          <w:tcPr>
            <w:tcW w:w="600" w:type="pct"/>
          </w:tcPr>
          <w:p w14:paraId="7DF53329"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1.263</w:t>
            </w:r>
            <w:r>
              <w:t>*</w:t>
            </w:r>
          </w:p>
        </w:tc>
        <w:tc>
          <w:tcPr>
            <w:tcW w:w="1125" w:type="pct"/>
          </w:tcPr>
          <w:p w14:paraId="42B89E76"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1.134</w:t>
            </w:r>
          </w:p>
        </w:tc>
        <w:tc>
          <w:tcPr>
            <w:tcW w:w="1100" w:type="pct"/>
          </w:tcPr>
          <w:p w14:paraId="3FA3E45E"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1.407</w:t>
            </w:r>
          </w:p>
        </w:tc>
      </w:tr>
      <w:tr w:rsidR="00425905" w:rsidRPr="004B5487" w14:paraId="7BA1D29A"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4DC8514" w14:textId="77777777" w:rsidR="00425905" w:rsidRPr="004B5487" w:rsidRDefault="00425905" w:rsidP="00D11E39">
            <w:pPr>
              <w:adjustRightInd w:val="0"/>
              <w:spacing w:after="60"/>
              <w:rPr>
                <w:bCs/>
                <w:color w:val="000000"/>
                <w:szCs w:val="20"/>
              </w:rPr>
            </w:pPr>
            <w:r w:rsidRPr="004B5487">
              <w:rPr>
                <w:szCs w:val="20"/>
              </w:rPr>
              <w:t xml:space="preserve">History of paid </w:t>
            </w:r>
            <w:r>
              <w:rPr>
                <w:szCs w:val="20"/>
              </w:rPr>
              <w:t xml:space="preserve">or unpaid </w:t>
            </w:r>
            <w:r w:rsidRPr="004B5487">
              <w:rPr>
                <w:szCs w:val="20"/>
              </w:rPr>
              <w:t>work / Was not working</w:t>
            </w:r>
          </w:p>
        </w:tc>
        <w:tc>
          <w:tcPr>
            <w:tcW w:w="600" w:type="pct"/>
          </w:tcPr>
          <w:p w14:paraId="1AEA1128"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1.506</w:t>
            </w:r>
            <w:r>
              <w:t>*</w:t>
            </w:r>
          </w:p>
        </w:tc>
        <w:tc>
          <w:tcPr>
            <w:tcW w:w="1125" w:type="pct"/>
          </w:tcPr>
          <w:p w14:paraId="20A0EA8C"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1.383</w:t>
            </w:r>
          </w:p>
        </w:tc>
        <w:tc>
          <w:tcPr>
            <w:tcW w:w="1100" w:type="pct"/>
          </w:tcPr>
          <w:p w14:paraId="5852CD7B"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1.640</w:t>
            </w:r>
          </w:p>
        </w:tc>
      </w:tr>
      <w:tr w:rsidR="00425905" w:rsidRPr="004B5487" w14:paraId="2CFABD23"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A1965DE" w14:textId="77777777" w:rsidR="00425905" w:rsidRPr="004B5487" w:rsidRDefault="00425905" w:rsidP="00D11E39">
            <w:pPr>
              <w:adjustRightInd w:val="0"/>
              <w:spacing w:after="60"/>
              <w:rPr>
                <w:bCs/>
                <w:color w:val="000000"/>
                <w:szCs w:val="20"/>
              </w:rPr>
            </w:pPr>
            <w:r w:rsidRPr="004B5487">
              <w:rPr>
                <w:rFonts w:cstheme="minorHAnsi"/>
                <w:szCs w:val="20"/>
              </w:rPr>
              <w:t>More than 12 months on income support / Less than 12 months on income support</w:t>
            </w:r>
            <w:r>
              <w:rPr>
                <w:rFonts w:cstheme="minorHAnsi"/>
                <w:szCs w:val="20"/>
              </w:rPr>
              <w:t> </w:t>
            </w:r>
          </w:p>
        </w:tc>
        <w:tc>
          <w:tcPr>
            <w:tcW w:w="600" w:type="pct"/>
          </w:tcPr>
          <w:p w14:paraId="0B65BC4F"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0.899</w:t>
            </w:r>
            <w:r>
              <w:t>*</w:t>
            </w:r>
          </w:p>
        </w:tc>
        <w:tc>
          <w:tcPr>
            <w:tcW w:w="1125" w:type="pct"/>
          </w:tcPr>
          <w:p w14:paraId="58F5E130"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0.807</w:t>
            </w:r>
          </w:p>
        </w:tc>
        <w:tc>
          <w:tcPr>
            <w:tcW w:w="1100" w:type="pct"/>
          </w:tcPr>
          <w:p w14:paraId="6BCCDB02"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1.002</w:t>
            </w:r>
          </w:p>
        </w:tc>
      </w:tr>
      <w:tr w:rsidR="00425905" w:rsidRPr="004B5487" w14:paraId="68B2EDCB"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A36A04A" w14:textId="432FC944" w:rsidR="00425905" w:rsidRPr="004B5487" w:rsidRDefault="00140024" w:rsidP="00D11E39">
            <w:pPr>
              <w:adjustRightInd w:val="0"/>
              <w:spacing w:after="60"/>
              <w:rPr>
                <w:rFonts w:cstheme="minorHAnsi"/>
                <w:szCs w:val="20"/>
              </w:rPr>
            </w:pPr>
            <w:r>
              <w:t>Ex-o</w:t>
            </w:r>
            <w:r w:rsidR="00425905" w:rsidRPr="009D37DA">
              <w:t xml:space="preserve">ffender yes </w:t>
            </w:r>
            <w:r w:rsidR="00425905">
              <w:t>/ N</w:t>
            </w:r>
            <w:r w:rsidR="00425905" w:rsidRPr="009D37DA">
              <w:t>one</w:t>
            </w:r>
          </w:p>
        </w:tc>
        <w:tc>
          <w:tcPr>
            <w:tcW w:w="600" w:type="pct"/>
          </w:tcPr>
          <w:p w14:paraId="0CAFEFAF" w14:textId="77777777" w:rsidR="00425905" w:rsidRPr="00FA51A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pPr>
            <w:r w:rsidRPr="00B57725">
              <w:t>0.742</w:t>
            </w:r>
            <w:r>
              <w:t>*</w:t>
            </w:r>
          </w:p>
        </w:tc>
        <w:tc>
          <w:tcPr>
            <w:tcW w:w="1125" w:type="pct"/>
          </w:tcPr>
          <w:p w14:paraId="548AB3E9" w14:textId="77777777" w:rsidR="00425905" w:rsidRPr="00FA51A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pPr>
            <w:r w:rsidRPr="00B57725">
              <w:t>0.655</w:t>
            </w:r>
          </w:p>
        </w:tc>
        <w:tc>
          <w:tcPr>
            <w:tcW w:w="1100" w:type="pct"/>
          </w:tcPr>
          <w:p w14:paraId="6824D958" w14:textId="77777777" w:rsidR="00425905" w:rsidRPr="00FA51A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pPr>
            <w:r w:rsidRPr="00B57725">
              <w:t>0.841</w:t>
            </w:r>
          </w:p>
        </w:tc>
      </w:tr>
      <w:tr w:rsidR="00425905" w:rsidRPr="004B5487" w14:paraId="362A83EE"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33596302" w14:textId="77777777" w:rsidR="00425905" w:rsidRPr="004B5487" w:rsidRDefault="00425905" w:rsidP="00D11E39">
            <w:pPr>
              <w:adjustRightInd w:val="0"/>
              <w:spacing w:after="60"/>
              <w:rPr>
                <w:bCs/>
                <w:color w:val="000000"/>
                <w:szCs w:val="20"/>
              </w:rPr>
            </w:pPr>
            <w:r w:rsidRPr="004B5487">
              <w:rPr>
                <w:bCs/>
                <w:color w:val="000000"/>
                <w:szCs w:val="20"/>
              </w:rPr>
              <w:t>Disability / No disability</w:t>
            </w:r>
          </w:p>
        </w:tc>
        <w:tc>
          <w:tcPr>
            <w:tcW w:w="600" w:type="pct"/>
          </w:tcPr>
          <w:p w14:paraId="07380A8A"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0.675</w:t>
            </w:r>
            <w:r>
              <w:t>*</w:t>
            </w:r>
          </w:p>
        </w:tc>
        <w:tc>
          <w:tcPr>
            <w:tcW w:w="1125" w:type="pct"/>
          </w:tcPr>
          <w:p w14:paraId="0BF8F633"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0.584</w:t>
            </w:r>
          </w:p>
        </w:tc>
        <w:tc>
          <w:tcPr>
            <w:tcW w:w="1100" w:type="pct"/>
          </w:tcPr>
          <w:p w14:paraId="6909C07E"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0.779</w:t>
            </w:r>
          </w:p>
        </w:tc>
      </w:tr>
      <w:tr w:rsidR="00425905" w:rsidRPr="004B5487" w14:paraId="7B84B3F7"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814195B" w14:textId="1B491CCF" w:rsidR="00425905" w:rsidRPr="004B5487" w:rsidRDefault="00425905" w:rsidP="00D11E39">
            <w:pPr>
              <w:adjustRightInd w:val="0"/>
              <w:spacing w:after="60"/>
              <w:rPr>
                <w:bCs/>
                <w:color w:val="000000"/>
                <w:szCs w:val="20"/>
              </w:rPr>
            </w:pPr>
            <w:r w:rsidRPr="004B5487">
              <w:rPr>
                <w:bCs/>
                <w:color w:val="000000"/>
                <w:szCs w:val="20"/>
              </w:rPr>
              <w:t xml:space="preserve">Good English skills / Poor </w:t>
            </w:r>
            <w:r w:rsidR="00140024">
              <w:rPr>
                <w:bCs/>
                <w:color w:val="000000"/>
                <w:szCs w:val="20"/>
              </w:rPr>
              <w:t>or combination</w:t>
            </w:r>
            <w:r w:rsidRPr="004B5487">
              <w:rPr>
                <w:bCs/>
                <w:color w:val="000000"/>
                <w:szCs w:val="20"/>
              </w:rPr>
              <w:t xml:space="preserve"> of good and poor</w:t>
            </w:r>
          </w:p>
        </w:tc>
        <w:tc>
          <w:tcPr>
            <w:tcW w:w="600" w:type="pct"/>
          </w:tcPr>
          <w:p w14:paraId="561D6E02"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1.414</w:t>
            </w:r>
            <w:r>
              <w:t>*</w:t>
            </w:r>
          </w:p>
        </w:tc>
        <w:tc>
          <w:tcPr>
            <w:tcW w:w="1125" w:type="pct"/>
          </w:tcPr>
          <w:p w14:paraId="4212142C"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1.239</w:t>
            </w:r>
          </w:p>
        </w:tc>
        <w:tc>
          <w:tcPr>
            <w:tcW w:w="1100" w:type="pct"/>
          </w:tcPr>
          <w:p w14:paraId="4A9CC6D5"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1.613</w:t>
            </w:r>
          </w:p>
        </w:tc>
      </w:tr>
      <w:tr w:rsidR="00425905" w:rsidRPr="004B5487" w14:paraId="06E19CEB"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CF8FBB9" w14:textId="77777777" w:rsidR="00425905" w:rsidRPr="004B5487" w:rsidRDefault="00425905" w:rsidP="00D11E39">
            <w:pPr>
              <w:adjustRightInd w:val="0"/>
              <w:spacing w:after="60"/>
              <w:rPr>
                <w:bCs/>
                <w:color w:val="000000"/>
                <w:szCs w:val="20"/>
              </w:rPr>
            </w:pPr>
            <w:r w:rsidRPr="00ED6857">
              <w:rPr>
                <w:rFonts w:cstheme="minorHAnsi"/>
                <w:bCs/>
                <w:color w:val="000000"/>
                <w:szCs w:val="20"/>
              </w:rPr>
              <w:t xml:space="preserve">Personal factors – No impact </w:t>
            </w:r>
            <w:r>
              <w:rPr>
                <w:rFonts w:cstheme="minorHAnsi"/>
                <w:bCs/>
                <w:color w:val="000000"/>
                <w:szCs w:val="20"/>
              </w:rPr>
              <w:t>on employability</w:t>
            </w:r>
            <w:r w:rsidRPr="00ED6857">
              <w:rPr>
                <w:rFonts w:cstheme="minorHAnsi"/>
                <w:bCs/>
                <w:color w:val="000000"/>
                <w:szCs w:val="20"/>
              </w:rPr>
              <w:t xml:space="preserve"> / Some impact</w:t>
            </w:r>
          </w:p>
        </w:tc>
        <w:tc>
          <w:tcPr>
            <w:tcW w:w="600" w:type="pct"/>
          </w:tcPr>
          <w:p w14:paraId="66DDBEBF" w14:textId="77777777" w:rsidR="0042590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1.286</w:t>
            </w:r>
            <w:r>
              <w:t>*</w:t>
            </w:r>
          </w:p>
        </w:tc>
        <w:tc>
          <w:tcPr>
            <w:tcW w:w="1125" w:type="pct"/>
          </w:tcPr>
          <w:p w14:paraId="63EB9DB8" w14:textId="77777777" w:rsidR="0042590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1.131</w:t>
            </w:r>
          </w:p>
        </w:tc>
        <w:tc>
          <w:tcPr>
            <w:tcW w:w="1100" w:type="pct"/>
          </w:tcPr>
          <w:p w14:paraId="610E911B" w14:textId="77777777" w:rsidR="0042590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B57725">
              <w:t>1.462</w:t>
            </w:r>
          </w:p>
        </w:tc>
      </w:tr>
      <w:tr w:rsidR="00425905" w:rsidRPr="004B5487" w14:paraId="75734EBC"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84D8A43" w14:textId="77777777" w:rsidR="00425905" w:rsidRPr="004B5487" w:rsidRDefault="00425905" w:rsidP="00D11E39">
            <w:pPr>
              <w:keepNext/>
              <w:adjustRightInd w:val="0"/>
              <w:spacing w:after="60"/>
              <w:rPr>
                <w:bCs/>
                <w:color w:val="000000"/>
                <w:szCs w:val="20"/>
              </w:rPr>
            </w:pPr>
            <w:r w:rsidRPr="004B5487">
              <w:rPr>
                <w:rFonts w:cstheme="minorHAnsi"/>
                <w:szCs w:val="20"/>
              </w:rPr>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600" w:type="pct"/>
          </w:tcPr>
          <w:p w14:paraId="71BDEA3A" w14:textId="77777777" w:rsidR="00425905" w:rsidRPr="004B5487"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1.008</w:t>
            </w:r>
            <w:r>
              <w:t>*</w:t>
            </w:r>
          </w:p>
        </w:tc>
        <w:tc>
          <w:tcPr>
            <w:tcW w:w="1125" w:type="pct"/>
          </w:tcPr>
          <w:p w14:paraId="1DCFB4A0" w14:textId="77777777" w:rsidR="00425905" w:rsidRPr="004B5487"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1.005</w:t>
            </w:r>
          </w:p>
        </w:tc>
        <w:tc>
          <w:tcPr>
            <w:tcW w:w="1100" w:type="pct"/>
          </w:tcPr>
          <w:p w14:paraId="445113D9" w14:textId="77777777" w:rsidR="00425905" w:rsidRPr="004B5487"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B57725">
              <w:t>1.011</w:t>
            </w:r>
          </w:p>
        </w:tc>
      </w:tr>
    </w:tbl>
    <w:p w14:paraId="69FDCD68" w14:textId="77777777" w:rsidR="00FF6E16" w:rsidRPr="00A80EA6" w:rsidRDefault="00FF6E16" w:rsidP="00FF6E16">
      <w:pPr>
        <w:pStyle w:val="SourceandNotes"/>
      </w:pPr>
      <w:r w:rsidRPr="00A80EA6">
        <w:t xml:space="preserve">Base: n (excluding missing) = </w:t>
      </w:r>
      <w:r>
        <w:t>16,278</w:t>
      </w:r>
    </w:p>
    <w:p w14:paraId="4EE0B92C" w14:textId="410F96A8" w:rsidR="00F8391B" w:rsidRDefault="00FF6E16" w:rsidP="00FF6E16">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48BDFD13" w14:textId="0E139535" w:rsidR="00FF6E16" w:rsidRPr="006333E9" w:rsidRDefault="00FF6E16" w:rsidP="00FF6E16">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19467818" w14:textId="59723C42" w:rsidR="00425905" w:rsidRDefault="00FF6E16" w:rsidP="00FF6E16">
      <w:pPr>
        <w:pStyle w:val="Caption"/>
        <w:keepNext/>
      </w:pPr>
      <w:bookmarkStart w:id="4149" w:name="_Toc132647817"/>
      <w:bookmarkStart w:id="4150" w:name="_Toc145877331"/>
      <w:bookmarkEnd w:id="4148"/>
      <w:r>
        <w:t xml:space="preserve">Table </w:t>
      </w:r>
      <w:r>
        <w:fldChar w:fldCharType="begin"/>
      </w:r>
      <w:r>
        <w:instrText>SEQ Table \* ARABIC</w:instrText>
      </w:r>
      <w:r>
        <w:fldChar w:fldCharType="separate"/>
      </w:r>
      <w:r w:rsidR="00180E14">
        <w:rPr>
          <w:noProof/>
        </w:rPr>
        <w:t>42</w:t>
      </w:r>
      <w:r>
        <w:fldChar w:fldCharType="end"/>
      </w:r>
      <w:r>
        <w:t xml:space="preserve">: </w:t>
      </w:r>
      <w:r w:rsidRPr="00B50865">
        <w:t xml:space="preserve">Logistic regression model – impact of TtW on probability of exiting income support </w:t>
      </w:r>
      <w:r w:rsidR="00425905">
        <w:t>at</w:t>
      </w:r>
      <w:r w:rsidRPr="00B50865">
        <w:t xml:space="preserve"> 48</w:t>
      </w:r>
      <w:r w:rsidR="00140024">
        <w:t> </w:t>
      </w:r>
      <w:r w:rsidRPr="00B50865">
        <w:t>months after commencement</w:t>
      </w:r>
      <w:bookmarkEnd w:id="4149"/>
      <w:bookmarkEnd w:id="4150"/>
    </w:p>
    <w:tbl>
      <w:tblPr>
        <w:tblStyle w:val="TtWReportTableTemplate2"/>
        <w:tblW w:w="5237" w:type="pct"/>
        <w:tblLayout w:type="fixed"/>
        <w:tblLook w:val="04A0" w:firstRow="1" w:lastRow="0" w:firstColumn="1" w:lastColumn="0" w:noHBand="0" w:noVBand="1"/>
      </w:tblPr>
      <w:tblGrid>
        <w:gridCol w:w="4113"/>
        <w:gridCol w:w="1134"/>
        <w:gridCol w:w="2127"/>
        <w:gridCol w:w="2080"/>
      </w:tblGrid>
      <w:tr w:rsidR="00425905" w:rsidRPr="004B5487" w14:paraId="621CA1D4" w14:textId="77777777" w:rsidTr="00C239FD">
        <w:trPr>
          <w:cnfStyle w:val="100000000000" w:firstRow="1" w:lastRow="0" w:firstColumn="0" w:lastColumn="0" w:oddVBand="0" w:evenVBand="0" w:oddHBand="0" w:evenHBand="0" w:firstRowFirstColumn="0" w:firstRowLastColumn="0" w:lastRowFirstColumn="0" w:lastRowLastColumn="0"/>
          <w:trHeight w:val="534"/>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tcPr>
          <w:p w14:paraId="3F79F175" w14:textId="77777777" w:rsidR="00425905" w:rsidRPr="004B5487" w:rsidRDefault="00425905" w:rsidP="00D11E39">
            <w:pPr>
              <w:keepNext/>
              <w:adjustRightInd w:val="0"/>
              <w:spacing w:after="60"/>
              <w:rPr>
                <w:bCs/>
                <w:szCs w:val="20"/>
              </w:rPr>
            </w:pPr>
            <w:r w:rsidRPr="004B5487">
              <w:rPr>
                <w:bCs/>
                <w:szCs w:val="20"/>
              </w:rPr>
              <w:t>Variable</w:t>
            </w:r>
          </w:p>
        </w:tc>
        <w:tc>
          <w:tcPr>
            <w:tcW w:w="0" w:type="pct"/>
            <w:shd w:val="clear" w:color="auto" w:fill="5D7A38"/>
          </w:tcPr>
          <w:p w14:paraId="4430ECF2"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 xml:space="preserve">Odds </w:t>
            </w:r>
            <w:r>
              <w:rPr>
                <w:szCs w:val="20"/>
              </w:rPr>
              <w:t>r</w:t>
            </w:r>
            <w:r w:rsidRPr="004B5487">
              <w:rPr>
                <w:szCs w:val="20"/>
              </w:rPr>
              <w:t>atio</w:t>
            </w:r>
            <w:r>
              <w:rPr>
                <w:szCs w:val="20"/>
                <w:vertAlign w:val="superscript"/>
              </w:rPr>
              <w:t>1*</w:t>
            </w:r>
          </w:p>
        </w:tc>
        <w:tc>
          <w:tcPr>
            <w:tcW w:w="0" w:type="pct"/>
            <w:shd w:val="clear" w:color="auto" w:fill="5D7A38"/>
          </w:tcPr>
          <w:p w14:paraId="23FED8C8"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 w:val="0"/>
                <w:szCs w:val="20"/>
              </w:rPr>
            </w:pPr>
            <w:r w:rsidRPr="004B5487">
              <w:rPr>
                <w:szCs w:val="20"/>
              </w:rPr>
              <w:t>Lower 95% </w:t>
            </w:r>
            <w:r>
              <w:rPr>
                <w:szCs w:val="20"/>
              </w:rPr>
              <w:t>c</w:t>
            </w:r>
            <w:r w:rsidRPr="004B5487">
              <w:rPr>
                <w:szCs w:val="20"/>
              </w:rPr>
              <w:t>onfidence </w:t>
            </w:r>
            <w:r>
              <w:rPr>
                <w:szCs w:val="20"/>
              </w:rPr>
              <w:t>l</w:t>
            </w:r>
            <w:r w:rsidRPr="004B5487">
              <w:rPr>
                <w:szCs w:val="20"/>
              </w:rPr>
              <w:t>imit</w:t>
            </w:r>
          </w:p>
        </w:tc>
        <w:tc>
          <w:tcPr>
            <w:tcW w:w="0" w:type="pct"/>
            <w:shd w:val="clear" w:color="auto" w:fill="5D7A38"/>
          </w:tcPr>
          <w:p w14:paraId="02CF3478" w14:textId="77777777" w:rsidR="00425905" w:rsidRPr="004B5487" w:rsidRDefault="00425905" w:rsidP="00D11E39">
            <w:pPr>
              <w:keepNext/>
              <w:adjustRightInd w:val="0"/>
              <w:spacing w:after="60"/>
              <w:jc w:val="center"/>
              <w:cnfStyle w:val="100000000000" w:firstRow="1" w:lastRow="0" w:firstColumn="0" w:lastColumn="0" w:oddVBand="0" w:evenVBand="0" w:oddHBand="0" w:evenHBand="0" w:firstRowFirstColumn="0" w:firstRowLastColumn="0" w:lastRowFirstColumn="0" w:lastRowLastColumn="0"/>
              <w:rPr>
                <w:bCs/>
                <w:szCs w:val="20"/>
              </w:rPr>
            </w:pPr>
            <w:r w:rsidRPr="004B5487">
              <w:rPr>
                <w:szCs w:val="20"/>
              </w:rPr>
              <w:t>Upper 95% </w:t>
            </w:r>
            <w:r>
              <w:rPr>
                <w:szCs w:val="20"/>
              </w:rPr>
              <w:t>c</w:t>
            </w:r>
            <w:r w:rsidRPr="004B5487">
              <w:rPr>
                <w:szCs w:val="20"/>
              </w:rPr>
              <w:t>onfidence </w:t>
            </w:r>
            <w:r>
              <w:rPr>
                <w:szCs w:val="20"/>
              </w:rPr>
              <w:t>l</w:t>
            </w:r>
            <w:r w:rsidRPr="004B5487">
              <w:rPr>
                <w:szCs w:val="20"/>
              </w:rPr>
              <w:t>imit</w:t>
            </w:r>
          </w:p>
        </w:tc>
      </w:tr>
      <w:tr w:rsidR="00425905" w:rsidRPr="004B5487" w14:paraId="4F896960"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7F7931BC" w14:textId="77777777" w:rsidR="00425905" w:rsidRPr="004B5487" w:rsidRDefault="00425905" w:rsidP="00D11E39">
            <w:pPr>
              <w:keepNext/>
              <w:adjustRightInd w:val="0"/>
              <w:spacing w:after="60"/>
              <w:rPr>
                <w:bCs/>
                <w:color w:val="000000"/>
                <w:szCs w:val="20"/>
              </w:rPr>
            </w:pPr>
            <w:r w:rsidRPr="004B5487">
              <w:rPr>
                <w:bCs/>
                <w:color w:val="000000"/>
                <w:szCs w:val="20"/>
              </w:rPr>
              <w:t>Female / Male</w:t>
            </w:r>
          </w:p>
        </w:tc>
        <w:tc>
          <w:tcPr>
            <w:tcW w:w="600" w:type="pct"/>
          </w:tcPr>
          <w:p w14:paraId="6775E378"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0.617</w:t>
            </w:r>
            <w:r>
              <w:t>*</w:t>
            </w:r>
          </w:p>
        </w:tc>
        <w:tc>
          <w:tcPr>
            <w:tcW w:w="1125" w:type="pct"/>
          </w:tcPr>
          <w:p w14:paraId="30A45B45"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0.574</w:t>
            </w:r>
          </w:p>
        </w:tc>
        <w:tc>
          <w:tcPr>
            <w:tcW w:w="1100" w:type="pct"/>
          </w:tcPr>
          <w:p w14:paraId="2C4E3664"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0.662</w:t>
            </w:r>
          </w:p>
        </w:tc>
      </w:tr>
      <w:tr w:rsidR="00425905" w:rsidRPr="004B5487" w14:paraId="17A0724A"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59C79EA" w14:textId="77777777" w:rsidR="00425905" w:rsidRPr="004B5487" w:rsidRDefault="00425905" w:rsidP="00D11E39">
            <w:pPr>
              <w:keepNext/>
              <w:adjustRightInd w:val="0"/>
              <w:spacing w:after="60"/>
              <w:rPr>
                <w:bCs/>
                <w:color w:val="000000"/>
                <w:szCs w:val="20"/>
              </w:rPr>
            </w:pPr>
            <w:r>
              <w:rPr>
                <w:bCs/>
                <w:color w:val="000000"/>
                <w:szCs w:val="20"/>
              </w:rPr>
              <w:t>Age (increased by 1 year)</w:t>
            </w:r>
          </w:p>
        </w:tc>
        <w:tc>
          <w:tcPr>
            <w:tcW w:w="600" w:type="pct"/>
          </w:tcPr>
          <w:p w14:paraId="3EFDF161" w14:textId="77777777" w:rsidR="00425905"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1.093</w:t>
            </w:r>
            <w:r>
              <w:t>*</w:t>
            </w:r>
          </w:p>
        </w:tc>
        <w:tc>
          <w:tcPr>
            <w:tcW w:w="1125" w:type="pct"/>
          </w:tcPr>
          <w:p w14:paraId="2F21FB3E" w14:textId="77777777" w:rsidR="00425905"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1.064</w:t>
            </w:r>
          </w:p>
        </w:tc>
        <w:tc>
          <w:tcPr>
            <w:tcW w:w="1100" w:type="pct"/>
          </w:tcPr>
          <w:p w14:paraId="45B04DAB" w14:textId="77777777" w:rsidR="00425905" w:rsidRDefault="00425905" w:rsidP="00D11E39">
            <w:pPr>
              <w:keepNext/>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1.123</w:t>
            </w:r>
          </w:p>
        </w:tc>
      </w:tr>
      <w:tr w:rsidR="00425905" w:rsidRPr="004B5487" w14:paraId="20A7ECB4"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14D3A35" w14:textId="77777777" w:rsidR="00425905" w:rsidRPr="004B5487" w:rsidRDefault="00425905" w:rsidP="00D11E39">
            <w:pPr>
              <w:keepNext/>
              <w:adjustRightInd w:val="0"/>
              <w:spacing w:after="60"/>
              <w:rPr>
                <w:bCs/>
                <w:color w:val="000000"/>
                <w:szCs w:val="20"/>
              </w:rPr>
            </w:pPr>
            <w:r w:rsidRPr="004B5487">
              <w:rPr>
                <w:bCs/>
                <w:color w:val="000000"/>
                <w:szCs w:val="20"/>
              </w:rPr>
              <w:t>Non-Indigenous / Indigenous</w:t>
            </w:r>
          </w:p>
        </w:tc>
        <w:tc>
          <w:tcPr>
            <w:tcW w:w="600" w:type="pct"/>
          </w:tcPr>
          <w:p w14:paraId="0ABEB503"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1.575</w:t>
            </w:r>
            <w:r>
              <w:t>*</w:t>
            </w:r>
          </w:p>
        </w:tc>
        <w:tc>
          <w:tcPr>
            <w:tcW w:w="1125" w:type="pct"/>
          </w:tcPr>
          <w:p w14:paraId="5132D895"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1.429</w:t>
            </w:r>
          </w:p>
        </w:tc>
        <w:tc>
          <w:tcPr>
            <w:tcW w:w="1100" w:type="pct"/>
          </w:tcPr>
          <w:p w14:paraId="26AB9CB7"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1.736</w:t>
            </w:r>
          </w:p>
        </w:tc>
      </w:tr>
      <w:tr w:rsidR="00425905" w:rsidRPr="004B5487" w14:paraId="3E91E8F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5306F29" w14:textId="610E7586" w:rsidR="00425905" w:rsidRPr="004B5487" w:rsidRDefault="00425905" w:rsidP="00D11E39">
            <w:pPr>
              <w:adjustRightInd w:val="0"/>
              <w:spacing w:after="60"/>
              <w:rPr>
                <w:bCs/>
                <w:color w:val="000000"/>
                <w:szCs w:val="20"/>
              </w:rPr>
            </w:pPr>
            <w:r w:rsidRPr="004B5487">
              <w:rPr>
                <w:bCs/>
                <w:color w:val="000000"/>
                <w:szCs w:val="20"/>
              </w:rPr>
              <w:t xml:space="preserve">Year </w:t>
            </w:r>
            <w:r w:rsidR="00140024">
              <w:rPr>
                <w:bCs/>
                <w:color w:val="000000"/>
                <w:szCs w:val="20"/>
              </w:rPr>
              <w:t>12 completer</w:t>
            </w:r>
            <w:r w:rsidRPr="004B5487">
              <w:rPr>
                <w:bCs/>
                <w:color w:val="000000"/>
                <w:szCs w:val="20"/>
              </w:rPr>
              <w:t xml:space="preserve"> / Non-Year </w:t>
            </w:r>
            <w:r w:rsidR="00140024">
              <w:rPr>
                <w:bCs/>
                <w:color w:val="000000"/>
                <w:szCs w:val="20"/>
              </w:rPr>
              <w:t>12 completer</w:t>
            </w:r>
          </w:p>
        </w:tc>
        <w:tc>
          <w:tcPr>
            <w:tcW w:w="600" w:type="pct"/>
          </w:tcPr>
          <w:p w14:paraId="0E255376"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1.360</w:t>
            </w:r>
            <w:r>
              <w:t>*</w:t>
            </w:r>
          </w:p>
        </w:tc>
        <w:tc>
          <w:tcPr>
            <w:tcW w:w="1125" w:type="pct"/>
          </w:tcPr>
          <w:p w14:paraId="48FF87FE"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1.263</w:t>
            </w:r>
          </w:p>
        </w:tc>
        <w:tc>
          <w:tcPr>
            <w:tcW w:w="1100" w:type="pct"/>
          </w:tcPr>
          <w:p w14:paraId="0E1108F9"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1.466</w:t>
            </w:r>
          </w:p>
        </w:tc>
      </w:tr>
      <w:tr w:rsidR="00425905" w:rsidRPr="004B5487" w14:paraId="1D74DAE7"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7EA206AA" w14:textId="77777777" w:rsidR="00425905" w:rsidRPr="004B5487" w:rsidRDefault="00425905" w:rsidP="00D11E39">
            <w:pPr>
              <w:adjustRightInd w:val="0"/>
              <w:spacing w:after="60"/>
              <w:rPr>
                <w:bCs/>
                <w:color w:val="000000"/>
                <w:szCs w:val="20"/>
              </w:rPr>
            </w:pPr>
            <w:r w:rsidRPr="004B5487">
              <w:rPr>
                <w:szCs w:val="20"/>
              </w:rPr>
              <w:lastRenderedPageBreak/>
              <w:t>No transport / Public transport</w:t>
            </w:r>
          </w:p>
        </w:tc>
        <w:tc>
          <w:tcPr>
            <w:tcW w:w="600" w:type="pct"/>
          </w:tcPr>
          <w:p w14:paraId="28E6B2E7"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0.841</w:t>
            </w:r>
            <w:r>
              <w:t>*</w:t>
            </w:r>
          </w:p>
        </w:tc>
        <w:tc>
          <w:tcPr>
            <w:tcW w:w="1125" w:type="pct"/>
          </w:tcPr>
          <w:p w14:paraId="356A073C"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0.719</w:t>
            </w:r>
          </w:p>
        </w:tc>
        <w:tc>
          <w:tcPr>
            <w:tcW w:w="1100" w:type="pct"/>
          </w:tcPr>
          <w:p w14:paraId="3FA44EEE"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0.982</w:t>
            </w:r>
          </w:p>
        </w:tc>
      </w:tr>
      <w:tr w:rsidR="00425905" w:rsidRPr="004B5487" w14:paraId="2362B18B"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26FE8C9D" w14:textId="77777777" w:rsidR="00425905" w:rsidRPr="004B5487" w:rsidRDefault="00425905" w:rsidP="00D11E39">
            <w:pPr>
              <w:adjustRightInd w:val="0"/>
              <w:spacing w:after="60"/>
              <w:rPr>
                <w:bCs/>
                <w:color w:val="000000"/>
                <w:szCs w:val="20"/>
              </w:rPr>
            </w:pPr>
            <w:r w:rsidRPr="004B5487">
              <w:rPr>
                <w:szCs w:val="20"/>
              </w:rPr>
              <w:t>Private transport / Public transport</w:t>
            </w:r>
          </w:p>
        </w:tc>
        <w:tc>
          <w:tcPr>
            <w:tcW w:w="600" w:type="pct"/>
          </w:tcPr>
          <w:p w14:paraId="0E651B76"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1.341</w:t>
            </w:r>
            <w:r>
              <w:t>*</w:t>
            </w:r>
          </w:p>
        </w:tc>
        <w:tc>
          <w:tcPr>
            <w:tcW w:w="1125" w:type="pct"/>
          </w:tcPr>
          <w:p w14:paraId="57DB28BA"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1.245</w:t>
            </w:r>
          </w:p>
        </w:tc>
        <w:tc>
          <w:tcPr>
            <w:tcW w:w="1100" w:type="pct"/>
          </w:tcPr>
          <w:p w14:paraId="0DB63D84"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1.444</w:t>
            </w:r>
          </w:p>
        </w:tc>
      </w:tr>
      <w:tr w:rsidR="00425905" w:rsidRPr="004B5487" w14:paraId="3F1AB378"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1C41EB01" w14:textId="77777777" w:rsidR="00425905" w:rsidRPr="004B5487" w:rsidRDefault="00425905" w:rsidP="00D11E39">
            <w:pPr>
              <w:adjustRightInd w:val="0"/>
              <w:spacing w:after="60"/>
              <w:rPr>
                <w:bCs/>
                <w:color w:val="000000"/>
                <w:szCs w:val="20"/>
              </w:rPr>
            </w:pPr>
            <w:r w:rsidRPr="004B5487">
              <w:rPr>
                <w:bCs/>
                <w:color w:val="000000"/>
                <w:szCs w:val="20"/>
              </w:rPr>
              <w:t>Stable residence / Unstable residence</w:t>
            </w:r>
          </w:p>
        </w:tc>
        <w:tc>
          <w:tcPr>
            <w:tcW w:w="600" w:type="pct"/>
          </w:tcPr>
          <w:p w14:paraId="27E1401C"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1.287</w:t>
            </w:r>
            <w:r>
              <w:t>*</w:t>
            </w:r>
          </w:p>
        </w:tc>
        <w:tc>
          <w:tcPr>
            <w:tcW w:w="1125" w:type="pct"/>
          </w:tcPr>
          <w:p w14:paraId="0765353D"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1.145</w:t>
            </w:r>
          </w:p>
        </w:tc>
        <w:tc>
          <w:tcPr>
            <w:tcW w:w="1100" w:type="pct"/>
          </w:tcPr>
          <w:p w14:paraId="50B80813"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1.446</w:t>
            </w:r>
          </w:p>
        </w:tc>
      </w:tr>
      <w:tr w:rsidR="00425905" w:rsidRPr="004B5487" w14:paraId="7FDD67EA"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7E63D204" w14:textId="02BF8BA9" w:rsidR="00425905" w:rsidRPr="004B5487" w:rsidRDefault="00425905" w:rsidP="00D11E39">
            <w:pPr>
              <w:adjustRightInd w:val="0"/>
              <w:spacing w:after="60"/>
              <w:rPr>
                <w:bCs/>
                <w:color w:val="000000"/>
                <w:szCs w:val="20"/>
              </w:rPr>
            </w:pPr>
            <w:r w:rsidRPr="004B5487">
              <w:rPr>
                <w:szCs w:val="20"/>
              </w:rPr>
              <w:t xml:space="preserve">History of paid </w:t>
            </w:r>
            <w:r>
              <w:rPr>
                <w:szCs w:val="20"/>
              </w:rPr>
              <w:t xml:space="preserve">or unpaid </w:t>
            </w:r>
            <w:r w:rsidRPr="004B5487">
              <w:rPr>
                <w:szCs w:val="20"/>
              </w:rPr>
              <w:t xml:space="preserve">work / Was not </w:t>
            </w:r>
            <w:r w:rsidR="00140024">
              <w:rPr>
                <w:szCs w:val="20"/>
              </w:rPr>
              <w:t>w</w:t>
            </w:r>
            <w:r w:rsidRPr="004B5487">
              <w:rPr>
                <w:szCs w:val="20"/>
              </w:rPr>
              <w:t>orking</w:t>
            </w:r>
          </w:p>
        </w:tc>
        <w:tc>
          <w:tcPr>
            <w:tcW w:w="600" w:type="pct"/>
          </w:tcPr>
          <w:p w14:paraId="567CD1F9"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1.358</w:t>
            </w:r>
            <w:r>
              <w:t>*</w:t>
            </w:r>
          </w:p>
        </w:tc>
        <w:tc>
          <w:tcPr>
            <w:tcW w:w="1125" w:type="pct"/>
          </w:tcPr>
          <w:p w14:paraId="0D90144D"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1.244</w:t>
            </w:r>
          </w:p>
        </w:tc>
        <w:tc>
          <w:tcPr>
            <w:tcW w:w="1100" w:type="pct"/>
          </w:tcPr>
          <w:p w14:paraId="6B679574"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1.482</w:t>
            </w:r>
          </w:p>
        </w:tc>
      </w:tr>
      <w:tr w:rsidR="00425905" w:rsidRPr="004B5487" w14:paraId="7DB3172D"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BE8880C" w14:textId="77777777" w:rsidR="00425905" w:rsidRPr="004B5487" w:rsidRDefault="00425905" w:rsidP="00D11E39">
            <w:pPr>
              <w:adjustRightInd w:val="0"/>
              <w:spacing w:after="60"/>
              <w:rPr>
                <w:bCs/>
                <w:color w:val="000000"/>
                <w:szCs w:val="20"/>
              </w:rPr>
            </w:pPr>
            <w:r w:rsidRPr="004B5487">
              <w:rPr>
                <w:rFonts w:cstheme="minorHAnsi"/>
                <w:szCs w:val="20"/>
              </w:rPr>
              <w:t>More than 12 months on income support / Less than 12 months on income support</w:t>
            </w:r>
            <w:r>
              <w:rPr>
                <w:rFonts w:cstheme="minorHAnsi"/>
                <w:szCs w:val="20"/>
              </w:rPr>
              <w:t> </w:t>
            </w:r>
          </w:p>
        </w:tc>
        <w:tc>
          <w:tcPr>
            <w:tcW w:w="600" w:type="pct"/>
          </w:tcPr>
          <w:p w14:paraId="52B820EE"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0.846</w:t>
            </w:r>
            <w:r>
              <w:t>*</w:t>
            </w:r>
          </w:p>
        </w:tc>
        <w:tc>
          <w:tcPr>
            <w:tcW w:w="1125" w:type="pct"/>
          </w:tcPr>
          <w:p w14:paraId="7CD42BF0"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0.754</w:t>
            </w:r>
          </w:p>
        </w:tc>
        <w:tc>
          <w:tcPr>
            <w:tcW w:w="1100" w:type="pct"/>
          </w:tcPr>
          <w:p w14:paraId="72A6A273"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0.950</w:t>
            </w:r>
          </w:p>
        </w:tc>
      </w:tr>
      <w:tr w:rsidR="00425905" w:rsidRPr="004B5487" w14:paraId="7C3CB83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5A8D0DDC" w14:textId="4F518A8C" w:rsidR="00425905" w:rsidRPr="004B5487" w:rsidRDefault="00140024" w:rsidP="00D11E39">
            <w:pPr>
              <w:adjustRightInd w:val="0"/>
              <w:spacing w:after="60"/>
              <w:rPr>
                <w:rFonts w:cstheme="minorHAnsi"/>
                <w:szCs w:val="20"/>
              </w:rPr>
            </w:pPr>
            <w:r>
              <w:t>Ex-o</w:t>
            </w:r>
            <w:r w:rsidR="00425905" w:rsidRPr="009D37DA">
              <w:t xml:space="preserve">ffender </w:t>
            </w:r>
            <w:r w:rsidR="00425905">
              <w:t>/</w:t>
            </w:r>
            <w:r w:rsidR="00425905" w:rsidRPr="009D37DA">
              <w:t xml:space="preserve"> </w:t>
            </w:r>
            <w:r w:rsidR="00425905">
              <w:t>N</w:t>
            </w:r>
            <w:r w:rsidR="00425905" w:rsidRPr="009D37DA">
              <w:t>one</w:t>
            </w:r>
          </w:p>
        </w:tc>
        <w:tc>
          <w:tcPr>
            <w:tcW w:w="600" w:type="pct"/>
          </w:tcPr>
          <w:p w14:paraId="70599C24" w14:textId="77777777" w:rsidR="00425905" w:rsidRPr="00FA51A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pPr>
            <w:r w:rsidRPr="005A1FAA">
              <w:t>0.631</w:t>
            </w:r>
            <w:r>
              <w:t>*</w:t>
            </w:r>
          </w:p>
        </w:tc>
        <w:tc>
          <w:tcPr>
            <w:tcW w:w="1125" w:type="pct"/>
          </w:tcPr>
          <w:p w14:paraId="38C80E82" w14:textId="77777777" w:rsidR="00425905" w:rsidRPr="00FA51A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pPr>
            <w:r w:rsidRPr="005A1FAA">
              <w:t>0.549</w:t>
            </w:r>
          </w:p>
        </w:tc>
        <w:tc>
          <w:tcPr>
            <w:tcW w:w="1100" w:type="pct"/>
          </w:tcPr>
          <w:p w14:paraId="6DE16DC3" w14:textId="77777777" w:rsidR="00425905" w:rsidRPr="00FA51A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pPr>
            <w:r w:rsidRPr="005A1FAA">
              <w:t>0.725</w:t>
            </w:r>
          </w:p>
        </w:tc>
      </w:tr>
      <w:tr w:rsidR="00425905" w:rsidRPr="004B5487" w14:paraId="19225169"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40730E6F" w14:textId="77777777" w:rsidR="00425905" w:rsidRPr="004B5487" w:rsidRDefault="00425905" w:rsidP="00D11E39">
            <w:pPr>
              <w:adjustRightInd w:val="0"/>
              <w:spacing w:after="60"/>
              <w:rPr>
                <w:bCs/>
                <w:color w:val="000000"/>
                <w:szCs w:val="20"/>
              </w:rPr>
            </w:pPr>
            <w:r w:rsidRPr="004B5487">
              <w:rPr>
                <w:bCs/>
                <w:color w:val="000000"/>
                <w:szCs w:val="20"/>
              </w:rPr>
              <w:t>Disability / No disability</w:t>
            </w:r>
          </w:p>
        </w:tc>
        <w:tc>
          <w:tcPr>
            <w:tcW w:w="600" w:type="pct"/>
          </w:tcPr>
          <w:p w14:paraId="18FDA20D"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0.709</w:t>
            </w:r>
            <w:r>
              <w:t>*</w:t>
            </w:r>
          </w:p>
        </w:tc>
        <w:tc>
          <w:tcPr>
            <w:tcW w:w="1125" w:type="pct"/>
          </w:tcPr>
          <w:p w14:paraId="553E8B83"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0.608</w:t>
            </w:r>
          </w:p>
        </w:tc>
        <w:tc>
          <w:tcPr>
            <w:tcW w:w="1100" w:type="pct"/>
          </w:tcPr>
          <w:p w14:paraId="5B7B02AB" w14:textId="77777777" w:rsidR="00425905" w:rsidRPr="004B5487"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0.827</w:t>
            </w:r>
          </w:p>
        </w:tc>
      </w:tr>
      <w:tr w:rsidR="00425905" w:rsidRPr="004B5487" w14:paraId="2C5F6DFB"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5499E337" w14:textId="063CF7C0" w:rsidR="00425905" w:rsidRPr="004B5487" w:rsidRDefault="00425905" w:rsidP="00D11E39">
            <w:pPr>
              <w:adjustRightInd w:val="0"/>
              <w:spacing w:after="60"/>
              <w:rPr>
                <w:bCs/>
                <w:color w:val="000000"/>
                <w:szCs w:val="20"/>
              </w:rPr>
            </w:pPr>
            <w:r w:rsidRPr="004B5487">
              <w:rPr>
                <w:bCs/>
                <w:color w:val="000000"/>
                <w:szCs w:val="20"/>
              </w:rPr>
              <w:t xml:space="preserve">Good English skills / Poor </w:t>
            </w:r>
            <w:r w:rsidR="00140024">
              <w:rPr>
                <w:bCs/>
                <w:color w:val="000000"/>
                <w:szCs w:val="20"/>
              </w:rPr>
              <w:t>or combination</w:t>
            </w:r>
            <w:r w:rsidRPr="004B5487">
              <w:rPr>
                <w:bCs/>
                <w:color w:val="000000"/>
                <w:szCs w:val="20"/>
              </w:rPr>
              <w:t xml:space="preserve"> of good and poor</w:t>
            </w:r>
          </w:p>
        </w:tc>
        <w:tc>
          <w:tcPr>
            <w:tcW w:w="600" w:type="pct"/>
          </w:tcPr>
          <w:p w14:paraId="2EAE860E"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1.350</w:t>
            </w:r>
            <w:r>
              <w:t>*</w:t>
            </w:r>
          </w:p>
        </w:tc>
        <w:tc>
          <w:tcPr>
            <w:tcW w:w="1125" w:type="pct"/>
          </w:tcPr>
          <w:p w14:paraId="78598F17"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1.171</w:t>
            </w:r>
          </w:p>
        </w:tc>
        <w:tc>
          <w:tcPr>
            <w:tcW w:w="1100" w:type="pct"/>
          </w:tcPr>
          <w:p w14:paraId="1ED3548D" w14:textId="77777777" w:rsidR="00425905" w:rsidRPr="004B5487"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1.555</w:t>
            </w:r>
          </w:p>
        </w:tc>
      </w:tr>
      <w:tr w:rsidR="00425905" w:rsidRPr="004B5487" w14:paraId="04E0C027"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640AF7F8" w14:textId="77777777" w:rsidR="00425905" w:rsidRPr="004B5487" w:rsidRDefault="00425905" w:rsidP="00D11E39">
            <w:pPr>
              <w:adjustRightInd w:val="0"/>
              <w:spacing w:after="60"/>
              <w:rPr>
                <w:bCs/>
                <w:color w:val="000000"/>
                <w:szCs w:val="20"/>
              </w:rPr>
            </w:pPr>
            <w:r w:rsidRPr="00ED6857">
              <w:rPr>
                <w:rFonts w:cstheme="minorHAnsi"/>
                <w:bCs/>
                <w:color w:val="000000"/>
                <w:szCs w:val="20"/>
              </w:rPr>
              <w:t>More than once on income support / Other</w:t>
            </w:r>
            <w:r>
              <w:rPr>
                <w:rFonts w:cstheme="minorHAnsi"/>
                <w:bCs/>
                <w:color w:val="000000"/>
                <w:szCs w:val="20"/>
                <w:vertAlign w:val="superscript"/>
              </w:rPr>
              <w:t>2</w:t>
            </w:r>
          </w:p>
        </w:tc>
        <w:tc>
          <w:tcPr>
            <w:tcW w:w="600" w:type="pct"/>
          </w:tcPr>
          <w:p w14:paraId="13D7D15E" w14:textId="77777777" w:rsidR="00425905" w:rsidRPr="00B5772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5A1FAA">
              <w:t>0.841</w:t>
            </w:r>
            <w:r>
              <w:t>*</w:t>
            </w:r>
          </w:p>
        </w:tc>
        <w:tc>
          <w:tcPr>
            <w:tcW w:w="1125" w:type="pct"/>
          </w:tcPr>
          <w:p w14:paraId="5987C8AE" w14:textId="77777777" w:rsidR="00425905" w:rsidRPr="00B5772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5A1FAA">
              <w:t>0.763</w:t>
            </w:r>
          </w:p>
        </w:tc>
        <w:tc>
          <w:tcPr>
            <w:tcW w:w="1100" w:type="pct"/>
          </w:tcPr>
          <w:p w14:paraId="492AAAA1" w14:textId="77777777" w:rsidR="00425905" w:rsidRPr="00B57725" w:rsidRDefault="00425905" w:rsidP="00D11E39">
            <w:pPr>
              <w:adjustRightInd w:val="0"/>
              <w:spacing w:after="60"/>
              <w:jc w:val="center"/>
              <w:cnfStyle w:val="000000100000" w:firstRow="0" w:lastRow="0" w:firstColumn="0" w:lastColumn="0" w:oddVBand="0" w:evenVBand="0" w:oddHBand="1" w:evenHBand="0" w:firstRowFirstColumn="0" w:firstRowLastColumn="0" w:lastRowFirstColumn="0" w:lastRowLastColumn="0"/>
            </w:pPr>
            <w:r w:rsidRPr="005A1FAA">
              <w:t>0.928</w:t>
            </w:r>
          </w:p>
        </w:tc>
      </w:tr>
      <w:tr w:rsidR="00425905" w:rsidRPr="004B5487" w14:paraId="2D2F530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3D384D98" w14:textId="77777777" w:rsidR="00425905" w:rsidRPr="004B5487" w:rsidRDefault="00425905" w:rsidP="00D11E39">
            <w:pPr>
              <w:adjustRightInd w:val="0"/>
              <w:spacing w:after="60"/>
              <w:rPr>
                <w:bCs/>
                <w:color w:val="000000"/>
                <w:szCs w:val="20"/>
              </w:rPr>
            </w:pPr>
            <w:r w:rsidRPr="00ED6857">
              <w:rPr>
                <w:rFonts w:cstheme="minorHAnsi"/>
                <w:bCs/>
                <w:color w:val="000000"/>
                <w:szCs w:val="20"/>
              </w:rPr>
              <w:t xml:space="preserve">Personal factors – No impact </w:t>
            </w:r>
            <w:r>
              <w:rPr>
                <w:rFonts w:cstheme="minorHAnsi"/>
                <w:bCs/>
                <w:color w:val="000000"/>
                <w:szCs w:val="20"/>
              </w:rPr>
              <w:t>on employability</w:t>
            </w:r>
            <w:r w:rsidRPr="00ED6857">
              <w:rPr>
                <w:rFonts w:cstheme="minorHAnsi"/>
                <w:bCs/>
                <w:color w:val="000000"/>
                <w:szCs w:val="20"/>
              </w:rPr>
              <w:t xml:space="preserve"> / Some impact</w:t>
            </w:r>
          </w:p>
        </w:tc>
        <w:tc>
          <w:tcPr>
            <w:tcW w:w="600" w:type="pct"/>
          </w:tcPr>
          <w:p w14:paraId="34058740" w14:textId="77777777" w:rsidR="0042590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1.230</w:t>
            </w:r>
            <w:r>
              <w:t>*</w:t>
            </w:r>
          </w:p>
        </w:tc>
        <w:tc>
          <w:tcPr>
            <w:tcW w:w="1125" w:type="pct"/>
          </w:tcPr>
          <w:p w14:paraId="53228395" w14:textId="77777777" w:rsidR="0042590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1.072</w:t>
            </w:r>
          </w:p>
        </w:tc>
        <w:tc>
          <w:tcPr>
            <w:tcW w:w="1100" w:type="pct"/>
          </w:tcPr>
          <w:p w14:paraId="6E1EC318" w14:textId="77777777" w:rsidR="00425905" w:rsidRDefault="00425905" w:rsidP="00D11E39">
            <w:pPr>
              <w:adjustRightInd w:val="0"/>
              <w:spacing w:after="60"/>
              <w:jc w:val="center"/>
              <w:cnfStyle w:val="000000010000" w:firstRow="0" w:lastRow="0" w:firstColumn="0" w:lastColumn="0" w:oddVBand="0" w:evenVBand="0" w:oddHBand="0" w:evenHBand="1" w:firstRowFirstColumn="0" w:firstRowLastColumn="0" w:lastRowFirstColumn="0" w:lastRowLastColumn="0"/>
              <w:rPr>
                <w:color w:val="000000"/>
                <w:szCs w:val="20"/>
              </w:rPr>
            </w:pPr>
            <w:r w:rsidRPr="005A1FAA">
              <w:t>1.412</w:t>
            </w:r>
          </w:p>
        </w:tc>
      </w:tr>
      <w:tr w:rsidR="00425905" w:rsidRPr="004B5487" w14:paraId="634FD7F8"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B8FF468" w14:textId="77777777" w:rsidR="00425905" w:rsidRPr="004B5487" w:rsidRDefault="00425905" w:rsidP="00D11E39">
            <w:pPr>
              <w:keepNext/>
              <w:adjustRightInd w:val="0"/>
              <w:spacing w:after="60"/>
              <w:rPr>
                <w:bCs/>
                <w:color w:val="000000"/>
                <w:szCs w:val="20"/>
              </w:rPr>
            </w:pPr>
            <w:r w:rsidRPr="004B5487">
              <w:rPr>
                <w:rFonts w:cstheme="minorHAnsi"/>
                <w:szCs w:val="20"/>
              </w:rPr>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600" w:type="pct"/>
          </w:tcPr>
          <w:p w14:paraId="2C9FDF3F"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1.004</w:t>
            </w:r>
            <w:r>
              <w:t>*</w:t>
            </w:r>
          </w:p>
        </w:tc>
        <w:tc>
          <w:tcPr>
            <w:tcW w:w="1125" w:type="pct"/>
          </w:tcPr>
          <w:p w14:paraId="0C4446D6"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1.001</w:t>
            </w:r>
          </w:p>
        </w:tc>
        <w:tc>
          <w:tcPr>
            <w:tcW w:w="1100" w:type="pct"/>
          </w:tcPr>
          <w:p w14:paraId="325E3624" w14:textId="77777777" w:rsidR="00425905" w:rsidRPr="004B5487" w:rsidRDefault="00425905" w:rsidP="00D11E39">
            <w:pPr>
              <w:keepNext/>
              <w:adjustRightInd w:val="0"/>
              <w:spacing w:after="6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5A1FAA">
              <w:t>1.007</w:t>
            </w:r>
          </w:p>
        </w:tc>
      </w:tr>
    </w:tbl>
    <w:p w14:paraId="5743B7D6" w14:textId="77777777" w:rsidR="00FF6E16" w:rsidRPr="00A80EA6" w:rsidRDefault="00FF6E16" w:rsidP="00FF6E16">
      <w:pPr>
        <w:pStyle w:val="SourceandNotes"/>
      </w:pPr>
      <w:bookmarkStart w:id="4151" w:name="_Hlk110970898"/>
      <w:r w:rsidRPr="00A80EA6">
        <w:t xml:space="preserve">Base: n (excluding missing) = </w:t>
      </w:r>
      <w:r>
        <w:t>16,278</w:t>
      </w:r>
    </w:p>
    <w:p w14:paraId="23CF87C9" w14:textId="543B30E3" w:rsidR="00F8391B" w:rsidRDefault="00FF6E16" w:rsidP="00FF6E16">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68109320" w14:textId="7DCF4802" w:rsidR="00F8391B" w:rsidRDefault="00131572" w:rsidP="00FF6E16">
      <w:pPr>
        <w:pStyle w:val="SourceandNotes"/>
      </w:pPr>
      <w:r>
        <w:t xml:space="preserve">2. </w:t>
      </w:r>
      <w:r w:rsidR="00F8391B">
        <w:t>‘</w:t>
      </w:r>
      <w:r>
        <w:t>Other</w:t>
      </w:r>
      <w:r w:rsidR="00F8391B">
        <w:t>’</w:t>
      </w:r>
      <w:r>
        <w:t xml:space="preserve"> includes the following categories: </w:t>
      </w:r>
      <w:r w:rsidR="00F8391B">
        <w:t>‘</w:t>
      </w:r>
      <w:r>
        <w:t>Received Crisis Payment</w:t>
      </w:r>
      <w:r w:rsidR="00F8391B">
        <w:t>’</w:t>
      </w:r>
      <w:r>
        <w:t xml:space="preserve">, </w:t>
      </w:r>
      <w:r w:rsidR="00F8391B">
        <w:t>‘</w:t>
      </w:r>
      <w:r>
        <w:t>Received Crisis Payment + Multiple spells on income support</w:t>
      </w:r>
      <w:r w:rsidR="00F8391B">
        <w:t>’</w:t>
      </w:r>
      <w:r>
        <w:t xml:space="preserve">, </w:t>
      </w:r>
      <w:r w:rsidR="00F8391B">
        <w:t>‘</w:t>
      </w:r>
      <w:r>
        <w:t>All others</w:t>
      </w:r>
      <w:r w:rsidR="00F8391B">
        <w:t>’</w:t>
      </w:r>
    </w:p>
    <w:p w14:paraId="5BF07EDB" w14:textId="140A62E0" w:rsidR="00FF6E16" w:rsidRPr="006333E9" w:rsidRDefault="00FF6E16" w:rsidP="00FF6E16">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1DF75A90" w14:textId="3C4825A7" w:rsidR="00905B9D" w:rsidRDefault="00075A76" w:rsidP="00075A76">
      <w:pPr>
        <w:pStyle w:val="Caption"/>
        <w:keepNext/>
      </w:pPr>
      <w:bookmarkStart w:id="4152" w:name="_Toc132647818"/>
      <w:bookmarkStart w:id="4153" w:name="_Toc145877332"/>
      <w:bookmarkEnd w:id="4151"/>
      <w:r>
        <w:t xml:space="preserve">Table </w:t>
      </w:r>
      <w:r>
        <w:fldChar w:fldCharType="begin"/>
      </w:r>
      <w:r>
        <w:instrText>SEQ Table \* ARABIC</w:instrText>
      </w:r>
      <w:r>
        <w:fldChar w:fldCharType="separate"/>
      </w:r>
      <w:r w:rsidR="00180E14">
        <w:rPr>
          <w:noProof/>
        </w:rPr>
        <w:t>43</w:t>
      </w:r>
      <w:r>
        <w:fldChar w:fldCharType="end"/>
      </w:r>
      <w:r>
        <w:t xml:space="preserve">: </w:t>
      </w:r>
      <w:r w:rsidRPr="00094BDD">
        <w:t xml:space="preserve">Logistic regression model – impact of TtW on probability of </w:t>
      </w:r>
      <w:r>
        <w:t xml:space="preserve">reducing reliance on </w:t>
      </w:r>
      <w:r w:rsidRPr="00094BDD">
        <w:t xml:space="preserve">income support </w:t>
      </w:r>
      <w:r w:rsidR="00CE7617">
        <w:t>(</w:t>
      </w:r>
      <w:r w:rsidR="00140024">
        <w:t>l</w:t>
      </w:r>
      <w:r w:rsidR="00CE7617">
        <w:t xml:space="preserve">abour </w:t>
      </w:r>
      <w:r w:rsidR="00140024">
        <w:t>m</w:t>
      </w:r>
      <w:r w:rsidR="00CE7617">
        <w:t xml:space="preserve">arket </w:t>
      </w:r>
      <w:r w:rsidR="00140024">
        <w:t>a</w:t>
      </w:r>
      <w:r w:rsidR="00CE7617">
        <w:t>ttachment)</w:t>
      </w:r>
      <w:r w:rsidR="00CE7617" w:rsidRPr="00D22D95">
        <w:t xml:space="preserve"> </w:t>
      </w:r>
      <w:r w:rsidR="00905B9D">
        <w:t>at</w:t>
      </w:r>
      <w:r w:rsidRPr="00094BDD">
        <w:t xml:space="preserve"> </w:t>
      </w:r>
      <w:r>
        <w:t>6</w:t>
      </w:r>
      <w:r w:rsidRPr="00094BDD">
        <w:t xml:space="preserve"> months after commencement</w:t>
      </w:r>
      <w:bookmarkEnd w:id="4152"/>
      <w:bookmarkEnd w:id="4153"/>
    </w:p>
    <w:tbl>
      <w:tblPr>
        <w:tblStyle w:val="TtWReportTableTemplate2"/>
        <w:tblW w:w="9497" w:type="dxa"/>
        <w:tblLook w:val="04A0" w:firstRow="1" w:lastRow="0" w:firstColumn="1" w:lastColumn="0" w:noHBand="0" w:noVBand="1"/>
      </w:tblPr>
      <w:tblGrid>
        <w:gridCol w:w="4253"/>
        <w:gridCol w:w="1417"/>
        <w:gridCol w:w="1984"/>
        <w:gridCol w:w="1843"/>
      </w:tblGrid>
      <w:tr w:rsidR="00905B9D" w:rsidRPr="00346BB7" w14:paraId="7018B75B" w14:textId="77777777" w:rsidTr="00674AE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253" w:type="dxa"/>
            <w:shd w:val="clear" w:color="auto" w:fill="5D7A38"/>
            <w:noWrap/>
            <w:hideMark/>
          </w:tcPr>
          <w:p w14:paraId="3559F572" w14:textId="77777777" w:rsidR="00905B9D" w:rsidRPr="00346BB7" w:rsidRDefault="00905B9D" w:rsidP="00D11E39">
            <w:pPr>
              <w:spacing w:after="0" w:line="240" w:lineRule="auto"/>
              <w:rPr>
                <w:rFonts w:eastAsia="Times New Roman" w:cs="Calibri"/>
                <w:lang w:eastAsia="en-AU"/>
              </w:rPr>
            </w:pPr>
            <w:r w:rsidRPr="00346BB7">
              <w:rPr>
                <w:rFonts w:eastAsia="Times New Roman" w:cs="Calibri"/>
                <w:lang w:eastAsia="en-AU"/>
              </w:rPr>
              <w:t>Variable</w:t>
            </w:r>
          </w:p>
        </w:tc>
        <w:tc>
          <w:tcPr>
            <w:tcW w:w="1417" w:type="dxa"/>
            <w:shd w:val="clear" w:color="auto" w:fill="5D7A38"/>
            <w:noWrap/>
            <w:hideMark/>
          </w:tcPr>
          <w:p w14:paraId="5729D38E" w14:textId="77777777" w:rsidR="00905B9D" w:rsidRPr="00346BB7" w:rsidRDefault="00905B9D" w:rsidP="00D11E3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Odds ratio</w:t>
            </w:r>
          </w:p>
        </w:tc>
        <w:tc>
          <w:tcPr>
            <w:tcW w:w="1984" w:type="dxa"/>
            <w:shd w:val="clear" w:color="auto" w:fill="5D7A38"/>
            <w:noWrap/>
            <w:hideMark/>
          </w:tcPr>
          <w:p w14:paraId="7AA5D0D0" w14:textId="3EE31F30" w:rsidR="00905B9D" w:rsidRPr="00346BB7" w:rsidRDefault="00905B9D"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Lower 95% </w:t>
            </w:r>
            <w:r w:rsidR="00140024">
              <w:rPr>
                <w:rFonts w:eastAsia="Times New Roman" w:cs="Calibri"/>
                <w:lang w:eastAsia="en-AU"/>
              </w:rPr>
              <w:t>c</w:t>
            </w:r>
            <w:r w:rsidRPr="00346BB7">
              <w:rPr>
                <w:rFonts w:eastAsia="Times New Roman" w:cs="Calibri"/>
                <w:lang w:eastAsia="en-AU"/>
              </w:rPr>
              <w:t xml:space="preserve">onfidence </w:t>
            </w:r>
            <w:r w:rsidR="00140024">
              <w:rPr>
                <w:rFonts w:eastAsia="Times New Roman" w:cs="Calibri"/>
                <w:lang w:eastAsia="en-AU"/>
              </w:rPr>
              <w:t>l</w:t>
            </w:r>
            <w:r w:rsidRPr="00346BB7">
              <w:rPr>
                <w:rFonts w:eastAsia="Times New Roman" w:cs="Calibri"/>
                <w:lang w:eastAsia="en-AU"/>
              </w:rPr>
              <w:t>imit</w:t>
            </w:r>
          </w:p>
        </w:tc>
        <w:tc>
          <w:tcPr>
            <w:tcW w:w="1843" w:type="dxa"/>
            <w:shd w:val="clear" w:color="auto" w:fill="5D7A38"/>
            <w:noWrap/>
            <w:hideMark/>
          </w:tcPr>
          <w:p w14:paraId="4648C0C9" w14:textId="16D69265" w:rsidR="00905B9D" w:rsidRPr="00346BB7" w:rsidRDefault="00905B9D"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Upper 95% </w:t>
            </w:r>
            <w:r w:rsidR="00140024">
              <w:rPr>
                <w:rFonts w:eastAsia="Times New Roman" w:cs="Calibri"/>
                <w:lang w:eastAsia="en-AU"/>
              </w:rPr>
              <w:t>c</w:t>
            </w:r>
            <w:r w:rsidRPr="00346BB7">
              <w:rPr>
                <w:rFonts w:eastAsia="Times New Roman" w:cs="Calibri"/>
                <w:lang w:eastAsia="en-AU"/>
              </w:rPr>
              <w:t xml:space="preserve">onfidence </w:t>
            </w:r>
            <w:r w:rsidR="00140024">
              <w:rPr>
                <w:rFonts w:eastAsia="Times New Roman" w:cs="Calibri"/>
                <w:lang w:eastAsia="en-AU"/>
              </w:rPr>
              <w:t>l</w:t>
            </w:r>
            <w:r w:rsidRPr="00346BB7">
              <w:rPr>
                <w:rFonts w:eastAsia="Times New Roman" w:cs="Calibri"/>
                <w:lang w:eastAsia="en-AU"/>
              </w:rPr>
              <w:t>imits</w:t>
            </w:r>
          </w:p>
        </w:tc>
      </w:tr>
      <w:tr w:rsidR="00905B9D" w:rsidRPr="00346BB7" w14:paraId="1A6A78D9"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F3F242D" w14:textId="5E10EDF4" w:rsidR="00905B9D" w:rsidRPr="00346BB7" w:rsidRDefault="00905B9D" w:rsidP="00905B9D">
            <w:pPr>
              <w:spacing w:after="0" w:line="240" w:lineRule="auto"/>
              <w:rPr>
                <w:rFonts w:ascii="Calibri" w:eastAsia="Times New Roman" w:hAnsi="Calibri" w:cs="Calibri"/>
                <w:color w:val="000000"/>
                <w:lang w:eastAsia="en-AU"/>
              </w:rPr>
            </w:pPr>
            <w:r w:rsidRPr="004B5487">
              <w:rPr>
                <w:bCs/>
                <w:color w:val="000000"/>
                <w:szCs w:val="20"/>
              </w:rPr>
              <w:t xml:space="preserve">TtW / </w:t>
            </w:r>
            <w:r w:rsidR="00140024">
              <w:rPr>
                <w:bCs/>
                <w:color w:val="000000"/>
                <w:szCs w:val="20"/>
              </w:rPr>
              <w:t>jobactive</w:t>
            </w:r>
          </w:p>
        </w:tc>
        <w:tc>
          <w:tcPr>
            <w:tcW w:w="1417" w:type="dxa"/>
            <w:noWrap/>
            <w:hideMark/>
          </w:tcPr>
          <w:p w14:paraId="345BD7F2" w14:textId="263A5350"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0.803</w:t>
            </w:r>
            <w:r>
              <w:t>*</w:t>
            </w:r>
          </w:p>
        </w:tc>
        <w:tc>
          <w:tcPr>
            <w:tcW w:w="1984" w:type="dxa"/>
            <w:noWrap/>
            <w:hideMark/>
          </w:tcPr>
          <w:p w14:paraId="427833A8"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0.750</w:t>
            </w:r>
          </w:p>
        </w:tc>
        <w:tc>
          <w:tcPr>
            <w:tcW w:w="1843" w:type="dxa"/>
            <w:noWrap/>
            <w:hideMark/>
          </w:tcPr>
          <w:p w14:paraId="18629E95"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0.860</w:t>
            </w:r>
          </w:p>
        </w:tc>
      </w:tr>
      <w:tr w:rsidR="00905B9D" w:rsidRPr="00346BB7" w14:paraId="4418EDC4"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01AAD196" w14:textId="77777777" w:rsidR="00905B9D" w:rsidRPr="00346BB7" w:rsidRDefault="00905B9D" w:rsidP="00D11E39">
            <w:pPr>
              <w:spacing w:after="0" w:line="240" w:lineRule="auto"/>
              <w:rPr>
                <w:rFonts w:ascii="Calibri" w:eastAsia="Times New Roman" w:hAnsi="Calibri" w:cs="Calibri"/>
                <w:color w:val="000000"/>
                <w:lang w:eastAsia="en-AU"/>
              </w:rPr>
            </w:pPr>
            <w:r w:rsidRPr="004B5487">
              <w:rPr>
                <w:bCs/>
                <w:color w:val="000000"/>
                <w:szCs w:val="20"/>
              </w:rPr>
              <w:t>Female / Male</w:t>
            </w:r>
          </w:p>
        </w:tc>
        <w:tc>
          <w:tcPr>
            <w:tcW w:w="1417" w:type="dxa"/>
            <w:noWrap/>
            <w:hideMark/>
          </w:tcPr>
          <w:p w14:paraId="1137162D" w14:textId="269AF13E"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0.882</w:t>
            </w:r>
            <w:r>
              <w:t>*</w:t>
            </w:r>
          </w:p>
        </w:tc>
        <w:tc>
          <w:tcPr>
            <w:tcW w:w="1984" w:type="dxa"/>
            <w:noWrap/>
            <w:hideMark/>
          </w:tcPr>
          <w:p w14:paraId="095A760C"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0.825</w:t>
            </w:r>
          </w:p>
        </w:tc>
        <w:tc>
          <w:tcPr>
            <w:tcW w:w="1843" w:type="dxa"/>
            <w:noWrap/>
            <w:hideMark/>
          </w:tcPr>
          <w:p w14:paraId="6E6F6F97"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0.944</w:t>
            </w:r>
          </w:p>
        </w:tc>
      </w:tr>
      <w:tr w:rsidR="00905B9D" w:rsidRPr="00346BB7" w14:paraId="31F8ADFE"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0B664010" w14:textId="77777777" w:rsidR="00905B9D" w:rsidRPr="00346BB7" w:rsidRDefault="00905B9D" w:rsidP="00D11E39">
            <w:pPr>
              <w:spacing w:after="0" w:line="240" w:lineRule="auto"/>
              <w:rPr>
                <w:rFonts w:ascii="Calibri" w:eastAsia="Times New Roman" w:hAnsi="Calibri" w:cs="Calibri"/>
                <w:color w:val="000000"/>
                <w:lang w:eastAsia="en-AU"/>
              </w:rPr>
            </w:pPr>
            <w:r>
              <w:rPr>
                <w:bCs/>
                <w:color w:val="000000"/>
                <w:szCs w:val="20"/>
              </w:rPr>
              <w:t>Age (increased by 1 year)</w:t>
            </w:r>
          </w:p>
        </w:tc>
        <w:tc>
          <w:tcPr>
            <w:tcW w:w="1417" w:type="dxa"/>
            <w:noWrap/>
            <w:hideMark/>
          </w:tcPr>
          <w:p w14:paraId="6CB460B4" w14:textId="21258E73"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1.050</w:t>
            </w:r>
            <w:r>
              <w:t>*</w:t>
            </w:r>
          </w:p>
        </w:tc>
        <w:tc>
          <w:tcPr>
            <w:tcW w:w="1984" w:type="dxa"/>
            <w:noWrap/>
            <w:hideMark/>
          </w:tcPr>
          <w:p w14:paraId="5EEED0C0"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1.025</w:t>
            </w:r>
          </w:p>
        </w:tc>
        <w:tc>
          <w:tcPr>
            <w:tcW w:w="1843" w:type="dxa"/>
            <w:noWrap/>
            <w:hideMark/>
          </w:tcPr>
          <w:p w14:paraId="0ACB3D3B"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1.075</w:t>
            </w:r>
          </w:p>
        </w:tc>
      </w:tr>
      <w:tr w:rsidR="00905B9D" w:rsidRPr="00346BB7" w14:paraId="5E8BD9F9"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2C37AD89" w14:textId="77777777" w:rsidR="00905B9D" w:rsidRPr="00346BB7" w:rsidRDefault="00905B9D" w:rsidP="00D11E39">
            <w:pPr>
              <w:spacing w:after="0" w:line="240" w:lineRule="auto"/>
              <w:rPr>
                <w:rFonts w:ascii="Calibri" w:eastAsia="Times New Roman" w:hAnsi="Calibri" w:cs="Calibri"/>
                <w:color w:val="000000"/>
                <w:lang w:eastAsia="en-AU"/>
              </w:rPr>
            </w:pPr>
            <w:r w:rsidRPr="004B5487">
              <w:rPr>
                <w:bCs/>
                <w:color w:val="000000"/>
                <w:szCs w:val="20"/>
              </w:rPr>
              <w:t>Non-Indigenous / Indigenous</w:t>
            </w:r>
          </w:p>
        </w:tc>
        <w:tc>
          <w:tcPr>
            <w:tcW w:w="1417" w:type="dxa"/>
            <w:noWrap/>
            <w:hideMark/>
          </w:tcPr>
          <w:p w14:paraId="6F092673" w14:textId="38D68AB9"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1.421</w:t>
            </w:r>
            <w:r>
              <w:t>*</w:t>
            </w:r>
          </w:p>
        </w:tc>
        <w:tc>
          <w:tcPr>
            <w:tcW w:w="1984" w:type="dxa"/>
            <w:noWrap/>
            <w:hideMark/>
          </w:tcPr>
          <w:p w14:paraId="4D150722"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1.305</w:t>
            </w:r>
          </w:p>
        </w:tc>
        <w:tc>
          <w:tcPr>
            <w:tcW w:w="1843" w:type="dxa"/>
            <w:noWrap/>
            <w:hideMark/>
          </w:tcPr>
          <w:p w14:paraId="3ABF78D8"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1.547</w:t>
            </w:r>
          </w:p>
        </w:tc>
      </w:tr>
      <w:tr w:rsidR="00905B9D" w:rsidRPr="00346BB7" w14:paraId="31FF8913"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63607B0" w14:textId="11A16EB1" w:rsidR="00905B9D" w:rsidRPr="00346BB7" w:rsidRDefault="00905B9D" w:rsidP="00D11E39">
            <w:pPr>
              <w:spacing w:after="0" w:line="240" w:lineRule="auto"/>
              <w:rPr>
                <w:rFonts w:ascii="Calibri" w:eastAsia="Times New Roman" w:hAnsi="Calibri" w:cs="Calibri"/>
                <w:color w:val="000000"/>
                <w:lang w:eastAsia="en-AU"/>
              </w:rPr>
            </w:pPr>
            <w:r w:rsidRPr="004B5487">
              <w:rPr>
                <w:bCs/>
                <w:color w:val="000000"/>
                <w:szCs w:val="20"/>
              </w:rPr>
              <w:t xml:space="preserve">Year </w:t>
            </w:r>
            <w:r w:rsidR="00140024">
              <w:rPr>
                <w:bCs/>
                <w:color w:val="000000"/>
                <w:szCs w:val="20"/>
              </w:rPr>
              <w:t>12 completer</w:t>
            </w:r>
            <w:r w:rsidRPr="004B5487">
              <w:rPr>
                <w:bCs/>
                <w:color w:val="000000"/>
                <w:szCs w:val="20"/>
              </w:rPr>
              <w:t xml:space="preserve"> / Non-Year 12</w:t>
            </w:r>
            <w:r>
              <w:rPr>
                <w:bCs/>
                <w:color w:val="000000"/>
                <w:szCs w:val="20"/>
              </w:rPr>
              <w:t xml:space="preserve"> c</w:t>
            </w:r>
            <w:r w:rsidRPr="004B5487">
              <w:rPr>
                <w:bCs/>
                <w:color w:val="000000"/>
                <w:szCs w:val="20"/>
              </w:rPr>
              <w:t>ompleter</w:t>
            </w:r>
          </w:p>
        </w:tc>
        <w:tc>
          <w:tcPr>
            <w:tcW w:w="1417" w:type="dxa"/>
            <w:noWrap/>
            <w:hideMark/>
          </w:tcPr>
          <w:p w14:paraId="51D1C9CC" w14:textId="1994B6D9"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1.598</w:t>
            </w:r>
            <w:r>
              <w:t>*</w:t>
            </w:r>
          </w:p>
        </w:tc>
        <w:tc>
          <w:tcPr>
            <w:tcW w:w="1984" w:type="dxa"/>
            <w:noWrap/>
            <w:hideMark/>
          </w:tcPr>
          <w:p w14:paraId="78376F4C"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1.487</w:t>
            </w:r>
          </w:p>
        </w:tc>
        <w:tc>
          <w:tcPr>
            <w:tcW w:w="1843" w:type="dxa"/>
            <w:noWrap/>
            <w:hideMark/>
          </w:tcPr>
          <w:p w14:paraId="01B5AECC"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1.718</w:t>
            </w:r>
          </w:p>
        </w:tc>
      </w:tr>
      <w:tr w:rsidR="00905B9D" w:rsidRPr="00346BB7" w14:paraId="3802C048"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33A63E4" w14:textId="21C9B6BB" w:rsidR="00905B9D" w:rsidRPr="00346BB7" w:rsidRDefault="00140024" w:rsidP="00D11E39">
            <w:pPr>
              <w:spacing w:after="0" w:line="240" w:lineRule="auto"/>
              <w:rPr>
                <w:rFonts w:ascii="Calibri" w:eastAsia="Times New Roman" w:hAnsi="Calibri" w:cs="Calibri"/>
                <w:color w:val="000000"/>
                <w:lang w:eastAsia="en-AU"/>
              </w:rPr>
            </w:pPr>
            <w:r>
              <w:rPr>
                <w:szCs w:val="20"/>
              </w:rPr>
              <w:t>No transport</w:t>
            </w:r>
            <w:r w:rsidR="00905B9D" w:rsidRPr="004B5487">
              <w:rPr>
                <w:szCs w:val="20"/>
              </w:rPr>
              <w:t xml:space="preserve"> / </w:t>
            </w:r>
            <w:r>
              <w:rPr>
                <w:szCs w:val="20"/>
              </w:rPr>
              <w:t>Public transport</w:t>
            </w:r>
          </w:p>
        </w:tc>
        <w:tc>
          <w:tcPr>
            <w:tcW w:w="1417" w:type="dxa"/>
            <w:noWrap/>
            <w:hideMark/>
          </w:tcPr>
          <w:p w14:paraId="6216DEF8" w14:textId="79375BED"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0.824</w:t>
            </w:r>
            <w:r>
              <w:t>*</w:t>
            </w:r>
          </w:p>
        </w:tc>
        <w:tc>
          <w:tcPr>
            <w:tcW w:w="1984" w:type="dxa"/>
            <w:noWrap/>
            <w:hideMark/>
          </w:tcPr>
          <w:p w14:paraId="2274B254"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0.711</w:t>
            </w:r>
          </w:p>
        </w:tc>
        <w:tc>
          <w:tcPr>
            <w:tcW w:w="1843" w:type="dxa"/>
            <w:noWrap/>
            <w:hideMark/>
          </w:tcPr>
          <w:p w14:paraId="71E9F902"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0.956</w:t>
            </w:r>
          </w:p>
        </w:tc>
      </w:tr>
      <w:tr w:rsidR="00905B9D" w:rsidRPr="00346BB7" w14:paraId="49EF5DC5"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5C975C0D" w14:textId="1E335F55" w:rsidR="00905B9D" w:rsidRPr="00346BB7" w:rsidRDefault="00140024" w:rsidP="00D11E39">
            <w:pPr>
              <w:spacing w:after="0" w:line="240" w:lineRule="auto"/>
              <w:rPr>
                <w:rFonts w:ascii="Calibri" w:eastAsia="Times New Roman" w:hAnsi="Calibri" w:cs="Calibri"/>
                <w:color w:val="000000"/>
                <w:lang w:eastAsia="en-AU"/>
              </w:rPr>
            </w:pPr>
            <w:r>
              <w:rPr>
                <w:szCs w:val="20"/>
              </w:rPr>
              <w:t>Private transport</w:t>
            </w:r>
            <w:r w:rsidR="00905B9D" w:rsidRPr="004B5487">
              <w:rPr>
                <w:szCs w:val="20"/>
              </w:rPr>
              <w:t xml:space="preserve"> / </w:t>
            </w:r>
            <w:r>
              <w:rPr>
                <w:szCs w:val="20"/>
              </w:rPr>
              <w:t>Public transport</w:t>
            </w:r>
          </w:p>
        </w:tc>
        <w:tc>
          <w:tcPr>
            <w:tcW w:w="1417" w:type="dxa"/>
            <w:noWrap/>
            <w:hideMark/>
          </w:tcPr>
          <w:p w14:paraId="35B34D05" w14:textId="5BCE7CAC"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1.490</w:t>
            </w:r>
            <w:r>
              <w:t>*</w:t>
            </w:r>
          </w:p>
        </w:tc>
        <w:tc>
          <w:tcPr>
            <w:tcW w:w="1984" w:type="dxa"/>
            <w:noWrap/>
            <w:hideMark/>
          </w:tcPr>
          <w:p w14:paraId="3A9E7AAE"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1.387</w:t>
            </w:r>
          </w:p>
        </w:tc>
        <w:tc>
          <w:tcPr>
            <w:tcW w:w="1843" w:type="dxa"/>
            <w:noWrap/>
            <w:hideMark/>
          </w:tcPr>
          <w:p w14:paraId="6CD53216"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1.600</w:t>
            </w:r>
          </w:p>
        </w:tc>
      </w:tr>
      <w:tr w:rsidR="00905B9D" w:rsidRPr="00346BB7" w14:paraId="073CBD2B"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EED1811" w14:textId="7CAC5912" w:rsidR="00905B9D" w:rsidRPr="00346BB7" w:rsidRDefault="00905B9D" w:rsidP="00D11E39">
            <w:pPr>
              <w:spacing w:after="0" w:line="240" w:lineRule="auto"/>
              <w:rPr>
                <w:rFonts w:ascii="Calibri" w:eastAsia="Times New Roman" w:hAnsi="Calibri" w:cs="Calibri"/>
                <w:color w:val="000000"/>
                <w:lang w:eastAsia="en-AU"/>
              </w:rPr>
            </w:pPr>
            <w:r w:rsidRPr="004B5487">
              <w:rPr>
                <w:bCs/>
                <w:color w:val="000000"/>
                <w:szCs w:val="20"/>
              </w:rPr>
              <w:t>St</w:t>
            </w:r>
            <w:r w:rsidR="00140024">
              <w:rPr>
                <w:bCs/>
                <w:color w:val="000000"/>
                <w:szCs w:val="20"/>
              </w:rPr>
              <w:t>able residence</w:t>
            </w:r>
            <w:r w:rsidRPr="004B5487">
              <w:rPr>
                <w:bCs/>
                <w:color w:val="000000"/>
                <w:szCs w:val="20"/>
              </w:rPr>
              <w:t xml:space="preserve"> / Unst</w:t>
            </w:r>
            <w:r w:rsidR="00140024">
              <w:rPr>
                <w:bCs/>
                <w:color w:val="000000"/>
                <w:szCs w:val="20"/>
              </w:rPr>
              <w:t>able residence</w:t>
            </w:r>
          </w:p>
        </w:tc>
        <w:tc>
          <w:tcPr>
            <w:tcW w:w="1417" w:type="dxa"/>
            <w:noWrap/>
            <w:hideMark/>
          </w:tcPr>
          <w:p w14:paraId="68C14BA5" w14:textId="1B91A9C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1.410</w:t>
            </w:r>
            <w:r>
              <w:t>*</w:t>
            </w:r>
          </w:p>
        </w:tc>
        <w:tc>
          <w:tcPr>
            <w:tcW w:w="1984" w:type="dxa"/>
            <w:noWrap/>
            <w:hideMark/>
          </w:tcPr>
          <w:p w14:paraId="5A7FE25D"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1.260</w:t>
            </w:r>
          </w:p>
        </w:tc>
        <w:tc>
          <w:tcPr>
            <w:tcW w:w="1843" w:type="dxa"/>
            <w:noWrap/>
            <w:hideMark/>
          </w:tcPr>
          <w:p w14:paraId="771BF96D"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1.578</w:t>
            </w:r>
          </w:p>
        </w:tc>
      </w:tr>
      <w:tr w:rsidR="00905B9D" w:rsidRPr="00346BB7" w14:paraId="27D58730"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4031C3C2" w14:textId="6D47F090" w:rsidR="00905B9D" w:rsidRPr="00346BB7" w:rsidRDefault="00905B9D" w:rsidP="00D11E39">
            <w:pPr>
              <w:spacing w:after="0" w:line="240" w:lineRule="auto"/>
              <w:rPr>
                <w:rFonts w:ascii="Calibri" w:eastAsia="Times New Roman" w:hAnsi="Calibri" w:cs="Calibri"/>
                <w:color w:val="000000"/>
                <w:lang w:eastAsia="en-AU"/>
              </w:rPr>
            </w:pPr>
            <w:r w:rsidRPr="004B5487">
              <w:rPr>
                <w:szCs w:val="20"/>
              </w:rPr>
              <w:t xml:space="preserve">History </w:t>
            </w:r>
            <w:r w:rsidR="00140024">
              <w:rPr>
                <w:szCs w:val="20"/>
              </w:rPr>
              <w:t>of paid or unpaid work</w:t>
            </w:r>
            <w:r w:rsidRPr="004B5487">
              <w:rPr>
                <w:szCs w:val="20"/>
              </w:rPr>
              <w:t xml:space="preserve"> / Was not </w:t>
            </w:r>
            <w:r>
              <w:rPr>
                <w:szCs w:val="20"/>
              </w:rPr>
              <w:t>w</w:t>
            </w:r>
            <w:r w:rsidRPr="004B5487">
              <w:rPr>
                <w:szCs w:val="20"/>
              </w:rPr>
              <w:t>orking</w:t>
            </w:r>
          </w:p>
        </w:tc>
        <w:tc>
          <w:tcPr>
            <w:tcW w:w="1417" w:type="dxa"/>
            <w:noWrap/>
            <w:hideMark/>
          </w:tcPr>
          <w:p w14:paraId="502FB89A" w14:textId="3E2B0239"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1.775</w:t>
            </w:r>
            <w:r>
              <w:t>*</w:t>
            </w:r>
          </w:p>
        </w:tc>
        <w:tc>
          <w:tcPr>
            <w:tcW w:w="1984" w:type="dxa"/>
            <w:noWrap/>
            <w:hideMark/>
          </w:tcPr>
          <w:p w14:paraId="51C9BE97"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1.633</w:t>
            </w:r>
          </w:p>
        </w:tc>
        <w:tc>
          <w:tcPr>
            <w:tcW w:w="1843" w:type="dxa"/>
            <w:noWrap/>
            <w:hideMark/>
          </w:tcPr>
          <w:p w14:paraId="43A18E1B"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1.928</w:t>
            </w:r>
          </w:p>
        </w:tc>
      </w:tr>
      <w:tr w:rsidR="00905B9D" w:rsidRPr="00346BB7" w14:paraId="01051EDF" w14:textId="77777777" w:rsidTr="009251AF">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253" w:type="dxa"/>
            <w:noWrap/>
            <w:hideMark/>
          </w:tcPr>
          <w:p w14:paraId="13DC933F" w14:textId="7BE4A75D" w:rsidR="00905B9D" w:rsidRPr="00346BB7" w:rsidRDefault="00905B9D" w:rsidP="00D11E39">
            <w:pPr>
              <w:spacing w:after="0" w:line="240" w:lineRule="auto"/>
              <w:rPr>
                <w:rFonts w:ascii="Calibri" w:eastAsia="Times New Roman" w:hAnsi="Calibri" w:cs="Calibri"/>
                <w:color w:val="000000"/>
                <w:lang w:eastAsia="en-AU"/>
              </w:rPr>
            </w:pPr>
            <w:r w:rsidRPr="00346BB7">
              <w:rPr>
                <w:rFonts w:ascii="Calibri" w:eastAsia="Times New Roman" w:hAnsi="Calibri" w:cs="Calibri"/>
                <w:color w:val="000000"/>
                <w:lang w:eastAsia="en-AU"/>
              </w:rPr>
              <w:t>Disability</w:t>
            </w:r>
            <w:r>
              <w:rPr>
                <w:rFonts w:ascii="Calibri" w:eastAsia="Times New Roman" w:hAnsi="Calibri" w:cs="Calibri"/>
                <w:color w:val="000000"/>
                <w:lang w:eastAsia="en-AU"/>
              </w:rPr>
              <w:t xml:space="preserve"> / </w:t>
            </w:r>
            <w:r w:rsidR="00140024">
              <w:rPr>
                <w:rFonts w:ascii="Calibri" w:eastAsia="Times New Roman" w:hAnsi="Calibri" w:cs="Calibri"/>
                <w:color w:val="000000"/>
                <w:lang w:eastAsia="en-AU"/>
              </w:rPr>
              <w:t>No disability</w:t>
            </w:r>
          </w:p>
        </w:tc>
        <w:tc>
          <w:tcPr>
            <w:tcW w:w="1417" w:type="dxa"/>
            <w:noWrap/>
            <w:hideMark/>
          </w:tcPr>
          <w:p w14:paraId="1009922F" w14:textId="2AECCA54"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0.788</w:t>
            </w:r>
            <w:r>
              <w:t>*</w:t>
            </w:r>
          </w:p>
        </w:tc>
        <w:tc>
          <w:tcPr>
            <w:tcW w:w="1984" w:type="dxa"/>
            <w:noWrap/>
            <w:hideMark/>
          </w:tcPr>
          <w:p w14:paraId="5A39D4B0"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0.681</w:t>
            </w:r>
          </w:p>
        </w:tc>
        <w:tc>
          <w:tcPr>
            <w:tcW w:w="1843" w:type="dxa"/>
            <w:noWrap/>
            <w:hideMark/>
          </w:tcPr>
          <w:p w14:paraId="77A145F1"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0.912</w:t>
            </w:r>
          </w:p>
        </w:tc>
      </w:tr>
      <w:tr w:rsidR="00905B9D" w:rsidRPr="00346BB7" w14:paraId="5FB2B227"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C7E0F47" w14:textId="0DF5A016" w:rsidR="00905B9D" w:rsidRPr="00346BB7" w:rsidRDefault="00905B9D" w:rsidP="00D11E39">
            <w:pPr>
              <w:spacing w:after="0" w:line="240" w:lineRule="auto"/>
              <w:rPr>
                <w:rFonts w:ascii="Calibri" w:eastAsia="Times New Roman" w:hAnsi="Calibri" w:cs="Calibri"/>
                <w:color w:val="000000"/>
                <w:lang w:eastAsia="en-AU"/>
              </w:rPr>
            </w:pPr>
            <w:r w:rsidRPr="004B5487">
              <w:rPr>
                <w:bCs/>
                <w:color w:val="000000"/>
                <w:szCs w:val="20"/>
              </w:rPr>
              <w:t xml:space="preserve">Good English skills / Poor </w:t>
            </w:r>
            <w:r w:rsidR="00140024">
              <w:rPr>
                <w:bCs/>
                <w:color w:val="000000"/>
                <w:szCs w:val="20"/>
              </w:rPr>
              <w:t>or combination</w:t>
            </w:r>
            <w:r w:rsidRPr="004B5487">
              <w:rPr>
                <w:bCs/>
                <w:color w:val="000000"/>
                <w:szCs w:val="20"/>
              </w:rPr>
              <w:t xml:space="preserve"> of good and poor</w:t>
            </w:r>
          </w:p>
        </w:tc>
        <w:tc>
          <w:tcPr>
            <w:tcW w:w="1417" w:type="dxa"/>
            <w:noWrap/>
            <w:hideMark/>
          </w:tcPr>
          <w:p w14:paraId="4B1CEE76" w14:textId="591AC8EA"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1.615</w:t>
            </w:r>
            <w:r>
              <w:t>*</w:t>
            </w:r>
          </w:p>
        </w:tc>
        <w:tc>
          <w:tcPr>
            <w:tcW w:w="1984" w:type="dxa"/>
            <w:noWrap/>
            <w:hideMark/>
          </w:tcPr>
          <w:p w14:paraId="2FF4F7BD"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1.403</w:t>
            </w:r>
          </w:p>
        </w:tc>
        <w:tc>
          <w:tcPr>
            <w:tcW w:w="1843" w:type="dxa"/>
            <w:noWrap/>
            <w:hideMark/>
          </w:tcPr>
          <w:p w14:paraId="63D0E374"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1.861</w:t>
            </w:r>
          </w:p>
        </w:tc>
      </w:tr>
      <w:tr w:rsidR="00905B9D" w:rsidRPr="00346BB7" w14:paraId="76711B67"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65697A47" w14:textId="77777777" w:rsidR="00905B9D" w:rsidRPr="00346BB7" w:rsidRDefault="00905B9D" w:rsidP="00D11E39">
            <w:pPr>
              <w:spacing w:after="0" w:line="240" w:lineRule="auto"/>
              <w:rPr>
                <w:rFonts w:ascii="Calibri" w:eastAsia="Times New Roman" w:hAnsi="Calibri" w:cs="Calibri"/>
                <w:color w:val="000000"/>
                <w:lang w:eastAsia="en-AU"/>
              </w:rPr>
            </w:pPr>
            <w:r w:rsidRPr="00ED6857">
              <w:rPr>
                <w:rFonts w:cstheme="minorHAnsi"/>
                <w:bCs/>
                <w:color w:val="000000"/>
                <w:szCs w:val="20"/>
              </w:rPr>
              <w:t>Personal factors – No impact</w:t>
            </w:r>
            <w:r>
              <w:rPr>
                <w:rFonts w:cstheme="minorHAnsi"/>
                <w:bCs/>
                <w:color w:val="000000"/>
                <w:szCs w:val="20"/>
              </w:rPr>
              <w:t xml:space="preserve"> on employability</w:t>
            </w:r>
            <w:r w:rsidRPr="00ED6857">
              <w:rPr>
                <w:rFonts w:cstheme="minorHAnsi"/>
                <w:bCs/>
                <w:color w:val="000000"/>
                <w:szCs w:val="20"/>
              </w:rPr>
              <w:t xml:space="preserve"> / Some impact</w:t>
            </w:r>
          </w:p>
        </w:tc>
        <w:tc>
          <w:tcPr>
            <w:tcW w:w="1417" w:type="dxa"/>
            <w:noWrap/>
            <w:hideMark/>
          </w:tcPr>
          <w:p w14:paraId="1A84D627" w14:textId="739A8F06"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1.423</w:t>
            </w:r>
            <w:r>
              <w:t>*</w:t>
            </w:r>
          </w:p>
        </w:tc>
        <w:tc>
          <w:tcPr>
            <w:tcW w:w="1984" w:type="dxa"/>
            <w:noWrap/>
            <w:hideMark/>
          </w:tcPr>
          <w:p w14:paraId="75186045"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1.245</w:t>
            </w:r>
          </w:p>
        </w:tc>
        <w:tc>
          <w:tcPr>
            <w:tcW w:w="1843" w:type="dxa"/>
            <w:noWrap/>
            <w:hideMark/>
          </w:tcPr>
          <w:p w14:paraId="4332298F" w14:textId="77777777" w:rsidR="00905B9D" w:rsidRPr="00346BB7" w:rsidRDefault="00905B9D"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C05C31">
              <w:t>1.627</w:t>
            </w:r>
          </w:p>
        </w:tc>
      </w:tr>
      <w:tr w:rsidR="00905B9D" w:rsidRPr="00346BB7" w14:paraId="34852C2A"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6C35310E" w14:textId="77777777" w:rsidR="00905B9D" w:rsidRPr="00346BB7" w:rsidRDefault="00905B9D" w:rsidP="00D11E39">
            <w:pPr>
              <w:spacing w:after="0" w:line="240" w:lineRule="auto"/>
              <w:rPr>
                <w:rFonts w:ascii="Calibri" w:eastAsia="Times New Roman" w:hAnsi="Calibri" w:cs="Calibri"/>
                <w:color w:val="000000"/>
                <w:lang w:eastAsia="en-AU"/>
              </w:rPr>
            </w:pPr>
            <w:r w:rsidRPr="004B5487">
              <w:rPr>
                <w:rFonts w:cstheme="minorHAnsi"/>
                <w:szCs w:val="20"/>
              </w:rPr>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1417" w:type="dxa"/>
            <w:noWrap/>
            <w:hideMark/>
          </w:tcPr>
          <w:p w14:paraId="4FA7E2FE" w14:textId="0B6DC71A"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1.007</w:t>
            </w:r>
            <w:r>
              <w:t>*</w:t>
            </w:r>
          </w:p>
        </w:tc>
        <w:tc>
          <w:tcPr>
            <w:tcW w:w="1984" w:type="dxa"/>
            <w:noWrap/>
            <w:hideMark/>
          </w:tcPr>
          <w:p w14:paraId="76BBFC51"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1.004</w:t>
            </w:r>
          </w:p>
        </w:tc>
        <w:tc>
          <w:tcPr>
            <w:tcW w:w="1843" w:type="dxa"/>
            <w:noWrap/>
            <w:hideMark/>
          </w:tcPr>
          <w:p w14:paraId="24CBABA9" w14:textId="77777777" w:rsidR="00905B9D" w:rsidRPr="00346BB7" w:rsidRDefault="00905B9D"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C05C31">
              <w:t>1.010</w:t>
            </w:r>
          </w:p>
        </w:tc>
      </w:tr>
    </w:tbl>
    <w:p w14:paraId="16AF8226" w14:textId="77777777" w:rsidR="00905B9D" w:rsidRPr="00A80EA6" w:rsidRDefault="00905B9D" w:rsidP="00905B9D">
      <w:pPr>
        <w:pStyle w:val="SourceandNotes"/>
      </w:pPr>
      <w:r w:rsidRPr="00A80EA6">
        <w:lastRenderedPageBreak/>
        <w:t xml:space="preserve">Base: n (excluding missing) = </w:t>
      </w:r>
      <w:r>
        <w:t>16,278</w:t>
      </w:r>
    </w:p>
    <w:p w14:paraId="449840F1" w14:textId="7D9206F3" w:rsidR="00F8391B" w:rsidRDefault="00905B9D" w:rsidP="00905B9D">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6620A5CC" w14:textId="6621A238" w:rsidR="00905B9D" w:rsidRPr="006333E9" w:rsidRDefault="00905B9D" w:rsidP="00905B9D">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4C11079F" w14:textId="4246771A" w:rsidR="00427F78" w:rsidRDefault="00075A76" w:rsidP="00075A76">
      <w:pPr>
        <w:pStyle w:val="Caption"/>
        <w:keepNext/>
      </w:pPr>
      <w:bookmarkStart w:id="4154" w:name="_Toc132647819"/>
      <w:bookmarkStart w:id="4155" w:name="_Toc145877333"/>
      <w:r>
        <w:t xml:space="preserve">Table </w:t>
      </w:r>
      <w:r>
        <w:fldChar w:fldCharType="begin"/>
      </w:r>
      <w:r>
        <w:instrText>SEQ Table \* ARABIC</w:instrText>
      </w:r>
      <w:r>
        <w:fldChar w:fldCharType="separate"/>
      </w:r>
      <w:r w:rsidR="00180E14">
        <w:rPr>
          <w:noProof/>
        </w:rPr>
        <w:t>44</w:t>
      </w:r>
      <w:r>
        <w:fldChar w:fldCharType="end"/>
      </w:r>
      <w:r>
        <w:t xml:space="preserve">: </w:t>
      </w:r>
      <w:r w:rsidRPr="00094BDD">
        <w:t xml:space="preserve">Logistic regression model – impact of TtW on probability of </w:t>
      </w:r>
      <w:r>
        <w:t xml:space="preserve">reducing reliance on </w:t>
      </w:r>
      <w:r w:rsidRPr="00094BDD">
        <w:t>income support</w:t>
      </w:r>
      <w:r w:rsidR="00CE7617">
        <w:t xml:space="preserve"> (</w:t>
      </w:r>
      <w:r w:rsidR="001159FE">
        <w:t>labour market attachment</w:t>
      </w:r>
      <w:r w:rsidR="00CE7617">
        <w:t>)</w:t>
      </w:r>
      <w:r w:rsidR="00CE7617" w:rsidRPr="00D22D95">
        <w:t xml:space="preserve"> </w:t>
      </w:r>
      <w:r w:rsidR="00427F78">
        <w:t>at</w:t>
      </w:r>
      <w:r w:rsidRPr="00094BDD">
        <w:t xml:space="preserve"> </w:t>
      </w:r>
      <w:r>
        <w:t>12</w:t>
      </w:r>
      <w:r w:rsidRPr="00094BDD">
        <w:t xml:space="preserve"> months after commencement</w:t>
      </w:r>
      <w:bookmarkEnd w:id="4154"/>
      <w:bookmarkEnd w:id="4155"/>
    </w:p>
    <w:tbl>
      <w:tblPr>
        <w:tblStyle w:val="TtWReportTableTemplate2"/>
        <w:tblW w:w="9497" w:type="dxa"/>
        <w:tblLook w:val="04A0" w:firstRow="1" w:lastRow="0" w:firstColumn="1" w:lastColumn="0" w:noHBand="0" w:noVBand="1"/>
      </w:tblPr>
      <w:tblGrid>
        <w:gridCol w:w="4253"/>
        <w:gridCol w:w="1417"/>
        <w:gridCol w:w="1984"/>
        <w:gridCol w:w="1843"/>
      </w:tblGrid>
      <w:tr w:rsidR="00427F78" w:rsidRPr="00346BB7" w14:paraId="4BDB7ABF" w14:textId="77777777" w:rsidTr="00674AE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253" w:type="dxa"/>
            <w:shd w:val="clear" w:color="auto" w:fill="5D7A38"/>
            <w:noWrap/>
            <w:hideMark/>
          </w:tcPr>
          <w:p w14:paraId="445E3D52" w14:textId="77777777" w:rsidR="00427F78" w:rsidRPr="00346BB7" w:rsidRDefault="00427F78" w:rsidP="00D11E39">
            <w:pPr>
              <w:spacing w:after="0" w:line="240" w:lineRule="auto"/>
              <w:rPr>
                <w:rFonts w:eastAsia="Times New Roman" w:cs="Calibri"/>
                <w:lang w:eastAsia="en-AU"/>
              </w:rPr>
            </w:pPr>
            <w:bookmarkStart w:id="4156" w:name="_Hlk109936528"/>
            <w:r w:rsidRPr="00346BB7">
              <w:rPr>
                <w:rFonts w:eastAsia="Times New Roman" w:cs="Calibri"/>
                <w:lang w:eastAsia="en-AU"/>
              </w:rPr>
              <w:t>Variable</w:t>
            </w:r>
          </w:p>
        </w:tc>
        <w:tc>
          <w:tcPr>
            <w:tcW w:w="1417" w:type="dxa"/>
            <w:shd w:val="clear" w:color="auto" w:fill="5D7A38"/>
            <w:noWrap/>
            <w:hideMark/>
          </w:tcPr>
          <w:p w14:paraId="6E635578" w14:textId="77777777" w:rsidR="00427F78" w:rsidRPr="00346BB7" w:rsidRDefault="00427F78"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Odds ratio</w:t>
            </w:r>
          </w:p>
        </w:tc>
        <w:tc>
          <w:tcPr>
            <w:tcW w:w="1984" w:type="dxa"/>
            <w:shd w:val="clear" w:color="auto" w:fill="5D7A38"/>
            <w:noWrap/>
            <w:hideMark/>
          </w:tcPr>
          <w:p w14:paraId="73D2BEE6" w14:textId="13A1DC4B" w:rsidR="00427F78" w:rsidRPr="00346BB7" w:rsidRDefault="00427F78"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Lower 95% </w:t>
            </w:r>
            <w:r w:rsidR="001159FE">
              <w:rPr>
                <w:rFonts w:eastAsia="Times New Roman" w:cs="Calibri"/>
                <w:lang w:eastAsia="en-AU"/>
              </w:rPr>
              <w:t>confidence limit</w:t>
            </w:r>
          </w:p>
        </w:tc>
        <w:tc>
          <w:tcPr>
            <w:tcW w:w="1843" w:type="dxa"/>
            <w:shd w:val="clear" w:color="auto" w:fill="5D7A38"/>
            <w:noWrap/>
            <w:hideMark/>
          </w:tcPr>
          <w:p w14:paraId="76F26361" w14:textId="438CE44A" w:rsidR="00427F78" w:rsidRPr="00346BB7" w:rsidRDefault="00427F78"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Upper 95% </w:t>
            </w:r>
            <w:r w:rsidR="001159FE">
              <w:rPr>
                <w:rFonts w:eastAsia="Times New Roman" w:cs="Calibri"/>
                <w:lang w:eastAsia="en-AU"/>
              </w:rPr>
              <w:t>confidence limit</w:t>
            </w:r>
          </w:p>
        </w:tc>
      </w:tr>
      <w:tr w:rsidR="00427F78" w:rsidRPr="00346BB7" w14:paraId="4FF7D419"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E00CAA0" w14:textId="2B313616" w:rsidR="00427F78" w:rsidRPr="00346BB7" w:rsidRDefault="00427F78" w:rsidP="00D11E39">
            <w:pPr>
              <w:spacing w:after="0" w:line="240" w:lineRule="auto"/>
              <w:rPr>
                <w:rFonts w:ascii="Calibri" w:eastAsia="Times New Roman" w:hAnsi="Calibri" w:cs="Calibri"/>
                <w:color w:val="000000"/>
                <w:lang w:eastAsia="en-AU"/>
              </w:rPr>
            </w:pPr>
            <w:bookmarkStart w:id="4157" w:name="_Hlk110970396"/>
            <w:r w:rsidRPr="004B5487">
              <w:rPr>
                <w:bCs/>
                <w:color w:val="000000"/>
                <w:szCs w:val="20"/>
              </w:rPr>
              <w:t xml:space="preserve">TtW / </w:t>
            </w:r>
            <w:r w:rsidR="00140024">
              <w:rPr>
                <w:bCs/>
                <w:color w:val="000000"/>
                <w:szCs w:val="20"/>
              </w:rPr>
              <w:t>jobactive</w:t>
            </w:r>
          </w:p>
        </w:tc>
        <w:tc>
          <w:tcPr>
            <w:tcW w:w="1417" w:type="dxa"/>
            <w:noWrap/>
            <w:hideMark/>
          </w:tcPr>
          <w:p w14:paraId="3F6A42C7" w14:textId="62B10740"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0.870</w:t>
            </w:r>
            <w:r>
              <w:t>*</w:t>
            </w:r>
          </w:p>
        </w:tc>
        <w:tc>
          <w:tcPr>
            <w:tcW w:w="1984" w:type="dxa"/>
            <w:noWrap/>
            <w:hideMark/>
          </w:tcPr>
          <w:p w14:paraId="6A90A049"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0.815</w:t>
            </w:r>
          </w:p>
        </w:tc>
        <w:tc>
          <w:tcPr>
            <w:tcW w:w="1843" w:type="dxa"/>
            <w:noWrap/>
            <w:hideMark/>
          </w:tcPr>
          <w:p w14:paraId="4962021C"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0.930</w:t>
            </w:r>
          </w:p>
        </w:tc>
      </w:tr>
      <w:tr w:rsidR="00427F78" w:rsidRPr="00346BB7" w14:paraId="4D920615"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1909A72" w14:textId="77777777"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Female / Male</w:t>
            </w:r>
          </w:p>
        </w:tc>
        <w:tc>
          <w:tcPr>
            <w:tcW w:w="1417" w:type="dxa"/>
            <w:noWrap/>
            <w:hideMark/>
          </w:tcPr>
          <w:p w14:paraId="5381FFAC" w14:textId="3C70012F"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0.735</w:t>
            </w:r>
            <w:r>
              <w:t>*</w:t>
            </w:r>
          </w:p>
        </w:tc>
        <w:tc>
          <w:tcPr>
            <w:tcW w:w="1984" w:type="dxa"/>
            <w:noWrap/>
            <w:hideMark/>
          </w:tcPr>
          <w:p w14:paraId="3D3A57DB"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0.688</w:t>
            </w:r>
          </w:p>
        </w:tc>
        <w:tc>
          <w:tcPr>
            <w:tcW w:w="1843" w:type="dxa"/>
            <w:noWrap/>
            <w:hideMark/>
          </w:tcPr>
          <w:p w14:paraId="02493565"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0.786</w:t>
            </w:r>
          </w:p>
        </w:tc>
      </w:tr>
      <w:tr w:rsidR="00427F78" w:rsidRPr="00346BB7" w14:paraId="1A49AA66"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6003BC7" w14:textId="77777777" w:rsidR="00427F78" w:rsidRPr="00346BB7" w:rsidRDefault="00427F78" w:rsidP="00D11E39">
            <w:pPr>
              <w:spacing w:after="0" w:line="240" w:lineRule="auto"/>
              <w:rPr>
                <w:rFonts w:ascii="Calibri" w:eastAsia="Times New Roman" w:hAnsi="Calibri" w:cs="Calibri"/>
                <w:color w:val="000000"/>
                <w:lang w:eastAsia="en-AU"/>
              </w:rPr>
            </w:pPr>
            <w:r>
              <w:rPr>
                <w:bCs/>
                <w:color w:val="000000"/>
                <w:szCs w:val="20"/>
              </w:rPr>
              <w:t>Age (increased by 1 year)</w:t>
            </w:r>
          </w:p>
        </w:tc>
        <w:tc>
          <w:tcPr>
            <w:tcW w:w="1417" w:type="dxa"/>
            <w:noWrap/>
            <w:hideMark/>
          </w:tcPr>
          <w:p w14:paraId="02024492" w14:textId="2FEA473C"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1.061</w:t>
            </w:r>
            <w:r>
              <w:t>*</w:t>
            </w:r>
          </w:p>
        </w:tc>
        <w:tc>
          <w:tcPr>
            <w:tcW w:w="1984" w:type="dxa"/>
            <w:noWrap/>
            <w:hideMark/>
          </w:tcPr>
          <w:p w14:paraId="2C0D5182"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1.036</w:t>
            </w:r>
          </w:p>
        </w:tc>
        <w:tc>
          <w:tcPr>
            <w:tcW w:w="1843" w:type="dxa"/>
            <w:noWrap/>
            <w:hideMark/>
          </w:tcPr>
          <w:p w14:paraId="15FCB21C"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1.085</w:t>
            </w:r>
          </w:p>
        </w:tc>
      </w:tr>
      <w:tr w:rsidR="00427F78" w:rsidRPr="00346BB7" w14:paraId="78660727"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171AD6CF" w14:textId="77777777"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Non-Indigenous / Indigenous</w:t>
            </w:r>
          </w:p>
        </w:tc>
        <w:tc>
          <w:tcPr>
            <w:tcW w:w="1417" w:type="dxa"/>
            <w:noWrap/>
            <w:hideMark/>
          </w:tcPr>
          <w:p w14:paraId="7BAF8F2C" w14:textId="49BB967F"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1.540</w:t>
            </w:r>
            <w:r>
              <w:t>*</w:t>
            </w:r>
          </w:p>
        </w:tc>
        <w:tc>
          <w:tcPr>
            <w:tcW w:w="1984" w:type="dxa"/>
            <w:noWrap/>
            <w:hideMark/>
          </w:tcPr>
          <w:p w14:paraId="1914923C"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1.420</w:t>
            </w:r>
          </w:p>
        </w:tc>
        <w:tc>
          <w:tcPr>
            <w:tcW w:w="1843" w:type="dxa"/>
            <w:noWrap/>
            <w:hideMark/>
          </w:tcPr>
          <w:p w14:paraId="453AB607"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1.671</w:t>
            </w:r>
          </w:p>
        </w:tc>
      </w:tr>
      <w:tr w:rsidR="00427F78" w:rsidRPr="00346BB7" w14:paraId="03FC615E"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D2D507C" w14:textId="67F28DD3"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 xml:space="preserve">Year </w:t>
            </w:r>
            <w:r w:rsidR="00140024">
              <w:rPr>
                <w:bCs/>
                <w:color w:val="000000"/>
                <w:szCs w:val="20"/>
              </w:rPr>
              <w:t>12 completer</w:t>
            </w:r>
            <w:r w:rsidRPr="004B5487">
              <w:rPr>
                <w:bCs/>
                <w:color w:val="000000"/>
                <w:szCs w:val="20"/>
              </w:rPr>
              <w:t xml:space="preserve"> / Non-Year 12</w:t>
            </w:r>
            <w:r>
              <w:rPr>
                <w:bCs/>
                <w:color w:val="000000"/>
                <w:szCs w:val="20"/>
              </w:rPr>
              <w:t xml:space="preserve"> c</w:t>
            </w:r>
            <w:r w:rsidRPr="004B5487">
              <w:rPr>
                <w:bCs/>
                <w:color w:val="000000"/>
                <w:szCs w:val="20"/>
              </w:rPr>
              <w:t>ompleter</w:t>
            </w:r>
          </w:p>
        </w:tc>
        <w:tc>
          <w:tcPr>
            <w:tcW w:w="1417" w:type="dxa"/>
            <w:noWrap/>
            <w:hideMark/>
          </w:tcPr>
          <w:p w14:paraId="4E75A5D9" w14:textId="3C896DD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1.613</w:t>
            </w:r>
            <w:r>
              <w:t>*</w:t>
            </w:r>
          </w:p>
        </w:tc>
        <w:tc>
          <w:tcPr>
            <w:tcW w:w="1984" w:type="dxa"/>
            <w:noWrap/>
            <w:hideMark/>
          </w:tcPr>
          <w:p w14:paraId="126858F7"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1.501</w:t>
            </w:r>
          </w:p>
        </w:tc>
        <w:tc>
          <w:tcPr>
            <w:tcW w:w="1843" w:type="dxa"/>
            <w:noWrap/>
            <w:hideMark/>
          </w:tcPr>
          <w:p w14:paraId="4829BB1F"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1.732</w:t>
            </w:r>
          </w:p>
        </w:tc>
      </w:tr>
      <w:tr w:rsidR="00427F78" w:rsidRPr="00346BB7" w14:paraId="4AAC8CFB"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0430031B" w14:textId="3B793A22" w:rsidR="00427F78" w:rsidRPr="00346BB7" w:rsidRDefault="00140024" w:rsidP="00D11E39">
            <w:pPr>
              <w:spacing w:after="0" w:line="240" w:lineRule="auto"/>
              <w:rPr>
                <w:rFonts w:ascii="Calibri" w:eastAsia="Times New Roman" w:hAnsi="Calibri" w:cs="Calibri"/>
                <w:color w:val="000000"/>
                <w:lang w:eastAsia="en-AU"/>
              </w:rPr>
            </w:pPr>
            <w:r>
              <w:rPr>
                <w:szCs w:val="20"/>
              </w:rPr>
              <w:t>No transport</w:t>
            </w:r>
            <w:r w:rsidR="00427F78" w:rsidRPr="004B5487">
              <w:rPr>
                <w:szCs w:val="20"/>
              </w:rPr>
              <w:t xml:space="preserve"> / </w:t>
            </w:r>
            <w:r>
              <w:rPr>
                <w:szCs w:val="20"/>
              </w:rPr>
              <w:t>Public transport</w:t>
            </w:r>
          </w:p>
        </w:tc>
        <w:tc>
          <w:tcPr>
            <w:tcW w:w="1417" w:type="dxa"/>
            <w:noWrap/>
            <w:hideMark/>
          </w:tcPr>
          <w:p w14:paraId="40F3DFE0" w14:textId="7F479390"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0.825</w:t>
            </w:r>
            <w:r>
              <w:t>*</w:t>
            </w:r>
          </w:p>
        </w:tc>
        <w:tc>
          <w:tcPr>
            <w:tcW w:w="1984" w:type="dxa"/>
            <w:noWrap/>
            <w:hideMark/>
          </w:tcPr>
          <w:p w14:paraId="66E06FA3"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0.720</w:t>
            </w:r>
          </w:p>
        </w:tc>
        <w:tc>
          <w:tcPr>
            <w:tcW w:w="1843" w:type="dxa"/>
            <w:noWrap/>
            <w:hideMark/>
          </w:tcPr>
          <w:p w14:paraId="4B27A332"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0.945</w:t>
            </w:r>
          </w:p>
        </w:tc>
      </w:tr>
      <w:tr w:rsidR="00427F78" w:rsidRPr="00346BB7" w14:paraId="0908E655"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58A94E87" w14:textId="6E487247" w:rsidR="00427F78" w:rsidRPr="00346BB7" w:rsidRDefault="00140024" w:rsidP="00D11E39">
            <w:pPr>
              <w:spacing w:after="0" w:line="240" w:lineRule="auto"/>
              <w:rPr>
                <w:rFonts w:ascii="Calibri" w:eastAsia="Times New Roman" w:hAnsi="Calibri" w:cs="Calibri"/>
                <w:color w:val="000000"/>
                <w:lang w:eastAsia="en-AU"/>
              </w:rPr>
            </w:pPr>
            <w:r>
              <w:rPr>
                <w:szCs w:val="20"/>
              </w:rPr>
              <w:t>Private transport</w:t>
            </w:r>
            <w:r w:rsidR="00427F78" w:rsidRPr="004B5487">
              <w:rPr>
                <w:szCs w:val="20"/>
              </w:rPr>
              <w:t xml:space="preserve"> / </w:t>
            </w:r>
            <w:r>
              <w:rPr>
                <w:szCs w:val="20"/>
              </w:rPr>
              <w:t>Public transport</w:t>
            </w:r>
          </w:p>
        </w:tc>
        <w:tc>
          <w:tcPr>
            <w:tcW w:w="1417" w:type="dxa"/>
            <w:noWrap/>
            <w:hideMark/>
          </w:tcPr>
          <w:p w14:paraId="7236669C" w14:textId="77F4FFEF"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1.393</w:t>
            </w:r>
            <w:r>
              <w:t>*</w:t>
            </w:r>
          </w:p>
        </w:tc>
        <w:tc>
          <w:tcPr>
            <w:tcW w:w="1984" w:type="dxa"/>
            <w:noWrap/>
            <w:hideMark/>
          </w:tcPr>
          <w:p w14:paraId="2C0B5926"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1.298</w:t>
            </w:r>
          </w:p>
        </w:tc>
        <w:tc>
          <w:tcPr>
            <w:tcW w:w="1843" w:type="dxa"/>
            <w:noWrap/>
            <w:hideMark/>
          </w:tcPr>
          <w:p w14:paraId="4A67BEA0"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1.494</w:t>
            </w:r>
          </w:p>
        </w:tc>
      </w:tr>
      <w:tr w:rsidR="00427F78" w:rsidRPr="00346BB7" w14:paraId="416D221B"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578F511" w14:textId="3F4FBBD8"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St</w:t>
            </w:r>
            <w:r w:rsidR="00140024">
              <w:rPr>
                <w:bCs/>
                <w:color w:val="000000"/>
                <w:szCs w:val="20"/>
              </w:rPr>
              <w:t>able residence</w:t>
            </w:r>
            <w:r w:rsidRPr="004B5487">
              <w:rPr>
                <w:bCs/>
                <w:color w:val="000000"/>
                <w:szCs w:val="20"/>
              </w:rPr>
              <w:t xml:space="preserve"> / Unst</w:t>
            </w:r>
            <w:r w:rsidR="00140024">
              <w:rPr>
                <w:bCs/>
                <w:color w:val="000000"/>
                <w:szCs w:val="20"/>
              </w:rPr>
              <w:t>able residence</w:t>
            </w:r>
          </w:p>
        </w:tc>
        <w:tc>
          <w:tcPr>
            <w:tcW w:w="1417" w:type="dxa"/>
            <w:noWrap/>
            <w:hideMark/>
          </w:tcPr>
          <w:p w14:paraId="7C5E4AC3" w14:textId="0D0B6126"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1.363</w:t>
            </w:r>
            <w:r>
              <w:t>*</w:t>
            </w:r>
          </w:p>
        </w:tc>
        <w:tc>
          <w:tcPr>
            <w:tcW w:w="1984" w:type="dxa"/>
            <w:noWrap/>
            <w:hideMark/>
          </w:tcPr>
          <w:p w14:paraId="486726E1"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1.228</w:t>
            </w:r>
          </w:p>
        </w:tc>
        <w:tc>
          <w:tcPr>
            <w:tcW w:w="1843" w:type="dxa"/>
            <w:noWrap/>
            <w:hideMark/>
          </w:tcPr>
          <w:p w14:paraId="384B724F"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1.513</w:t>
            </w:r>
          </w:p>
        </w:tc>
      </w:tr>
      <w:tr w:rsidR="00427F78" w:rsidRPr="00346BB7" w14:paraId="32FF4450"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12C244BF" w14:textId="48C8E650" w:rsidR="00427F78" w:rsidRPr="00346BB7" w:rsidRDefault="00427F78" w:rsidP="00D11E39">
            <w:pPr>
              <w:spacing w:after="0" w:line="240" w:lineRule="auto"/>
              <w:rPr>
                <w:rFonts w:ascii="Calibri" w:eastAsia="Times New Roman" w:hAnsi="Calibri" w:cs="Calibri"/>
                <w:color w:val="000000"/>
                <w:lang w:eastAsia="en-AU"/>
              </w:rPr>
            </w:pPr>
            <w:r w:rsidRPr="004B5487">
              <w:rPr>
                <w:szCs w:val="20"/>
              </w:rPr>
              <w:t xml:space="preserve">History </w:t>
            </w:r>
            <w:r w:rsidR="00140024">
              <w:rPr>
                <w:szCs w:val="20"/>
              </w:rPr>
              <w:t>of paid or unpaid work</w:t>
            </w:r>
            <w:r w:rsidRPr="004B5487">
              <w:rPr>
                <w:szCs w:val="20"/>
              </w:rPr>
              <w:t xml:space="preserve"> / Was not </w:t>
            </w:r>
            <w:r>
              <w:rPr>
                <w:szCs w:val="20"/>
              </w:rPr>
              <w:t>w</w:t>
            </w:r>
            <w:r w:rsidRPr="004B5487">
              <w:rPr>
                <w:szCs w:val="20"/>
              </w:rPr>
              <w:t>orking</w:t>
            </w:r>
          </w:p>
        </w:tc>
        <w:tc>
          <w:tcPr>
            <w:tcW w:w="1417" w:type="dxa"/>
            <w:noWrap/>
            <w:hideMark/>
          </w:tcPr>
          <w:p w14:paraId="41D40C2F" w14:textId="089AA2E2"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1.705</w:t>
            </w:r>
            <w:r>
              <w:t>*</w:t>
            </w:r>
          </w:p>
        </w:tc>
        <w:tc>
          <w:tcPr>
            <w:tcW w:w="1984" w:type="dxa"/>
            <w:noWrap/>
            <w:hideMark/>
          </w:tcPr>
          <w:p w14:paraId="7EE434C5"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1.569</w:t>
            </w:r>
          </w:p>
        </w:tc>
        <w:tc>
          <w:tcPr>
            <w:tcW w:w="1843" w:type="dxa"/>
            <w:noWrap/>
            <w:hideMark/>
          </w:tcPr>
          <w:p w14:paraId="13C977A2"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1.853</w:t>
            </w:r>
          </w:p>
        </w:tc>
      </w:tr>
      <w:tr w:rsidR="00427F78" w:rsidRPr="00346BB7" w14:paraId="21C64910"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05EC8F53" w14:textId="5E385AC9" w:rsidR="00427F78" w:rsidRPr="004B5487" w:rsidRDefault="00140024" w:rsidP="00D11E39">
            <w:pPr>
              <w:spacing w:after="0" w:line="240" w:lineRule="auto"/>
              <w:rPr>
                <w:szCs w:val="20"/>
              </w:rPr>
            </w:pPr>
            <w:r>
              <w:t>Ex-o</w:t>
            </w:r>
            <w:r w:rsidR="00427F78" w:rsidRPr="00FA51A0">
              <w:t>ffender / None</w:t>
            </w:r>
          </w:p>
        </w:tc>
        <w:tc>
          <w:tcPr>
            <w:tcW w:w="1417" w:type="dxa"/>
            <w:noWrap/>
          </w:tcPr>
          <w:p w14:paraId="5F4329F5" w14:textId="2F6774CB" w:rsidR="00427F78" w:rsidRPr="00C05C31"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5009B">
              <w:t>0.801</w:t>
            </w:r>
            <w:r>
              <w:t>*</w:t>
            </w:r>
          </w:p>
        </w:tc>
        <w:tc>
          <w:tcPr>
            <w:tcW w:w="1984" w:type="dxa"/>
            <w:noWrap/>
          </w:tcPr>
          <w:p w14:paraId="2EAD8ECC" w14:textId="77777777" w:rsidR="00427F78" w:rsidRPr="00C05C31"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5009B">
              <w:t>0.710</w:t>
            </w:r>
          </w:p>
        </w:tc>
        <w:tc>
          <w:tcPr>
            <w:tcW w:w="1843" w:type="dxa"/>
            <w:noWrap/>
          </w:tcPr>
          <w:p w14:paraId="534BE613" w14:textId="77777777" w:rsidR="00427F78" w:rsidRPr="00C05C31"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5009B">
              <w:t>0.905</w:t>
            </w:r>
          </w:p>
        </w:tc>
      </w:tr>
      <w:tr w:rsidR="00427F78" w:rsidRPr="00346BB7" w14:paraId="16C23457" w14:textId="77777777" w:rsidTr="009251AF">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57F0BF1" w14:textId="32FFB50D" w:rsidR="00427F78" w:rsidRPr="00346BB7" w:rsidRDefault="00427F78" w:rsidP="00D11E39">
            <w:pPr>
              <w:spacing w:after="0" w:line="240" w:lineRule="auto"/>
              <w:rPr>
                <w:rFonts w:ascii="Calibri" w:eastAsia="Times New Roman" w:hAnsi="Calibri" w:cs="Calibri"/>
                <w:color w:val="000000"/>
                <w:lang w:eastAsia="en-AU"/>
              </w:rPr>
            </w:pPr>
            <w:r w:rsidRPr="00346BB7">
              <w:rPr>
                <w:rFonts w:ascii="Calibri" w:eastAsia="Times New Roman" w:hAnsi="Calibri" w:cs="Calibri"/>
                <w:color w:val="000000"/>
                <w:lang w:eastAsia="en-AU"/>
              </w:rPr>
              <w:t>Disability</w:t>
            </w:r>
            <w:r w:rsidR="001F433F">
              <w:rPr>
                <w:rFonts w:ascii="Calibri" w:eastAsia="Times New Roman" w:hAnsi="Calibri" w:cs="Calibri"/>
                <w:color w:val="000000"/>
                <w:lang w:eastAsia="en-AU"/>
              </w:rPr>
              <w:t xml:space="preserve"> </w:t>
            </w:r>
            <w:r>
              <w:rPr>
                <w:rFonts w:ascii="Calibri" w:eastAsia="Times New Roman" w:hAnsi="Calibri" w:cs="Calibri"/>
                <w:color w:val="000000"/>
                <w:lang w:eastAsia="en-AU"/>
              </w:rPr>
              <w:t>/</w:t>
            </w:r>
            <w:r w:rsidR="001F433F">
              <w:rPr>
                <w:rFonts w:ascii="Calibri" w:eastAsia="Times New Roman" w:hAnsi="Calibri" w:cs="Calibri"/>
                <w:color w:val="000000"/>
                <w:lang w:eastAsia="en-AU"/>
              </w:rPr>
              <w:t xml:space="preserve"> </w:t>
            </w:r>
            <w:r w:rsidR="00140024">
              <w:rPr>
                <w:rFonts w:ascii="Calibri" w:eastAsia="Times New Roman" w:hAnsi="Calibri" w:cs="Calibri"/>
                <w:color w:val="000000"/>
                <w:lang w:eastAsia="en-AU"/>
              </w:rPr>
              <w:t>No disability</w:t>
            </w:r>
          </w:p>
        </w:tc>
        <w:tc>
          <w:tcPr>
            <w:tcW w:w="1417" w:type="dxa"/>
            <w:noWrap/>
            <w:hideMark/>
          </w:tcPr>
          <w:p w14:paraId="25FA1975" w14:textId="0BB528A2"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0.761</w:t>
            </w:r>
            <w:r>
              <w:t>*</w:t>
            </w:r>
          </w:p>
        </w:tc>
        <w:tc>
          <w:tcPr>
            <w:tcW w:w="1984" w:type="dxa"/>
            <w:noWrap/>
            <w:hideMark/>
          </w:tcPr>
          <w:p w14:paraId="06AF6F8E"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0.664</w:t>
            </w:r>
          </w:p>
        </w:tc>
        <w:tc>
          <w:tcPr>
            <w:tcW w:w="1843" w:type="dxa"/>
            <w:noWrap/>
            <w:hideMark/>
          </w:tcPr>
          <w:p w14:paraId="13574A18"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0.872</w:t>
            </w:r>
          </w:p>
        </w:tc>
      </w:tr>
      <w:tr w:rsidR="00427F78" w:rsidRPr="00346BB7" w14:paraId="51CADFB2"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35EBB3B" w14:textId="16D17A02"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 xml:space="preserve">Good English skills / Poor </w:t>
            </w:r>
            <w:r w:rsidR="00140024">
              <w:rPr>
                <w:bCs/>
                <w:color w:val="000000"/>
                <w:szCs w:val="20"/>
              </w:rPr>
              <w:t>or combination</w:t>
            </w:r>
            <w:r w:rsidRPr="004B5487">
              <w:rPr>
                <w:bCs/>
                <w:color w:val="000000"/>
                <w:szCs w:val="20"/>
              </w:rPr>
              <w:t xml:space="preserve"> of good and poor</w:t>
            </w:r>
          </w:p>
        </w:tc>
        <w:tc>
          <w:tcPr>
            <w:tcW w:w="1417" w:type="dxa"/>
            <w:noWrap/>
            <w:hideMark/>
          </w:tcPr>
          <w:p w14:paraId="5441A72A" w14:textId="3FE47E6E"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1.720</w:t>
            </w:r>
            <w:r>
              <w:t>*</w:t>
            </w:r>
          </w:p>
        </w:tc>
        <w:tc>
          <w:tcPr>
            <w:tcW w:w="1984" w:type="dxa"/>
            <w:noWrap/>
            <w:hideMark/>
          </w:tcPr>
          <w:p w14:paraId="75B6E333"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1.510</w:t>
            </w:r>
          </w:p>
        </w:tc>
        <w:tc>
          <w:tcPr>
            <w:tcW w:w="1843" w:type="dxa"/>
            <w:noWrap/>
            <w:hideMark/>
          </w:tcPr>
          <w:p w14:paraId="04371FC8"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1.958</w:t>
            </w:r>
          </w:p>
        </w:tc>
      </w:tr>
      <w:tr w:rsidR="00427F78" w:rsidRPr="00346BB7" w14:paraId="74F0E2A4"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6EF497A9" w14:textId="77777777" w:rsidR="00427F78" w:rsidRPr="00346BB7" w:rsidRDefault="00427F78" w:rsidP="00D11E39">
            <w:pPr>
              <w:spacing w:after="0" w:line="240" w:lineRule="auto"/>
              <w:rPr>
                <w:rFonts w:ascii="Calibri" w:eastAsia="Times New Roman" w:hAnsi="Calibri" w:cs="Calibri"/>
                <w:color w:val="000000"/>
                <w:lang w:eastAsia="en-AU"/>
              </w:rPr>
            </w:pPr>
            <w:r w:rsidRPr="00ED6857">
              <w:rPr>
                <w:rFonts w:cstheme="minorHAnsi"/>
                <w:bCs/>
                <w:color w:val="000000"/>
                <w:szCs w:val="20"/>
              </w:rPr>
              <w:t>Personal factors – No impact</w:t>
            </w:r>
            <w:r>
              <w:rPr>
                <w:rFonts w:cstheme="minorHAnsi"/>
                <w:bCs/>
                <w:color w:val="000000"/>
                <w:szCs w:val="20"/>
              </w:rPr>
              <w:t xml:space="preserve"> on employability</w:t>
            </w:r>
            <w:r w:rsidRPr="00ED6857">
              <w:rPr>
                <w:rFonts w:cstheme="minorHAnsi"/>
                <w:bCs/>
                <w:color w:val="000000"/>
                <w:szCs w:val="20"/>
              </w:rPr>
              <w:t xml:space="preserve"> / Some impact</w:t>
            </w:r>
          </w:p>
        </w:tc>
        <w:tc>
          <w:tcPr>
            <w:tcW w:w="1417" w:type="dxa"/>
            <w:noWrap/>
            <w:hideMark/>
          </w:tcPr>
          <w:p w14:paraId="386B3318" w14:textId="3BD328EA"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1.305</w:t>
            </w:r>
            <w:r>
              <w:t>*</w:t>
            </w:r>
          </w:p>
        </w:tc>
        <w:tc>
          <w:tcPr>
            <w:tcW w:w="1984" w:type="dxa"/>
            <w:noWrap/>
            <w:hideMark/>
          </w:tcPr>
          <w:p w14:paraId="0393ED93"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1.154</w:t>
            </w:r>
          </w:p>
        </w:tc>
        <w:tc>
          <w:tcPr>
            <w:tcW w:w="1843" w:type="dxa"/>
            <w:noWrap/>
            <w:hideMark/>
          </w:tcPr>
          <w:p w14:paraId="5D0DC950"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5009B">
              <w:t>1.475</w:t>
            </w:r>
          </w:p>
        </w:tc>
      </w:tr>
      <w:tr w:rsidR="00427F78" w:rsidRPr="00346BB7" w14:paraId="13CAB371"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5833B2F3" w14:textId="77777777" w:rsidR="00427F78" w:rsidRPr="00346BB7" w:rsidRDefault="00427F78" w:rsidP="00D11E39">
            <w:pPr>
              <w:spacing w:after="0" w:line="240" w:lineRule="auto"/>
              <w:rPr>
                <w:rFonts w:ascii="Calibri" w:eastAsia="Times New Roman" w:hAnsi="Calibri" w:cs="Calibri"/>
                <w:color w:val="000000"/>
                <w:lang w:eastAsia="en-AU"/>
              </w:rPr>
            </w:pPr>
            <w:r w:rsidRPr="004B5487">
              <w:rPr>
                <w:rFonts w:cstheme="minorHAnsi"/>
                <w:szCs w:val="20"/>
              </w:rPr>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1417" w:type="dxa"/>
            <w:noWrap/>
            <w:hideMark/>
          </w:tcPr>
          <w:p w14:paraId="5264FA67" w14:textId="2ED56284"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1.008</w:t>
            </w:r>
            <w:r>
              <w:t>*</w:t>
            </w:r>
          </w:p>
        </w:tc>
        <w:tc>
          <w:tcPr>
            <w:tcW w:w="1984" w:type="dxa"/>
            <w:noWrap/>
            <w:hideMark/>
          </w:tcPr>
          <w:p w14:paraId="06E7315D"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1.005</w:t>
            </w:r>
          </w:p>
        </w:tc>
        <w:tc>
          <w:tcPr>
            <w:tcW w:w="1843" w:type="dxa"/>
            <w:noWrap/>
            <w:hideMark/>
          </w:tcPr>
          <w:p w14:paraId="6E5D7E7F"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5009B">
              <w:t>1.011</w:t>
            </w:r>
          </w:p>
        </w:tc>
      </w:tr>
    </w:tbl>
    <w:p w14:paraId="07F0B5A4" w14:textId="77777777" w:rsidR="00427F78" w:rsidRPr="00A80EA6" w:rsidRDefault="00427F78" w:rsidP="00427F78">
      <w:pPr>
        <w:pStyle w:val="SourceandNotes"/>
      </w:pPr>
      <w:bookmarkStart w:id="4158" w:name="_Hlk110970494"/>
      <w:bookmarkEnd w:id="4156"/>
      <w:bookmarkEnd w:id="4157"/>
      <w:r w:rsidRPr="00A80EA6">
        <w:t xml:space="preserve">Base: n (excluding missing) = </w:t>
      </w:r>
      <w:r>
        <w:t>16,278</w:t>
      </w:r>
    </w:p>
    <w:p w14:paraId="71C9AE2B" w14:textId="76860D78" w:rsidR="00F8391B" w:rsidRDefault="00427F78" w:rsidP="00427F78">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3874FA6B" w14:textId="0FBFBA7E" w:rsidR="00427F78" w:rsidRPr="006333E9" w:rsidRDefault="00427F78" w:rsidP="00427F78">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65F4DF63" w14:textId="5DF7FA95" w:rsidR="00427F78" w:rsidRDefault="00075A76" w:rsidP="00075A76">
      <w:pPr>
        <w:pStyle w:val="Caption"/>
        <w:keepNext/>
      </w:pPr>
      <w:bookmarkStart w:id="4159" w:name="_Toc132647820"/>
      <w:bookmarkStart w:id="4160" w:name="_Toc145877334"/>
      <w:bookmarkEnd w:id="4158"/>
      <w:r>
        <w:t xml:space="preserve">Table </w:t>
      </w:r>
      <w:r>
        <w:fldChar w:fldCharType="begin"/>
      </w:r>
      <w:r>
        <w:instrText>SEQ Table \* ARABIC</w:instrText>
      </w:r>
      <w:r>
        <w:fldChar w:fldCharType="separate"/>
      </w:r>
      <w:r w:rsidR="00180E14">
        <w:rPr>
          <w:noProof/>
        </w:rPr>
        <w:t>45</w:t>
      </w:r>
      <w:r>
        <w:fldChar w:fldCharType="end"/>
      </w:r>
      <w:r>
        <w:t xml:space="preserve">: </w:t>
      </w:r>
      <w:r w:rsidRPr="00094BDD">
        <w:t xml:space="preserve">Logistic regression model – impact of TtW on probability of </w:t>
      </w:r>
      <w:r>
        <w:t xml:space="preserve">reducing reliance on </w:t>
      </w:r>
      <w:r w:rsidRPr="00094BDD">
        <w:t xml:space="preserve">income support </w:t>
      </w:r>
      <w:r w:rsidR="00CE7617">
        <w:t>(</w:t>
      </w:r>
      <w:r w:rsidR="001159FE">
        <w:t>labour market attachment</w:t>
      </w:r>
      <w:r w:rsidR="00CE7617">
        <w:t>)</w:t>
      </w:r>
      <w:r w:rsidR="00CE7617" w:rsidRPr="00D22D95">
        <w:t xml:space="preserve"> </w:t>
      </w:r>
      <w:r w:rsidR="00427F78">
        <w:t>at</w:t>
      </w:r>
      <w:r w:rsidRPr="00094BDD">
        <w:t xml:space="preserve"> </w:t>
      </w:r>
      <w:r>
        <w:t>24</w:t>
      </w:r>
      <w:r w:rsidRPr="00094BDD">
        <w:t xml:space="preserve"> months after commencement</w:t>
      </w:r>
      <w:bookmarkEnd w:id="4159"/>
      <w:bookmarkEnd w:id="4160"/>
    </w:p>
    <w:tbl>
      <w:tblPr>
        <w:tblStyle w:val="TtWReportTableTemplate2"/>
        <w:tblW w:w="9497" w:type="dxa"/>
        <w:tblLook w:val="04A0" w:firstRow="1" w:lastRow="0" w:firstColumn="1" w:lastColumn="0" w:noHBand="0" w:noVBand="1"/>
      </w:tblPr>
      <w:tblGrid>
        <w:gridCol w:w="4253"/>
        <w:gridCol w:w="1417"/>
        <w:gridCol w:w="1984"/>
        <w:gridCol w:w="1843"/>
      </w:tblGrid>
      <w:tr w:rsidR="00427F78" w:rsidRPr="00346BB7" w14:paraId="76058CFD" w14:textId="77777777" w:rsidTr="00C239F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5D7A38"/>
            <w:noWrap/>
            <w:hideMark/>
          </w:tcPr>
          <w:p w14:paraId="7E2AB4E6" w14:textId="77777777" w:rsidR="00427F78" w:rsidRPr="00346BB7" w:rsidRDefault="00427F78" w:rsidP="00D11E39">
            <w:pPr>
              <w:spacing w:after="0" w:line="240" w:lineRule="auto"/>
              <w:rPr>
                <w:rFonts w:eastAsia="Times New Roman" w:cs="Calibri"/>
                <w:lang w:eastAsia="en-AU"/>
              </w:rPr>
            </w:pPr>
            <w:r w:rsidRPr="00346BB7">
              <w:rPr>
                <w:rFonts w:eastAsia="Times New Roman" w:cs="Calibri"/>
                <w:lang w:eastAsia="en-AU"/>
              </w:rPr>
              <w:t>Variable</w:t>
            </w:r>
          </w:p>
        </w:tc>
        <w:tc>
          <w:tcPr>
            <w:tcW w:w="0" w:type="dxa"/>
            <w:shd w:val="clear" w:color="auto" w:fill="5D7A38"/>
            <w:noWrap/>
            <w:hideMark/>
          </w:tcPr>
          <w:p w14:paraId="476AD6E3" w14:textId="77777777" w:rsidR="00427F78" w:rsidRPr="00346BB7" w:rsidRDefault="00427F78"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Odds ratio</w:t>
            </w:r>
          </w:p>
        </w:tc>
        <w:tc>
          <w:tcPr>
            <w:tcW w:w="0" w:type="dxa"/>
            <w:shd w:val="clear" w:color="auto" w:fill="5D7A38"/>
            <w:noWrap/>
            <w:hideMark/>
          </w:tcPr>
          <w:p w14:paraId="68C29BB4" w14:textId="59401D6B" w:rsidR="00427F78" w:rsidRPr="00346BB7" w:rsidRDefault="00427F78"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Lower 95% </w:t>
            </w:r>
            <w:r w:rsidR="001159FE">
              <w:rPr>
                <w:rFonts w:eastAsia="Times New Roman" w:cs="Calibri"/>
                <w:lang w:eastAsia="en-AU"/>
              </w:rPr>
              <w:t>confidence limit</w:t>
            </w:r>
          </w:p>
        </w:tc>
        <w:tc>
          <w:tcPr>
            <w:tcW w:w="0" w:type="dxa"/>
            <w:shd w:val="clear" w:color="auto" w:fill="5D7A38"/>
            <w:noWrap/>
            <w:hideMark/>
          </w:tcPr>
          <w:p w14:paraId="0CDC2F0C" w14:textId="4D05935A" w:rsidR="00427F78" w:rsidRPr="00346BB7" w:rsidRDefault="00427F78"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Upper 95% </w:t>
            </w:r>
            <w:r w:rsidR="001159FE">
              <w:rPr>
                <w:rFonts w:eastAsia="Times New Roman" w:cs="Calibri"/>
                <w:lang w:eastAsia="en-AU"/>
              </w:rPr>
              <w:t>confidence limit</w:t>
            </w:r>
          </w:p>
        </w:tc>
      </w:tr>
      <w:tr w:rsidR="00427F78" w:rsidRPr="00346BB7" w14:paraId="4CA5AA6B"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4DFEB780" w14:textId="238E5DB7"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 xml:space="preserve">TtW / </w:t>
            </w:r>
            <w:r w:rsidR="00140024">
              <w:rPr>
                <w:bCs/>
                <w:color w:val="000000"/>
                <w:szCs w:val="20"/>
              </w:rPr>
              <w:t>jobactive</w:t>
            </w:r>
          </w:p>
        </w:tc>
        <w:tc>
          <w:tcPr>
            <w:tcW w:w="1417" w:type="dxa"/>
            <w:noWrap/>
            <w:hideMark/>
          </w:tcPr>
          <w:p w14:paraId="3FD2916D" w14:textId="6F495D8D"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0.911</w:t>
            </w:r>
            <w:r>
              <w:t>*</w:t>
            </w:r>
          </w:p>
        </w:tc>
        <w:tc>
          <w:tcPr>
            <w:tcW w:w="1984" w:type="dxa"/>
            <w:noWrap/>
            <w:hideMark/>
          </w:tcPr>
          <w:p w14:paraId="0C21D9F8"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0.852</w:t>
            </w:r>
          </w:p>
        </w:tc>
        <w:tc>
          <w:tcPr>
            <w:tcW w:w="1843" w:type="dxa"/>
            <w:noWrap/>
            <w:hideMark/>
          </w:tcPr>
          <w:p w14:paraId="09B3AAA1"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0.974</w:t>
            </w:r>
          </w:p>
        </w:tc>
      </w:tr>
      <w:tr w:rsidR="00427F78" w:rsidRPr="00346BB7" w14:paraId="46B88821"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0A87B31A" w14:textId="77777777"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Female / Male</w:t>
            </w:r>
          </w:p>
        </w:tc>
        <w:tc>
          <w:tcPr>
            <w:tcW w:w="1417" w:type="dxa"/>
            <w:noWrap/>
            <w:hideMark/>
          </w:tcPr>
          <w:p w14:paraId="12EE92F6" w14:textId="6C96D0B9"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0.678</w:t>
            </w:r>
            <w:r>
              <w:t>*</w:t>
            </w:r>
          </w:p>
        </w:tc>
        <w:tc>
          <w:tcPr>
            <w:tcW w:w="1984" w:type="dxa"/>
            <w:noWrap/>
            <w:hideMark/>
          </w:tcPr>
          <w:p w14:paraId="6588A8C7"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0.634</w:t>
            </w:r>
          </w:p>
        </w:tc>
        <w:tc>
          <w:tcPr>
            <w:tcW w:w="1843" w:type="dxa"/>
            <w:noWrap/>
            <w:hideMark/>
          </w:tcPr>
          <w:p w14:paraId="46BFCA16"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0.725</w:t>
            </w:r>
          </w:p>
        </w:tc>
      </w:tr>
      <w:tr w:rsidR="00427F78" w:rsidRPr="00346BB7" w14:paraId="63512CD2"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04B4789" w14:textId="77777777" w:rsidR="00427F78" w:rsidRPr="00346BB7" w:rsidRDefault="00427F78" w:rsidP="00D11E39">
            <w:pPr>
              <w:spacing w:after="0" w:line="240" w:lineRule="auto"/>
              <w:rPr>
                <w:rFonts w:ascii="Calibri" w:eastAsia="Times New Roman" w:hAnsi="Calibri" w:cs="Calibri"/>
                <w:color w:val="000000"/>
                <w:lang w:eastAsia="en-AU"/>
              </w:rPr>
            </w:pPr>
            <w:r>
              <w:rPr>
                <w:bCs/>
                <w:color w:val="000000"/>
                <w:szCs w:val="20"/>
              </w:rPr>
              <w:t>Age (increased by 1 year)</w:t>
            </w:r>
          </w:p>
        </w:tc>
        <w:tc>
          <w:tcPr>
            <w:tcW w:w="1417" w:type="dxa"/>
            <w:noWrap/>
            <w:hideMark/>
          </w:tcPr>
          <w:p w14:paraId="53041BAD" w14:textId="70D235A0"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1.061</w:t>
            </w:r>
            <w:r>
              <w:t>*</w:t>
            </w:r>
          </w:p>
        </w:tc>
        <w:tc>
          <w:tcPr>
            <w:tcW w:w="1984" w:type="dxa"/>
            <w:noWrap/>
            <w:hideMark/>
          </w:tcPr>
          <w:p w14:paraId="5FA68B92"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1.036</w:t>
            </w:r>
          </w:p>
        </w:tc>
        <w:tc>
          <w:tcPr>
            <w:tcW w:w="1843" w:type="dxa"/>
            <w:noWrap/>
            <w:hideMark/>
          </w:tcPr>
          <w:p w14:paraId="13454412"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1.087</w:t>
            </w:r>
          </w:p>
        </w:tc>
      </w:tr>
      <w:tr w:rsidR="00427F78" w:rsidRPr="00346BB7" w14:paraId="0D87943B"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C315CAA" w14:textId="77777777"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Non-Indigenous / Indigenous</w:t>
            </w:r>
          </w:p>
        </w:tc>
        <w:tc>
          <w:tcPr>
            <w:tcW w:w="1417" w:type="dxa"/>
            <w:noWrap/>
            <w:hideMark/>
          </w:tcPr>
          <w:p w14:paraId="4CBCC092" w14:textId="4B603508"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1.680</w:t>
            </w:r>
            <w:r>
              <w:t>*</w:t>
            </w:r>
          </w:p>
        </w:tc>
        <w:tc>
          <w:tcPr>
            <w:tcW w:w="1984" w:type="dxa"/>
            <w:noWrap/>
            <w:hideMark/>
          </w:tcPr>
          <w:p w14:paraId="00348094"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1.549</w:t>
            </w:r>
          </w:p>
        </w:tc>
        <w:tc>
          <w:tcPr>
            <w:tcW w:w="1843" w:type="dxa"/>
            <w:noWrap/>
            <w:hideMark/>
          </w:tcPr>
          <w:p w14:paraId="79355194"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1.822</w:t>
            </w:r>
          </w:p>
        </w:tc>
      </w:tr>
      <w:tr w:rsidR="00427F78" w:rsidRPr="00346BB7" w14:paraId="5193653C"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254E47DE" w14:textId="71D21756"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 xml:space="preserve">Year </w:t>
            </w:r>
            <w:r w:rsidR="00140024">
              <w:rPr>
                <w:bCs/>
                <w:color w:val="000000"/>
                <w:szCs w:val="20"/>
              </w:rPr>
              <w:t>12 completer</w:t>
            </w:r>
            <w:r w:rsidRPr="004B5487">
              <w:rPr>
                <w:bCs/>
                <w:color w:val="000000"/>
                <w:szCs w:val="20"/>
              </w:rPr>
              <w:t xml:space="preserve"> / Non-Year 12</w:t>
            </w:r>
            <w:r>
              <w:rPr>
                <w:bCs/>
                <w:color w:val="000000"/>
                <w:szCs w:val="20"/>
              </w:rPr>
              <w:t xml:space="preserve"> c</w:t>
            </w:r>
            <w:r w:rsidRPr="004B5487">
              <w:rPr>
                <w:bCs/>
                <w:color w:val="000000"/>
                <w:szCs w:val="20"/>
              </w:rPr>
              <w:t>ompleter</w:t>
            </w:r>
          </w:p>
        </w:tc>
        <w:tc>
          <w:tcPr>
            <w:tcW w:w="1417" w:type="dxa"/>
            <w:noWrap/>
            <w:hideMark/>
          </w:tcPr>
          <w:p w14:paraId="4727DE79" w14:textId="44DF6220"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1.659</w:t>
            </w:r>
            <w:r>
              <w:t>*</w:t>
            </w:r>
          </w:p>
        </w:tc>
        <w:tc>
          <w:tcPr>
            <w:tcW w:w="1984" w:type="dxa"/>
            <w:noWrap/>
            <w:hideMark/>
          </w:tcPr>
          <w:p w14:paraId="5F8EA517"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1.542</w:t>
            </w:r>
          </w:p>
        </w:tc>
        <w:tc>
          <w:tcPr>
            <w:tcW w:w="1843" w:type="dxa"/>
            <w:noWrap/>
            <w:hideMark/>
          </w:tcPr>
          <w:p w14:paraId="7E605B16"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1.785</w:t>
            </w:r>
          </w:p>
        </w:tc>
      </w:tr>
      <w:tr w:rsidR="00427F78" w:rsidRPr="00346BB7" w14:paraId="33E3F720"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1E9F8D95" w14:textId="1A3C332A" w:rsidR="00427F78" w:rsidRPr="00346BB7" w:rsidRDefault="00140024" w:rsidP="00D11E39">
            <w:pPr>
              <w:spacing w:after="0" w:line="240" w:lineRule="auto"/>
              <w:rPr>
                <w:rFonts w:ascii="Calibri" w:eastAsia="Times New Roman" w:hAnsi="Calibri" w:cs="Calibri"/>
                <w:color w:val="000000"/>
                <w:lang w:eastAsia="en-AU"/>
              </w:rPr>
            </w:pPr>
            <w:r>
              <w:rPr>
                <w:szCs w:val="20"/>
              </w:rPr>
              <w:t>No transport</w:t>
            </w:r>
            <w:r w:rsidR="00427F78" w:rsidRPr="004B5487">
              <w:rPr>
                <w:szCs w:val="20"/>
              </w:rPr>
              <w:t xml:space="preserve"> / </w:t>
            </w:r>
            <w:r>
              <w:rPr>
                <w:szCs w:val="20"/>
              </w:rPr>
              <w:t>Public transport</w:t>
            </w:r>
          </w:p>
        </w:tc>
        <w:tc>
          <w:tcPr>
            <w:tcW w:w="1417" w:type="dxa"/>
            <w:noWrap/>
            <w:hideMark/>
          </w:tcPr>
          <w:p w14:paraId="6A075E59" w14:textId="48C446E2"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0.849</w:t>
            </w:r>
            <w:r>
              <w:t>*</w:t>
            </w:r>
          </w:p>
        </w:tc>
        <w:tc>
          <w:tcPr>
            <w:tcW w:w="1984" w:type="dxa"/>
            <w:noWrap/>
            <w:hideMark/>
          </w:tcPr>
          <w:p w14:paraId="37BB78A4"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0.743</w:t>
            </w:r>
          </w:p>
        </w:tc>
        <w:tc>
          <w:tcPr>
            <w:tcW w:w="1843" w:type="dxa"/>
            <w:noWrap/>
            <w:hideMark/>
          </w:tcPr>
          <w:p w14:paraId="2E0FEC2B"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0.970</w:t>
            </w:r>
          </w:p>
        </w:tc>
      </w:tr>
      <w:tr w:rsidR="00427F78" w:rsidRPr="00346BB7" w14:paraId="3E108BA5"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4B8C67BB" w14:textId="51C54D8A" w:rsidR="00427F78" w:rsidRPr="00346BB7" w:rsidRDefault="00140024" w:rsidP="00D11E39">
            <w:pPr>
              <w:spacing w:after="0" w:line="240" w:lineRule="auto"/>
              <w:rPr>
                <w:rFonts w:ascii="Calibri" w:eastAsia="Times New Roman" w:hAnsi="Calibri" w:cs="Calibri"/>
                <w:color w:val="000000"/>
                <w:lang w:eastAsia="en-AU"/>
              </w:rPr>
            </w:pPr>
            <w:r>
              <w:rPr>
                <w:szCs w:val="20"/>
              </w:rPr>
              <w:t>Private transport</w:t>
            </w:r>
            <w:r w:rsidR="00427F78" w:rsidRPr="004B5487">
              <w:rPr>
                <w:szCs w:val="20"/>
              </w:rPr>
              <w:t xml:space="preserve"> / </w:t>
            </w:r>
            <w:r>
              <w:rPr>
                <w:szCs w:val="20"/>
              </w:rPr>
              <w:t>Public transport</w:t>
            </w:r>
          </w:p>
        </w:tc>
        <w:tc>
          <w:tcPr>
            <w:tcW w:w="1417" w:type="dxa"/>
            <w:noWrap/>
            <w:hideMark/>
          </w:tcPr>
          <w:p w14:paraId="64745A5B" w14:textId="2CE01D1A"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1.392</w:t>
            </w:r>
            <w:r>
              <w:t>*</w:t>
            </w:r>
          </w:p>
        </w:tc>
        <w:tc>
          <w:tcPr>
            <w:tcW w:w="1984" w:type="dxa"/>
            <w:noWrap/>
            <w:hideMark/>
          </w:tcPr>
          <w:p w14:paraId="5EBB44B3"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1.295</w:t>
            </w:r>
          </w:p>
        </w:tc>
        <w:tc>
          <w:tcPr>
            <w:tcW w:w="1843" w:type="dxa"/>
            <w:noWrap/>
            <w:hideMark/>
          </w:tcPr>
          <w:p w14:paraId="51477998"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1.497</w:t>
            </w:r>
          </w:p>
        </w:tc>
      </w:tr>
      <w:tr w:rsidR="00427F78" w:rsidRPr="00346BB7" w14:paraId="7E9590E5"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1BCA011A" w14:textId="268914B9"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t>St</w:t>
            </w:r>
            <w:r w:rsidR="00140024">
              <w:rPr>
                <w:bCs/>
                <w:color w:val="000000"/>
                <w:szCs w:val="20"/>
              </w:rPr>
              <w:t>able residence</w:t>
            </w:r>
            <w:r w:rsidRPr="004B5487">
              <w:rPr>
                <w:bCs/>
                <w:color w:val="000000"/>
                <w:szCs w:val="20"/>
              </w:rPr>
              <w:t xml:space="preserve"> / Unst</w:t>
            </w:r>
            <w:r w:rsidR="00140024">
              <w:rPr>
                <w:bCs/>
                <w:color w:val="000000"/>
                <w:szCs w:val="20"/>
              </w:rPr>
              <w:t>able residence</w:t>
            </w:r>
          </w:p>
        </w:tc>
        <w:tc>
          <w:tcPr>
            <w:tcW w:w="1417" w:type="dxa"/>
            <w:noWrap/>
            <w:hideMark/>
          </w:tcPr>
          <w:p w14:paraId="2F98F2DA" w14:textId="2CC92F7C"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1.301</w:t>
            </w:r>
            <w:r>
              <w:t>*</w:t>
            </w:r>
          </w:p>
        </w:tc>
        <w:tc>
          <w:tcPr>
            <w:tcW w:w="1984" w:type="dxa"/>
            <w:noWrap/>
            <w:hideMark/>
          </w:tcPr>
          <w:p w14:paraId="19A955B6"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1.176</w:t>
            </w:r>
          </w:p>
        </w:tc>
        <w:tc>
          <w:tcPr>
            <w:tcW w:w="1843" w:type="dxa"/>
            <w:noWrap/>
            <w:hideMark/>
          </w:tcPr>
          <w:p w14:paraId="1049E9A8"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1.439</w:t>
            </w:r>
          </w:p>
        </w:tc>
      </w:tr>
      <w:tr w:rsidR="00427F78" w:rsidRPr="00346BB7" w14:paraId="1F80608B"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4AE48A3E" w14:textId="17FD0CB1" w:rsidR="00427F78" w:rsidRPr="00346BB7" w:rsidRDefault="00427F78" w:rsidP="00D11E39">
            <w:pPr>
              <w:spacing w:after="0" w:line="240" w:lineRule="auto"/>
              <w:rPr>
                <w:rFonts w:ascii="Calibri" w:eastAsia="Times New Roman" w:hAnsi="Calibri" w:cs="Calibri"/>
                <w:color w:val="000000"/>
                <w:lang w:eastAsia="en-AU"/>
              </w:rPr>
            </w:pPr>
            <w:r w:rsidRPr="004B5487">
              <w:rPr>
                <w:szCs w:val="20"/>
              </w:rPr>
              <w:t xml:space="preserve">History </w:t>
            </w:r>
            <w:r w:rsidR="00140024">
              <w:rPr>
                <w:szCs w:val="20"/>
              </w:rPr>
              <w:t>of paid or unpaid work</w:t>
            </w:r>
            <w:r w:rsidRPr="004B5487">
              <w:rPr>
                <w:szCs w:val="20"/>
              </w:rPr>
              <w:t xml:space="preserve"> / Was not </w:t>
            </w:r>
            <w:r>
              <w:rPr>
                <w:szCs w:val="20"/>
              </w:rPr>
              <w:t>w</w:t>
            </w:r>
            <w:r w:rsidRPr="004B5487">
              <w:rPr>
                <w:szCs w:val="20"/>
              </w:rPr>
              <w:t>orking</w:t>
            </w:r>
          </w:p>
        </w:tc>
        <w:tc>
          <w:tcPr>
            <w:tcW w:w="1417" w:type="dxa"/>
            <w:noWrap/>
            <w:hideMark/>
          </w:tcPr>
          <w:p w14:paraId="3C98397A" w14:textId="3D2F7500"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1.612</w:t>
            </w:r>
            <w:r>
              <w:t>*</w:t>
            </w:r>
          </w:p>
        </w:tc>
        <w:tc>
          <w:tcPr>
            <w:tcW w:w="1984" w:type="dxa"/>
            <w:noWrap/>
            <w:hideMark/>
          </w:tcPr>
          <w:p w14:paraId="36E1C5B4"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1.476</w:t>
            </w:r>
          </w:p>
        </w:tc>
        <w:tc>
          <w:tcPr>
            <w:tcW w:w="1843" w:type="dxa"/>
            <w:noWrap/>
            <w:hideMark/>
          </w:tcPr>
          <w:p w14:paraId="0E6A4FB4"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1.761</w:t>
            </w:r>
          </w:p>
        </w:tc>
      </w:tr>
      <w:tr w:rsidR="00750285" w:rsidRPr="00346BB7" w14:paraId="601817AF"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1B047829" w14:textId="4BF03428" w:rsidR="00750285" w:rsidRPr="004B5487" w:rsidRDefault="00750285" w:rsidP="00750285">
            <w:pPr>
              <w:spacing w:after="0" w:line="240" w:lineRule="auto"/>
              <w:rPr>
                <w:szCs w:val="20"/>
              </w:rPr>
            </w:pPr>
            <w:r w:rsidRPr="004B5487">
              <w:rPr>
                <w:rFonts w:cstheme="minorHAnsi"/>
                <w:szCs w:val="20"/>
              </w:rPr>
              <w:t>More than 12 months on income support / Less than 12 months on income support</w:t>
            </w:r>
            <w:r>
              <w:rPr>
                <w:rFonts w:cstheme="minorHAnsi"/>
                <w:szCs w:val="20"/>
              </w:rPr>
              <w:t> </w:t>
            </w:r>
          </w:p>
        </w:tc>
        <w:tc>
          <w:tcPr>
            <w:tcW w:w="1417" w:type="dxa"/>
            <w:noWrap/>
          </w:tcPr>
          <w:p w14:paraId="15827133" w14:textId="60A84961" w:rsidR="00750285" w:rsidRPr="00E127A8"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0153F3">
              <w:t>0.958</w:t>
            </w:r>
            <w:r>
              <w:t>*</w:t>
            </w:r>
          </w:p>
        </w:tc>
        <w:tc>
          <w:tcPr>
            <w:tcW w:w="1984" w:type="dxa"/>
            <w:noWrap/>
          </w:tcPr>
          <w:p w14:paraId="483D5CC3" w14:textId="77777777" w:rsidR="00750285" w:rsidRPr="00E127A8"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0153F3">
              <w:t>0.863</w:t>
            </w:r>
          </w:p>
        </w:tc>
        <w:tc>
          <w:tcPr>
            <w:tcW w:w="1843" w:type="dxa"/>
            <w:noWrap/>
          </w:tcPr>
          <w:p w14:paraId="751C7742" w14:textId="77777777" w:rsidR="00750285" w:rsidRPr="00E127A8"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0153F3">
              <w:t>1.064</w:t>
            </w:r>
          </w:p>
        </w:tc>
      </w:tr>
      <w:tr w:rsidR="00427F78" w:rsidRPr="00346BB7" w14:paraId="5D288080"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00D9BA90" w14:textId="61DCA2F6" w:rsidR="00427F78" w:rsidRPr="004B5487" w:rsidRDefault="00140024" w:rsidP="00D11E39">
            <w:pPr>
              <w:spacing w:after="0" w:line="240" w:lineRule="auto"/>
              <w:rPr>
                <w:szCs w:val="20"/>
              </w:rPr>
            </w:pPr>
            <w:r>
              <w:t>Ex-o</w:t>
            </w:r>
            <w:r w:rsidR="00427F78" w:rsidRPr="00FA51A0">
              <w:t>ffender / None</w:t>
            </w:r>
          </w:p>
        </w:tc>
        <w:tc>
          <w:tcPr>
            <w:tcW w:w="1417" w:type="dxa"/>
            <w:noWrap/>
          </w:tcPr>
          <w:p w14:paraId="3BD6E87A" w14:textId="332EFA8E" w:rsidR="00427F78" w:rsidRPr="00C05C31"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0153F3">
              <w:t>0.836</w:t>
            </w:r>
            <w:r>
              <w:t>*</w:t>
            </w:r>
          </w:p>
        </w:tc>
        <w:tc>
          <w:tcPr>
            <w:tcW w:w="1984" w:type="dxa"/>
            <w:noWrap/>
          </w:tcPr>
          <w:p w14:paraId="3EA152B5" w14:textId="77777777" w:rsidR="00427F78" w:rsidRPr="00C05C31"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0153F3">
              <w:t>0.742</w:t>
            </w:r>
          </w:p>
        </w:tc>
        <w:tc>
          <w:tcPr>
            <w:tcW w:w="1843" w:type="dxa"/>
            <w:noWrap/>
          </w:tcPr>
          <w:p w14:paraId="4DEECC82" w14:textId="77777777" w:rsidR="00427F78" w:rsidRPr="00C05C31"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0153F3">
              <w:t>0.941</w:t>
            </w:r>
          </w:p>
        </w:tc>
      </w:tr>
      <w:tr w:rsidR="00427F78" w:rsidRPr="00346BB7" w14:paraId="034C83E4" w14:textId="77777777" w:rsidTr="009251AF">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877D2EC" w14:textId="6864AE34" w:rsidR="00427F78" w:rsidRPr="00346BB7" w:rsidRDefault="00427F78" w:rsidP="00D11E39">
            <w:pPr>
              <w:spacing w:after="0" w:line="240" w:lineRule="auto"/>
              <w:rPr>
                <w:rFonts w:ascii="Calibri" w:eastAsia="Times New Roman" w:hAnsi="Calibri" w:cs="Calibri"/>
                <w:color w:val="000000"/>
                <w:lang w:eastAsia="en-AU"/>
              </w:rPr>
            </w:pPr>
            <w:r w:rsidRPr="00346BB7">
              <w:rPr>
                <w:rFonts w:ascii="Calibri" w:eastAsia="Times New Roman" w:hAnsi="Calibri" w:cs="Calibri"/>
                <w:color w:val="000000"/>
                <w:lang w:eastAsia="en-AU"/>
              </w:rPr>
              <w:t>Disability</w:t>
            </w:r>
            <w:r w:rsidR="001F433F">
              <w:rPr>
                <w:rFonts w:ascii="Calibri" w:eastAsia="Times New Roman" w:hAnsi="Calibri" w:cs="Calibri"/>
                <w:color w:val="000000"/>
                <w:lang w:eastAsia="en-AU"/>
              </w:rPr>
              <w:t xml:space="preserve"> </w:t>
            </w:r>
            <w:r>
              <w:rPr>
                <w:rFonts w:ascii="Calibri" w:eastAsia="Times New Roman" w:hAnsi="Calibri" w:cs="Calibri"/>
                <w:color w:val="000000"/>
                <w:lang w:eastAsia="en-AU"/>
              </w:rPr>
              <w:t>/</w:t>
            </w:r>
            <w:r w:rsidR="001F433F">
              <w:rPr>
                <w:rFonts w:ascii="Calibri" w:eastAsia="Times New Roman" w:hAnsi="Calibri" w:cs="Calibri"/>
                <w:color w:val="000000"/>
                <w:lang w:eastAsia="en-AU"/>
              </w:rPr>
              <w:t xml:space="preserve"> </w:t>
            </w:r>
            <w:r w:rsidR="00140024">
              <w:rPr>
                <w:rFonts w:ascii="Calibri" w:eastAsia="Times New Roman" w:hAnsi="Calibri" w:cs="Calibri"/>
                <w:color w:val="000000"/>
                <w:lang w:eastAsia="en-AU"/>
              </w:rPr>
              <w:t>No disability</w:t>
            </w:r>
          </w:p>
        </w:tc>
        <w:tc>
          <w:tcPr>
            <w:tcW w:w="1417" w:type="dxa"/>
            <w:noWrap/>
            <w:hideMark/>
          </w:tcPr>
          <w:p w14:paraId="27E3B055" w14:textId="6BFD0CD8"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0.612</w:t>
            </w:r>
            <w:r>
              <w:t>*</w:t>
            </w:r>
          </w:p>
        </w:tc>
        <w:tc>
          <w:tcPr>
            <w:tcW w:w="1984" w:type="dxa"/>
            <w:noWrap/>
            <w:hideMark/>
          </w:tcPr>
          <w:p w14:paraId="64F06573"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0.535</w:t>
            </w:r>
          </w:p>
        </w:tc>
        <w:tc>
          <w:tcPr>
            <w:tcW w:w="1843" w:type="dxa"/>
            <w:noWrap/>
            <w:hideMark/>
          </w:tcPr>
          <w:p w14:paraId="7570CBEF"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0.699</w:t>
            </w:r>
          </w:p>
        </w:tc>
      </w:tr>
      <w:tr w:rsidR="00427F78" w:rsidRPr="00346BB7" w14:paraId="451FEC72"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296C833E" w14:textId="797BDDE0" w:rsidR="00427F78" w:rsidRPr="00346BB7" w:rsidRDefault="00427F78" w:rsidP="00D11E39">
            <w:pPr>
              <w:spacing w:after="0" w:line="240" w:lineRule="auto"/>
              <w:rPr>
                <w:rFonts w:ascii="Calibri" w:eastAsia="Times New Roman" w:hAnsi="Calibri" w:cs="Calibri"/>
                <w:color w:val="000000"/>
                <w:lang w:eastAsia="en-AU"/>
              </w:rPr>
            </w:pPr>
            <w:r w:rsidRPr="004B5487">
              <w:rPr>
                <w:bCs/>
                <w:color w:val="000000"/>
                <w:szCs w:val="20"/>
              </w:rPr>
              <w:lastRenderedPageBreak/>
              <w:t xml:space="preserve">Good English skills / Poor </w:t>
            </w:r>
            <w:r w:rsidR="00140024">
              <w:rPr>
                <w:bCs/>
                <w:color w:val="000000"/>
                <w:szCs w:val="20"/>
              </w:rPr>
              <w:t>or combination</w:t>
            </w:r>
            <w:r w:rsidRPr="004B5487">
              <w:rPr>
                <w:bCs/>
                <w:color w:val="000000"/>
                <w:szCs w:val="20"/>
              </w:rPr>
              <w:t xml:space="preserve"> of good and poor</w:t>
            </w:r>
          </w:p>
        </w:tc>
        <w:tc>
          <w:tcPr>
            <w:tcW w:w="1417" w:type="dxa"/>
            <w:noWrap/>
            <w:hideMark/>
          </w:tcPr>
          <w:p w14:paraId="42F3AAF5" w14:textId="590DC402"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1.494</w:t>
            </w:r>
            <w:r w:rsidR="00750285">
              <w:t>*</w:t>
            </w:r>
          </w:p>
        </w:tc>
        <w:tc>
          <w:tcPr>
            <w:tcW w:w="1984" w:type="dxa"/>
            <w:noWrap/>
            <w:hideMark/>
          </w:tcPr>
          <w:p w14:paraId="18F243C9"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1.321</w:t>
            </w:r>
          </w:p>
        </w:tc>
        <w:tc>
          <w:tcPr>
            <w:tcW w:w="1843" w:type="dxa"/>
            <w:noWrap/>
            <w:hideMark/>
          </w:tcPr>
          <w:p w14:paraId="211F3423"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1.688</w:t>
            </w:r>
          </w:p>
        </w:tc>
      </w:tr>
      <w:tr w:rsidR="00427F78" w:rsidRPr="00346BB7" w14:paraId="1E9FAF5D"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74BEA10F" w14:textId="5087C232" w:rsidR="00427F78" w:rsidRPr="004B5487" w:rsidRDefault="00427F78" w:rsidP="00D11E39">
            <w:pPr>
              <w:spacing w:after="0" w:line="240" w:lineRule="auto"/>
              <w:rPr>
                <w:bCs/>
                <w:color w:val="000000"/>
                <w:szCs w:val="20"/>
              </w:rPr>
            </w:pPr>
            <w:r w:rsidRPr="00F26C6E">
              <w:rPr>
                <w:bCs/>
                <w:color w:val="000000"/>
                <w:szCs w:val="20"/>
              </w:rPr>
              <w:t xml:space="preserve">Major </w:t>
            </w:r>
            <w:r w:rsidR="001159FE">
              <w:rPr>
                <w:bCs/>
                <w:color w:val="000000"/>
                <w:szCs w:val="20"/>
              </w:rPr>
              <w:t>C</w:t>
            </w:r>
            <w:r w:rsidRPr="00F26C6E">
              <w:rPr>
                <w:bCs/>
                <w:color w:val="000000"/>
                <w:szCs w:val="20"/>
              </w:rPr>
              <w:t>ity</w:t>
            </w:r>
            <w:r w:rsidR="001159FE">
              <w:rPr>
                <w:bCs/>
                <w:color w:val="000000"/>
                <w:szCs w:val="20"/>
              </w:rPr>
              <w:t xml:space="preserve"> or </w:t>
            </w:r>
            <w:r w:rsidRPr="00F26C6E">
              <w:rPr>
                <w:bCs/>
                <w:color w:val="000000"/>
                <w:szCs w:val="20"/>
              </w:rPr>
              <w:t xml:space="preserve">Inner Regional </w:t>
            </w:r>
            <w:r w:rsidR="001159FE">
              <w:rPr>
                <w:bCs/>
                <w:color w:val="000000"/>
                <w:szCs w:val="20"/>
              </w:rPr>
              <w:t>/</w:t>
            </w:r>
            <w:r w:rsidRPr="00F26C6E">
              <w:rPr>
                <w:bCs/>
                <w:color w:val="000000"/>
                <w:szCs w:val="20"/>
              </w:rPr>
              <w:t xml:space="preserve"> Outer Regional</w:t>
            </w:r>
            <w:r w:rsidR="001159FE">
              <w:rPr>
                <w:bCs/>
                <w:color w:val="000000"/>
                <w:szCs w:val="20"/>
              </w:rPr>
              <w:t xml:space="preserve"> or </w:t>
            </w:r>
            <w:r w:rsidRPr="00F26C6E">
              <w:rPr>
                <w:bCs/>
                <w:color w:val="000000"/>
                <w:szCs w:val="20"/>
              </w:rPr>
              <w:t>Remote</w:t>
            </w:r>
            <w:r w:rsidR="001159FE">
              <w:rPr>
                <w:bCs/>
                <w:color w:val="000000"/>
                <w:szCs w:val="20"/>
              </w:rPr>
              <w:t xml:space="preserve"> or </w:t>
            </w:r>
            <w:r w:rsidRPr="00F26C6E">
              <w:rPr>
                <w:bCs/>
                <w:color w:val="000000"/>
                <w:szCs w:val="20"/>
              </w:rPr>
              <w:t>Very Remote</w:t>
            </w:r>
          </w:p>
        </w:tc>
        <w:tc>
          <w:tcPr>
            <w:tcW w:w="1417" w:type="dxa"/>
            <w:noWrap/>
          </w:tcPr>
          <w:p w14:paraId="5035BFDF" w14:textId="34B9D6B8" w:rsidR="00427F78" w:rsidRPr="00E127A8"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0153F3">
              <w:t>1.129</w:t>
            </w:r>
            <w:r w:rsidR="00750285">
              <w:t>*</w:t>
            </w:r>
          </w:p>
        </w:tc>
        <w:tc>
          <w:tcPr>
            <w:tcW w:w="1984" w:type="dxa"/>
            <w:noWrap/>
          </w:tcPr>
          <w:p w14:paraId="390EBEEE" w14:textId="77777777" w:rsidR="00427F78" w:rsidRPr="00E127A8"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0153F3">
              <w:t>1.029</w:t>
            </w:r>
          </w:p>
        </w:tc>
        <w:tc>
          <w:tcPr>
            <w:tcW w:w="1843" w:type="dxa"/>
            <w:noWrap/>
          </w:tcPr>
          <w:p w14:paraId="05BF800A" w14:textId="77777777" w:rsidR="00427F78" w:rsidRPr="00E127A8"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0153F3">
              <w:t>1.238</w:t>
            </w:r>
          </w:p>
        </w:tc>
      </w:tr>
      <w:tr w:rsidR="00427F78" w:rsidRPr="00346BB7" w14:paraId="22158E71"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6F17514F" w14:textId="77777777" w:rsidR="00427F78" w:rsidRPr="00346BB7" w:rsidRDefault="00427F78" w:rsidP="00D11E39">
            <w:pPr>
              <w:spacing w:after="0" w:line="240" w:lineRule="auto"/>
              <w:rPr>
                <w:rFonts w:ascii="Calibri" w:eastAsia="Times New Roman" w:hAnsi="Calibri" w:cs="Calibri"/>
                <w:color w:val="000000"/>
                <w:lang w:eastAsia="en-AU"/>
              </w:rPr>
            </w:pPr>
            <w:r w:rsidRPr="00ED6857">
              <w:rPr>
                <w:rFonts w:cstheme="minorHAnsi"/>
                <w:bCs/>
                <w:color w:val="000000"/>
                <w:szCs w:val="20"/>
              </w:rPr>
              <w:t>Personal factors – No impact</w:t>
            </w:r>
            <w:r>
              <w:rPr>
                <w:rFonts w:cstheme="minorHAnsi"/>
                <w:bCs/>
                <w:color w:val="000000"/>
                <w:szCs w:val="20"/>
              </w:rPr>
              <w:t xml:space="preserve"> on employability</w:t>
            </w:r>
            <w:r w:rsidRPr="00ED6857">
              <w:rPr>
                <w:rFonts w:cstheme="minorHAnsi"/>
                <w:bCs/>
                <w:color w:val="000000"/>
                <w:szCs w:val="20"/>
              </w:rPr>
              <w:t xml:space="preserve"> / Some impact</w:t>
            </w:r>
          </w:p>
        </w:tc>
        <w:tc>
          <w:tcPr>
            <w:tcW w:w="1417" w:type="dxa"/>
            <w:noWrap/>
            <w:hideMark/>
          </w:tcPr>
          <w:p w14:paraId="6C972B53" w14:textId="586F1D45"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1.208</w:t>
            </w:r>
            <w:r w:rsidR="00750285">
              <w:t>*</w:t>
            </w:r>
          </w:p>
        </w:tc>
        <w:tc>
          <w:tcPr>
            <w:tcW w:w="1984" w:type="dxa"/>
            <w:noWrap/>
            <w:hideMark/>
          </w:tcPr>
          <w:p w14:paraId="7E65F115"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1.072</w:t>
            </w:r>
          </w:p>
        </w:tc>
        <w:tc>
          <w:tcPr>
            <w:tcW w:w="1843" w:type="dxa"/>
            <w:noWrap/>
            <w:hideMark/>
          </w:tcPr>
          <w:p w14:paraId="27DE9C0E" w14:textId="77777777" w:rsidR="00427F78" w:rsidRPr="00346BB7" w:rsidRDefault="00427F78"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0153F3">
              <w:t>1.362</w:t>
            </w:r>
          </w:p>
        </w:tc>
      </w:tr>
      <w:tr w:rsidR="00427F78" w:rsidRPr="00346BB7" w14:paraId="464AA2FF"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0065839" w14:textId="77777777" w:rsidR="00427F78" w:rsidRPr="00346BB7" w:rsidRDefault="00427F78" w:rsidP="00D11E39">
            <w:pPr>
              <w:spacing w:after="0" w:line="240" w:lineRule="auto"/>
              <w:rPr>
                <w:rFonts w:ascii="Calibri" w:eastAsia="Times New Roman" w:hAnsi="Calibri" w:cs="Calibri"/>
                <w:color w:val="000000"/>
                <w:lang w:eastAsia="en-AU"/>
              </w:rPr>
            </w:pPr>
            <w:r w:rsidRPr="004B5487">
              <w:rPr>
                <w:rFonts w:cstheme="minorHAnsi"/>
                <w:szCs w:val="20"/>
              </w:rPr>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1417" w:type="dxa"/>
            <w:noWrap/>
            <w:hideMark/>
          </w:tcPr>
          <w:p w14:paraId="7E734E02" w14:textId="39C2D2C8"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1.008</w:t>
            </w:r>
            <w:r w:rsidR="00750285">
              <w:t>*</w:t>
            </w:r>
          </w:p>
        </w:tc>
        <w:tc>
          <w:tcPr>
            <w:tcW w:w="1984" w:type="dxa"/>
            <w:noWrap/>
            <w:hideMark/>
          </w:tcPr>
          <w:p w14:paraId="2884919F"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1.005</w:t>
            </w:r>
          </w:p>
        </w:tc>
        <w:tc>
          <w:tcPr>
            <w:tcW w:w="1843" w:type="dxa"/>
            <w:noWrap/>
            <w:hideMark/>
          </w:tcPr>
          <w:p w14:paraId="00D35403" w14:textId="77777777" w:rsidR="00427F78" w:rsidRPr="00346BB7" w:rsidRDefault="00427F78"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0153F3">
              <w:t>1.010</w:t>
            </w:r>
          </w:p>
        </w:tc>
      </w:tr>
    </w:tbl>
    <w:p w14:paraId="1DED316D" w14:textId="77777777" w:rsidR="00427F78" w:rsidRPr="00A80EA6" w:rsidRDefault="00427F78" w:rsidP="00427F78">
      <w:pPr>
        <w:pStyle w:val="SourceandNotes"/>
      </w:pPr>
      <w:r w:rsidRPr="00A80EA6">
        <w:t xml:space="preserve">Base: n (excluding missing) = </w:t>
      </w:r>
      <w:r>
        <w:t>16,278</w:t>
      </w:r>
    </w:p>
    <w:p w14:paraId="0A1A9F4F" w14:textId="2AAB3285" w:rsidR="00F8391B" w:rsidRDefault="00427F78" w:rsidP="00427F78">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2F8DDDF1" w14:textId="04BDCF8B" w:rsidR="00427F78" w:rsidRPr="006333E9" w:rsidRDefault="00427F78" w:rsidP="00427F78">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66152AEF" w14:textId="1808908E" w:rsidR="00075A76" w:rsidRDefault="00075A76" w:rsidP="00075A76">
      <w:pPr>
        <w:pStyle w:val="Caption"/>
        <w:keepNext/>
      </w:pPr>
      <w:bookmarkStart w:id="4161" w:name="_Toc132647821"/>
      <w:bookmarkStart w:id="4162" w:name="_Toc145877335"/>
      <w:r>
        <w:t xml:space="preserve">Table </w:t>
      </w:r>
      <w:r>
        <w:fldChar w:fldCharType="begin"/>
      </w:r>
      <w:r>
        <w:instrText>SEQ Table \* ARABIC</w:instrText>
      </w:r>
      <w:r>
        <w:fldChar w:fldCharType="separate"/>
      </w:r>
      <w:r w:rsidR="00180E14">
        <w:rPr>
          <w:noProof/>
        </w:rPr>
        <w:t>46</w:t>
      </w:r>
      <w:r>
        <w:fldChar w:fldCharType="end"/>
      </w:r>
      <w:r>
        <w:t xml:space="preserve">: </w:t>
      </w:r>
      <w:r w:rsidRPr="00094BDD">
        <w:t xml:space="preserve">Logistic regression model – impact of TtW on probability of </w:t>
      </w:r>
      <w:r>
        <w:t xml:space="preserve">reducing reliance on </w:t>
      </w:r>
      <w:r w:rsidRPr="00094BDD">
        <w:t xml:space="preserve">income support </w:t>
      </w:r>
      <w:r w:rsidR="00CE7617">
        <w:t>(</w:t>
      </w:r>
      <w:r w:rsidR="001159FE">
        <w:t>labour market attachment</w:t>
      </w:r>
      <w:r w:rsidR="00CE7617">
        <w:t>)</w:t>
      </w:r>
      <w:r w:rsidR="00CE7617" w:rsidRPr="00D22D95">
        <w:t xml:space="preserve"> </w:t>
      </w:r>
      <w:r w:rsidR="004A1B81">
        <w:t>at</w:t>
      </w:r>
      <w:r w:rsidRPr="00094BDD">
        <w:t xml:space="preserve"> </w:t>
      </w:r>
      <w:r>
        <w:t>36</w:t>
      </w:r>
      <w:r w:rsidRPr="00094BDD">
        <w:t xml:space="preserve"> months after commencement</w:t>
      </w:r>
      <w:bookmarkEnd w:id="4161"/>
      <w:bookmarkEnd w:id="4162"/>
    </w:p>
    <w:tbl>
      <w:tblPr>
        <w:tblStyle w:val="TtWReportTableTemplate2"/>
        <w:tblW w:w="9497" w:type="dxa"/>
        <w:tblLook w:val="04A0" w:firstRow="1" w:lastRow="0" w:firstColumn="1" w:lastColumn="0" w:noHBand="0" w:noVBand="1"/>
      </w:tblPr>
      <w:tblGrid>
        <w:gridCol w:w="4253"/>
        <w:gridCol w:w="1417"/>
        <w:gridCol w:w="1984"/>
        <w:gridCol w:w="1843"/>
      </w:tblGrid>
      <w:tr w:rsidR="004A1B81" w:rsidRPr="00346BB7" w14:paraId="41122A0D" w14:textId="77777777" w:rsidTr="00674AE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253" w:type="dxa"/>
            <w:shd w:val="clear" w:color="auto" w:fill="5D7A38"/>
            <w:noWrap/>
            <w:hideMark/>
          </w:tcPr>
          <w:p w14:paraId="319EB7C2" w14:textId="77777777" w:rsidR="004A1B81" w:rsidRPr="00346BB7" w:rsidRDefault="004A1B81" w:rsidP="00D11E39">
            <w:pPr>
              <w:spacing w:after="0" w:line="240" w:lineRule="auto"/>
              <w:rPr>
                <w:rFonts w:eastAsia="Times New Roman" w:cs="Calibri"/>
                <w:lang w:eastAsia="en-AU"/>
              </w:rPr>
            </w:pPr>
            <w:r w:rsidRPr="00346BB7">
              <w:rPr>
                <w:rFonts w:eastAsia="Times New Roman" w:cs="Calibri"/>
                <w:lang w:eastAsia="en-AU"/>
              </w:rPr>
              <w:t>Variable</w:t>
            </w:r>
          </w:p>
        </w:tc>
        <w:tc>
          <w:tcPr>
            <w:tcW w:w="1417" w:type="dxa"/>
            <w:shd w:val="clear" w:color="auto" w:fill="5D7A38"/>
            <w:noWrap/>
            <w:hideMark/>
          </w:tcPr>
          <w:p w14:paraId="30FC5CD4" w14:textId="77777777" w:rsidR="004A1B81" w:rsidRPr="00346BB7" w:rsidRDefault="004A1B81"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Odds ratio</w:t>
            </w:r>
          </w:p>
        </w:tc>
        <w:tc>
          <w:tcPr>
            <w:tcW w:w="1984" w:type="dxa"/>
            <w:shd w:val="clear" w:color="auto" w:fill="5D7A38"/>
            <w:noWrap/>
            <w:hideMark/>
          </w:tcPr>
          <w:p w14:paraId="5C81FDB4" w14:textId="6818F5D8" w:rsidR="004A1B81" w:rsidRPr="00346BB7" w:rsidRDefault="004A1B81"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Lower 95% </w:t>
            </w:r>
            <w:r w:rsidR="001159FE">
              <w:rPr>
                <w:rFonts w:eastAsia="Times New Roman" w:cs="Calibri"/>
                <w:lang w:eastAsia="en-AU"/>
              </w:rPr>
              <w:t>confidence limit</w:t>
            </w:r>
          </w:p>
        </w:tc>
        <w:tc>
          <w:tcPr>
            <w:tcW w:w="1843" w:type="dxa"/>
            <w:shd w:val="clear" w:color="auto" w:fill="5D7A38"/>
            <w:noWrap/>
            <w:hideMark/>
          </w:tcPr>
          <w:p w14:paraId="01EECBEE" w14:textId="209C58EE" w:rsidR="004A1B81" w:rsidRPr="00346BB7" w:rsidRDefault="004A1B81" w:rsidP="00C239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Upper 95% </w:t>
            </w:r>
            <w:r w:rsidR="001159FE">
              <w:rPr>
                <w:rFonts w:eastAsia="Times New Roman" w:cs="Calibri"/>
                <w:lang w:eastAsia="en-AU"/>
              </w:rPr>
              <w:t>confidence limit</w:t>
            </w:r>
          </w:p>
        </w:tc>
      </w:tr>
      <w:tr w:rsidR="004A1B81" w:rsidRPr="00346BB7" w14:paraId="643633D4"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0E3FE3A" w14:textId="77777777" w:rsidR="004A1B81" w:rsidRPr="00346BB7" w:rsidRDefault="004A1B81" w:rsidP="00D11E39">
            <w:pPr>
              <w:spacing w:after="0" w:line="240" w:lineRule="auto"/>
              <w:rPr>
                <w:rFonts w:ascii="Calibri" w:eastAsia="Times New Roman" w:hAnsi="Calibri" w:cs="Calibri"/>
                <w:color w:val="000000"/>
                <w:lang w:eastAsia="en-AU"/>
              </w:rPr>
            </w:pPr>
            <w:r w:rsidRPr="004B5487">
              <w:rPr>
                <w:bCs/>
                <w:color w:val="000000"/>
                <w:szCs w:val="20"/>
              </w:rPr>
              <w:t>Female / Male</w:t>
            </w:r>
          </w:p>
        </w:tc>
        <w:tc>
          <w:tcPr>
            <w:tcW w:w="1417" w:type="dxa"/>
            <w:noWrap/>
            <w:hideMark/>
          </w:tcPr>
          <w:p w14:paraId="759CEF2D" w14:textId="0E6D913C"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0.670</w:t>
            </w:r>
            <w:r w:rsidR="00750285">
              <w:t>*</w:t>
            </w:r>
          </w:p>
        </w:tc>
        <w:tc>
          <w:tcPr>
            <w:tcW w:w="1984" w:type="dxa"/>
            <w:noWrap/>
            <w:hideMark/>
          </w:tcPr>
          <w:p w14:paraId="20909825"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0.627</w:t>
            </w:r>
          </w:p>
        </w:tc>
        <w:tc>
          <w:tcPr>
            <w:tcW w:w="1843" w:type="dxa"/>
            <w:noWrap/>
            <w:hideMark/>
          </w:tcPr>
          <w:p w14:paraId="66299496"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0.716</w:t>
            </w:r>
          </w:p>
        </w:tc>
      </w:tr>
      <w:tr w:rsidR="004A1B81" w:rsidRPr="00346BB7" w14:paraId="46AED25C"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0E6F3717" w14:textId="77777777" w:rsidR="004A1B81" w:rsidRPr="00346BB7" w:rsidRDefault="004A1B81" w:rsidP="00D11E39">
            <w:pPr>
              <w:spacing w:after="0" w:line="240" w:lineRule="auto"/>
              <w:rPr>
                <w:rFonts w:ascii="Calibri" w:eastAsia="Times New Roman" w:hAnsi="Calibri" w:cs="Calibri"/>
                <w:color w:val="000000"/>
                <w:lang w:eastAsia="en-AU"/>
              </w:rPr>
            </w:pPr>
            <w:r>
              <w:rPr>
                <w:bCs/>
                <w:color w:val="000000"/>
                <w:szCs w:val="20"/>
              </w:rPr>
              <w:t>Age (increased by 1 year)</w:t>
            </w:r>
          </w:p>
        </w:tc>
        <w:tc>
          <w:tcPr>
            <w:tcW w:w="1417" w:type="dxa"/>
            <w:noWrap/>
            <w:hideMark/>
          </w:tcPr>
          <w:p w14:paraId="5BA1367C" w14:textId="1C696CA9"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1.079</w:t>
            </w:r>
            <w:r w:rsidR="00750285">
              <w:t>*</w:t>
            </w:r>
          </w:p>
        </w:tc>
        <w:tc>
          <w:tcPr>
            <w:tcW w:w="1984" w:type="dxa"/>
            <w:noWrap/>
            <w:hideMark/>
          </w:tcPr>
          <w:p w14:paraId="52B417AD"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1.052</w:t>
            </w:r>
          </w:p>
        </w:tc>
        <w:tc>
          <w:tcPr>
            <w:tcW w:w="1843" w:type="dxa"/>
            <w:noWrap/>
            <w:hideMark/>
          </w:tcPr>
          <w:p w14:paraId="61FD1F83"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1.106</w:t>
            </w:r>
          </w:p>
        </w:tc>
      </w:tr>
      <w:tr w:rsidR="004A1B81" w:rsidRPr="00346BB7" w14:paraId="38008DF4"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BC8F13C" w14:textId="77777777" w:rsidR="004A1B81" w:rsidRPr="00346BB7" w:rsidRDefault="004A1B81" w:rsidP="00D11E39">
            <w:pPr>
              <w:spacing w:after="0" w:line="240" w:lineRule="auto"/>
              <w:rPr>
                <w:rFonts w:ascii="Calibri" w:eastAsia="Times New Roman" w:hAnsi="Calibri" w:cs="Calibri"/>
                <w:color w:val="000000"/>
                <w:lang w:eastAsia="en-AU"/>
              </w:rPr>
            </w:pPr>
            <w:r w:rsidRPr="004B5487">
              <w:rPr>
                <w:bCs/>
                <w:color w:val="000000"/>
                <w:szCs w:val="20"/>
              </w:rPr>
              <w:t>Non-Indigenous / Indigenous</w:t>
            </w:r>
          </w:p>
        </w:tc>
        <w:tc>
          <w:tcPr>
            <w:tcW w:w="1417" w:type="dxa"/>
            <w:noWrap/>
            <w:hideMark/>
          </w:tcPr>
          <w:p w14:paraId="26DB4E29" w14:textId="137A5C46"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1.629</w:t>
            </w:r>
            <w:r w:rsidR="00750285">
              <w:t>*</w:t>
            </w:r>
          </w:p>
        </w:tc>
        <w:tc>
          <w:tcPr>
            <w:tcW w:w="1984" w:type="dxa"/>
            <w:noWrap/>
            <w:hideMark/>
          </w:tcPr>
          <w:p w14:paraId="465239AF"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1.495</w:t>
            </w:r>
          </w:p>
        </w:tc>
        <w:tc>
          <w:tcPr>
            <w:tcW w:w="1843" w:type="dxa"/>
            <w:noWrap/>
            <w:hideMark/>
          </w:tcPr>
          <w:p w14:paraId="5B7BD0A7"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1.775</w:t>
            </w:r>
          </w:p>
        </w:tc>
      </w:tr>
      <w:tr w:rsidR="004A1B81" w:rsidRPr="00346BB7" w14:paraId="27BC4B97"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0852AA14" w14:textId="65E947B5" w:rsidR="004A1B81" w:rsidRPr="00346BB7" w:rsidRDefault="004A1B81" w:rsidP="00D11E39">
            <w:pPr>
              <w:spacing w:after="0" w:line="240" w:lineRule="auto"/>
              <w:rPr>
                <w:rFonts w:ascii="Calibri" w:eastAsia="Times New Roman" w:hAnsi="Calibri" w:cs="Calibri"/>
                <w:color w:val="000000"/>
                <w:lang w:eastAsia="en-AU"/>
              </w:rPr>
            </w:pPr>
            <w:r w:rsidRPr="004B5487">
              <w:rPr>
                <w:bCs/>
                <w:color w:val="000000"/>
                <w:szCs w:val="20"/>
              </w:rPr>
              <w:t xml:space="preserve">Year </w:t>
            </w:r>
            <w:r w:rsidR="00140024">
              <w:rPr>
                <w:bCs/>
                <w:color w:val="000000"/>
                <w:szCs w:val="20"/>
              </w:rPr>
              <w:t>12 completer</w:t>
            </w:r>
            <w:r w:rsidRPr="004B5487">
              <w:rPr>
                <w:bCs/>
                <w:color w:val="000000"/>
                <w:szCs w:val="20"/>
              </w:rPr>
              <w:t xml:space="preserve"> / Non-Year 12</w:t>
            </w:r>
            <w:r>
              <w:rPr>
                <w:bCs/>
                <w:color w:val="000000"/>
                <w:szCs w:val="20"/>
              </w:rPr>
              <w:t xml:space="preserve"> c</w:t>
            </w:r>
            <w:r w:rsidRPr="004B5487">
              <w:rPr>
                <w:bCs/>
                <w:color w:val="000000"/>
                <w:szCs w:val="20"/>
              </w:rPr>
              <w:t>ompleter</w:t>
            </w:r>
          </w:p>
        </w:tc>
        <w:tc>
          <w:tcPr>
            <w:tcW w:w="1417" w:type="dxa"/>
            <w:noWrap/>
            <w:hideMark/>
          </w:tcPr>
          <w:p w14:paraId="66536BF9" w14:textId="5832AAD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1.533</w:t>
            </w:r>
            <w:r w:rsidR="00750285">
              <w:t>*</w:t>
            </w:r>
          </w:p>
        </w:tc>
        <w:tc>
          <w:tcPr>
            <w:tcW w:w="1984" w:type="dxa"/>
            <w:noWrap/>
            <w:hideMark/>
          </w:tcPr>
          <w:p w14:paraId="29621DD4"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1.424</w:t>
            </w:r>
          </w:p>
        </w:tc>
        <w:tc>
          <w:tcPr>
            <w:tcW w:w="1843" w:type="dxa"/>
            <w:noWrap/>
            <w:hideMark/>
          </w:tcPr>
          <w:p w14:paraId="341F16D9"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1.651</w:t>
            </w:r>
          </w:p>
        </w:tc>
      </w:tr>
      <w:tr w:rsidR="004A1B81" w:rsidRPr="00346BB7" w14:paraId="16E6E377"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DACA1A4" w14:textId="016548E1" w:rsidR="004A1B81" w:rsidRPr="00346BB7" w:rsidRDefault="00140024" w:rsidP="00D11E39">
            <w:pPr>
              <w:spacing w:after="0" w:line="240" w:lineRule="auto"/>
              <w:rPr>
                <w:rFonts w:ascii="Calibri" w:eastAsia="Times New Roman" w:hAnsi="Calibri" w:cs="Calibri"/>
                <w:color w:val="000000"/>
                <w:lang w:eastAsia="en-AU"/>
              </w:rPr>
            </w:pPr>
            <w:r>
              <w:rPr>
                <w:szCs w:val="20"/>
              </w:rPr>
              <w:t>No transport</w:t>
            </w:r>
            <w:r w:rsidR="004A1B81" w:rsidRPr="004B5487">
              <w:rPr>
                <w:szCs w:val="20"/>
              </w:rPr>
              <w:t xml:space="preserve"> / </w:t>
            </w:r>
            <w:r>
              <w:rPr>
                <w:szCs w:val="20"/>
              </w:rPr>
              <w:t>Public transport</w:t>
            </w:r>
          </w:p>
        </w:tc>
        <w:tc>
          <w:tcPr>
            <w:tcW w:w="1417" w:type="dxa"/>
            <w:noWrap/>
            <w:hideMark/>
          </w:tcPr>
          <w:p w14:paraId="62C1FCD9" w14:textId="2AD0E9E6"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0.838</w:t>
            </w:r>
            <w:r w:rsidR="00750285">
              <w:t>*</w:t>
            </w:r>
          </w:p>
        </w:tc>
        <w:tc>
          <w:tcPr>
            <w:tcW w:w="1984" w:type="dxa"/>
            <w:noWrap/>
            <w:hideMark/>
          </w:tcPr>
          <w:p w14:paraId="470DFCCE"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0.735</w:t>
            </w:r>
          </w:p>
        </w:tc>
        <w:tc>
          <w:tcPr>
            <w:tcW w:w="1843" w:type="dxa"/>
            <w:noWrap/>
            <w:hideMark/>
          </w:tcPr>
          <w:p w14:paraId="7EA83ADB"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0.956</w:t>
            </w:r>
          </w:p>
        </w:tc>
      </w:tr>
      <w:tr w:rsidR="004A1B81" w:rsidRPr="00346BB7" w14:paraId="56F1D046"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2B1021B" w14:textId="0CD6B698" w:rsidR="004A1B81" w:rsidRPr="00346BB7" w:rsidRDefault="00140024" w:rsidP="00D11E39">
            <w:pPr>
              <w:spacing w:after="0" w:line="240" w:lineRule="auto"/>
              <w:rPr>
                <w:rFonts w:ascii="Calibri" w:eastAsia="Times New Roman" w:hAnsi="Calibri" w:cs="Calibri"/>
                <w:color w:val="000000"/>
                <w:lang w:eastAsia="en-AU"/>
              </w:rPr>
            </w:pPr>
            <w:r>
              <w:rPr>
                <w:szCs w:val="20"/>
              </w:rPr>
              <w:t>Private transport</w:t>
            </w:r>
            <w:r w:rsidR="004A1B81" w:rsidRPr="004B5487">
              <w:rPr>
                <w:szCs w:val="20"/>
              </w:rPr>
              <w:t xml:space="preserve"> / </w:t>
            </w:r>
            <w:r>
              <w:rPr>
                <w:szCs w:val="20"/>
              </w:rPr>
              <w:t>Public transport</w:t>
            </w:r>
          </w:p>
        </w:tc>
        <w:tc>
          <w:tcPr>
            <w:tcW w:w="1417" w:type="dxa"/>
            <w:noWrap/>
            <w:hideMark/>
          </w:tcPr>
          <w:p w14:paraId="4BAA9049" w14:textId="2BA9F6B2"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1.344</w:t>
            </w:r>
            <w:r w:rsidR="00750285">
              <w:t>*</w:t>
            </w:r>
          </w:p>
        </w:tc>
        <w:tc>
          <w:tcPr>
            <w:tcW w:w="1984" w:type="dxa"/>
            <w:noWrap/>
            <w:hideMark/>
          </w:tcPr>
          <w:p w14:paraId="696E2F7C"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1.250</w:t>
            </w:r>
          </w:p>
        </w:tc>
        <w:tc>
          <w:tcPr>
            <w:tcW w:w="1843" w:type="dxa"/>
            <w:noWrap/>
            <w:hideMark/>
          </w:tcPr>
          <w:p w14:paraId="4320A8A0"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1.445</w:t>
            </w:r>
          </w:p>
        </w:tc>
      </w:tr>
      <w:tr w:rsidR="004A1B81" w:rsidRPr="00346BB7" w14:paraId="135F3745"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15CFF894" w14:textId="6FFF815D" w:rsidR="004A1B81" w:rsidRPr="00346BB7" w:rsidRDefault="004A1B81" w:rsidP="00D11E39">
            <w:pPr>
              <w:spacing w:after="0" w:line="240" w:lineRule="auto"/>
              <w:rPr>
                <w:rFonts w:ascii="Calibri" w:eastAsia="Times New Roman" w:hAnsi="Calibri" w:cs="Calibri"/>
                <w:color w:val="000000"/>
                <w:lang w:eastAsia="en-AU"/>
              </w:rPr>
            </w:pPr>
            <w:r w:rsidRPr="004B5487">
              <w:rPr>
                <w:bCs/>
                <w:color w:val="000000"/>
                <w:szCs w:val="20"/>
              </w:rPr>
              <w:t>St</w:t>
            </w:r>
            <w:r w:rsidR="00140024">
              <w:rPr>
                <w:bCs/>
                <w:color w:val="000000"/>
                <w:szCs w:val="20"/>
              </w:rPr>
              <w:t>able residence</w:t>
            </w:r>
            <w:r w:rsidRPr="004B5487">
              <w:rPr>
                <w:bCs/>
                <w:color w:val="000000"/>
                <w:szCs w:val="20"/>
              </w:rPr>
              <w:t xml:space="preserve"> / Unst</w:t>
            </w:r>
            <w:r w:rsidR="00140024">
              <w:rPr>
                <w:bCs/>
                <w:color w:val="000000"/>
                <w:szCs w:val="20"/>
              </w:rPr>
              <w:t>able residence</w:t>
            </w:r>
          </w:p>
        </w:tc>
        <w:tc>
          <w:tcPr>
            <w:tcW w:w="1417" w:type="dxa"/>
            <w:noWrap/>
            <w:hideMark/>
          </w:tcPr>
          <w:p w14:paraId="668015DD" w14:textId="3269D1D9"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1.299</w:t>
            </w:r>
            <w:r w:rsidR="00750285">
              <w:t>*</w:t>
            </w:r>
          </w:p>
        </w:tc>
        <w:tc>
          <w:tcPr>
            <w:tcW w:w="1984" w:type="dxa"/>
            <w:noWrap/>
            <w:hideMark/>
          </w:tcPr>
          <w:p w14:paraId="5AD39FCB"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1.176</w:t>
            </w:r>
          </w:p>
        </w:tc>
        <w:tc>
          <w:tcPr>
            <w:tcW w:w="1843" w:type="dxa"/>
            <w:noWrap/>
            <w:hideMark/>
          </w:tcPr>
          <w:p w14:paraId="03A606CA"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1.436</w:t>
            </w:r>
          </w:p>
        </w:tc>
      </w:tr>
      <w:tr w:rsidR="004A1B81" w:rsidRPr="00346BB7" w14:paraId="62029B0E"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46D81B45" w14:textId="60D79839" w:rsidR="004A1B81" w:rsidRPr="00346BB7" w:rsidRDefault="004A1B81" w:rsidP="00D11E39">
            <w:pPr>
              <w:spacing w:after="0" w:line="240" w:lineRule="auto"/>
              <w:rPr>
                <w:rFonts w:ascii="Calibri" w:eastAsia="Times New Roman" w:hAnsi="Calibri" w:cs="Calibri"/>
                <w:color w:val="000000"/>
                <w:lang w:eastAsia="en-AU"/>
              </w:rPr>
            </w:pPr>
            <w:r w:rsidRPr="004B5487">
              <w:rPr>
                <w:szCs w:val="20"/>
              </w:rPr>
              <w:t xml:space="preserve">History </w:t>
            </w:r>
            <w:r w:rsidR="00140024">
              <w:rPr>
                <w:szCs w:val="20"/>
              </w:rPr>
              <w:t>of paid or unpaid work</w:t>
            </w:r>
            <w:r w:rsidRPr="004B5487">
              <w:rPr>
                <w:szCs w:val="20"/>
              </w:rPr>
              <w:t xml:space="preserve"> / Was not </w:t>
            </w:r>
            <w:r>
              <w:rPr>
                <w:szCs w:val="20"/>
              </w:rPr>
              <w:t>w</w:t>
            </w:r>
            <w:r w:rsidRPr="004B5487">
              <w:rPr>
                <w:szCs w:val="20"/>
              </w:rPr>
              <w:t>orking</w:t>
            </w:r>
          </w:p>
        </w:tc>
        <w:tc>
          <w:tcPr>
            <w:tcW w:w="1417" w:type="dxa"/>
            <w:noWrap/>
            <w:hideMark/>
          </w:tcPr>
          <w:p w14:paraId="6B9B11A9" w14:textId="20A43ABD"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1.550</w:t>
            </w:r>
            <w:r w:rsidR="00750285">
              <w:t>*</w:t>
            </w:r>
          </w:p>
        </w:tc>
        <w:tc>
          <w:tcPr>
            <w:tcW w:w="1984" w:type="dxa"/>
            <w:noWrap/>
            <w:hideMark/>
          </w:tcPr>
          <w:p w14:paraId="37017A4E"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1.418</w:t>
            </w:r>
          </w:p>
        </w:tc>
        <w:tc>
          <w:tcPr>
            <w:tcW w:w="1843" w:type="dxa"/>
            <w:noWrap/>
            <w:hideMark/>
          </w:tcPr>
          <w:p w14:paraId="4EBDCA31"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1.695</w:t>
            </w:r>
          </w:p>
        </w:tc>
      </w:tr>
      <w:tr w:rsidR="004A1B81" w:rsidRPr="00346BB7" w14:paraId="7B2EF391"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19035F73" w14:textId="77777777" w:rsidR="004A1B81" w:rsidRPr="004B5487" w:rsidRDefault="004A1B81" w:rsidP="00D11E39">
            <w:pPr>
              <w:spacing w:after="0" w:line="240" w:lineRule="auto"/>
              <w:rPr>
                <w:szCs w:val="20"/>
              </w:rPr>
            </w:pPr>
            <w:r w:rsidRPr="004B5487">
              <w:rPr>
                <w:rFonts w:cstheme="minorHAnsi"/>
                <w:szCs w:val="20"/>
              </w:rPr>
              <w:t>More than 12 months on income support / Less than 12 months on income support</w:t>
            </w:r>
            <w:r>
              <w:rPr>
                <w:rFonts w:cstheme="minorHAnsi"/>
                <w:szCs w:val="20"/>
              </w:rPr>
              <w:t> </w:t>
            </w:r>
          </w:p>
        </w:tc>
        <w:tc>
          <w:tcPr>
            <w:tcW w:w="1417" w:type="dxa"/>
            <w:noWrap/>
          </w:tcPr>
          <w:p w14:paraId="31717FD1" w14:textId="576E3462" w:rsidR="004A1B81" w:rsidRPr="00E127A8"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5C3A63">
              <w:t>0.852</w:t>
            </w:r>
            <w:r w:rsidR="00750285">
              <w:t>*</w:t>
            </w:r>
          </w:p>
        </w:tc>
        <w:tc>
          <w:tcPr>
            <w:tcW w:w="1984" w:type="dxa"/>
            <w:noWrap/>
          </w:tcPr>
          <w:p w14:paraId="6A4141E0" w14:textId="77777777" w:rsidR="004A1B81" w:rsidRPr="00E127A8"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5C3A63">
              <w:t>0.767</w:t>
            </w:r>
          </w:p>
        </w:tc>
        <w:tc>
          <w:tcPr>
            <w:tcW w:w="1843" w:type="dxa"/>
            <w:noWrap/>
          </w:tcPr>
          <w:p w14:paraId="64891D1E" w14:textId="77777777" w:rsidR="004A1B81" w:rsidRPr="00E127A8"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5C3A63">
              <w:t>0.946</w:t>
            </w:r>
          </w:p>
        </w:tc>
      </w:tr>
      <w:tr w:rsidR="004A1B81" w:rsidRPr="00346BB7" w14:paraId="39250210"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734DC42D" w14:textId="49F7B619" w:rsidR="004A1B81" w:rsidRPr="004B5487" w:rsidRDefault="00140024" w:rsidP="00D11E39">
            <w:pPr>
              <w:spacing w:after="0" w:line="240" w:lineRule="auto"/>
              <w:rPr>
                <w:szCs w:val="20"/>
              </w:rPr>
            </w:pPr>
            <w:r>
              <w:t>Ex-o</w:t>
            </w:r>
            <w:r w:rsidR="004A1B81" w:rsidRPr="00FA51A0">
              <w:t>ffender / None</w:t>
            </w:r>
          </w:p>
        </w:tc>
        <w:tc>
          <w:tcPr>
            <w:tcW w:w="1417" w:type="dxa"/>
            <w:noWrap/>
          </w:tcPr>
          <w:p w14:paraId="096BD7E1" w14:textId="39DC77A2" w:rsidR="004A1B81" w:rsidRPr="00C05C31"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C3A63">
              <w:t>0.821</w:t>
            </w:r>
            <w:r w:rsidR="00750285">
              <w:t>*</w:t>
            </w:r>
          </w:p>
        </w:tc>
        <w:tc>
          <w:tcPr>
            <w:tcW w:w="1984" w:type="dxa"/>
            <w:noWrap/>
          </w:tcPr>
          <w:p w14:paraId="09458B03" w14:textId="77777777" w:rsidR="004A1B81" w:rsidRPr="00C05C31"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C3A63">
              <w:t>0.729</w:t>
            </w:r>
          </w:p>
        </w:tc>
        <w:tc>
          <w:tcPr>
            <w:tcW w:w="1843" w:type="dxa"/>
            <w:noWrap/>
          </w:tcPr>
          <w:p w14:paraId="4BF2B560" w14:textId="77777777" w:rsidR="004A1B81" w:rsidRPr="00C05C31"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C3A63">
              <w:t>0.923</w:t>
            </w:r>
          </w:p>
        </w:tc>
      </w:tr>
      <w:tr w:rsidR="004A1B81" w:rsidRPr="00346BB7" w14:paraId="40EE3A40" w14:textId="77777777" w:rsidTr="009251AF">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253" w:type="dxa"/>
            <w:noWrap/>
            <w:hideMark/>
          </w:tcPr>
          <w:p w14:paraId="555B0813" w14:textId="3F11AC6E" w:rsidR="004A1B81" w:rsidRPr="00346BB7" w:rsidRDefault="004A1B81" w:rsidP="00D11E39">
            <w:pPr>
              <w:spacing w:after="0" w:line="240" w:lineRule="auto"/>
              <w:rPr>
                <w:rFonts w:ascii="Calibri" w:eastAsia="Times New Roman" w:hAnsi="Calibri" w:cs="Calibri"/>
                <w:color w:val="000000"/>
                <w:lang w:eastAsia="en-AU"/>
              </w:rPr>
            </w:pPr>
            <w:r w:rsidRPr="00346BB7">
              <w:rPr>
                <w:rFonts w:ascii="Calibri" w:eastAsia="Times New Roman" w:hAnsi="Calibri" w:cs="Calibri"/>
                <w:color w:val="000000"/>
                <w:lang w:eastAsia="en-AU"/>
              </w:rPr>
              <w:t>Disability</w:t>
            </w:r>
            <w:r w:rsidR="001F433F">
              <w:rPr>
                <w:rFonts w:ascii="Calibri" w:eastAsia="Times New Roman" w:hAnsi="Calibri" w:cs="Calibri"/>
                <w:color w:val="000000"/>
                <w:lang w:eastAsia="en-AU"/>
              </w:rPr>
              <w:t xml:space="preserve"> </w:t>
            </w:r>
            <w:r>
              <w:rPr>
                <w:rFonts w:ascii="Calibri" w:eastAsia="Times New Roman" w:hAnsi="Calibri" w:cs="Calibri"/>
                <w:color w:val="000000"/>
                <w:lang w:eastAsia="en-AU"/>
              </w:rPr>
              <w:t>/</w:t>
            </w:r>
            <w:r w:rsidR="001F433F">
              <w:rPr>
                <w:rFonts w:ascii="Calibri" w:eastAsia="Times New Roman" w:hAnsi="Calibri" w:cs="Calibri"/>
                <w:color w:val="000000"/>
                <w:lang w:eastAsia="en-AU"/>
              </w:rPr>
              <w:t xml:space="preserve"> </w:t>
            </w:r>
            <w:r w:rsidR="00140024">
              <w:rPr>
                <w:rFonts w:ascii="Calibri" w:eastAsia="Times New Roman" w:hAnsi="Calibri" w:cs="Calibri"/>
                <w:color w:val="000000"/>
                <w:lang w:eastAsia="en-AU"/>
              </w:rPr>
              <w:t>No disability</w:t>
            </w:r>
          </w:p>
        </w:tc>
        <w:tc>
          <w:tcPr>
            <w:tcW w:w="1417" w:type="dxa"/>
            <w:noWrap/>
            <w:hideMark/>
          </w:tcPr>
          <w:p w14:paraId="2051A3F6" w14:textId="59E64822"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0.729</w:t>
            </w:r>
            <w:r w:rsidR="00750285">
              <w:t>*</w:t>
            </w:r>
          </w:p>
        </w:tc>
        <w:tc>
          <w:tcPr>
            <w:tcW w:w="1984" w:type="dxa"/>
            <w:noWrap/>
            <w:hideMark/>
          </w:tcPr>
          <w:p w14:paraId="770BCCC9"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0.639</w:t>
            </w:r>
          </w:p>
        </w:tc>
        <w:tc>
          <w:tcPr>
            <w:tcW w:w="1843" w:type="dxa"/>
            <w:noWrap/>
            <w:hideMark/>
          </w:tcPr>
          <w:p w14:paraId="1ABC329C"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0.831</w:t>
            </w:r>
          </w:p>
        </w:tc>
      </w:tr>
      <w:tr w:rsidR="004A1B81" w:rsidRPr="00346BB7" w14:paraId="1E9DCF0D"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0E3D9034" w14:textId="2410DF84" w:rsidR="004A1B81" w:rsidRPr="00346BB7" w:rsidRDefault="004A1B81" w:rsidP="00D11E39">
            <w:pPr>
              <w:spacing w:after="0" w:line="240" w:lineRule="auto"/>
              <w:rPr>
                <w:rFonts w:ascii="Calibri" w:eastAsia="Times New Roman" w:hAnsi="Calibri" w:cs="Calibri"/>
                <w:color w:val="000000"/>
                <w:lang w:eastAsia="en-AU"/>
              </w:rPr>
            </w:pPr>
            <w:r w:rsidRPr="004B5487">
              <w:rPr>
                <w:bCs/>
                <w:color w:val="000000"/>
                <w:szCs w:val="20"/>
              </w:rPr>
              <w:t xml:space="preserve">Good English skills / Poor </w:t>
            </w:r>
            <w:r w:rsidR="00140024">
              <w:rPr>
                <w:bCs/>
                <w:color w:val="000000"/>
                <w:szCs w:val="20"/>
              </w:rPr>
              <w:t>or combination</w:t>
            </w:r>
            <w:r w:rsidRPr="004B5487">
              <w:rPr>
                <w:bCs/>
                <w:color w:val="000000"/>
                <w:szCs w:val="20"/>
              </w:rPr>
              <w:t xml:space="preserve"> of good and poor</w:t>
            </w:r>
          </w:p>
        </w:tc>
        <w:tc>
          <w:tcPr>
            <w:tcW w:w="1417" w:type="dxa"/>
            <w:noWrap/>
            <w:hideMark/>
          </w:tcPr>
          <w:p w14:paraId="6AD1E465" w14:textId="726A28B9"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1.428</w:t>
            </w:r>
            <w:r w:rsidR="00750285">
              <w:t>*</w:t>
            </w:r>
          </w:p>
        </w:tc>
        <w:tc>
          <w:tcPr>
            <w:tcW w:w="1984" w:type="dxa"/>
            <w:noWrap/>
            <w:hideMark/>
          </w:tcPr>
          <w:p w14:paraId="1133D7CD"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1.265</w:t>
            </w:r>
          </w:p>
        </w:tc>
        <w:tc>
          <w:tcPr>
            <w:tcW w:w="1843" w:type="dxa"/>
            <w:noWrap/>
            <w:hideMark/>
          </w:tcPr>
          <w:p w14:paraId="0CEA9689"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1.611</w:t>
            </w:r>
          </w:p>
        </w:tc>
      </w:tr>
      <w:tr w:rsidR="00750285" w:rsidRPr="00346BB7" w14:paraId="3D7AC61B"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271CF1ED" w14:textId="5D151FB0" w:rsidR="00750285" w:rsidRPr="004B5487" w:rsidRDefault="00750285" w:rsidP="00750285">
            <w:pPr>
              <w:spacing w:after="0" w:line="240" w:lineRule="auto"/>
              <w:rPr>
                <w:bCs/>
                <w:color w:val="000000"/>
                <w:szCs w:val="20"/>
              </w:rPr>
            </w:pPr>
            <w:r w:rsidRPr="00ED6857">
              <w:rPr>
                <w:rFonts w:cstheme="minorHAnsi"/>
                <w:bCs/>
                <w:color w:val="000000"/>
                <w:szCs w:val="20"/>
              </w:rPr>
              <w:t>More than once on income support / Other</w:t>
            </w:r>
            <w:r>
              <w:rPr>
                <w:rFonts w:cstheme="minorHAnsi"/>
                <w:bCs/>
                <w:color w:val="000000"/>
                <w:szCs w:val="20"/>
                <w:vertAlign w:val="superscript"/>
              </w:rPr>
              <w:t>2</w:t>
            </w:r>
          </w:p>
        </w:tc>
        <w:tc>
          <w:tcPr>
            <w:tcW w:w="1417" w:type="dxa"/>
            <w:noWrap/>
          </w:tcPr>
          <w:p w14:paraId="1C79E086" w14:textId="6DA94262" w:rsidR="00750285" w:rsidRPr="000153F3"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5C3A63">
              <w:t>0.822</w:t>
            </w:r>
            <w:r>
              <w:t>*</w:t>
            </w:r>
          </w:p>
        </w:tc>
        <w:tc>
          <w:tcPr>
            <w:tcW w:w="1984" w:type="dxa"/>
            <w:noWrap/>
          </w:tcPr>
          <w:p w14:paraId="0AA73CD7" w14:textId="77777777" w:rsidR="00750285" w:rsidRPr="000153F3"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5C3A63">
              <w:t>0.751</w:t>
            </w:r>
          </w:p>
        </w:tc>
        <w:tc>
          <w:tcPr>
            <w:tcW w:w="1843" w:type="dxa"/>
            <w:noWrap/>
          </w:tcPr>
          <w:p w14:paraId="4CD5B482" w14:textId="77777777" w:rsidR="00750285" w:rsidRPr="000153F3"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5C3A63">
              <w:t>0.900</w:t>
            </w:r>
          </w:p>
        </w:tc>
      </w:tr>
      <w:tr w:rsidR="004A1B81" w:rsidRPr="00346BB7" w14:paraId="37F13F8A"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2A0EBC59" w14:textId="218ADB93" w:rsidR="004A1B81" w:rsidRPr="004B5487" w:rsidRDefault="004A1B81" w:rsidP="00D11E39">
            <w:pPr>
              <w:spacing w:after="0" w:line="240" w:lineRule="auto"/>
              <w:rPr>
                <w:bCs/>
                <w:color w:val="000000"/>
                <w:szCs w:val="20"/>
              </w:rPr>
            </w:pPr>
            <w:r w:rsidRPr="00F26C6E">
              <w:rPr>
                <w:bCs/>
                <w:color w:val="000000"/>
                <w:szCs w:val="20"/>
              </w:rPr>
              <w:t xml:space="preserve">Major </w:t>
            </w:r>
            <w:r w:rsidR="001159FE">
              <w:rPr>
                <w:bCs/>
                <w:color w:val="000000"/>
                <w:szCs w:val="20"/>
              </w:rPr>
              <w:t>C</w:t>
            </w:r>
            <w:r w:rsidRPr="00F26C6E">
              <w:rPr>
                <w:bCs/>
                <w:color w:val="000000"/>
                <w:szCs w:val="20"/>
              </w:rPr>
              <w:t>ity</w:t>
            </w:r>
            <w:r w:rsidR="001159FE">
              <w:rPr>
                <w:bCs/>
                <w:color w:val="000000"/>
                <w:szCs w:val="20"/>
              </w:rPr>
              <w:t xml:space="preserve"> or </w:t>
            </w:r>
            <w:r w:rsidRPr="00F26C6E">
              <w:rPr>
                <w:bCs/>
                <w:color w:val="000000"/>
                <w:szCs w:val="20"/>
              </w:rPr>
              <w:t xml:space="preserve">Inner Regional </w:t>
            </w:r>
            <w:r w:rsidR="001159FE">
              <w:rPr>
                <w:bCs/>
                <w:color w:val="000000"/>
                <w:szCs w:val="20"/>
              </w:rPr>
              <w:t>/</w:t>
            </w:r>
            <w:r w:rsidR="001159FE" w:rsidRPr="00F26C6E">
              <w:rPr>
                <w:bCs/>
                <w:color w:val="000000"/>
                <w:szCs w:val="20"/>
              </w:rPr>
              <w:t xml:space="preserve"> </w:t>
            </w:r>
            <w:r w:rsidRPr="00F26C6E">
              <w:rPr>
                <w:bCs/>
                <w:color w:val="000000"/>
                <w:szCs w:val="20"/>
              </w:rPr>
              <w:t>Outer Regional</w:t>
            </w:r>
            <w:r w:rsidR="001159FE">
              <w:rPr>
                <w:bCs/>
                <w:color w:val="000000"/>
                <w:szCs w:val="20"/>
              </w:rPr>
              <w:t xml:space="preserve"> or </w:t>
            </w:r>
            <w:r w:rsidRPr="00F26C6E">
              <w:rPr>
                <w:bCs/>
                <w:color w:val="000000"/>
                <w:szCs w:val="20"/>
              </w:rPr>
              <w:t>Remote</w:t>
            </w:r>
            <w:r w:rsidR="001159FE">
              <w:rPr>
                <w:bCs/>
                <w:color w:val="000000"/>
                <w:szCs w:val="20"/>
              </w:rPr>
              <w:t xml:space="preserve"> or </w:t>
            </w:r>
            <w:r w:rsidRPr="00F26C6E">
              <w:rPr>
                <w:bCs/>
                <w:color w:val="000000"/>
                <w:szCs w:val="20"/>
              </w:rPr>
              <w:t>Very Remote</w:t>
            </w:r>
          </w:p>
        </w:tc>
        <w:tc>
          <w:tcPr>
            <w:tcW w:w="1417" w:type="dxa"/>
            <w:noWrap/>
          </w:tcPr>
          <w:p w14:paraId="125C6133" w14:textId="11648923" w:rsidR="004A1B81" w:rsidRPr="00E127A8"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C3A63">
              <w:t>1.133</w:t>
            </w:r>
            <w:r w:rsidR="00750285">
              <w:t>*</w:t>
            </w:r>
          </w:p>
        </w:tc>
        <w:tc>
          <w:tcPr>
            <w:tcW w:w="1984" w:type="dxa"/>
            <w:noWrap/>
          </w:tcPr>
          <w:p w14:paraId="7D09A436" w14:textId="77777777" w:rsidR="004A1B81" w:rsidRPr="00E127A8"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C3A63">
              <w:t>1.033</w:t>
            </w:r>
          </w:p>
        </w:tc>
        <w:tc>
          <w:tcPr>
            <w:tcW w:w="1843" w:type="dxa"/>
            <w:noWrap/>
          </w:tcPr>
          <w:p w14:paraId="75ED9EC7" w14:textId="77777777" w:rsidR="004A1B81" w:rsidRPr="00E127A8"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5C3A63">
              <w:t>1.243</w:t>
            </w:r>
          </w:p>
        </w:tc>
      </w:tr>
      <w:tr w:rsidR="004A1B81" w:rsidRPr="00346BB7" w14:paraId="0EACCF07"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D1F65BA" w14:textId="77777777" w:rsidR="004A1B81" w:rsidRPr="00346BB7" w:rsidRDefault="004A1B81" w:rsidP="00D11E39">
            <w:pPr>
              <w:spacing w:after="0" w:line="240" w:lineRule="auto"/>
              <w:rPr>
                <w:rFonts w:ascii="Calibri" w:eastAsia="Times New Roman" w:hAnsi="Calibri" w:cs="Calibri"/>
                <w:color w:val="000000"/>
                <w:lang w:eastAsia="en-AU"/>
              </w:rPr>
            </w:pPr>
            <w:r w:rsidRPr="00ED6857">
              <w:rPr>
                <w:rFonts w:cstheme="minorHAnsi"/>
                <w:bCs/>
                <w:color w:val="000000"/>
                <w:szCs w:val="20"/>
              </w:rPr>
              <w:t>Personal factors – No impact</w:t>
            </w:r>
            <w:r>
              <w:rPr>
                <w:rFonts w:cstheme="minorHAnsi"/>
                <w:bCs/>
                <w:color w:val="000000"/>
                <w:szCs w:val="20"/>
              </w:rPr>
              <w:t xml:space="preserve"> on employability</w:t>
            </w:r>
            <w:r w:rsidRPr="00ED6857">
              <w:rPr>
                <w:rFonts w:cstheme="minorHAnsi"/>
                <w:bCs/>
                <w:color w:val="000000"/>
                <w:szCs w:val="20"/>
              </w:rPr>
              <w:t xml:space="preserve"> / Some impact</w:t>
            </w:r>
          </w:p>
        </w:tc>
        <w:tc>
          <w:tcPr>
            <w:tcW w:w="1417" w:type="dxa"/>
            <w:noWrap/>
            <w:hideMark/>
          </w:tcPr>
          <w:p w14:paraId="788E6D2E" w14:textId="58EDCDF8"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1.308</w:t>
            </w:r>
            <w:r w:rsidR="00750285">
              <w:t>*</w:t>
            </w:r>
          </w:p>
        </w:tc>
        <w:tc>
          <w:tcPr>
            <w:tcW w:w="1984" w:type="dxa"/>
            <w:noWrap/>
            <w:hideMark/>
          </w:tcPr>
          <w:p w14:paraId="0AFF6B09"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1.163</w:t>
            </w:r>
          </w:p>
        </w:tc>
        <w:tc>
          <w:tcPr>
            <w:tcW w:w="1843" w:type="dxa"/>
            <w:noWrap/>
            <w:hideMark/>
          </w:tcPr>
          <w:p w14:paraId="03B9EC59" w14:textId="77777777" w:rsidR="004A1B81" w:rsidRPr="00346BB7" w:rsidRDefault="004A1B81"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5C3A63">
              <w:t>1.471</w:t>
            </w:r>
          </w:p>
        </w:tc>
      </w:tr>
      <w:tr w:rsidR="004A1B81" w:rsidRPr="00346BB7" w14:paraId="1F673F49"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168EF7F8" w14:textId="77777777" w:rsidR="004A1B81" w:rsidRPr="00346BB7" w:rsidRDefault="004A1B81" w:rsidP="00D11E39">
            <w:pPr>
              <w:spacing w:after="0" w:line="240" w:lineRule="auto"/>
              <w:rPr>
                <w:rFonts w:ascii="Calibri" w:eastAsia="Times New Roman" w:hAnsi="Calibri" w:cs="Calibri"/>
                <w:color w:val="000000"/>
                <w:lang w:eastAsia="en-AU"/>
              </w:rPr>
            </w:pPr>
            <w:r w:rsidRPr="004B5487">
              <w:rPr>
                <w:rFonts w:cstheme="minorHAnsi"/>
                <w:szCs w:val="20"/>
              </w:rPr>
              <w:t xml:space="preserve">Strength of local economy (increased </w:t>
            </w:r>
            <w:r w:rsidRPr="00820DF1">
              <w:rPr>
                <w:rFonts w:cstheme="minorHAnsi"/>
                <w:szCs w:val="20"/>
              </w:rPr>
              <w:t>IVI</w:t>
            </w:r>
            <w:r w:rsidRPr="004B5487">
              <w:rPr>
                <w:rFonts w:cstheme="minorHAnsi"/>
                <w:szCs w:val="20"/>
              </w:rPr>
              <w:t xml:space="preserve"> score by </w:t>
            </w:r>
            <w:r>
              <w:rPr>
                <w:rFonts w:cstheme="minorHAnsi"/>
                <w:szCs w:val="20"/>
              </w:rPr>
              <w:t>1</w:t>
            </w:r>
            <w:r w:rsidRPr="004B5487">
              <w:rPr>
                <w:rFonts w:cstheme="minorHAnsi"/>
                <w:szCs w:val="20"/>
              </w:rPr>
              <w:t>)</w:t>
            </w:r>
          </w:p>
        </w:tc>
        <w:tc>
          <w:tcPr>
            <w:tcW w:w="1417" w:type="dxa"/>
            <w:noWrap/>
            <w:hideMark/>
          </w:tcPr>
          <w:p w14:paraId="05CB8FF5" w14:textId="36037D29"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1.007</w:t>
            </w:r>
            <w:r w:rsidR="00750285">
              <w:t>*</w:t>
            </w:r>
          </w:p>
        </w:tc>
        <w:tc>
          <w:tcPr>
            <w:tcW w:w="1984" w:type="dxa"/>
            <w:noWrap/>
            <w:hideMark/>
          </w:tcPr>
          <w:p w14:paraId="6D5E5995"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1.004</w:t>
            </w:r>
          </w:p>
        </w:tc>
        <w:tc>
          <w:tcPr>
            <w:tcW w:w="1843" w:type="dxa"/>
            <w:noWrap/>
            <w:hideMark/>
          </w:tcPr>
          <w:p w14:paraId="579F9014" w14:textId="77777777" w:rsidR="004A1B81" w:rsidRPr="00346BB7" w:rsidRDefault="004A1B81"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5C3A63">
              <w:t>1.010</w:t>
            </w:r>
          </w:p>
        </w:tc>
      </w:tr>
    </w:tbl>
    <w:p w14:paraId="70883AFE" w14:textId="77777777" w:rsidR="00427F78" w:rsidRPr="00A80EA6" w:rsidRDefault="00427F78" w:rsidP="00427F78">
      <w:pPr>
        <w:pStyle w:val="SourceandNotes"/>
      </w:pPr>
      <w:r w:rsidRPr="00A80EA6">
        <w:t xml:space="preserve">Base: n (excluding missing) = </w:t>
      </w:r>
      <w:r>
        <w:t>16,278</w:t>
      </w:r>
    </w:p>
    <w:p w14:paraId="7E1DE592" w14:textId="67165318" w:rsidR="00F8391B" w:rsidRDefault="00427F78" w:rsidP="00427F78">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1ED041F4" w14:textId="5E7EB581" w:rsidR="00F8391B" w:rsidRDefault="00F57386" w:rsidP="00427F78">
      <w:pPr>
        <w:pStyle w:val="SourceandNotes"/>
      </w:pPr>
      <w:r>
        <w:t xml:space="preserve">2. </w:t>
      </w:r>
      <w:r w:rsidR="00F8391B">
        <w:t>‘</w:t>
      </w:r>
      <w:r>
        <w:t>Other</w:t>
      </w:r>
      <w:r w:rsidR="00F8391B">
        <w:t>’</w:t>
      </w:r>
      <w:r>
        <w:t xml:space="preserve"> includes the following categories: </w:t>
      </w:r>
      <w:r w:rsidR="00F8391B">
        <w:t>‘</w:t>
      </w:r>
      <w:r>
        <w:t>Received Crisis Payment</w:t>
      </w:r>
      <w:r w:rsidR="00F8391B">
        <w:t>’</w:t>
      </w:r>
      <w:r>
        <w:t xml:space="preserve">, </w:t>
      </w:r>
      <w:r w:rsidR="00F8391B">
        <w:t>‘</w:t>
      </w:r>
      <w:r>
        <w:t>Received Crisis Payment + Multiple spells on income support</w:t>
      </w:r>
      <w:r w:rsidR="00F8391B">
        <w:t>’</w:t>
      </w:r>
      <w:r>
        <w:t xml:space="preserve">, </w:t>
      </w:r>
      <w:r w:rsidR="00F8391B">
        <w:t>‘</w:t>
      </w:r>
      <w:r>
        <w:t>All others</w:t>
      </w:r>
      <w:r w:rsidR="00F8391B">
        <w:t>’</w:t>
      </w:r>
    </w:p>
    <w:p w14:paraId="354C1750" w14:textId="3E060462" w:rsidR="00427F78" w:rsidRPr="006333E9" w:rsidRDefault="00427F78" w:rsidP="00427F78">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4B5D8CE7" w14:textId="2438237F" w:rsidR="00075A76" w:rsidRDefault="00075A76" w:rsidP="00075A76">
      <w:pPr>
        <w:pStyle w:val="Caption"/>
        <w:keepNext/>
      </w:pPr>
      <w:bookmarkStart w:id="4163" w:name="_Toc132647822"/>
      <w:bookmarkStart w:id="4164" w:name="_Toc145877336"/>
      <w:r>
        <w:lastRenderedPageBreak/>
        <w:t xml:space="preserve">Table </w:t>
      </w:r>
      <w:r>
        <w:fldChar w:fldCharType="begin"/>
      </w:r>
      <w:r>
        <w:instrText>SEQ Table \* ARABIC</w:instrText>
      </w:r>
      <w:r>
        <w:fldChar w:fldCharType="separate"/>
      </w:r>
      <w:r w:rsidR="00180E14">
        <w:rPr>
          <w:noProof/>
        </w:rPr>
        <w:t>47</w:t>
      </w:r>
      <w:r>
        <w:fldChar w:fldCharType="end"/>
      </w:r>
      <w:r>
        <w:t xml:space="preserve">: </w:t>
      </w:r>
      <w:r w:rsidRPr="00094BDD">
        <w:t xml:space="preserve">Logistic regression model – impact of TtW on probability of </w:t>
      </w:r>
      <w:r>
        <w:t xml:space="preserve">reducing reliance on </w:t>
      </w:r>
      <w:r w:rsidRPr="00094BDD">
        <w:t xml:space="preserve">income support </w:t>
      </w:r>
      <w:r w:rsidR="00CE7617">
        <w:t>(</w:t>
      </w:r>
      <w:r w:rsidR="001159FE">
        <w:t>labour market attachment</w:t>
      </w:r>
      <w:r w:rsidR="00CE7617">
        <w:t>)</w:t>
      </w:r>
      <w:r w:rsidR="00CE7617" w:rsidRPr="00D22D95">
        <w:t xml:space="preserve"> </w:t>
      </w:r>
      <w:r w:rsidR="00CE7617">
        <w:t>at</w:t>
      </w:r>
      <w:r w:rsidRPr="00094BDD">
        <w:t xml:space="preserve"> </w:t>
      </w:r>
      <w:r>
        <w:t>48</w:t>
      </w:r>
      <w:r w:rsidRPr="00094BDD">
        <w:t xml:space="preserve"> months after commencement</w:t>
      </w:r>
      <w:bookmarkEnd w:id="4163"/>
      <w:bookmarkEnd w:id="4164"/>
    </w:p>
    <w:tbl>
      <w:tblPr>
        <w:tblStyle w:val="TtWReportTableTemplate2"/>
        <w:tblW w:w="9497" w:type="dxa"/>
        <w:tblLook w:val="04A0" w:firstRow="1" w:lastRow="0" w:firstColumn="1" w:lastColumn="0" w:noHBand="0" w:noVBand="1"/>
      </w:tblPr>
      <w:tblGrid>
        <w:gridCol w:w="4253"/>
        <w:gridCol w:w="1417"/>
        <w:gridCol w:w="1984"/>
        <w:gridCol w:w="1843"/>
      </w:tblGrid>
      <w:tr w:rsidR="00750285" w:rsidRPr="00346BB7" w14:paraId="76C85380" w14:textId="77777777" w:rsidTr="00674AE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253" w:type="dxa"/>
            <w:shd w:val="clear" w:color="auto" w:fill="5D7A38"/>
            <w:noWrap/>
            <w:hideMark/>
          </w:tcPr>
          <w:p w14:paraId="55334B2F" w14:textId="77777777" w:rsidR="00750285" w:rsidRPr="00346BB7" w:rsidRDefault="00750285" w:rsidP="00C239FD">
            <w:pPr>
              <w:keepNext/>
              <w:spacing w:after="0" w:line="240" w:lineRule="auto"/>
              <w:rPr>
                <w:rFonts w:eastAsia="Times New Roman" w:cs="Calibri"/>
                <w:lang w:eastAsia="en-AU"/>
              </w:rPr>
            </w:pPr>
            <w:r w:rsidRPr="00346BB7">
              <w:rPr>
                <w:rFonts w:eastAsia="Times New Roman" w:cs="Calibri"/>
                <w:lang w:eastAsia="en-AU"/>
              </w:rPr>
              <w:t>Variable</w:t>
            </w:r>
          </w:p>
        </w:tc>
        <w:tc>
          <w:tcPr>
            <w:tcW w:w="1417" w:type="dxa"/>
            <w:shd w:val="clear" w:color="auto" w:fill="5D7A38"/>
            <w:noWrap/>
            <w:hideMark/>
          </w:tcPr>
          <w:p w14:paraId="2BD83D2A" w14:textId="77777777" w:rsidR="00750285" w:rsidRPr="00346BB7" w:rsidRDefault="00750285" w:rsidP="00D11E3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Odds ratio</w:t>
            </w:r>
          </w:p>
        </w:tc>
        <w:tc>
          <w:tcPr>
            <w:tcW w:w="1984" w:type="dxa"/>
            <w:shd w:val="clear" w:color="auto" w:fill="5D7A38"/>
            <w:noWrap/>
            <w:hideMark/>
          </w:tcPr>
          <w:p w14:paraId="21AF4E19" w14:textId="74929DC1" w:rsidR="00750285" w:rsidRPr="00346BB7" w:rsidRDefault="00750285" w:rsidP="00D11E3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Lower 95% </w:t>
            </w:r>
            <w:r w:rsidR="001159FE">
              <w:rPr>
                <w:rFonts w:eastAsia="Times New Roman" w:cs="Calibri"/>
                <w:lang w:eastAsia="en-AU"/>
              </w:rPr>
              <w:t>confidence limit</w:t>
            </w:r>
          </w:p>
        </w:tc>
        <w:tc>
          <w:tcPr>
            <w:tcW w:w="1843" w:type="dxa"/>
            <w:shd w:val="clear" w:color="auto" w:fill="5D7A38"/>
            <w:noWrap/>
            <w:hideMark/>
          </w:tcPr>
          <w:p w14:paraId="5D53E6C1" w14:textId="37BAE249" w:rsidR="00750285" w:rsidRPr="00346BB7" w:rsidRDefault="00750285" w:rsidP="00D11E3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346BB7">
              <w:rPr>
                <w:rFonts w:eastAsia="Times New Roman" w:cs="Calibri"/>
                <w:lang w:eastAsia="en-AU"/>
              </w:rPr>
              <w:t xml:space="preserve">Upper 95% </w:t>
            </w:r>
            <w:r w:rsidR="001159FE">
              <w:rPr>
                <w:rFonts w:eastAsia="Times New Roman" w:cs="Calibri"/>
                <w:lang w:eastAsia="en-AU"/>
              </w:rPr>
              <w:t>confidence limit</w:t>
            </w:r>
          </w:p>
        </w:tc>
      </w:tr>
      <w:tr w:rsidR="00750285" w:rsidRPr="00346BB7" w14:paraId="3231B659"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E384A16" w14:textId="5150C61D" w:rsidR="00750285" w:rsidRPr="00346BB7" w:rsidRDefault="00750285" w:rsidP="00D11E39">
            <w:pPr>
              <w:spacing w:after="0" w:line="240" w:lineRule="auto"/>
              <w:rPr>
                <w:rFonts w:ascii="Calibri" w:eastAsia="Times New Roman" w:hAnsi="Calibri" w:cs="Calibri"/>
                <w:color w:val="000000"/>
                <w:lang w:eastAsia="en-AU"/>
              </w:rPr>
            </w:pPr>
            <w:r w:rsidRPr="004B5487">
              <w:rPr>
                <w:bCs/>
                <w:color w:val="000000"/>
                <w:szCs w:val="20"/>
              </w:rPr>
              <w:t xml:space="preserve">TtW / </w:t>
            </w:r>
            <w:r w:rsidR="00140024">
              <w:rPr>
                <w:bCs/>
                <w:color w:val="000000"/>
                <w:szCs w:val="20"/>
              </w:rPr>
              <w:t>jobactive</w:t>
            </w:r>
          </w:p>
        </w:tc>
        <w:tc>
          <w:tcPr>
            <w:tcW w:w="1417" w:type="dxa"/>
            <w:noWrap/>
            <w:hideMark/>
          </w:tcPr>
          <w:p w14:paraId="507F201B" w14:textId="11F44B4D"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0.919</w:t>
            </w:r>
            <w:r w:rsidR="001F433F">
              <w:t>*</w:t>
            </w:r>
          </w:p>
        </w:tc>
        <w:tc>
          <w:tcPr>
            <w:tcW w:w="1984" w:type="dxa"/>
            <w:noWrap/>
            <w:hideMark/>
          </w:tcPr>
          <w:p w14:paraId="37FF9E3A"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0.861</w:t>
            </w:r>
          </w:p>
        </w:tc>
        <w:tc>
          <w:tcPr>
            <w:tcW w:w="1843" w:type="dxa"/>
            <w:noWrap/>
            <w:hideMark/>
          </w:tcPr>
          <w:p w14:paraId="6465D88E"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0.982</w:t>
            </w:r>
          </w:p>
        </w:tc>
      </w:tr>
      <w:tr w:rsidR="00750285" w:rsidRPr="00346BB7" w14:paraId="6139ECCD"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82D4A5A" w14:textId="77777777" w:rsidR="00750285" w:rsidRPr="00346BB7" w:rsidRDefault="00750285" w:rsidP="00D11E39">
            <w:pPr>
              <w:spacing w:after="0" w:line="240" w:lineRule="auto"/>
              <w:rPr>
                <w:rFonts w:ascii="Calibri" w:eastAsia="Times New Roman" w:hAnsi="Calibri" w:cs="Calibri"/>
                <w:color w:val="000000"/>
                <w:lang w:eastAsia="en-AU"/>
              </w:rPr>
            </w:pPr>
            <w:r w:rsidRPr="004B5487">
              <w:rPr>
                <w:bCs/>
                <w:color w:val="000000"/>
                <w:szCs w:val="20"/>
              </w:rPr>
              <w:t>Female / Male</w:t>
            </w:r>
          </w:p>
        </w:tc>
        <w:tc>
          <w:tcPr>
            <w:tcW w:w="1417" w:type="dxa"/>
            <w:noWrap/>
            <w:hideMark/>
          </w:tcPr>
          <w:p w14:paraId="3C8A2641" w14:textId="63F98690"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0.796</w:t>
            </w:r>
            <w:r w:rsidR="001F433F">
              <w:t>*</w:t>
            </w:r>
          </w:p>
        </w:tc>
        <w:tc>
          <w:tcPr>
            <w:tcW w:w="1984" w:type="dxa"/>
            <w:noWrap/>
            <w:hideMark/>
          </w:tcPr>
          <w:p w14:paraId="1AEA5100"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0.746</w:t>
            </w:r>
          </w:p>
        </w:tc>
        <w:tc>
          <w:tcPr>
            <w:tcW w:w="1843" w:type="dxa"/>
            <w:noWrap/>
            <w:hideMark/>
          </w:tcPr>
          <w:p w14:paraId="2A32281F"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0.851</w:t>
            </w:r>
          </w:p>
        </w:tc>
      </w:tr>
      <w:tr w:rsidR="00750285" w:rsidRPr="00346BB7" w14:paraId="26C1E3EB"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063E4F84" w14:textId="77777777" w:rsidR="00750285" w:rsidRPr="00346BB7" w:rsidRDefault="00750285" w:rsidP="00D11E39">
            <w:pPr>
              <w:spacing w:after="0" w:line="240" w:lineRule="auto"/>
              <w:rPr>
                <w:rFonts w:ascii="Calibri" w:eastAsia="Times New Roman" w:hAnsi="Calibri" w:cs="Calibri"/>
                <w:color w:val="000000"/>
                <w:lang w:eastAsia="en-AU"/>
              </w:rPr>
            </w:pPr>
            <w:r>
              <w:rPr>
                <w:bCs/>
                <w:color w:val="000000"/>
                <w:szCs w:val="20"/>
              </w:rPr>
              <w:t>Age (increased by 1 year)</w:t>
            </w:r>
          </w:p>
        </w:tc>
        <w:tc>
          <w:tcPr>
            <w:tcW w:w="1417" w:type="dxa"/>
            <w:noWrap/>
            <w:hideMark/>
          </w:tcPr>
          <w:p w14:paraId="1F7D22AB" w14:textId="76AC27FD"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1.078</w:t>
            </w:r>
            <w:r w:rsidR="001F433F">
              <w:t>*</w:t>
            </w:r>
          </w:p>
        </w:tc>
        <w:tc>
          <w:tcPr>
            <w:tcW w:w="1984" w:type="dxa"/>
            <w:noWrap/>
            <w:hideMark/>
          </w:tcPr>
          <w:p w14:paraId="1EA7B7F0"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1.051</w:t>
            </w:r>
          </w:p>
        </w:tc>
        <w:tc>
          <w:tcPr>
            <w:tcW w:w="1843" w:type="dxa"/>
            <w:noWrap/>
            <w:hideMark/>
          </w:tcPr>
          <w:p w14:paraId="23484669"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1.105</w:t>
            </w:r>
          </w:p>
        </w:tc>
      </w:tr>
      <w:tr w:rsidR="00750285" w:rsidRPr="00346BB7" w14:paraId="4E7D433C"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7516391" w14:textId="77777777" w:rsidR="00750285" w:rsidRPr="00346BB7" w:rsidRDefault="00750285" w:rsidP="00D11E39">
            <w:pPr>
              <w:spacing w:after="0" w:line="240" w:lineRule="auto"/>
              <w:rPr>
                <w:rFonts w:ascii="Calibri" w:eastAsia="Times New Roman" w:hAnsi="Calibri" w:cs="Calibri"/>
                <w:color w:val="000000"/>
                <w:lang w:eastAsia="en-AU"/>
              </w:rPr>
            </w:pPr>
            <w:r w:rsidRPr="004B5487">
              <w:rPr>
                <w:bCs/>
                <w:color w:val="000000"/>
                <w:szCs w:val="20"/>
              </w:rPr>
              <w:t>Non-Indigenous / Indigenous</w:t>
            </w:r>
          </w:p>
        </w:tc>
        <w:tc>
          <w:tcPr>
            <w:tcW w:w="1417" w:type="dxa"/>
            <w:noWrap/>
            <w:hideMark/>
          </w:tcPr>
          <w:p w14:paraId="0865B088" w14:textId="45870168"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1.605</w:t>
            </w:r>
            <w:r w:rsidR="001F433F">
              <w:t>*</w:t>
            </w:r>
          </w:p>
        </w:tc>
        <w:tc>
          <w:tcPr>
            <w:tcW w:w="1984" w:type="dxa"/>
            <w:noWrap/>
            <w:hideMark/>
          </w:tcPr>
          <w:p w14:paraId="403218D0"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1.472</w:t>
            </w:r>
          </w:p>
        </w:tc>
        <w:tc>
          <w:tcPr>
            <w:tcW w:w="1843" w:type="dxa"/>
            <w:noWrap/>
            <w:hideMark/>
          </w:tcPr>
          <w:p w14:paraId="5CEEC15F"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1.751</w:t>
            </w:r>
          </w:p>
        </w:tc>
      </w:tr>
      <w:tr w:rsidR="00750285" w:rsidRPr="00346BB7" w14:paraId="2ED5FF91"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68939F3" w14:textId="40D10220" w:rsidR="00750285" w:rsidRPr="00346BB7" w:rsidRDefault="00750285" w:rsidP="00D11E39">
            <w:pPr>
              <w:spacing w:after="0" w:line="240" w:lineRule="auto"/>
              <w:rPr>
                <w:rFonts w:ascii="Calibri" w:eastAsia="Times New Roman" w:hAnsi="Calibri" w:cs="Calibri"/>
                <w:color w:val="000000"/>
                <w:lang w:eastAsia="en-AU"/>
              </w:rPr>
            </w:pPr>
            <w:r w:rsidRPr="004B5487">
              <w:rPr>
                <w:bCs/>
                <w:color w:val="000000"/>
                <w:szCs w:val="20"/>
              </w:rPr>
              <w:t xml:space="preserve">Year </w:t>
            </w:r>
            <w:r w:rsidR="00140024">
              <w:rPr>
                <w:bCs/>
                <w:color w:val="000000"/>
                <w:szCs w:val="20"/>
              </w:rPr>
              <w:t>12 completer</w:t>
            </w:r>
            <w:r w:rsidRPr="004B5487">
              <w:rPr>
                <w:bCs/>
                <w:color w:val="000000"/>
                <w:szCs w:val="20"/>
              </w:rPr>
              <w:t xml:space="preserve"> / Non-Year 12</w:t>
            </w:r>
            <w:r>
              <w:rPr>
                <w:bCs/>
                <w:color w:val="000000"/>
                <w:szCs w:val="20"/>
              </w:rPr>
              <w:t xml:space="preserve"> c</w:t>
            </w:r>
            <w:r w:rsidRPr="004B5487">
              <w:rPr>
                <w:bCs/>
                <w:color w:val="000000"/>
                <w:szCs w:val="20"/>
              </w:rPr>
              <w:t>ompleter</w:t>
            </w:r>
          </w:p>
        </w:tc>
        <w:tc>
          <w:tcPr>
            <w:tcW w:w="1417" w:type="dxa"/>
            <w:noWrap/>
            <w:hideMark/>
          </w:tcPr>
          <w:p w14:paraId="4981015C" w14:textId="674DCD38"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1.470</w:t>
            </w:r>
            <w:r w:rsidR="001F433F">
              <w:t>*</w:t>
            </w:r>
          </w:p>
        </w:tc>
        <w:tc>
          <w:tcPr>
            <w:tcW w:w="1984" w:type="dxa"/>
            <w:noWrap/>
            <w:hideMark/>
          </w:tcPr>
          <w:p w14:paraId="751DF757"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1.369</w:t>
            </w:r>
          </w:p>
        </w:tc>
        <w:tc>
          <w:tcPr>
            <w:tcW w:w="1843" w:type="dxa"/>
            <w:noWrap/>
            <w:hideMark/>
          </w:tcPr>
          <w:p w14:paraId="19A6CB67"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1.578</w:t>
            </w:r>
          </w:p>
        </w:tc>
      </w:tr>
      <w:tr w:rsidR="00750285" w:rsidRPr="00346BB7" w14:paraId="7817C0F5"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62BA2CA6" w14:textId="1A12456D" w:rsidR="00750285" w:rsidRPr="00346BB7" w:rsidRDefault="00140024" w:rsidP="00D11E39">
            <w:pPr>
              <w:spacing w:after="0" w:line="240" w:lineRule="auto"/>
              <w:rPr>
                <w:rFonts w:ascii="Calibri" w:eastAsia="Times New Roman" w:hAnsi="Calibri" w:cs="Calibri"/>
                <w:color w:val="000000"/>
                <w:lang w:eastAsia="en-AU"/>
              </w:rPr>
            </w:pPr>
            <w:r>
              <w:rPr>
                <w:szCs w:val="20"/>
              </w:rPr>
              <w:t>No transport</w:t>
            </w:r>
            <w:r w:rsidR="00750285" w:rsidRPr="004B5487">
              <w:rPr>
                <w:szCs w:val="20"/>
              </w:rPr>
              <w:t xml:space="preserve"> / </w:t>
            </w:r>
            <w:r>
              <w:rPr>
                <w:szCs w:val="20"/>
              </w:rPr>
              <w:t>Public transport</w:t>
            </w:r>
          </w:p>
        </w:tc>
        <w:tc>
          <w:tcPr>
            <w:tcW w:w="1417" w:type="dxa"/>
            <w:noWrap/>
            <w:hideMark/>
          </w:tcPr>
          <w:p w14:paraId="1B4FC761" w14:textId="2C9F615D"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0.888</w:t>
            </w:r>
          </w:p>
        </w:tc>
        <w:tc>
          <w:tcPr>
            <w:tcW w:w="1984" w:type="dxa"/>
            <w:noWrap/>
            <w:hideMark/>
          </w:tcPr>
          <w:p w14:paraId="5EA09D5E"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0.776</w:t>
            </w:r>
          </w:p>
        </w:tc>
        <w:tc>
          <w:tcPr>
            <w:tcW w:w="1843" w:type="dxa"/>
            <w:noWrap/>
            <w:hideMark/>
          </w:tcPr>
          <w:p w14:paraId="52C203C7"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1.016</w:t>
            </w:r>
          </w:p>
        </w:tc>
      </w:tr>
      <w:tr w:rsidR="00750285" w:rsidRPr="00346BB7" w14:paraId="117B4F66"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425264C6" w14:textId="1EFC68F0" w:rsidR="00750285" w:rsidRPr="00346BB7" w:rsidRDefault="00140024" w:rsidP="00D11E39">
            <w:pPr>
              <w:spacing w:after="0" w:line="240" w:lineRule="auto"/>
              <w:rPr>
                <w:rFonts w:ascii="Calibri" w:eastAsia="Times New Roman" w:hAnsi="Calibri" w:cs="Calibri"/>
                <w:color w:val="000000"/>
                <w:lang w:eastAsia="en-AU"/>
              </w:rPr>
            </w:pPr>
            <w:r>
              <w:rPr>
                <w:szCs w:val="20"/>
              </w:rPr>
              <w:t>Private transport</w:t>
            </w:r>
            <w:r w:rsidR="00750285" w:rsidRPr="004B5487">
              <w:rPr>
                <w:szCs w:val="20"/>
              </w:rPr>
              <w:t xml:space="preserve"> / </w:t>
            </w:r>
            <w:r>
              <w:rPr>
                <w:szCs w:val="20"/>
              </w:rPr>
              <w:t>Public transport</w:t>
            </w:r>
          </w:p>
        </w:tc>
        <w:tc>
          <w:tcPr>
            <w:tcW w:w="1417" w:type="dxa"/>
            <w:noWrap/>
            <w:hideMark/>
          </w:tcPr>
          <w:p w14:paraId="6DF0DDD0" w14:textId="19CFE7D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1.359</w:t>
            </w:r>
            <w:r w:rsidR="001F433F">
              <w:t>*</w:t>
            </w:r>
          </w:p>
        </w:tc>
        <w:tc>
          <w:tcPr>
            <w:tcW w:w="1984" w:type="dxa"/>
            <w:noWrap/>
            <w:hideMark/>
          </w:tcPr>
          <w:p w14:paraId="4C7A6541"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1.266</w:t>
            </w:r>
          </w:p>
        </w:tc>
        <w:tc>
          <w:tcPr>
            <w:tcW w:w="1843" w:type="dxa"/>
            <w:noWrap/>
            <w:hideMark/>
          </w:tcPr>
          <w:p w14:paraId="0E8B4FA6"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1.458</w:t>
            </w:r>
          </w:p>
        </w:tc>
      </w:tr>
      <w:tr w:rsidR="00750285" w:rsidRPr="00346BB7" w14:paraId="7E576A66"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42A1C975" w14:textId="5C1D09B7" w:rsidR="00750285" w:rsidRPr="00346BB7" w:rsidRDefault="00750285" w:rsidP="00D11E39">
            <w:pPr>
              <w:spacing w:after="0" w:line="240" w:lineRule="auto"/>
              <w:rPr>
                <w:rFonts w:ascii="Calibri" w:eastAsia="Times New Roman" w:hAnsi="Calibri" w:cs="Calibri"/>
                <w:color w:val="000000"/>
                <w:lang w:eastAsia="en-AU"/>
              </w:rPr>
            </w:pPr>
            <w:r w:rsidRPr="004B5487">
              <w:rPr>
                <w:bCs/>
                <w:color w:val="000000"/>
                <w:szCs w:val="20"/>
              </w:rPr>
              <w:t>St</w:t>
            </w:r>
            <w:r w:rsidR="00140024">
              <w:rPr>
                <w:bCs/>
                <w:color w:val="000000"/>
                <w:szCs w:val="20"/>
              </w:rPr>
              <w:t>able residence</w:t>
            </w:r>
            <w:r w:rsidRPr="004B5487">
              <w:rPr>
                <w:bCs/>
                <w:color w:val="000000"/>
                <w:szCs w:val="20"/>
              </w:rPr>
              <w:t xml:space="preserve"> / Unst</w:t>
            </w:r>
            <w:r w:rsidR="00140024">
              <w:rPr>
                <w:bCs/>
                <w:color w:val="000000"/>
                <w:szCs w:val="20"/>
              </w:rPr>
              <w:t>able residence</w:t>
            </w:r>
          </w:p>
        </w:tc>
        <w:tc>
          <w:tcPr>
            <w:tcW w:w="1417" w:type="dxa"/>
            <w:noWrap/>
            <w:hideMark/>
          </w:tcPr>
          <w:p w14:paraId="53BA5955" w14:textId="57FDF454"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1.365</w:t>
            </w:r>
            <w:r w:rsidR="001F433F">
              <w:t>*</w:t>
            </w:r>
          </w:p>
        </w:tc>
        <w:tc>
          <w:tcPr>
            <w:tcW w:w="1984" w:type="dxa"/>
            <w:noWrap/>
            <w:hideMark/>
          </w:tcPr>
          <w:p w14:paraId="2F01E4D3"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1.233</w:t>
            </w:r>
          </w:p>
        </w:tc>
        <w:tc>
          <w:tcPr>
            <w:tcW w:w="1843" w:type="dxa"/>
            <w:noWrap/>
            <w:hideMark/>
          </w:tcPr>
          <w:p w14:paraId="76B44F69"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1.511</w:t>
            </w:r>
          </w:p>
        </w:tc>
      </w:tr>
      <w:tr w:rsidR="00750285" w:rsidRPr="00346BB7" w14:paraId="1F6A97E9"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7A99C39C" w14:textId="119A07AD" w:rsidR="00750285" w:rsidRPr="00346BB7" w:rsidRDefault="00750285" w:rsidP="00D11E39">
            <w:pPr>
              <w:spacing w:after="0" w:line="240" w:lineRule="auto"/>
              <w:rPr>
                <w:rFonts w:ascii="Calibri" w:eastAsia="Times New Roman" w:hAnsi="Calibri" w:cs="Calibri"/>
                <w:color w:val="000000"/>
                <w:lang w:eastAsia="en-AU"/>
              </w:rPr>
            </w:pPr>
            <w:r w:rsidRPr="004B5487">
              <w:rPr>
                <w:szCs w:val="20"/>
              </w:rPr>
              <w:t xml:space="preserve">History </w:t>
            </w:r>
            <w:r w:rsidR="00140024">
              <w:rPr>
                <w:szCs w:val="20"/>
              </w:rPr>
              <w:t>of paid or unpaid work</w:t>
            </w:r>
            <w:r w:rsidRPr="004B5487">
              <w:rPr>
                <w:szCs w:val="20"/>
              </w:rPr>
              <w:t xml:space="preserve"> / Was not </w:t>
            </w:r>
            <w:r>
              <w:rPr>
                <w:szCs w:val="20"/>
              </w:rPr>
              <w:t>w</w:t>
            </w:r>
            <w:r w:rsidRPr="004B5487">
              <w:rPr>
                <w:szCs w:val="20"/>
              </w:rPr>
              <w:t>orking</w:t>
            </w:r>
          </w:p>
        </w:tc>
        <w:tc>
          <w:tcPr>
            <w:tcW w:w="1417" w:type="dxa"/>
            <w:noWrap/>
            <w:hideMark/>
          </w:tcPr>
          <w:p w14:paraId="77F241E9" w14:textId="44931075"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1.337</w:t>
            </w:r>
            <w:r w:rsidR="001F433F">
              <w:t>*</w:t>
            </w:r>
          </w:p>
        </w:tc>
        <w:tc>
          <w:tcPr>
            <w:tcW w:w="1984" w:type="dxa"/>
            <w:noWrap/>
            <w:hideMark/>
          </w:tcPr>
          <w:p w14:paraId="23D78CCB"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1.228</w:t>
            </w:r>
          </w:p>
        </w:tc>
        <w:tc>
          <w:tcPr>
            <w:tcW w:w="1843" w:type="dxa"/>
            <w:noWrap/>
            <w:hideMark/>
          </w:tcPr>
          <w:p w14:paraId="1F41190C"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1.455</w:t>
            </w:r>
          </w:p>
        </w:tc>
      </w:tr>
      <w:tr w:rsidR="00750285" w:rsidRPr="00346BB7" w14:paraId="50299E49"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5752821C" w14:textId="77777777" w:rsidR="00750285" w:rsidRPr="004B5487" w:rsidRDefault="00750285" w:rsidP="00D11E39">
            <w:pPr>
              <w:spacing w:after="0" w:line="240" w:lineRule="auto"/>
              <w:rPr>
                <w:szCs w:val="20"/>
              </w:rPr>
            </w:pPr>
            <w:r w:rsidRPr="004B5487">
              <w:rPr>
                <w:rFonts w:cstheme="minorHAnsi"/>
                <w:szCs w:val="20"/>
              </w:rPr>
              <w:t>More than 12 months on income support / Less than 12 months on income support</w:t>
            </w:r>
            <w:r>
              <w:rPr>
                <w:rFonts w:cstheme="minorHAnsi"/>
                <w:szCs w:val="20"/>
              </w:rPr>
              <w:t> </w:t>
            </w:r>
          </w:p>
        </w:tc>
        <w:tc>
          <w:tcPr>
            <w:tcW w:w="1417" w:type="dxa"/>
            <w:noWrap/>
          </w:tcPr>
          <w:p w14:paraId="13565C6B" w14:textId="58EB3F74" w:rsidR="00750285" w:rsidRPr="00E127A8"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A629B3">
              <w:t>0.828</w:t>
            </w:r>
            <w:r w:rsidR="001F433F">
              <w:t>*</w:t>
            </w:r>
          </w:p>
        </w:tc>
        <w:tc>
          <w:tcPr>
            <w:tcW w:w="1984" w:type="dxa"/>
            <w:noWrap/>
          </w:tcPr>
          <w:p w14:paraId="73242C17" w14:textId="77777777" w:rsidR="00750285" w:rsidRPr="00E127A8"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A629B3">
              <w:t>0.746</w:t>
            </w:r>
          </w:p>
        </w:tc>
        <w:tc>
          <w:tcPr>
            <w:tcW w:w="1843" w:type="dxa"/>
            <w:noWrap/>
          </w:tcPr>
          <w:p w14:paraId="4DBC6989" w14:textId="77777777" w:rsidR="00750285" w:rsidRPr="00E127A8"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A629B3">
              <w:t>0.920</w:t>
            </w:r>
          </w:p>
        </w:tc>
      </w:tr>
      <w:tr w:rsidR="00750285" w:rsidRPr="00346BB7" w14:paraId="726AA10F"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74067C27" w14:textId="5D2522EE" w:rsidR="00750285" w:rsidRPr="004B5487" w:rsidRDefault="00140024" w:rsidP="00D11E39">
            <w:pPr>
              <w:spacing w:after="0" w:line="240" w:lineRule="auto"/>
              <w:rPr>
                <w:szCs w:val="20"/>
              </w:rPr>
            </w:pPr>
            <w:r>
              <w:t>Ex-o</w:t>
            </w:r>
            <w:r w:rsidR="00750285" w:rsidRPr="00FA51A0">
              <w:t>ffender / None</w:t>
            </w:r>
          </w:p>
        </w:tc>
        <w:tc>
          <w:tcPr>
            <w:tcW w:w="1417" w:type="dxa"/>
            <w:noWrap/>
          </w:tcPr>
          <w:p w14:paraId="37D5D1CA" w14:textId="31CCCACE" w:rsidR="00750285" w:rsidRPr="00C05C31"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A629B3">
              <w:t>0.794</w:t>
            </w:r>
            <w:r w:rsidR="001F433F">
              <w:t>*</w:t>
            </w:r>
          </w:p>
        </w:tc>
        <w:tc>
          <w:tcPr>
            <w:tcW w:w="1984" w:type="dxa"/>
            <w:noWrap/>
          </w:tcPr>
          <w:p w14:paraId="20DE0255" w14:textId="77777777" w:rsidR="00750285" w:rsidRPr="00C05C31"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A629B3">
              <w:t>0.705</w:t>
            </w:r>
          </w:p>
        </w:tc>
        <w:tc>
          <w:tcPr>
            <w:tcW w:w="1843" w:type="dxa"/>
            <w:noWrap/>
          </w:tcPr>
          <w:p w14:paraId="000C4974" w14:textId="77777777" w:rsidR="00750285" w:rsidRPr="00C05C31"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A629B3">
              <w:t>0.894</w:t>
            </w:r>
          </w:p>
        </w:tc>
      </w:tr>
      <w:tr w:rsidR="00750285" w:rsidRPr="00346BB7" w14:paraId="34056DE5" w14:textId="77777777" w:rsidTr="009251AF">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253" w:type="dxa"/>
            <w:noWrap/>
            <w:hideMark/>
          </w:tcPr>
          <w:p w14:paraId="51D22B0E" w14:textId="74B9EF4E" w:rsidR="00750285" w:rsidRPr="00346BB7" w:rsidRDefault="00750285" w:rsidP="00D11E39">
            <w:pPr>
              <w:spacing w:after="0" w:line="240" w:lineRule="auto"/>
              <w:rPr>
                <w:rFonts w:ascii="Calibri" w:eastAsia="Times New Roman" w:hAnsi="Calibri" w:cs="Calibri"/>
                <w:color w:val="000000"/>
                <w:lang w:eastAsia="en-AU"/>
              </w:rPr>
            </w:pPr>
            <w:r w:rsidRPr="00346BB7">
              <w:rPr>
                <w:rFonts w:ascii="Calibri" w:eastAsia="Times New Roman" w:hAnsi="Calibri" w:cs="Calibri"/>
                <w:color w:val="000000"/>
                <w:lang w:eastAsia="en-AU"/>
              </w:rPr>
              <w:t>Disability</w:t>
            </w:r>
            <w:r w:rsidR="001F433F">
              <w:rPr>
                <w:rFonts w:ascii="Calibri" w:eastAsia="Times New Roman" w:hAnsi="Calibri" w:cs="Calibri"/>
                <w:color w:val="000000"/>
                <w:lang w:eastAsia="en-AU"/>
              </w:rPr>
              <w:t xml:space="preserve"> </w:t>
            </w:r>
            <w:r>
              <w:rPr>
                <w:rFonts w:ascii="Calibri" w:eastAsia="Times New Roman" w:hAnsi="Calibri" w:cs="Calibri"/>
                <w:color w:val="000000"/>
                <w:lang w:eastAsia="en-AU"/>
              </w:rPr>
              <w:t>/</w:t>
            </w:r>
            <w:r w:rsidR="001F433F">
              <w:rPr>
                <w:rFonts w:ascii="Calibri" w:eastAsia="Times New Roman" w:hAnsi="Calibri" w:cs="Calibri"/>
                <w:color w:val="000000"/>
                <w:lang w:eastAsia="en-AU"/>
              </w:rPr>
              <w:t xml:space="preserve"> </w:t>
            </w:r>
            <w:r w:rsidR="00140024">
              <w:rPr>
                <w:rFonts w:ascii="Calibri" w:eastAsia="Times New Roman" w:hAnsi="Calibri" w:cs="Calibri"/>
                <w:color w:val="000000"/>
                <w:lang w:eastAsia="en-AU"/>
              </w:rPr>
              <w:t>No disability</w:t>
            </w:r>
          </w:p>
        </w:tc>
        <w:tc>
          <w:tcPr>
            <w:tcW w:w="1417" w:type="dxa"/>
            <w:noWrap/>
            <w:hideMark/>
          </w:tcPr>
          <w:p w14:paraId="06CAA3E9" w14:textId="75CCCCF8"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0.739</w:t>
            </w:r>
            <w:r w:rsidR="001F433F">
              <w:t>*</w:t>
            </w:r>
          </w:p>
        </w:tc>
        <w:tc>
          <w:tcPr>
            <w:tcW w:w="1984" w:type="dxa"/>
            <w:noWrap/>
            <w:hideMark/>
          </w:tcPr>
          <w:p w14:paraId="26FEE3BC"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0.647</w:t>
            </w:r>
          </w:p>
        </w:tc>
        <w:tc>
          <w:tcPr>
            <w:tcW w:w="1843" w:type="dxa"/>
            <w:noWrap/>
            <w:hideMark/>
          </w:tcPr>
          <w:p w14:paraId="1B735EB8"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0.844</w:t>
            </w:r>
          </w:p>
        </w:tc>
      </w:tr>
      <w:tr w:rsidR="00750285" w:rsidRPr="00346BB7" w14:paraId="640CF1F4"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4F55B4BF" w14:textId="1C1E844A" w:rsidR="00750285" w:rsidRPr="00346BB7" w:rsidRDefault="00750285" w:rsidP="00D11E39">
            <w:pPr>
              <w:spacing w:after="0" w:line="240" w:lineRule="auto"/>
              <w:rPr>
                <w:rFonts w:ascii="Calibri" w:eastAsia="Times New Roman" w:hAnsi="Calibri" w:cs="Calibri"/>
                <w:color w:val="000000"/>
                <w:lang w:eastAsia="en-AU"/>
              </w:rPr>
            </w:pPr>
            <w:r w:rsidRPr="004B5487">
              <w:rPr>
                <w:bCs/>
                <w:color w:val="000000"/>
                <w:szCs w:val="20"/>
              </w:rPr>
              <w:t xml:space="preserve">Good English skills / Poor </w:t>
            </w:r>
            <w:r w:rsidR="00140024">
              <w:rPr>
                <w:bCs/>
                <w:color w:val="000000"/>
                <w:szCs w:val="20"/>
              </w:rPr>
              <w:t>or combination</w:t>
            </w:r>
            <w:r w:rsidRPr="004B5487">
              <w:rPr>
                <w:bCs/>
                <w:color w:val="000000"/>
                <w:szCs w:val="20"/>
              </w:rPr>
              <w:t xml:space="preserve"> of good and poor</w:t>
            </w:r>
          </w:p>
        </w:tc>
        <w:tc>
          <w:tcPr>
            <w:tcW w:w="1417" w:type="dxa"/>
            <w:noWrap/>
            <w:hideMark/>
          </w:tcPr>
          <w:p w14:paraId="2603D2F6" w14:textId="4CE037C2"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1.341</w:t>
            </w:r>
            <w:r w:rsidR="001F433F">
              <w:t>*</w:t>
            </w:r>
          </w:p>
        </w:tc>
        <w:tc>
          <w:tcPr>
            <w:tcW w:w="1984" w:type="dxa"/>
            <w:noWrap/>
            <w:hideMark/>
          </w:tcPr>
          <w:p w14:paraId="7BC0FD75"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1.186</w:t>
            </w:r>
          </w:p>
        </w:tc>
        <w:tc>
          <w:tcPr>
            <w:tcW w:w="1843" w:type="dxa"/>
            <w:noWrap/>
            <w:hideMark/>
          </w:tcPr>
          <w:p w14:paraId="35C86665" w14:textId="77777777" w:rsidR="00750285" w:rsidRPr="00346BB7"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A629B3">
              <w:t>1.517</w:t>
            </w:r>
          </w:p>
        </w:tc>
      </w:tr>
      <w:tr w:rsidR="00750285" w:rsidRPr="00346BB7" w14:paraId="7E94DB98"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5FAAFF7F" w14:textId="77777777" w:rsidR="00750285" w:rsidRPr="004B5487" w:rsidRDefault="00750285" w:rsidP="00D11E39">
            <w:pPr>
              <w:spacing w:after="0" w:line="240" w:lineRule="auto"/>
              <w:rPr>
                <w:bCs/>
                <w:color w:val="000000"/>
                <w:szCs w:val="20"/>
              </w:rPr>
            </w:pPr>
            <w:r w:rsidRPr="00ED6857">
              <w:rPr>
                <w:rFonts w:cstheme="minorHAnsi"/>
                <w:bCs/>
                <w:color w:val="000000"/>
                <w:szCs w:val="20"/>
              </w:rPr>
              <w:t>More than once on income support / Other</w:t>
            </w:r>
            <w:r>
              <w:rPr>
                <w:rFonts w:cstheme="minorHAnsi"/>
                <w:bCs/>
                <w:color w:val="000000"/>
                <w:szCs w:val="20"/>
                <w:vertAlign w:val="superscript"/>
              </w:rPr>
              <w:t>2</w:t>
            </w:r>
          </w:p>
        </w:tc>
        <w:tc>
          <w:tcPr>
            <w:tcW w:w="1417" w:type="dxa"/>
            <w:noWrap/>
          </w:tcPr>
          <w:p w14:paraId="3E188D85" w14:textId="50C7FC72" w:rsidR="00750285" w:rsidRPr="000153F3"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A629B3">
              <w:t>0.775</w:t>
            </w:r>
            <w:r w:rsidR="001F433F">
              <w:t>*</w:t>
            </w:r>
          </w:p>
        </w:tc>
        <w:tc>
          <w:tcPr>
            <w:tcW w:w="1984" w:type="dxa"/>
            <w:noWrap/>
          </w:tcPr>
          <w:p w14:paraId="4EF9EDC0" w14:textId="77777777" w:rsidR="00750285" w:rsidRPr="000153F3"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A629B3">
              <w:t>0.709</w:t>
            </w:r>
          </w:p>
        </w:tc>
        <w:tc>
          <w:tcPr>
            <w:tcW w:w="1843" w:type="dxa"/>
            <w:noWrap/>
          </w:tcPr>
          <w:p w14:paraId="6522AEB2" w14:textId="77777777" w:rsidR="00750285" w:rsidRPr="000153F3"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pPr>
            <w:r w:rsidRPr="00A629B3">
              <w:t>0.848</w:t>
            </w:r>
          </w:p>
        </w:tc>
      </w:tr>
      <w:tr w:rsidR="00750285" w:rsidRPr="00346BB7" w14:paraId="093DFACF"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tcPr>
          <w:p w14:paraId="2FB95CDE" w14:textId="1AA08833" w:rsidR="00750285" w:rsidRPr="004B5487" w:rsidRDefault="00750285" w:rsidP="00D11E39">
            <w:pPr>
              <w:spacing w:after="0" w:line="240" w:lineRule="auto"/>
              <w:rPr>
                <w:bCs/>
                <w:color w:val="000000"/>
                <w:szCs w:val="20"/>
              </w:rPr>
            </w:pPr>
            <w:r w:rsidRPr="00F26C6E">
              <w:rPr>
                <w:bCs/>
                <w:color w:val="000000"/>
                <w:szCs w:val="20"/>
              </w:rPr>
              <w:t xml:space="preserve">Major </w:t>
            </w:r>
            <w:r w:rsidR="001159FE">
              <w:rPr>
                <w:bCs/>
                <w:color w:val="000000"/>
                <w:szCs w:val="20"/>
              </w:rPr>
              <w:t>C</w:t>
            </w:r>
            <w:r w:rsidRPr="00F26C6E">
              <w:rPr>
                <w:bCs/>
                <w:color w:val="000000"/>
                <w:szCs w:val="20"/>
              </w:rPr>
              <w:t>ity</w:t>
            </w:r>
            <w:r w:rsidR="001159FE">
              <w:rPr>
                <w:bCs/>
                <w:color w:val="000000"/>
                <w:szCs w:val="20"/>
              </w:rPr>
              <w:t xml:space="preserve"> or </w:t>
            </w:r>
            <w:r w:rsidRPr="00F26C6E">
              <w:rPr>
                <w:bCs/>
                <w:color w:val="000000"/>
                <w:szCs w:val="20"/>
              </w:rPr>
              <w:t xml:space="preserve">Inner Regional </w:t>
            </w:r>
            <w:r w:rsidR="001159FE">
              <w:rPr>
                <w:bCs/>
                <w:color w:val="000000"/>
                <w:szCs w:val="20"/>
              </w:rPr>
              <w:t>/</w:t>
            </w:r>
            <w:r w:rsidRPr="00F26C6E">
              <w:rPr>
                <w:bCs/>
                <w:color w:val="000000"/>
                <w:szCs w:val="20"/>
              </w:rPr>
              <w:t xml:space="preserve"> Outer Regional</w:t>
            </w:r>
            <w:r w:rsidR="001159FE">
              <w:rPr>
                <w:bCs/>
                <w:color w:val="000000"/>
                <w:szCs w:val="20"/>
              </w:rPr>
              <w:t xml:space="preserve"> or </w:t>
            </w:r>
            <w:r w:rsidRPr="00F26C6E">
              <w:rPr>
                <w:bCs/>
                <w:color w:val="000000"/>
                <w:szCs w:val="20"/>
              </w:rPr>
              <w:t>Remote</w:t>
            </w:r>
            <w:r w:rsidR="001159FE">
              <w:rPr>
                <w:bCs/>
                <w:color w:val="000000"/>
                <w:szCs w:val="20"/>
              </w:rPr>
              <w:t xml:space="preserve"> or </w:t>
            </w:r>
            <w:r w:rsidRPr="00F26C6E">
              <w:rPr>
                <w:bCs/>
                <w:color w:val="000000"/>
                <w:szCs w:val="20"/>
              </w:rPr>
              <w:t>Very Remote</w:t>
            </w:r>
          </w:p>
        </w:tc>
        <w:tc>
          <w:tcPr>
            <w:tcW w:w="1417" w:type="dxa"/>
            <w:noWrap/>
          </w:tcPr>
          <w:p w14:paraId="752C73DB" w14:textId="232C7BA1" w:rsidR="00750285" w:rsidRPr="00E127A8"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A629B3">
              <w:t>1.110</w:t>
            </w:r>
            <w:r w:rsidR="001F433F">
              <w:t>*</w:t>
            </w:r>
          </w:p>
        </w:tc>
        <w:tc>
          <w:tcPr>
            <w:tcW w:w="1984" w:type="dxa"/>
            <w:noWrap/>
          </w:tcPr>
          <w:p w14:paraId="45659623" w14:textId="77777777" w:rsidR="00750285" w:rsidRPr="00E127A8"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A629B3">
              <w:t>1.013</w:t>
            </w:r>
          </w:p>
        </w:tc>
        <w:tc>
          <w:tcPr>
            <w:tcW w:w="1843" w:type="dxa"/>
            <w:noWrap/>
          </w:tcPr>
          <w:p w14:paraId="653DA709" w14:textId="77777777" w:rsidR="00750285" w:rsidRPr="00E127A8" w:rsidRDefault="00750285" w:rsidP="00C239FD">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A629B3">
              <w:t>1.216</w:t>
            </w:r>
          </w:p>
        </w:tc>
      </w:tr>
      <w:tr w:rsidR="00750285" w:rsidRPr="00346BB7" w14:paraId="3EC55519"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3" w:type="dxa"/>
            <w:noWrap/>
            <w:hideMark/>
          </w:tcPr>
          <w:p w14:paraId="29CB9850" w14:textId="77777777" w:rsidR="00750285" w:rsidRPr="00346BB7" w:rsidRDefault="00750285" w:rsidP="00D11E39">
            <w:pPr>
              <w:spacing w:after="0" w:line="240" w:lineRule="auto"/>
              <w:rPr>
                <w:rFonts w:ascii="Calibri" w:eastAsia="Times New Roman" w:hAnsi="Calibri" w:cs="Calibri"/>
                <w:color w:val="000000"/>
                <w:lang w:eastAsia="en-AU"/>
              </w:rPr>
            </w:pPr>
            <w:r w:rsidRPr="00ED6857">
              <w:rPr>
                <w:rFonts w:cstheme="minorHAnsi"/>
                <w:bCs/>
                <w:color w:val="000000"/>
                <w:szCs w:val="20"/>
              </w:rPr>
              <w:t>Personal factors – No impact</w:t>
            </w:r>
            <w:r>
              <w:rPr>
                <w:rFonts w:cstheme="minorHAnsi"/>
                <w:bCs/>
                <w:color w:val="000000"/>
                <w:szCs w:val="20"/>
              </w:rPr>
              <w:t xml:space="preserve"> on employability</w:t>
            </w:r>
            <w:r w:rsidRPr="00ED6857">
              <w:rPr>
                <w:rFonts w:cstheme="minorHAnsi"/>
                <w:bCs/>
                <w:color w:val="000000"/>
                <w:szCs w:val="20"/>
              </w:rPr>
              <w:t xml:space="preserve"> / Some impact</w:t>
            </w:r>
          </w:p>
        </w:tc>
        <w:tc>
          <w:tcPr>
            <w:tcW w:w="1417" w:type="dxa"/>
            <w:noWrap/>
            <w:hideMark/>
          </w:tcPr>
          <w:p w14:paraId="029F08FC" w14:textId="7C8F9DA3"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1.153</w:t>
            </w:r>
            <w:r w:rsidR="001F433F">
              <w:t>*</w:t>
            </w:r>
          </w:p>
        </w:tc>
        <w:tc>
          <w:tcPr>
            <w:tcW w:w="1984" w:type="dxa"/>
            <w:noWrap/>
            <w:hideMark/>
          </w:tcPr>
          <w:p w14:paraId="2A286FCF"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1.023</w:t>
            </w:r>
          </w:p>
        </w:tc>
        <w:tc>
          <w:tcPr>
            <w:tcW w:w="1843" w:type="dxa"/>
            <w:noWrap/>
            <w:hideMark/>
          </w:tcPr>
          <w:p w14:paraId="6C561DE2" w14:textId="77777777" w:rsidR="00750285" w:rsidRPr="00346BB7" w:rsidRDefault="00750285" w:rsidP="00C239F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A629B3">
              <w:t>1.299</w:t>
            </w:r>
          </w:p>
        </w:tc>
      </w:tr>
    </w:tbl>
    <w:p w14:paraId="43272769" w14:textId="77777777" w:rsidR="00427F78" w:rsidRPr="00A80EA6" w:rsidRDefault="00427F78" w:rsidP="00427F78">
      <w:pPr>
        <w:pStyle w:val="SourceandNotes"/>
      </w:pPr>
      <w:r w:rsidRPr="00A80EA6">
        <w:t xml:space="preserve">Base: n (excluding missing) = </w:t>
      </w:r>
      <w:r>
        <w:t>16,278</w:t>
      </w:r>
    </w:p>
    <w:p w14:paraId="7BA7D511" w14:textId="1B95C52D" w:rsidR="00F8391B" w:rsidRDefault="00427F78" w:rsidP="00427F78">
      <w:pPr>
        <w:pStyle w:val="SourceandNotes"/>
      </w:pPr>
      <w:r>
        <w:t xml:space="preserve">1. </w:t>
      </w:r>
      <w:r w:rsidRPr="00E46D8F">
        <w:t>*</w:t>
      </w:r>
      <w:r w:rsidR="004657A9">
        <w:t>V</w:t>
      </w:r>
      <w:r w:rsidRPr="00E46D8F">
        <w:t>ariable</w:t>
      </w:r>
      <w:r>
        <w:t xml:space="preserve"> has statistically significant coefficient: </w:t>
      </w:r>
      <w:r w:rsidRPr="00E46D8F">
        <w:rPr>
          <w:i/>
        </w:rPr>
        <w:t xml:space="preserve">p </w:t>
      </w:r>
      <w:r w:rsidRPr="00E46D8F">
        <w:t>&lt; 0.05</w:t>
      </w:r>
    </w:p>
    <w:p w14:paraId="07E73630" w14:textId="5BBA0F1C" w:rsidR="00F8391B" w:rsidRDefault="00F57386" w:rsidP="00427F78">
      <w:pPr>
        <w:pStyle w:val="SourceandNotes"/>
      </w:pPr>
      <w:r>
        <w:t xml:space="preserve">2. </w:t>
      </w:r>
      <w:r w:rsidR="00F8391B">
        <w:t>‘</w:t>
      </w:r>
      <w:r>
        <w:t>Other</w:t>
      </w:r>
      <w:r w:rsidR="00F8391B">
        <w:t>’</w:t>
      </w:r>
      <w:r>
        <w:t xml:space="preserve"> includes the following categories: </w:t>
      </w:r>
      <w:r w:rsidR="00F8391B">
        <w:t>‘</w:t>
      </w:r>
      <w:r>
        <w:t>Received Crisis Payment</w:t>
      </w:r>
      <w:r w:rsidR="00F8391B">
        <w:t>’</w:t>
      </w:r>
      <w:r>
        <w:t xml:space="preserve">, </w:t>
      </w:r>
      <w:r w:rsidR="00F8391B">
        <w:t>‘</w:t>
      </w:r>
      <w:r>
        <w:t>Received Crisis Payment + Multiple spells on income support</w:t>
      </w:r>
      <w:r w:rsidR="00F8391B">
        <w:t>’</w:t>
      </w:r>
      <w:r>
        <w:t xml:space="preserve">, </w:t>
      </w:r>
      <w:r w:rsidR="00F8391B">
        <w:t>‘</w:t>
      </w:r>
      <w:r>
        <w:t>All others</w:t>
      </w:r>
      <w:r w:rsidR="00F8391B">
        <w:t>’</w:t>
      </w:r>
    </w:p>
    <w:p w14:paraId="501FCEB2" w14:textId="0BE2951E" w:rsidR="00427F78" w:rsidRPr="006333E9" w:rsidRDefault="00427F78" w:rsidP="00427F78">
      <w:pPr>
        <w:pStyle w:val="SourceandNotes"/>
      </w:pPr>
      <w:r w:rsidRPr="00F45F7E">
        <w:rPr>
          <w:rFonts w:eastAsia="Calibri" w:cs="Arial"/>
          <w:szCs w:val="18"/>
        </w:rPr>
        <w:t>Source: The department</w:t>
      </w:r>
      <w:r w:rsidR="00F8391B">
        <w:rPr>
          <w:rFonts w:eastAsia="Calibri" w:cs="Arial"/>
          <w:szCs w:val="18"/>
        </w:rPr>
        <w:t>’</w:t>
      </w:r>
      <w:r w:rsidRPr="00F45F7E">
        <w:rPr>
          <w:rFonts w:eastAsia="Calibri" w:cs="Arial"/>
          <w:szCs w:val="18"/>
        </w:rPr>
        <w:t>s administrative data</w:t>
      </w:r>
    </w:p>
    <w:p w14:paraId="57A2ECCA" w14:textId="46B1F52A" w:rsidR="00374B10" w:rsidRDefault="00374B10" w:rsidP="00374B10">
      <w:pPr>
        <w:pStyle w:val="Caption"/>
        <w:keepNext/>
      </w:pPr>
      <w:bookmarkStart w:id="4165" w:name="_Toc132647823"/>
      <w:bookmarkStart w:id="4166" w:name="_Toc145877337"/>
      <w:r>
        <w:t xml:space="preserve">Table </w:t>
      </w:r>
      <w:r>
        <w:fldChar w:fldCharType="begin"/>
      </w:r>
      <w:r>
        <w:instrText>SEQ Table \* ARABIC</w:instrText>
      </w:r>
      <w:r>
        <w:fldChar w:fldCharType="separate"/>
      </w:r>
      <w:r w:rsidR="00180E14">
        <w:rPr>
          <w:noProof/>
        </w:rPr>
        <w:t>48</w:t>
      </w:r>
      <w:r>
        <w:fldChar w:fldCharType="end"/>
      </w:r>
      <w:r>
        <w:t xml:space="preserve">: </w:t>
      </w:r>
      <w:r w:rsidRPr="00A742A1">
        <w:t xml:space="preserve">Odds </w:t>
      </w:r>
      <w:r w:rsidR="001159FE">
        <w:t>r</w:t>
      </w:r>
      <w:r w:rsidRPr="00A742A1">
        <w:t xml:space="preserve">atio </w:t>
      </w:r>
      <w:r w:rsidR="001159FE">
        <w:t>e</w:t>
      </w:r>
      <w:r w:rsidRPr="00A742A1">
        <w:t xml:space="preserve">stimates on probability of </w:t>
      </w:r>
      <w:r w:rsidR="002F31A7">
        <w:t xml:space="preserve">TtW and jobactive </w:t>
      </w:r>
      <w:r>
        <w:t xml:space="preserve">participants being </w:t>
      </w:r>
      <w:r w:rsidRPr="00A742A1">
        <w:t>in prison</w:t>
      </w:r>
      <w:r>
        <w:t xml:space="preserve"> within 4 years of commencement</w:t>
      </w:r>
      <w:bookmarkEnd w:id="4165"/>
      <w:bookmarkEnd w:id="4166"/>
    </w:p>
    <w:tbl>
      <w:tblPr>
        <w:tblStyle w:val="TtWReportTableTemplate2"/>
        <w:tblW w:w="9640" w:type="dxa"/>
        <w:tblLook w:val="04A0" w:firstRow="1" w:lastRow="0" w:firstColumn="1" w:lastColumn="0" w:noHBand="0" w:noVBand="1"/>
      </w:tblPr>
      <w:tblGrid>
        <w:gridCol w:w="3828"/>
        <w:gridCol w:w="2126"/>
        <w:gridCol w:w="1843"/>
        <w:gridCol w:w="1843"/>
      </w:tblGrid>
      <w:tr w:rsidR="004D63BE" w:rsidRPr="004D63BE" w14:paraId="463F6F7A" w14:textId="77777777" w:rsidTr="00C239F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5D7A38"/>
            <w:noWrap/>
            <w:hideMark/>
          </w:tcPr>
          <w:p w14:paraId="4973B469" w14:textId="77777777" w:rsidR="00374B10" w:rsidRPr="004D63BE" w:rsidRDefault="00374B10">
            <w:pPr>
              <w:rPr>
                <w:rFonts w:cs="Calibri"/>
                <w:sz w:val="22"/>
              </w:rPr>
            </w:pPr>
            <w:r w:rsidRPr="004D63BE">
              <w:t>Effect</w:t>
            </w:r>
          </w:p>
        </w:tc>
        <w:tc>
          <w:tcPr>
            <w:tcW w:w="0" w:type="dxa"/>
            <w:shd w:val="clear" w:color="auto" w:fill="5D7A38"/>
            <w:noWrap/>
            <w:hideMark/>
          </w:tcPr>
          <w:p w14:paraId="76DCF4E3" w14:textId="51842613" w:rsidR="00374B10" w:rsidRPr="004D63BE" w:rsidRDefault="00374B10" w:rsidP="00C239FD">
            <w:pPr>
              <w:jc w:val="center"/>
              <w:cnfStyle w:val="100000000000" w:firstRow="1" w:lastRow="0" w:firstColumn="0" w:lastColumn="0" w:oddVBand="0" w:evenVBand="0" w:oddHBand="0" w:evenHBand="0" w:firstRowFirstColumn="0" w:firstRowLastColumn="0" w:lastRowFirstColumn="0" w:lastRowLastColumn="0"/>
            </w:pPr>
            <w:r w:rsidRPr="004D63BE">
              <w:t xml:space="preserve">Odds </w:t>
            </w:r>
            <w:r w:rsidR="001159FE">
              <w:t>r</w:t>
            </w:r>
            <w:r w:rsidRPr="004D63BE">
              <w:t>atio</w:t>
            </w:r>
          </w:p>
        </w:tc>
        <w:tc>
          <w:tcPr>
            <w:tcW w:w="0" w:type="dxa"/>
            <w:shd w:val="clear" w:color="auto" w:fill="5D7A38"/>
            <w:noWrap/>
            <w:hideMark/>
          </w:tcPr>
          <w:p w14:paraId="15AB9304" w14:textId="55B57919" w:rsidR="00374B10" w:rsidRPr="004D63BE" w:rsidRDefault="00472F03" w:rsidP="00C239FD">
            <w:pPr>
              <w:jc w:val="center"/>
              <w:cnfStyle w:val="100000000000" w:firstRow="1" w:lastRow="0" w:firstColumn="0" w:lastColumn="0" w:oddVBand="0" w:evenVBand="0" w:oddHBand="0" w:evenHBand="0" w:firstRowFirstColumn="0" w:firstRowLastColumn="0" w:lastRowFirstColumn="0" w:lastRowLastColumn="0"/>
            </w:pPr>
            <w:r w:rsidRPr="004D63BE">
              <w:t xml:space="preserve">Lower </w:t>
            </w:r>
            <w:r w:rsidR="00374B10" w:rsidRPr="004D63BE">
              <w:t xml:space="preserve">95% </w:t>
            </w:r>
            <w:r w:rsidR="001159FE">
              <w:t>confidence limit</w:t>
            </w:r>
          </w:p>
        </w:tc>
        <w:tc>
          <w:tcPr>
            <w:tcW w:w="0" w:type="dxa"/>
            <w:shd w:val="clear" w:color="auto" w:fill="5D7A38"/>
            <w:noWrap/>
            <w:hideMark/>
          </w:tcPr>
          <w:p w14:paraId="7233BF51" w14:textId="2DF397E3" w:rsidR="00374B10" w:rsidRPr="004D63BE" w:rsidRDefault="00472F03" w:rsidP="00C239FD">
            <w:pPr>
              <w:jc w:val="center"/>
              <w:cnfStyle w:val="100000000000" w:firstRow="1" w:lastRow="0" w:firstColumn="0" w:lastColumn="0" w:oddVBand="0" w:evenVBand="0" w:oddHBand="0" w:evenHBand="0" w:firstRowFirstColumn="0" w:firstRowLastColumn="0" w:lastRowFirstColumn="0" w:lastRowLastColumn="0"/>
            </w:pPr>
            <w:r w:rsidRPr="004D63BE">
              <w:t xml:space="preserve">Upper </w:t>
            </w:r>
            <w:r w:rsidR="00374B10" w:rsidRPr="004D63BE">
              <w:t xml:space="preserve">95% </w:t>
            </w:r>
            <w:r w:rsidR="001159FE">
              <w:t>confidence limit</w:t>
            </w:r>
          </w:p>
        </w:tc>
      </w:tr>
      <w:tr w:rsidR="00374B10" w14:paraId="194AC0B5"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AA46846" w14:textId="7516B734" w:rsidR="00374B10" w:rsidRDefault="001E4C45">
            <w:pPr>
              <w:rPr>
                <w:color w:val="000000"/>
              </w:rPr>
            </w:pPr>
            <w:r>
              <w:rPr>
                <w:color w:val="000000"/>
              </w:rPr>
              <w:t>P</w:t>
            </w:r>
            <w:r w:rsidR="00374B10">
              <w:rPr>
                <w:color w:val="000000"/>
              </w:rPr>
              <w:t>rog</w:t>
            </w:r>
            <w:r>
              <w:rPr>
                <w:color w:val="000000"/>
              </w:rPr>
              <w:t>ram</w:t>
            </w:r>
            <w:r w:rsidR="001159FE">
              <w:rPr>
                <w:color w:val="000000"/>
              </w:rPr>
              <w:t xml:space="preserve"> –</w:t>
            </w:r>
            <w:r w:rsidR="00374B10">
              <w:rPr>
                <w:color w:val="000000"/>
              </w:rPr>
              <w:t xml:space="preserve"> TtW </w:t>
            </w:r>
            <w:r w:rsidR="001159FE">
              <w:rPr>
                <w:color w:val="000000"/>
              </w:rPr>
              <w:t>/</w:t>
            </w:r>
            <w:r w:rsidR="00374B10">
              <w:rPr>
                <w:color w:val="000000"/>
              </w:rPr>
              <w:t xml:space="preserve"> </w:t>
            </w:r>
            <w:r>
              <w:rPr>
                <w:color w:val="000000"/>
              </w:rPr>
              <w:t>jobactive</w:t>
            </w:r>
          </w:p>
        </w:tc>
        <w:tc>
          <w:tcPr>
            <w:tcW w:w="2126" w:type="dxa"/>
            <w:noWrap/>
            <w:hideMark/>
          </w:tcPr>
          <w:p w14:paraId="60410DCF"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0.823</w:t>
            </w:r>
          </w:p>
        </w:tc>
        <w:tc>
          <w:tcPr>
            <w:tcW w:w="1843" w:type="dxa"/>
            <w:noWrap/>
            <w:hideMark/>
          </w:tcPr>
          <w:p w14:paraId="3ABBA9DF"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0.706</w:t>
            </w:r>
          </w:p>
        </w:tc>
        <w:tc>
          <w:tcPr>
            <w:tcW w:w="1843" w:type="dxa"/>
            <w:noWrap/>
            <w:hideMark/>
          </w:tcPr>
          <w:p w14:paraId="4C70AA86"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0.959</w:t>
            </w:r>
          </w:p>
        </w:tc>
      </w:tr>
      <w:tr w:rsidR="00374B10" w14:paraId="76D17FEC"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63CF940D" w14:textId="037F3AA2" w:rsidR="00374B10" w:rsidRDefault="001E4C45">
            <w:pPr>
              <w:rPr>
                <w:color w:val="000000"/>
              </w:rPr>
            </w:pPr>
            <w:r>
              <w:rPr>
                <w:color w:val="000000"/>
              </w:rPr>
              <w:t>G</w:t>
            </w:r>
            <w:r w:rsidR="00374B10">
              <w:rPr>
                <w:color w:val="000000"/>
              </w:rPr>
              <w:t>ender</w:t>
            </w:r>
            <w:r w:rsidR="001159FE">
              <w:rPr>
                <w:color w:val="000000"/>
              </w:rPr>
              <w:t xml:space="preserve"> –</w:t>
            </w:r>
            <w:r w:rsidR="00374B10">
              <w:rPr>
                <w:color w:val="000000"/>
              </w:rPr>
              <w:t xml:space="preserve"> </w:t>
            </w:r>
            <w:r w:rsidR="001159FE">
              <w:rPr>
                <w:color w:val="000000"/>
              </w:rPr>
              <w:t>female / male</w:t>
            </w:r>
          </w:p>
        </w:tc>
        <w:tc>
          <w:tcPr>
            <w:tcW w:w="2126" w:type="dxa"/>
            <w:noWrap/>
            <w:hideMark/>
          </w:tcPr>
          <w:p w14:paraId="2D6FAEAF"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0.327</w:t>
            </w:r>
          </w:p>
        </w:tc>
        <w:tc>
          <w:tcPr>
            <w:tcW w:w="1843" w:type="dxa"/>
            <w:noWrap/>
            <w:hideMark/>
          </w:tcPr>
          <w:p w14:paraId="308D41FF"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0.272</w:t>
            </w:r>
          </w:p>
        </w:tc>
        <w:tc>
          <w:tcPr>
            <w:tcW w:w="1843" w:type="dxa"/>
            <w:noWrap/>
            <w:hideMark/>
          </w:tcPr>
          <w:p w14:paraId="3629A5FC"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0.393</w:t>
            </w:r>
          </w:p>
        </w:tc>
      </w:tr>
      <w:tr w:rsidR="00374B10" w14:paraId="1A6B59EB"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E257698" w14:textId="42F90C54" w:rsidR="00374B10" w:rsidRDefault="00374B10">
            <w:pPr>
              <w:rPr>
                <w:color w:val="000000"/>
              </w:rPr>
            </w:pPr>
            <w:r>
              <w:rPr>
                <w:color w:val="000000"/>
              </w:rPr>
              <w:t>Ind</w:t>
            </w:r>
            <w:r w:rsidR="002664CB">
              <w:rPr>
                <w:color w:val="000000"/>
              </w:rPr>
              <w:t>igenous</w:t>
            </w:r>
            <w:r>
              <w:rPr>
                <w:color w:val="000000"/>
              </w:rPr>
              <w:t xml:space="preserve"> </w:t>
            </w:r>
            <w:r w:rsidR="001159FE">
              <w:rPr>
                <w:color w:val="000000"/>
              </w:rPr>
              <w:t>– no / yes</w:t>
            </w:r>
          </w:p>
        </w:tc>
        <w:tc>
          <w:tcPr>
            <w:tcW w:w="2126" w:type="dxa"/>
            <w:noWrap/>
            <w:hideMark/>
          </w:tcPr>
          <w:p w14:paraId="5E439AC8"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0.416</w:t>
            </w:r>
          </w:p>
        </w:tc>
        <w:tc>
          <w:tcPr>
            <w:tcW w:w="1843" w:type="dxa"/>
            <w:noWrap/>
            <w:hideMark/>
          </w:tcPr>
          <w:p w14:paraId="6295C445"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0.357</w:t>
            </w:r>
          </w:p>
        </w:tc>
        <w:tc>
          <w:tcPr>
            <w:tcW w:w="1843" w:type="dxa"/>
            <w:noWrap/>
            <w:hideMark/>
          </w:tcPr>
          <w:p w14:paraId="26976E33"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0.486</w:t>
            </w:r>
          </w:p>
        </w:tc>
      </w:tr>
      <w:tr w:rsidR="00374B10" w14:paraId="5D2D8D0E"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3655979" w14:textId="4FE8193D" w:rsidR="00374B10" w:rsidRDefault="00374B10">
            <w:pPr>
              <w:rPr>
                <w:color w:val="000000"/>
              </w:rPr>
            </w:pPr>
            <w:r>
              <w:rPr>
                <w:color w:val="000000"/>
              </w:rPr>
              <w:t xml:space="preserve">Education </w:t>
            </w:r>
            <w:r w:rsidR="001159FE">
              <w:rPr>
                <w:color w:val="000000"/>
              </w:rPr>
              <w:t>– Year 12</w:t>
            </w:r>
            <w:r w:rsidR="002664CB">
              <w:rPr>
                <w:color w:val="000000"/>
              </w:rPr>
              <w:t xml:space="preserve"> and </w:t>
            </w:r>
            <w:r>
              <w:rPr>
                <w:color w:val="000000"/>
              </w:rPr>
              <w:t xml:space="preserve">above </w:t>
            </w:r>
            <w:r w:rsidR="001159FE">
              <w:rPr>
                <w:color w:val="000000"/>
              </w:rPr>
              <w:t>/</w:t>
            </w:r>
            <w:r>
              <w:rPr>
                <w:color w:val="000000"/>
              </w:rPr>
              <w:t xml:space="preserve"> under</w:t>
            </w:r>
            <w:r w:rsidR="001159FE">
              <w:rPr>
                <w:color w:val="000000"/>
              </w:rPr>
              <w:t xml:space="preserve"> Year </w:t>
            </w:r>
            <w:r>
              <w:rPr>
                <w:color w:val="000000"/>
              </w:rPr>
              <w:t>12</w:t>
            </w:r>
          </w:p>
        </w:tc>
        <w:tc>
          <w:tcPr>
            <w:tcW w:w="2126" w:type="dxa"/>
            <w:noWrap/>
            <w:hideMark/>
          </w:tcPr>
          <w:p w14:paraId="02264D47"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0.527</w:t>
            </w:r>
          </w:p>
        </w:tc>
        <w:tc>
          <w:tcPr>
            <w:tcW w:w="1843" w:type="dxa"/>
            <w:noWrap/>
            <w:hideMark/>
          </w:tcPr>
          <w:p w14:paraId="126F59DD"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0.431</w:t>
            </w:r>
          </w:p>
        </w:tc>
        <w:tc>
          <w:tcPr>
            <w:tcW w:w="1843" w:type="dxa"/>
            <w:noWrap/>
            <w:hideMark/>
          </w:tcPr>
          <w:p w14:paraId="54D72830"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0.644</w:t>
            </w:r>
          </w:p>
        </w:tc>
      </w:tr>
      <w:tr w:rsidR="00374B10" w14:paraId="40CFC080"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7894733" w14:textId="161D2B47" w:rsidR="00374B10" w:rsidRDefault="00374B10">
            <w:pPr>
              <w:rPr>
                <w:color w:val="000000"/>
              </w:rPr>
            </w:pPr>
            <w:r>
              <w:rPr>
                <w:color w:val="000000"/>
              </w:rPr>
              <w:t xml:space="preserve">Transport </w:t>
            </w:r>
            <w:r w:rsidR="001159FE">
              <w:rPr>
                <w:color w:val="000000"/>
              </w:rPr>
              <w:t xml:space="preserve">– </w:t>
            </w:r>
            <w:r>
              <w:rPr>
                <w:color w:val="000000"/>
              </w:rPr>
              <w:t>no</w:t>
            </w:r>
            <w:r w:rsidR="001E4C45">
              <w:rPr>
                <w:color w:val="000000"/>
              </w:rPr>
              <w:t xml:space="preserve"> t</w:t>
            </w:r>
            <w:r>
              <w:rPr>
                <w:color w:val="000000"/>
              </w:rPr>
              <w:t>r</w:t>
            </w:r>
            <w:r w:rsidR="001E4C45">
              <w:rPr>
                <w:color w:val="000000"/>
              </w:rPr>
              <w:t>ansport</w:t>
            </w:r>
            <w:r>
              <w:rPr>
                <w:color w:val="000000"/>
              </w:rPr>
              <w:t xml:space="preserve"> </w:t>
            </w:r>
            <w:r w:rsidR="001159FE">
              <w:rPr>
                <w:color w:val="000000"/>
              </w:rPr>
              <w:t>/</w:t>
            </w:r>
            <w:r>
              <w:rPr>
                <w:color w:val="000000"/>
              </w:rPr>
              <w:t xml:space="preserve"> public</w:t>
            </w:r>
          </w:p>
        </w:tc>
        <w:tc>
          <w:tcPr>
            <w:tcW w:w="2126" w:type="dxa"/>
            <w:noWrap/>
            <w:hideMark/>
          </w:tcPr>
          <w:p w14:paraId="287D45B2"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1.004</w:t>
            </w:r>
          </w:p>
        </w:tc>
        <w:tc>
          <w:tcPr>
            <w:tcW w:w="1843" w:type="dxa"/>
            <w:noWrap/>
            <w:hideMark/>
          </w:tcPr>
          <w:p w14:paraId="68E79328"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0.795</w:t>
            </w:r>
          </w:p>
        </w:tc>
        <w:tc>
          <w:tcPr>
            <w:tcW w:w="1843" w:type="dxa"/>
            <w:noWrap/>
            <w:hideMark/>
          </w:tcPr>
          <w:p w14:paraId="1705490A"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1.268</w:t>
            </w:r>
          </w:p>
        </w:tc>
      </w:tr>
      <w:tr w:rsidR="00374B10" w14:paraId="42E9A657"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7D18CD5B" w14:textId="78120EC4" w:rsidR="00374B10" w:rsidRDefault="00374B10">
            <w:pPr>
              <w:rPr>
                <w:color w:val="000000"/>
              </w:rPr>
            </w:pPr>
            <w:r>
              <w:rPr>
                <w:color w:val="000000"/>
              </w:rPr>
              <w:t xml:space="preserve">Transport </w:t>
            </w:r>
            <w:r w:rsidR="001159FE">
              <w:rPr>
                <w:color w:val="000000"/>
              </w:rPr>
              <w:t xml:space="preserve">– </w:t>
            </w:r>
            <w:r>
              <w:rPr>
                <w:color w:val="000000"/>
              </w:rPr>
              <w:t xml:space="preserve">private </w:t>
            </w:r>
            <w:r w:rsidR="001159FE">
              <w:rPr>
                <w:color w:val="000000"/>
              </w:rPr>
              <w:t>/</w:t>
            </w:r>
            <w:r>
              <w:rPr>
                <w:color w:val="000000"/>
              </w:rPr>
              <w:t xml:space="preserve"> public</w:t>
            </w:r>
          </w:p>
        </w:tc>
        <w:tc>
          <w:tcPr>
            <w:tcW w:w="2126" w:type="dxa"/>
            <w:noWrap/>
            <w:hideMark/>
          </w:tcPr>
          <w:p w14:paraId="3B8B1A9D"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0.724</w:t>
            </w:r>
          </w:p>
        </w:tc>
        <w:tc>
          <w:tcPr>
            <w:tcW w:w="1843" w:type="dxa"/>
            <w:noWrap/>
            <w:hideMark/>
          </w:tcPr>
          <w:p w14:paraId="6288CAEE"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0.605</w:t>
            </w:r>
          </w:p>
        </w:tc>
        <w:tc>
          <w:tcPr>
            <w:tcW w:w="1843" w:type="dxa"/>
            <w:noWrap/>
            <w:hideMark/>
          </w:tcPr>
          <w:p w14:paraId="34DDFAC2"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0.866</w:t>
            </w:r>
          </w:p>
        </w:tc>
      </w:tr>
      <w:tr w:rsidR="00374B10" w14:paraId="63BEFFEE"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89F247C" w14:textId="67CD7C72" w:rsidR="00374B10" w:rsidRDefault="00374B10">
            <w:pPr>
              <w:rPr>
                <w:color w:val="000000"/>
              </w:rPr>
            </w:pPr>
            <w:r>
              <w:rPr>
                <w:color w:val="000000"/>
              </w:rPr>
              <w:lastRenderedPageBreak/>
              <w:t xml:space="preserve">Residence </w:t>
            </w:r>
            <w:r w:rsidR="001159FE">
              <w:rPr>
                <w:color w:val="000000"/>
              </w:rPr>
              <w:t xml:space="preserve">– </w:t>
            </w:r>
            <w:r>
              <w:rPr>
                <w:color w:val="000000"/>
              </w:rPr>
              <w:t xml:space="preserve">stable </w:t>
            </w:r>
            <w:r w:rsidR="001159FE">
              <w:rPr>
                <w:color w:val="000000"/>
              </w:rPr>
              <w:t>/</w:t>
            </w:r>
            <w:r>
              <w:rPr>
                <w:color w:val="000000"/>
              </w:rPr>
              <w:t xml:space="preserve"> unstable</w:t>
            </w:r>
          </w:p>
        </w:tc>
        <w:tc>
          <w:tcPr>
            <w:tcW w:w="2126" w:type="dxa"/>
            <w:noWrap/>
            <w:hideMark/>
          </w:tcPr>
          <w:p w14:paraId="2C476A76"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0.653</w:t>
            </w:r>
          </w:p>
        </w:tc>
        <w:tc>
          <w:tcPr>
            <w:tcW w:w="1843" w:type="dxa"/>
            <w:noWrap/>
            <w:hideMark/>
          </w:tcPr>
          <w:p w14:paraId="4ACBFA4C"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0.544</w:t>
            </w:r>
          </w:p>
        </w:tc>
        <w:tc>
          <w:tcPr>
            <w:tcW w:w="1843" w:type="dxa"/>
            <w:noWrap/>
            <w:hideMark/>
          </w:tcPr>
          <w:p w14:paraId="0E4E0FC0"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0.785</w:t>
            </w:r>
          </w:p>
        </w:tc>
      </w:tr>
      <w:tr w:rsidR="00374B10" w14:paraId="1511FB19"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16D3CBB" w14:textId="24494520" w:rsidR="00374B10" w:rsidRDefault="00122FA0">
            <w:pPr>
              <w:rPr>
                <w:color w:val="000000"/>
              </w:rPr>
            </w:pPr>
            <w:r>
              <w:rPr>
                <w:color w:val="000000"/>
              </w:rPr>
              <w:t>IS</w:t>
            </w:r>
            <w:r w:rsidR="002664CB">
              <w:rPr>
                <w:color w:val="000000"/>
              </w:rPr>
              <w:t xml:space="preserve"> </w:t>
            </w:r>
            <w:r w:rsidR="001159FE">
              <w:rPr>
                <w:color w:val="000000"/>
              </w:rPr>
              <w:t>d</w:t>
            </w:r>
            <w:r w:rsidR="002664CB">
              <w:rPr>
                <w:color w:val="000000"/>
              </w:rPr>
              <w:t>uration</w:t>
            </w:r>
            <w:r w:rsidR="001159FE">
              <w:rPr>
                <w:color w:val="000000"/>
              </w:rPr>
              <w:t xml:space="preserve"> –</w:t>
            </w:r>
            <w:r w:rsidR="00374B10">
              <w:rPr>
                <w:color w:val="000000"/>
              </w:rPr>
              <w:t xml:space="preserve"> less</w:t>
            </w:r>
            <w:r>
              <w:rPr>
                <w:color w:val="000000"/>
              </w:rPr>
              <w:t xml:space="preserve"> than 12 months </w:t>
            </w:r>
            <w:r w:rsidR="001159FE">
              <w:rPr>
                <w:color w:val="000000"/>
              </w:rPr>
              <w:t>/</w:t>
            </w:r>
            <w:r w:rsidR="00374B10">
              <w:rPr>
                <w:color w:val="000000"/>
              </w:rPr>
              <w:t xml:space="preserve"> no</w:t>
            </w:r>
            <w:r>
              <w:rPr>
                <w:color w:val="000000"/>
              </w:rPr>
              <w:t xml:space="preserve"> IS</w:t>
            </w:r>
          </w:p>
        </w:tc>
        <w:tc>
          <w:tcPr>
            <w:tcW w:w="2126" w:type="dxa"/>
            <w:noWrap/>
            <w:hideMark/>
          </w:tcPr>
          <w:p w14:paraId="46BFA1A8"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1.186</w:t>
            </w:r>
          </w:p>
        </w:tc>
        <w:tc>
          <w:tcPr>
            <w:tcW w:w="1843" w:type="dxa"/>
            <w:noWrap/>
            <w:hideMark/>
          </w:tcPr>
          <w:p w14:paraId="40A98E10"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0.987</w:t>
            </w:r>
          </w:p>
        </w:tc>
        <w:tc>
          <w:tcPr>
            <w:tcW w:w="1843" w:type="dxa"/>
            <w:noWrap/>
            <w:hideMark/>
          </w:tcPr>
          <w:p w14:paraId="43BBC218"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1.424</w:t>
            </w:r>
          </w:p>
        </w:tc>
      </w:tr>
      <w:tr w:rsidR="00374B10" w14:paraId="6CA6F713"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6DDAA288" w14:textId="1CA9657F" w:rsidR="00374B10" w:rsidRDefault="00122FA0">
            <w:pPr>
              <w:rPr>
                <w:color w:val="000000"/>
              </w:rPr>
            </w:pPr>
            <w:r>
              <w:rPr>
                <w:color w:val="000000"/>
              </w:rPr>
              <w:t xml:space="preserve">IS </w:t>
            </w:r>
            <w:r w:rsidR="001159FE">
              <w:rPr>
                <w:color w:val="000000"/>
              </w:rPr>
              <w:t>d</w:t>
            </w:r>
            <w:r>
              <w:rPr>
                <w:color w:val="000000"/>
              </w:rPr>
              <w:t xml:space="preserve">uration </w:t>
            </w:r>
            <w:r w:rsidR="001159FE">
              <w:rPr>
                <w:color w:val="000000"/>
              </w:rPr>
              <w:t xml:space="preserve">– </w:t>
            </w:r>
            <w:r>
              <w:rPr>
                <w:color w:val="000000"/>
              </w:rPr>
              <w:t xml:space="preserve">more than 12 months </w:t>
            </w:r>
            <w:r w:rsidR="001159FE">
              <w:rPr>
                <w:color w:val="000000"/>
              </w:rPr>
              <w:t>/</w:t>
            </w:r>
            <w:r w:rsidR="00374B10">
              <w:rPr>
                <w:color w:val="000000"/>
              </w:rPr>
              <w:t xml:space="preserve"> no</w:t>
            </w:r>
            <w:r w:rsidR="001E4C45">
              <w:rPr>
                <w:color w:val="000000"/>
              </w:rPr>
              <w:t xml:space="preserve"> </w:t>
            </w:r>
            <w:r w:rsidR="00374B10">
              <w:rPr>
                <w:color w:val="000000"/>
              </w:rPr>
              <w:t>IS</w:t>
            </w:r>
          </w:p>
        </w:tc>
        <w:tc>
          <w:tcPr>
            <w:tcW w:w="2126" w:type="dxa"/>
            <w:noWrap/>
            <w:hideMark/>
          </w:tcPr>
          <w:p w14:paraId="779A1AF0"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1.4</w:t>
            </w:r>
          </w:p>
        </w:tc>
        <w:tc>
          <w:tcPr>
            <w:tcW w:w="1843" w:type="dxa"/>
            <w:noWrap/>
            <w:hideMark/>
          </w:tcPr>
          <w:p w14:paraId="6E0859CD"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1.146</w:t>
            </w:r>
          </w:p>
        </w:tc>
        <w:tc>
          <w:tcPr>
            <w:tcW w:w="1843" w:type="dxa"/>
            <w:noWrap/>
            <w:hideMark/>
          </w:tcPr>
          <w:p w14:paraId="516A0DF9"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1.709</w:t>
            </w:r>
          </w:p>
        </w:tc>
      </w:tr>
      <w:tr w:rsidR="00374B10" w14:paraId="7C7DD211" w14:textId="77777777" w:rsidTr="009251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C618A23" w14:textId="0CD0A58D" w:rsidR="00374B10" w:rsidRDefault="00140024">
            <w:pPr>
              <w:rPr>
                <w:color w:val="000000"/>
              </w:rPr>
            </w:pPr>
            <w:r>
              <w:rPr>
                <w:color w:val="000000"/>
              </w:rPr>
              <w:t>Ex-o</w:t>
            </w:r>
            <w:r w:rsidR="00374B10">
              <w:rPr>
                <w:color w:val="000000"/>
              </w:rPr>
              <w:t>ffender</w:t>
            </w:r>
            <w:r w:rsidR="001159FE">
              <w:rPr>
                <w:color w:val="000000"/>
              </w:rPr>
              <w:t xml:space="preserve"> –</w:t>
            </w:r>
            <w:r w:rsidR="00374B10">
              <w:rPr>
                <w:color w:val="000000"/>
              </w:rPr>
              <w:t xml:space="preserve"> </w:t>
            </w:r>
            <w:r w:rsidR="001159FE">
              <w:rPr>
                <w:color w:val="000000"/>
              </w:rPr>
              <w:t>y</w:t>
            </w:r>
            <w:r w:rsidR="00374B10">
              <w:rPr>
                <w:color w:val="000000"/>
              </w:rPr>
              <w:t xml:space="preserve">es </w:t>
            </w:r>
            <w:r w:rsidR="001159FE">
              <w:rPr>
                <w:color w:val="000000"/>
              </w:rPr>
              <w:t>/</w:t>
            </w:r>
            <w:r w:rsidR="00374B10">
              <w:rPr>
                <w:color w:val="000000"/>
              </w:rPr>
              <w:t xml:space="preserve"> none</w:t>
            </w:r>
            <w:r w:rsidR="001E4C45">
              <w:rPr>
                <w:color w:val="000000"/>
              </w:rPr>
              <w:t xml:space="preserve"> </w:t>
            </w:r>
            <w:r w:rsidR="001159FE">
              <w:rPr>
                <w:color w:val="000000"/>
              </w:rPr>
              <w:t>or</w:t>
            </w:r>
            <w:r w:rsidR="001E4C45">
              <w:rPr>
                <w:color w:val="000000"/>
              </w:rPr>
              <w:t xml:space="preserve"> </w:t>
            </w:r>
            <w:r w:rsidR="00374B10">
              <w:rPr>
                <w:color w:val="000000"/>
              </w:rPr>
              <w:t>no</w:t>
            </w:r>
            <w:r w:rsidR="001E4C45">
              <w:rPr>
                <w:color w:val="000000"/>
              </w:rPr>
              <w:t xml:space="preserve"> </w:t>
            </w:r>
            <w:r w:rsidR="00374B10">
              <w:rPr>
                <w:color w:val="000000"/>
              </w:rPr>
              <w:t>ans</w:t>
            </w:r>
            <w:r w:rsidR="001E4C45">
              <w:rPr>
                <w:color w:val="000000"/>
              </w:rPr>
              <w:t>wer</w:t>
            </w:r>
          </w:p>
        </w:tc>
        <w:tc>
          <w:tcPr>
            <w:tcW w:w="2126" w:type="dxa"/>
            <w:noWrap/>
            <w:hideMark/>
          </w:tcPr>
          <w:p w14:paraId="24FD52D5"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8.096</w:t>
            </w:r>
          </w:p>
        </w:tc>
        <w:tc>
          <w:tcPr>
            <w:tcW w:w="1843" w:type="dxa"/>
            <w:noWrap/>
            <w:hideMark/>
          </w:tcPr>
          <w:p w14:paraId="255F815C"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6.912</w:t>
            </w:r>
          </w:p>
        </w:tc>
        <w:tc>
          <w:tcPr>
            <w:tcW w:w="1843" w:type="dxa"/>
            <w:noWrap/>
            <w:hideMark/>
          </w:tcPr>
          <w:p w14:paraId="5BF260F1" w14:textId="77777777" w:rsidR="00374B10" w:rsidRDefault="00374B10" w:rsidP="00C239FD">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9.481</w:t>
            </w:r>
          </w:p>
        </w:tc>
      </w:tr>
      <w:tr w:rsidR="00374B10" w14:paraId="446406BA" w14:textId="77777777" w:rsidTr="009251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1F0D230" w14:textId="2EA44C6B" w:rsidR="00374B10" w:rsidRDefault="00122FA0">
            <w:pPr>
              <w:rPr>
                <w:color w:val="000000"/>
              </w:rPr>
            </w:pPr>
            <w:r>
              <w:rPr>
                <w:color w:val="000000"/>
              </w:rPr>
              <w:t xml:space="preserve">Personal </w:t>
            </w:r>
            <w:r w:rsidR="001159FE">
              <w:rPr>
                <w:color w:val="000000"/>
              </w:rPr>
              <w:t>f</w:t>
            </w:r>
            <w:r>
              <w:rPr>
                <w:color w:val="000000"/>
              </w:rPr>
              <w:t xml:space="preserve">actors </w:t>
            </w:r>
            <w:r w:rsidR="001159FE">
              <w:rPr>
                <w:color w:val="000000"/>
              </w:rPr>
              <w:t>i</w:t>
            </w:r>
            <w:r>
              <w:rPr>
                <w:color w:val="000000"/>
              </w:rPr>
              <w:t>mpacting employability</w:t>
            </w:r>
            <w:r w:rsidR="001159FE">
              <w:rPr>
                <w:color w:val="000000"/>
              </w:rPr>
              <w:t xml:space="preserve"> – </w:t>
            </w:r>
            <w:r w:rsidR="00374B10">
              <w:rPr>
                <w:color w:val="000000"/>
              </w:rPr>
              <w:t xml:space="preserve"> no</w:t>
            </w:r>
            <w:r w:rsidR="001E4C45">
              <w:rPr>
                <w:color w:val="000000"/>
              </w:rPr>
              <w:t xml:space="preserve"> </w:t>
            </w:r>
            <w:r w:rsidR="001159FE">
              <w:rPr>
                <w:color w:val="000000"/>
              </w:rPr>
              <w:t>i</w:t>
            </w:r>
            <w:r w:rsidR="00374B10">
              <w:rPr>
                <w:color w:val="000000"/>
              </w:rPr>
              <w:t xml:space="preserve">mpact </w:t>
            </w:r>
            <w:r w:rsidR="001159FE">
              <w:rPr>
                <w:color w:val="000000"/>
              </w:rPr>
              <w:t>/</w:t>
            </w:r>
            <w:r w:rsidR="00374B10">
              <w:rPr>
                <w:color w:val="000000"/>
              </w:rPr>
              <w:t xml:space="preserve"> some</w:t>
            </w:r>
            <w:r w:rsidR="001E4C45">
              <w:rPr>
                <w:color w:val="000000"/>
              </w:rPr>
              <w:t xml:space="preserve"> </w:t>
            </w:r>
            <w:r w:rsidR="001159FE">
              <w:rPr>
                <w:color w:val="000000"/>
              </w:rPr>
              <w:t>i</w:t>
            </w:r>
            <w:r w:rsidR="00374B10">
              <w:rPr>
                <w:color w:val="000000"/>
              </w:rPr>
              <w:t>mpact</w:t>
            </w:r>
          </w:p>
        </w:tc>
        <w:tc>
          <w:tcPr>
            <w:tcW w:w="2126" w:type="dxa"/>
            <w:noWrap/>
            <w:hideMark/>
          </w:tcPr>
          <w:p w14:paraId="0EBC203B"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0.689</w:t>
            </w:r>
          </w:p>
        </w:tc>
        <w:tc>
          <w:tcPr>
            <w:tcW w:w="1843" w:type="dxa"/>
            <w:noWrap/>
            <w:hideMark/>
          </w:tcPr>
          <w:p w14:paraId="622D3207"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0.562</w:t>
            </w:r>
          </w:p>
        </w:tc>
        <w:tc>
          <w:tcPr>
            <w:tcW w:w="1843" w:type="dxa"/>
            <w:noWrap/>
            <w:hideMark/>
          </w:tcPr>
          <w:p w14:paraId="7AE52908" w14:textId="77777777" w:rsidR="00374B10" w:rsidRDefault="00374B10" w:rsidP="00C239FD">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0.844</w:t>
            </w:r>
          </w:p>
        </w:tc>
      </w:tr>
    </w:tbl>
    <w:p w14:paraId="5E06327A" w14:textId="5CAC407A" w:rsidR="00A646E1" w:rsidRPr="00862FA5" w:rsidRDefault="00A646E1" w:rsidP="00A646E1">
      <w:pPr>
        <w:pStyle w:val="SourceandNotes"/>
        <w:rPr>
          <w:strike/>
        </w:rPr>
      </w:pPr>
      <w:r>
        <w:t xml:space="preserve">Source: National </w:t>
      </w:r>
      <w:r w:rsidR="00450959">
        <w:t>a</w:t>
      </w:r>
      <w:r>
        <w:t>verage</w:t>
      </w:r>
      <w:r w:rsidR="00450959">
        <w:t>,</w:t>
      </w:r>
      <w:r>
        <w:t xml:space="preserve"> AIHW (2021) </w:t>
      </w:r>
      <w:r w:rsidRPr="007C2B81">
        <w:t>HILDA Survey</w:t>
      </w:r>
      <w:r w:rsidR="00450959">
        <w:t>;</w:t>
      </w:r>
      <w:r>
        <w:t xml:space="preserve"> TtW and jobactive</w:t>
      </w:r>
      <w:r w:rsidR="00450959">
        <w:t>,</w:t>
      </w:r>
      <w:r>
        <w:t xml:space="preserve"> </w:t>
      </w:r>
      <w:r w:rsidR="00A86EEA">
        <w:t>p</w:t>
      </w:r>
      <w:r>
        <w:t xml:space="preserve">articipant </w:t>
      </w:r>
      <w:r w:rsidR="00A86EEA">
        <w:t>s</w:t>
      </w:r>
      <w:r>
        <w:t>urvey</w:t>
      </w:r>
      <w:r w:rsidR="00450959">
        <w:t xml:space="preserve"> 2021</w:t>
      </w:r>
    </w:p>
    <w:p w14:paraId="3AAB5D19" w14:textId="76D86B0F" w:rsidR="00374B10" w:rsidRDefault="00374B10" w:rsidP="00472F03">
      <w:pPr>
        <w:pStyle w:val="SourceandNotes"/>
      </w:pPr>
      <w:r>
        <w:t>Base: Matched TtW (n=</w:t>
      </w:r>
      <w:r w:rsidR="0054194B">
        <w:t>8,361</w:t>
      </w:r>
      <w:r>
        <w:t>) and jobactive (n=</w:t>
      </w:r>
      <w:r w:rsidR="0054194B">
        <w:t>8,361</w:t>
      </w:r>
      <w:r>
        <w:t xml:space="preserve">) </w:t>
      </w:r>
      <w:r w:rsidR="00AB0D44">
        <w:t>participants</w:t>
      </w:r>
    </w:p>
    <w:p w14:paraId="6B883309" w14:textId="012E5204" w:rsidR="002F31A7" w:rsidRDefault="00374B10" w:rsidP="00472F03">
      <w:pPr>
        <w:pStyle w:val="SourceandNotes"/>
      </w:pPr>
      <w:r>
        <w:t>Note</w:t>
      </w:r>
      <w:r w:rsidR="008E3D08">
        <w:t>s</w:t>
      </w:r>
      <w:r>
        <w:t xml:space="preserve">: </w:t>
      </w:r>
      <w:r w:rsidR="008E3D08">
        <w:t>A</w:t>
      </w:r>
      <w:r w:rsidR="00472F03">
        <w:t xml:space="preserve">ll </w:t>
      </w:r>
      <w:r w:rsidR="008E3D08">
        <w:t>o</w:t>
      </w:r>
      <w:r w:rsidR="00472F03">
        <w:t xml:space="preserve">dds </w:t>
      </w:r>
      <w:r w:rsidR="008E3D08">
        <w:t>r</w:t>
      </w:r>
      <w:r w:rsidR="00472F03">
        <w:t xml:space="preserve">atio results have a </w:t>
      </w:r>
      <w:r>
        <w:t xml:space="preserve">statistically significant </w:t>
      </w:r>
      <w:r w:rsidR="00472F03">
        <w:t>coefficient:</w:t>
      </w:r>
      <w:r>
        <w:t xml:space="preserve"> </w:t>
      </w:r>
      <w:r w:rsidRPr="00C239FD">
        <w:rPr>
          <w:i/>
          <w:iCs/>
        </w:rPr>
        <w:t>p</w:t>
      </w:r>
      <w:r>
        <w:t xml:space="preserve"> &lt; 0.05</w:t>
      </w:r>
      <w:r w:rsidR="008E3D08">
        <w:t xml:space="preserve">. </w:t>
      </w:r>
      <w:r w:rsidR="00472F03">
        <w:t xml:space="preserve">Other factors examined but not significant include </w:t>
      </w:r>
      <w:r w:rsidR="00472F03" w:rsidRPr="00472F03">
        <w:t xml:space="preserve">work experience, disability, English capability, </w:t>
      </w:r>
      <w:r w:rsidR="00472F03">
        <w:t>income support</w:t>
      </w:r>
      <w:r w:rsidR="00472F03" w:rsidRPr="00472F03">
        <w:t xml:space="preserve"> </w:t>
      </w:r>
      <w:r w:rsidR="00AB0766">
        <w:t>h</w:t>
      </w:r>
      <w:r w:rsidR="00472F03" w:rsidRPr="00472F03">
        <w:t xml:space="preserve">istory, location and </w:t>
      </w:r>
      <w:r w:rsidR="00472F03">
        <w:t xml:space="preserve">Internet </w:t>
      </w:r>
      <w:r w:rsidR="00AB0766">
        <w:t>V</w:t>
      </w:r>
      <w:r w:rsidR="00472F03">
        <w:t>acancy</w:t>
      </w:r>
      <w:r w:rsidR="00472F03" w:rsidRPr="00472F03">
        <w:t xml:space="preserve"> </w:t>
      </w:r>
      <w:r w:rsidR="00AB0766">
        <w:t>I</w:t>
      </w:r>
      <w:r w:rsidR="00472F03" w:rsidRPr="00472F03">
        <w:t>ndex</w:t>
      </w:r>
      <w:r w:rsidR="008E3D08">
        <w:t>.</w:t>
      </w:r>
    </w:p>
    <w:p w14:paraId="50811C59" w14:textId="43EA5303" w:rsidR="002F31A7" w:rsidRDefault="002F31A7" w:rsidP="002F31A7">
      <w:pPr>
        <w:pStyle w:val="Caption"/>
        <w:keepNext/>
      </w:pPr>
      <w:bookmarkStart w:id="4167" w:name="_Toc132647824"/>
      <w:bookmarkStart w:id="4168" w:name="_Toc145877338"/>
      <w:r>
        <w:t xml:space="preserve">Table </w:t>
      </w:r>
      <w:r>
        <w:fldChar w:fldCharType="begin"/>
      </w:r>
      <w:r>
        <w:instrText>SEQ Table \* ARABIC</w:instrText>
      </w:r>
      <w:r>
        <w:fldChar w:fldCharType="separate"/>
      </w:r>
      <w:r w:rsidR="00180E14">
        <w:rPr>
          <w:noProof/>
        </w:rPr>
        <w:t>49</w:t>
      </w:r>
      <w:r>
        <w:fldChar w:fldCharType="end"/>
      </w:r>
      <w:r>
        <w:t xml:space="preserve">: </w:t>
      </w:r>
      <w:r w:rsidRPr="0035218A">
        <w:t xml:space="preserve">Odds </w:t>
      </w:r>
      <w:r w:rsidR="001159FE">
        <w:t>r</w:t>
      </w:r>
      <w:r w:rsidRPr="0035218A">
        <w:t xml:space="preserve">atio </w:t>
      </w:r>
      <w:r w:rsidR="001159FE">
        <w:t>e</w:t>
      </w:r>
      <w:r w:rsidRPr="0035218A">
        <w:t xml:space="preserve">stimates </w:t>
      </w:r>
      <w:r w:rsidRPr="00A742A1">
        <w:t xml:space="preserve">on probability of </w:t>
      </w:r>
      <w:r>
        <w:t xml:space="preserve">TtW and jobactive participants who were ex-offenders at commencement being </w:t>
      </w:r>
      <w:r w:rsidRPr="00A742A1">
        <w:t>in prison</w:t>
      </w:r>
      <w:r>
        <w:t xml:space="preserve"> within 4 years of commencement</w:t>
      </w:r>
      <w:bookmarkEnd w:id="4167"/>
      <w:bookmarkEnd w:id="4168"/>
    </w:p>
    <w:tbl>
      <w:tblPr>
        <w:tblStyle w:val="TtWReportTableTemplate2"/>
        <w:tblW w:w="9733" w:type="dxa"/>
        <w:tblLook w:val="04A0" w:firstRow="1" w:lastRow="0" w:firstColumn="1" w:lastColumn="0" w:noHBand="0" w:noVBand="1"/>
      </w:tblPr>
      <w:tblGrid>
        <w:gridCol w:w="4395"/>
        <w:gridCol w:w="1652"/>
        <w:gridCol w:w="1843"/>
        <w:gridCol w:w="1843"/>
      </w:tblGrid>
      <w:tr w:rsidR="002F31A7" w14:paraId="073794C4" w14:textId="77777777" w:rsidTr="00674A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95" w:type="dxa"/>
            <w:shd w:val="clear" w:color="auto" w:fill="5D7A38"/>
          </w:tcPr>
          <w:p w14:paraId="6E18718C" w14:textId="063A0606" w:rsidR="002F31A7" w:rsidRPr="00C24C7F" w:rsidRDefault="002F31A7" w:rsidP="002F31A7">
            <w:pPr>
              <w:spacing w:after="240"/>
              <w:rPr>
                <w:rFonts w:cs="Arial"/>
                <w:szCs w:val="20"/>
              </w:rPr>
            </w:pPr>
            <w:r w:rsidRPr="00C24C7F">
              <w:t>Effect</w:t>
            </w:r>
          </w:p>
        </w:tc>
        <w:tc>
          <w:tcPr>
            <w:tcW w:w="1652" w:type="dxa"/>
            <w:shd w:val="clear" w:color="auto" w:fill="5D7A38"/>
          </w:tcPr>
          <w:p w14:paraId="3AC8E96B" w14:textId="35070BDC" w:rsidR="002F31A7" w:rsidRPr="00C24C7F" w:rsidRDefault="00CE7617" w:rsidP="00C239FD">
            <w:pPr>
              <w:spacing w:after="240"/>
              <w:jc w:val="center"/>
              <w:cnfStyle w:val="100000000000" w:firstRow="1" w:lastRow="0" w:firstColumn="0" w:lastColumn="0" w:oddVBand="0" w:evenVBand="0" w:oddHBand="0" w:evenHBand="0" w:firstRowFirstColumn="0" w:firstRowLastColumn="0" w:lastRowFirstColumn="0" w:lastRowLastColumn="0"/>
            </w:pPr>
            <w:r w:rsidRPr="00C24C7F">
              <w:t xml:space="preserve">Odds </w:t>
            </w:r>
            <w:r w:rsidR="001159FE" w:rsidRPr="00C24C7F">
              <w:t>r</w:t>
            </w:r>
            <w:r w:rsidRPr="00C24C7F">
              <w:t>atio</w:t>
            </w:r>
          </w:p>
        </w:tc>
        <w:tc>
          <w:tcPr>
            <w:tcW w:w="1843" w:type="dxa"/>
            <w:shd w:val="clear" w:color="auto" w:fill="5D7A38"/>
          </w:tcPr>
          <w:p w14:paraId="48AF7487" w14:textId="6A5EBD94" w:rsidR="002F31A7" w:rsidRPr="00C24C7F" w:rsidRDefault="002F31A7" w:rsidP="00C239FD">
            <w:pPr>
              <w:spacing w:after="240"/>
              <w:jc w:val="center"/>
              <w:cnfStyle w:val="100000000000" w:firstRow="1" w:lastRow="0" w:firstColumn="0" w:lastColumn="0" w:oddVBand="0" w:evenVBand="0" w:oddHBand="0" w:evenHBand="0" w:firstRowFirstColumn="0" w:firstRowLastColumn="0" w:lastRowFirstColumn="0" w:lastRowLastColumn="0"/>
            </w:pPr>
            <w:r w:rsidRPr="00C24C7F">
              <w:t xml:space="preserve">Upper 95% </w:t>
            </w:r>
            <w:r w:rsidR="001159FE" w:rsidRPr="00C24C7F">
              <w:t>confidence limit</w:t>
            </w:r>
          </w:p>
        </w:tc>
        <w:tc>
          <w:tcPr>
            <w:tcW w:w="1843" w:type="dxa"/>
            <w:shd w:val="clear" w:color="auto" w:fill="5D7A38"/>
          </w:tcPr>
          <w:p w14:paraId="0E1643E6" w14:textId="4F9BBB9E" w:rsidR="002F31A7" w:rsidRPr="00C24C7F" w:rsidRDefault="002F31A7" w:rsidP="00C239FD">
            <w:pPr>
              <w:spacing w:after="240"/>
              <w:jc w:val="center"/>
              <w:cnfStyle w:val="100000000000" w:firstRow="1" w:lastRow="0" w:firstColumn="0" w:lastColumn="0" w:oddVBand="0" w:evenVBand="0" w:oddHBand="0" w:evenHBand="0" w:firstRowFirstColumn="0" w:firstRowLastColumn="0" w:lastRowFirstColumn="0" w:lastRowLastColumn="0"/>
            </w:pPr>
            <w:r w:rsidRPr="00C24C7F">
              <w:t xml:space="preserve">Lower 95% </w:t>
            </w:r>
            <w:r w:rsidR="001159FE" w:rsidRPr="00C24C7F">
              <w:t>confidence limit</w:t>
            </w:r>
          </w:p>
        </w:tc>
      </w:tr>
      <w:tr w:rsidR="009B39B3" w14:paraId="02DA7557"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3F2D93AE" w14:textId="247988F9" w:rsidR="009B39B3" w:rsidRPr="00B45DF0" w:rsidRDefault="009B39B3" w:rsidP="009B39B3">
            <w:pPr>
              <w:rPr>
                <w:color w:val="000000"/>
              </w:rPr>
            </w:pPr>
            <w:r>
              <w:rPr>
                <w:color w:val="000000"/>
              </w:rPr>
              <w:t>Program</w:t>
            </w:r>
            <w:r w:rsidR="001159FE">
              <w:rPr>
                <w:color w:val="000000"/>
              </w:rPr>
              <w:t xml:space="preserve"> –</w:t>
            </w:r>
            <w:r>
              <w:rPr>
                <w:color w:val="000000"/>
              </w:rPr>
              <w:t xml:space="preserve"> TtW </w:t>
            </w:r>
            <w:r w:rsidR="001159FE">
              <w:rPr>
                <w:color w:val="000000"/>
              </w:rPr>
              <w:t>/</w:t>
            </w:r>
            <w:r>
              <w:rPr>
                <w:color w:val="000000"/>
              </w:rPr>
              <w:t xml:space="preserve"> jobactive</w:t>
            </w:r>
          </w:p>
        </w:tc>
        <w:tc>
          <w:tcPr>
            <w:tcW w:w="1652" w:type="dxa"/>
            <w:hideMark/>
          </w:tcPr>
          <w:p w14:paraId="2C2C0E58"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0.628</w:t>
            </w:r>
          </w:p>
        </w:tc>
        <w:tc>
          <w:tcPr>
            <w:tcW w:w="1843" w:type="dxa"/>
            <w:hideMark/>
          </w:tcPr>
          <w:p w14:paraId="312F1D1D"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0.491</w:t>
            </w:r>
          </w:p>
        </w:tc>
        <w:tc>
          <w:tcPr>
            <w:tcW w:w="1843" w:type="dxa"/>
            <w:hideMark/>
          </w:tcPr>
          <w:p w14:paraId="777C9E86"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0.803</w:t>
            </w:r>
          </w:p>
        </w:tc>
      </w:tr>
      <w:tr w:rsidR="009B39B3" w14:paraId="0F586DFE"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11D44B6C" w14:textId="79B9857B" w:rsidR="009B39B3" w:rsidRPr="00B45DF0" w:rsidRDefault="009B39B3" w:rsidP="009B39B3">
            <w:pPr>
              <w:rPr>
                <w:color w:val="000000"/>
              </w:rPr>
            </w:pPr>
            <w:r>
              <w:rPr>
                <w:color w:val="000000"/>
              </w:rPr>
              <w:t>Gender</w:t>
            </w:r>
            <w:r w:rsidR="001159FE">
              <w:rPr>
                <w:color w:val="000000"/>
              </w:rPr>
              <w:t xml:space="preserve"> –</w:t>
            </w:r>
            <w:r>
              <w:rPr>
                <w:color w:val="000000"/>
              </w:rPr>
              <w:t xml:space="preserve"> </w:t>
            </w:r>
            <w:r w:rsidR="001159FE">
              <w:rPr>
                <w:color w:val="000000"/>
              </w:rPr>
              <w:t>female</w:t>
            </w:r>
            <w:r>
              <w:rPr>
                <w:color w:val="000000"/>
              </w:rPr>
              <w:t xml:space="preserve"> </w:t>
            </w:r>
            <w:r w:rsidR="001159FE">
              <w:rPr>
                <w:color w:val="000000"/>
              </w:rPr>
              <w:t>/</w:t>
            </w:r>
            <w:r>
              <w:rPr>
                <w:color w:val="000000"/>
              </w:rPr>
              <w:t xml:space="preserve"> </w:t>
            </w:r>
            <w:r w:rsidR="001159FE">
              <w:rPr>
                <w:color w:val="000000"/>
              </w:rPr>
              <w:t>male</w:t>
            </w:r>
          </w:p>
        </w:tc>
        <w:tc>
          <w:tcPr>
            <w:tcW w:w="1652" w:type="dxa"/>
            <w:hideMark/>
          </w:tcPr>
          <w:p w14:paraId="6EEF83E7"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0.487</w:t>
            </w:r>
          </w:p>
        </w:tc>
        <w:tc>
          <w:tcPr>
            <w:tcW w:w="1843" w:type="dxa"/>
            <w:hideMark/>
          </w:tcPr>
          <w:p w14:paraId="75A41666"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0.354</w:t>
            </w:r>
          </w:p>
        </w:tc>
        <w:tc>
          <w:tcPr>
            <w:tcW w:w="1843" w:type="dxa"/>
            <w:hideMark/>
          </w:tcPr>
          <w:p w14:paraId="32FC2D09"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0.670</w:t>
            </w:r>
          </w:p>
        </w:tc>
      </w:tr>
      <w:tr w:rsidR="009B39B3" w14:paraId="714898C2"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4E8053D5" w14:textId="266B5273" w:rsidR="009B39B3" w:rsidRPr="00B45DF0" w:rsidRDefault="009B39B3" w:rsidP="009B39B3">
            <w:pPr>
              <w:rPr>
                <w:color w:val="000000"/>
              </w:rPr>
            </w:pPr>
            <w:r>
              <w:rPr>
                <w:color w:val="000000"/>
              </w:rPr>
              <w:t>Indigenous</w:t>
            </w:r>
            <w:r w:rsidR="001159FE">
              <w:rPr>
                <w:color w:val="000000"/>
              </w:rPr>
              <w:t xml:space="preserve"> –</w:t>
            </w:r>
            <w:r>
              <w:rPr>
                <w:color w:val="000000"/>
              </w:rPr>
              <w:t xml:space="preserve"> </w:t>
            </w:r>
            <w:r w:rsidR="001159FE">
              <w:rPr>
                <w:color w:val="000000"/>
              </w:rPr>
              <w:t>no</w:t>
            </w:r>
            <w:r>
              <w:rPr>
                <w:color w:val="000000"/>
              </w:rPr>
              <w:t xml:space="preserve"> </w:t>
            </w:r>
            <w:r w:rsidR="001159FE">
              <w:rPr>
                <w:color w:val="000000"/>
              </w:rPr>
              <w:t>/</w:t>
            </w:r>
            <w:r>
              <w:rPr>
                <w:color w:val="000000"/>
              </w:rPr>
              <w:t xml:space="preserve"> </w:t>
            </w:r>
            <w:r w:rsidR="001159FE">
              <w:rPr>
                <w:color w:val="000000"/>
              </w:rPr>
              <w:t>yes</w:t>
            </w:r>
          </w:p>
        </w:tc>
        <w:tc>
          <w:tcPr>
            <w:tcW w:w="1652" w:type="dxa"/>
            <w:hideMark/>
          </w:tcPr>
          <w:p w14:paraId="6D9BE6A2"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0.465</w:t>
            </w:r>
          </w:p>
        </w:tc>
        <w:tc>
          <w:tcPr>
            <w:tcW w:w="1843" w:type="dxa"/>
            <w:hideMark/>
          </w:tcPr>
          <w:p w14:paraId="10EBC339"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0.366</w:t>
            </w:r>
          </w:p>
        </w:tc>
        <w:tc>
          <w:tcPr>
            <w:tcW w:w="1843" w:type="dxa"/>
            <w:hideMark/>
          </w:tcPr>
          <w:p w14:paraId="3FAD2A9D"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0.590</w:t>
            </w:r>
          </w:p>
        </w:tc>
      </w:tr>
      <w:tr w:rsidR="009B39B3" w14:paraId="7D5072A2"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09192E82" w14:textId="7E46CED4" w:rsidR="009B39B3" w:rsidRPr="00B45DF0" w:rsidRDefault="009B39B3" w:rsidP="009B39B3">
            <w:pPr>
              <w:rPr>
                <w:color w:val="000000"/>
              </w:rPr>
            </w:pPr>
            <w:r>
              <w:rPr>
                <w:color w:val="000000"/>
              </w:rPr>
              <w:t xml:space="preserve">Education </w:t>
            </w:r>
            <w:r w:rsidR="001159FE">
              <w:rPr>
                <w:color w:val="000000"/>
              </w:rPr>
              <w:t xml:space="preserve">– </w:t>
            </w:r>
            <w:r>
              <w:rPr>
                <w:color w:val="000000"/>
              </w:rPr>
              <w:t>Y</w:t>
            </w:r>
            <w:r w:rsidR="001159FE">
              <w:rPr>
                <w:color w:val="000000"/>
              </w:rPr>
              <w:t xml:space="preserve">ear </w:t>
            </w:r>
            <w:r>
              <w:rPr>
                <w:color w:val="000000"/>
              </w:rPr>
              <w:t xml:space="preserve">12 and above </w:t>
            </w:r>
            <w:r w:rsidR="001159FE">
              <w:rPr>
                <w:color w:val="000000"/>
              </w:rPr>
              <w:t>/</w:t>
            </w:r>
            <w:r>
              <w:rPr>
                <w:color w:val="000000"/>
              </w:rPr>
              <w:t xml:space="preserve"> under</w:t>
            </w:r>
            <w:r w:rsidR="001159FE">
              <w:rPr>
                <w:color w:val="000000"/>
              </w:rPr>
              <w:t xml:space="preserve"> </w:t>
            </w:r>
            <w:r>
              <w:rPr>
                <w:color w:val="000000"/>
              </w:rPr>
              <w:t>Y</w:t>
            </w:r>
            <w:r w:rsidR="001159FE">
              <w:rPr>
                <w:color w:val="000000"/>
              </w:rPr>
              <w:t>ear </w:t>
            </w:r>
            <w:r>
              <w:rPr>
                <w:color w:val="000000"/>
              </w:rPr>
              <w:t>12</w:t>
            </w:r>
          </w:p>
        </w:tc>
        <w:tc>
          <w:tcPr>
            <w:tcW w:w="1652" w:type="dxa"/>
            <w:hideMark/>
          </w:tcPr>
          <w:p w14:paraId="4D3BFE79"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0.710</w:t>
            </w:r>
          </w:p>
        </w:tc>
        <w:tc>
          <w:tcPr>
            <w:tcW w:w="1843" w:type="dxa"/>
            <w:hideMark/>
          </w:tcPr>
          <w:p w14:paraId="119E3EA7"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0.508</w:t>
            </w:r>
          </w:p>
        </w:tc>
        <w:tc>
          <w:tcPr>
            <w:tcW w:w="1843" w:type="dxa"/>
            <w:hideMark/>
          </w:tcPr>
          <w:p w14:paraId="7ED64636"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0.993</w:t>
            </w:r>
          </w:p>
        </w:tc>
      </w:tr>
      <w:tr w:rsidR="009B39B3" w14:paraId="6DCE8C6E"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124ABC25" w14:textId="7D799F09" w:rsidR="009B39B3" w:rsidRPr="00B45DF0" w:rsidRDefault="009B39B3" w:rsidP="009B39B3">
            <w:pPr>
              <w:rPr>
                <w:color w:val="000000"/>
              </w:rPr>
            </w:pPr>
            <w:r>
              <w:rPr>
                <w:color w:val="000000"/>
              </w:rPr>
              <w:t xml:space="preserve">Transport </w:t>
            </w:r>
            <w:r w:rsidR="001159FE">
              <w:rPr>
                <w:color w:val="000000"/>
              </w:rPr>
              <w:t xml:space="preserve">– </w:t>
            </w:r>
            <w:r>
              <w:rPr>
                <w:color w:val="000000"/>
              </w:rPr>
              <w:t xml:space="preserve">no transport </w:t>
            </w:r>
            <w:r w:rsidR="001159FE">
              <w:rPr>
                <w:color w:val="000000"/>
              </w:rPr>
              <w:t>/</w:t>
            </w:r>
            <w:r>
              <w:rPr>
                <w:color w:val="000000"/>
              </w:rPr>
              <w:t xml:space="preserve"> public</w:t>
            </w:r>
          </w:p>
        </w:tc>
        <w:tc>
          <w:tcPr>
            <w:tcW w:w="1652" w:type="dxa"/>
            <w:hideMark/>
          </w:tcPr>
          <w:p w14:paraId="775AFE8D"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0.975</w:t>
            </w:r>
          </w:p>
        </w:tc>
        <w:tc>
          <w:tcPr>
            <w:tcW w:w="1843" w:type="dxa"/>
            <w:hideMark/>
          </w:tcPr>
          <w:p w14:paraId="78E468C5"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0.698</w:t>
            </w:r>
          </w:p>
        </w:tc>
        <w:tc>
          <w:tcPr>
            <w:tcW w:w="1843" w:type="dxa"/>
            <w:hideMark/>
          </w:tcPr>
          <w:p w14:paraId="6D945004" w14:textId="77777777" w:rsidR="009B39B3" w:rsidRDefault="009B39B3" w:rsidP="00C239FD">
            <w:pPr>
              <w:spacing w:after="240"/>
              <w:jc w:val="center"/>
              <w:cnfStyle w:val="000000100000" w:firstRow="0" w:lastRow="0" w:firstColumn="0" w:lastColumn="0" w:oddVBand="0" w:evenVBand="0" w:oddHBand="1" w:evenHBand="0" w:firstRowFirstColumn="0" w:firstRowLastColumn="0" w:lastRowFirstColumn="0" w:lastRowLastColumn="0"/>
            </w:pPr>
            <w:r>
              <w:t>1.362</w:t>
            </w:r>
          </w:p>
        </w:tc>
      </w:tr>
      <w:tr w:rsidR="009B39B3" w14:paraId="208C77B1"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27EE5638" w14:textId="3DD71E92" w:rsidR="009B39B3" w:rsidRPr="00B45DF0" w:rsidRDefault="009B39B3" w:rsidP="009B39B3">
            <w:pPr>
              <w:rPr>
                <w:color w:val="000000"/>
              </w:rPr>
            </w:pPr>
            <w:r>
              <w:rPr>
                <w:color w:val="000000"/>
              </w:rPr>
              <w:t xml:space="preserve">Transport </w:t>
            </w:r>
            <w:r w:rsidR="001159FE">
              <w:rPr>
                <w:color w:val="000000"/>
              </w:rPr>
              <w:t xml:space="preserve">– </w:t>
            </w:r>
            <w:r>
              <w:rPr>
                <w:color w:val="000000"/>
              </w:rPr>
              <w:t xml:space="preserve">private </w:t>
            </w:r>
            <w:r w:rsidR="001159FE">
              <w:rPr>
                <w:color w:val="000000"/>
              </w:rPr>
              <w:t>/</w:t>
            </w:r>
            <w:r>
              <w:rPr>
                <w:color w:val="000000"/>
              </w:rPr>
              <w:t xml:space="preserve"> public</w:t>
            </w:r>
          </w:p>
        </w:tc>
        <w:tc>
          <w:tcPr>
            <w:tcW w:w="1652" w:type="dxa"/>
            <w:hideMark/>
          </w:tcPr>
          <w:p w14:paraId="0D40E691"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0.684</w:t>
            </w:r>
          </w:p>
        </w:tc>
        <w:tc>
          <w:tcPr>
            <w:tcW w:w="1843" w:type="dxa"/>
            <w:hideMark/>
          </w:tcPr>
          <w:p w14:paraId="0DDA090B"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0.505</w:t>
            </w:r>
          </w:p>
        </w:tc>
        <w:tc>
          <w:tcPr>
            <w:tcW w:w="1843" w:type="dxa"/>
            <w:hideMark/>
          </w:tcPr>
          <w:p w14:paraId="00999F9A" w14:textId="77777777" w:rsidR="009B39B3" w:rsidRDefault="009B39B3" w:rsidP="00C239FD">
            <w:pPr>
              <w:spacing w:after="240"/>
              <w:jc w:val="center"/>
              <w:cnfStyle w:val="000000010000" w:firstRow="0" w:lastRow="0" w:firstColumn="0" w:lastColumn="0" w:oddVBand="0" w:evenVBand="0" w:oddHBand="0" w:evenHBand="1" w:firstRowFirstColumn="0" w:firstRowLastColumn="0" w:lastRowFirstColumn="0" w:lastRowLastColumn="0"/>
            </w:pPr>
            <w:r>
              <w:t>0.926</w:t>
            </w:r>
          </w:p>
        </w:tc>
      </w:tr>
      <w:tr w:rsidR="002F31A7" w14:paraId="0CF3F16D" w14:textId="77777777" w:rsidTr="0092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47D8833D" w14:textId="00BC9C16" w:rsidR="002F31A7" w:rsidRPr="00B45DF0" w:rsidRDefault="009B39B3" w:rsidP="00B45DF0">
            <w:pPr>
              <w:rPr>
                <w:color w:val="000000"/>
              </w:rPr>
            </w:pPr>
            <w:r>
              <w:rPr>
                <w:color w:val="000000"/>
              </w:rPr>
              <w:t>Residence</w:t>
            </w:r>
            <w:r w:rsidR="001159FE">
              <w:rPr>
                <w:color w:val="000000"/>
              </w:rPr>
              <w:t xml:space="preserve"> –</w:t>
            </w:r>
            <w:r>
              <w:rPr>
                <w:color w:val="000000"/>
              </w:rPr>
              <w:t xml:space="preserve"> stable </w:t>
            </w:r>
            <w:r w:rsidR="001159FE">
              <w:rPr>
                <w:color w:val="000000"/>
              </w:rPr>
              <w:t>/</w:t>
            </w:r>
            <w:r>
              <w:rPr>
                <w:color w:val="000000"/>
              </w:rPr>
              <w:t xml:space="preserve"> unstable</w:t>
            </w:r>
          </w:p>
        </w:tc>
        <w:tc>
          <w:tcPr>
            <w:tcW w:w="1652" w:type="dxa"/>
            <w:hideMark/>
          </w:tcPr>
          <w:p w14:paraId="35473934" w14:textId="77777777" w:rsidR="002F31A7" w:rsidRDefault="002F31A7" w:rsidP="00C239FD">
            <w:pPr>
              <w:spacing w:after="240"/>
              <w:jc w:val="center"/>
              <w:cnfStyle w:val="000000100000" w:firstRow="0" w:lastRow="0" w:firstColumn="0" w:lastColumn="0" w:oddVBand="0" w:evenVBand="0" w:oddHBand="1" w:evenHBand="0" w:firstRowFirstColumn="0" w:firstRowLastColumn="0" w:lastRowFirstColumn="0" w:lastRowLastColumn="0"/>
            </w:pPr>
            <w:r>
              <w:t>0.753</w:t>
            </w:r>
          </w:p>
        </w:tc>
        <w:tc>
          <w:tcPr>
            <w:tcW w:w="1843" w:type="dxa"/>
            <w:hideMark/>
          </w:tcPr>
          <w:p w14:paraId="086A60C7" w14:textId="77777777" w:rsidR="002F31A7" w:rsidRDefault="002F31A7" w:rsidP="00C239FD">
            <w:pPr>
              <w:spacing w:after="240"/>
              <w:jc w:val="center"/>
              <w:cnfStyle w:val="000000100000" w:firstRow="0" w:lastRow="0" w:firstColumn="0" w:lastColumn="0" w:oddVBand="0" w:evenVBand="0" w:oddHBand="1" w:evenHBand="0" w:firstRowFirstColumn="0" w:firstRowLastColumn="0" w:lastRowFirstColumn="0" w:lastRowLastColumn="0"/>
            </w:pPr>
            <w:r>
              <w:t>0.574</w:t>
            </w:r>
          </w:p>
        </w:tc>
        <w:tc>
          <w:tcPr>
            <w:tcW w:w="1843" w:type="dxa"/>
            <w:hideMark/>
          </w:tcPr>
          <w:p w14:paraId="740F6072" w14:textId="77777777" w:rsidR="002F31A7" w:rsidRDefault="002F31A7" w:rsidP="00C239FD">
            <w:pPr>
              <w:spacing w:after="240"/>
              <w:jc w:val="center"/>
              <w:cnfStyle w:val="000000100000" w:firstRow="0" w:lastRow="0" w:firstColumn="0" w:lastColumn="0" w:oddVBand="0" w:evenVBand="0" w:oddHBand="1" w:evenHBand="0" w:firstRowFirstColumn="0" w:firstRowLastColumn="0" w:lastRowFirstColumn="0" w:lastRowLastColumn="0"/>
            </w:pPr>
            <w:r>
              <w:t>0.987</w:t>
            </w:r>
          </w:p>
        </w:tc>
      </w:tr>
      <w:tr w:rsidR="002F31A7" w14:paraId="06289EF0" w14:textId="77777777" w:rsidTr="009251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05818764" w14:textId="5A94B090" w:rsidR="002F31A7" w:rsidRPr="00B45DF0" w:rsidRDefault="009B39B3" w:rsidP="00B45DF0">
            <w:pPr>
              <w:rPr>
                <w:color w:val="000000"/>
              </w:rPr>
            </w:pPr>
            <w:r>
              <w:rPr>
                <w:color w:val="000000"/>
              </w:rPr>
              <w:t xml:space="preserve">Personal </w:t>
            </w:r>
            <w:r w:rsidR="001159FE">
              <w:rPr>
                <w:color w:val="000000"/>
              </w:rPr>
              <w:t>f</w:t>
            </w:r>
            <w:r>
              <w:rPr>
                <w:color w:val="000000"/>
              </w:rPr>
              <w:t xml:space="preserve">actors </w:t>
            </w:r>
            <w:r w:rsidR="001159FE">
              <w:rPr>
                <w:color w:val="000000"/>
              </w:rPr>
              <w:t>i</w:t>
            </w:r>
            <w:r>
              <w:rPr>
                <w:color w:val="000000"/>
              </w:rPr>
              <w:t>mpacting employability</w:t>
            </w:r>
            <w:r w:rsidR="001159FE">
              <w:rPr>
                <w:color w:val="000000"/>
              </w:rPr>
              <w:t xml:space="preserve"> –</w:t>
            </w:r>
            <w:r>
              <w:rPr>
                <w:color w:val="000000"/>
              </w:rPr>
              <w:t xml:space="preserve"> no </w:t>
            </w:r>
            <w:r w:rsidR="001159FE">
              <w:rPr>
                <w:color w:val="000000"/>
              </w:rPr>
              <w:t>i</w:t>
            </w:r>
            <w:r>
              <w:rPr>
                <w:color w:val="000000"/>
              </w:rPr>
              <w:t xml:space="preserve">mpact </w:t>
            </w:r>
            <w:r w:rsidR="001159FE">
              <w:rPr>
                <w:color w:val="000000"/>
              </w:rPr>
              <w:t>/</w:t>
            </w:r>
            <w:r>
              <w:rPr>
                <w:color w:val="000000"/>
              </w:rPr>
              <w:t xml:space="preserve"> some </w:t>
            </w:r>
            <w:r w:rsidR="001159FE">
              <w:rPr>
                <w:color w:val="000000"/>
              </w:rPr>
              <w:t>i</w:t>
            </w:r>
            <w:r>
              <w:rPr>
                <w:color w:val="000000"/>
              </w:rPr>
              <w:t>mpact</w:t>
            </w:r>
          </w:p>
        </w:tc>
        <w:tc>
          <w:tcPr>
            <w:tcW w:w="1652" w:type="dxa"/>
            <w:hideMark/>
          </w:tcPr>
          <w:p w14:paraId="3DA35639" w14:textId="77777777" w:rsidR="002F31A7" w:rsidRDefault="002F31A7" w:rsidP="00C239FD">
            <w:pPr>
              <w:spacing w:after="240"/>
              <w:jc w:val="center"/>
              <w:cnfStyle w:val="000000010000" w:firstRow="0" w:lastRow="0" w:firstColumn="0" w:lastColumn="0" w:oddVBand="0" w:evenVBand="0" w:oddHBand="0" w:evenHBand="1" w:firstRowFirstColumn="0" w:firstRowLastColumn="0" w:lastRowFirstColumn="0" w:lastRowLastColumn="0"/>
            </w:pPr>
            <w:r>
              <w:t>0.701</w:t>
            </w:r>
          </w:p>
        </w:tc>
        <w:tc>
          <w:tcPr>
            <w:tcW w:w="1843" w:type="dxa"/>
            <w:hideMark/>
          </w:tcPr>
          <w:p w14:paraId="3E2F9A3B" w14:textId="77777777" w:rsidR="002F31A7" w:rsidRDefault="002F31A7" w:rsidP="00C239FD">
            <w:pPr>
              <w:spacing w:after="240"/>
              <w:jc w:val="center"/>
              <w:cnfStyle w:val="000000010000" w:firstRow="0" w:lastRow="0" w:firstColumn="0" w:lastColumn="0" w:oddVBand="0" w:evenVBand="0" w:oddHBand="0" w:evenHBand="1" w:firstRowFirstColumn="0" w:firstRowLastColumn="0" w:lastRowFirstColumn="0" w:lastRowLastColumn="0"/>
            </w:pPr>
            <w:r>
              <w:t>0.529</w:t>
            </w:r>
          </w:p>
        </w:tc>
        <w:tc>
          <w:tcPr>
            <w:tcW w:w="1843" w:type="dxa"/>
            <w:hideMark/>
          </w:tcPr>
          <w:p w14:paraId="433C94E3" w14:textId="77777777" w:rsidR="002F31A7" w:rsidRDefault="002F31A7" w:rsidP="00C239FD">
            <w:pPr>
              <w:spacing w:after="240"/>
              <w:jc w:val="center"/>
              <w:cnfStyle w:val="000000010000" w:firstRow="0" w:lastRow="0" w:firstColumn="0" w:lastColumn="0" w:oddVBand="0" w:evenVBand="0" w:oddHBand="0" w:evenHBand="1" w:firstRowFirstColumn="0" w:firstRowLastColumn="0" w:lastRowFirstColumn="0" w:lastRowLastColumn="0"/>
            </w:pPr>
            <w:r>
              <w:t>0.929</w:t>
            </w:r>
          </w:p>
        </w:tc>
      </w:tr>
    </w:tbl>
    <w:p w14:paraId="52EBC7CB" w14:textId="2B33B9A2" w:rsidR="00A646E1" w:rsidRPr="00862FA5" w:rsidRDefault="00A646E1" w:rsidP="00A646E1">
      <w:pPr>
        <w:pStyle w:val="SourceandNotes"/>
        <w:rPr>
          <w:strike/>
        </w:rPr>
      </w:pPr>
      <w:r>
        <w:t xml:space="preserve">Source: National </w:t>
      </w:r>
      <w:r w:rsidR="00450959">
        <w:t>a</w:t>
      </w:r>
      <w:r>
        <w:t>verage</w:t>
      </w:r>
      <w:r w:rsidR="00450959">
        <w:t>,</w:t>
      </w:r>
      <w:r>
        <w:t xml:space="preserve"> AIHW (2021) </w:t>
      </w:r>
      <w:r w:rsidRPr="007C2B81">
        <w:t>HILDA Survey</w:t>
      </w:r>
      <w:r w:rsidR="00450959">
        <w:t>;</w:t>
      </w:r>
      <w:r>
        <w:t xml:space="preserve"> TtW and jobactive</w:t>
      </w:r>
      <w:r w:rsidR="00450959">
        <w:t>,</w:t>
      </w:r>
      <w:r>
        <w:t xml:space="preserve"> </w:t>
      </w:r>
      <w:r w:rsidR="00A86EEA">
        <w:t>p</w:t>
      </w:r>
      <w:r>
        <w:t xml:space="preserve">articipant </w:t>
      </w:r>
      <w:r w:rsidR="00A86EEA">
        <w:t>s</w:t>
      </w:r>
      <w:r>
        <w:t>urvey</w:t>
      </w:r>
      <w:r w:rsidR="00450959">
        <w:t xml:space="preserve"> 2021</w:t>
      </w:r>
    </w:p>
    <w:p w14:paraId="005673A9" w14:textId="11FDEBD1" w:rsidR="002F31A7" w:rsidRDefault="002F31A7" w:rsidP="002F31A7">
      <w:pPr>
        <w:pStyle w:val="SourceandNotes"/>
      </w:pPr>
      <w:r>
        <w:t>Base</w:t>
      </w:r>
      <w:r w:rsidRPr="00F61719">
        <w:t xml:space="preserve">: </w:t>
      </w:r>
      <w:r w:rsidRPr="004A440A">
        <w:t>Matched TtW (n=</w:t>
      </w:r>
      <w:r w:rsidR="0054194B">
        <w:t>8,361</w:t>
      </w:r>
      <w:r w:rsidRPr="004A440A">
        <w:t>) and jobactive (n=</w:t>
      </w:r>
      <w:r w:rsidR="0054194B">
        <w:t>8,361</w:t>
      </w:r>
      <w:r w:rsidRPr="004A440A">
        <w:t xml:space="preserve">) </w:t>
      </w:r>
      <w:r w:rsidR="00AB0D44" w:rsidRPr="004A440A">
        <w:t>participants</w:t>
      </w:r>
    </w:p>
    <w:p w14:paraId="15623EE7" w14:textId="6A33109D" w:rsidR="002F31A7" w:rsidRDefault="002F31A7" w:rsidP="00472F03">
      <w:pPr>
        <w:pStyle w:val="SourceandNotes"/>
      </w:pPr>
      <w:r>
        <w:t>Note</w:t>
      </w:r>
      <w:r w:rsidR="00B45E12">
        <w:t>s</w:t>
      </w:r>
      <w:r>
        <w:t xml:space="preserve">: </w:t>
      </w:r>
      <w:r w:rsidR="00B45E12">
        <w:t>A</w:t>
      </w:r>
      <w:r>
        <w:t xml:space="preserve">ll </w:t>
      </w:r>
      <w:r w:rsidR="00B45E12">
        <w:t>o</w:t>
      </w:r>
      <w:r>
        <w:t xml:space="preserve">dds </w:t>
      </w:r>
      <w:r w:rsidR="00B45E12">
        <w:t>r</w:t>
      </w:r>
      <w:r>
        <w:t xml:space="preserve">atio results have a statistically significant coefficient: </w:t>
      </w:r>
      <w:r w:rsidRPr="00C239FD">
        <w:rPr>
          <w:i/>
          <w:iCs/>
        </w:rPr>
        <w:t>p</w:t>
      </w:r>
      <w:r>
        <w:t xml:space="preserve"> &lt; 0.05</w:t>
      </w:r>
      <w:r w:rsidR="00B45E12">
        <w:t xml:space="preserve">. </w:t>
      </w:r>
      <w:r>
        <w:t xml:space="preserve">Other factors examined but not significant include </w:t>
      </w:r>
      <w:r w:rsidRPr="00472F03">
        <w:t xml:space="preserve">work experience, disability, English capability, </w:t>
      </w:r>
      <w:r>
        <w:t>income support</w:t>
      </w:r>
      <w:r w:rsidRPr="00472F03">
        <w:t xml:space="preserve"> </w:t>
      </w:r>
      <w:r w:rsidR="00AB0766">
        <w:t>h</w:t>
      </w:r>
      <w:r w:rsidRPr="00472F03">
        <w:t xml:space="preserve">istory, location and </w:t>
      </w:r>
      <w:r>
        <w:t xml:space="preserve">Internet </w:t>
      </w:r>
      <w:r w:rsidR="00AB0766">
        <w:t>V</w:t>
      </w:r>
      <w:r>
        <w:t>acancy</w:t>
      </w:r>
      <w:r w:rsidRPr="00472F03">
        <w:t xml:space="preserve"> </w:t>
      </w:r>
      <w:r w:rsidR="00AB0766">
        <w:t>I</w:t>
      </w:r>
      <w:r w:rsidRPr="00472F03">
        <w:t>nde</w:t>
      </w:r>
      <w:r w:rsidR="00A646E1">
        <w:t>x</w:t>
      </w:r>
      <w:r w:rsidR="00B45E12">
        <w:t>.</w:t>
      </w:r>
    </w:p>
    <w:p w14:paraId="58B2298E" w14:textId="5800EC8E" w:rsidR="005075A8" w:rsidRDefault="005075A8">
      <w:pPr>
        <w:spacing w:after="160" w:line="259" w:lineRule="auto"/>
      </w:pPr>
      <w:r>
        <w:br w:type="page"/>
      </w:r>
    </w:p>
    <w:p w14:paraId="1B342E92" w14:textId="44114C13" w:rsidR="00F57386" w:rsidRDefault="00EA546E" w:rsidP="009251AF">
      <w:pPr>
        <w:pStyle w:val="Heading2a"/>
      </w:pPr>
      <w:bookmarkStart w:id="4169" w:name="_Toc132194239"/>
      <w:bookmarkStart w:id="4170" w:name="_Toc132194395"/>
      <w:bookmarkStart w:id="4171" w:name="_Toc132209685"/>
      <w:bookmarkStart w:id="4172" w:name="_Toc132209850"/>
      <w:bookmarkStart w:id="4173" w:name="_Toc132210015"/>
      <w:bookmarkStart w:id="4174" w:name="_Toc132647772"/>
      <w:bookmarkEnd w:id="4169"/>
      <w:bookmarkEnd w:id="4170"/>
      <w:bookmarkEnd w:id="4171"/>
      <w:bookmarkEnd w:id="4172"/>
      <w:bookmarkEnd w:id="4173"/>
      <w:bookmarkEnd w:id="4174"/>
      <w:r>
        <w:lastRenderedPageBreak/>
        <w:t xml:space="preserve"> </w:t>
      </w:r>
      <w:bookmarkStart w:id="4175" w:name="_Toc132650568"/>
      <w:bookmarkStart w:id="4176" w:name="_Toc146033597"/>
      <w:r w:rsidR="00F57386">
        <w:t>Participant survey</w:t>
      </w:r>
      <w:r w:rsidR="00F8391B">
        <w:t xml:space="preserve"> – </w:t>
      </w:r>
      <w:r w:rsidR="00F57386">
        <w:t>regression output</w:t>
      </w:r>
      <w:bookmarkEnd w:id="4175"/>
      <w:bookmarkEnd w:id="4176"/>
    </w:p>
    <w:p w14:paraId="3BEB63FE" w14:textId="1208B013" w:rsidR="00F57386" w:rsidRDefault="00F57386" w:rsidP="00F57386">
      <w:pPr>
        <w:pStyle w:val="Caption"/>
      </w:pPr>
      <w:bookmarkStart w:id="4177" w:name="_Toc132647825"/>
      <w:bookmarkStart w:id="4178" w:name="_Toc145877339"/>
      <w:r>
        <w:t xml:space="preserve">Table </w:t>
      </w:r>
      <w:r>
        <w:fldChar w:fldCharType="begin"/>
      </w:r>
      <w:r>
        <w:instrText>SEQ Table \* ARABIC</w:instrText>
      </w:r>
      <w:r>
        <w:fldChar w:fldCharType="separate"/>
      </w:r>
      <w:r w:rsidR="00180E14">
        <w:rPr>
          <w:noProof/>
        </w:rPr>
        <w:t>50</w:t>
      </w:r>
      <w:r>
        <w:fldChar w:fldCharType="end"/>
      </w:r>
      <w:r>
        <w:t>: Regression results for factors associated with being satisfied with service provided by TtW caseworker (satisfied / very satisfied)</w:t>
      </w:r>
      <w:bookmarkEnd w:id="4177"/>
      <w:bookmarkEnd w:id="4178"/>
    </w:p>
    <w:tbl>
      <w:tblPr>
        <w:tblStyle w:val="TtWReportTableTemplate2"/>
        <w:tblW w:w="4945" w:type="pct"/>
        <w:tblLayout w:type="fixed"/>
        <w:tblLook w:val="04A0" w:firstRow="1" w:lastRow="0" w:firstColumn="1" w:lastColumn="0" w:noHBand="0" w:noVBand="1"/>
      </w:tblPr>
      <w:tblGrid>
        <w:gridCol w:w="3969"/>
        <w:gridCol w:w="1057"/>
        <w:gridCol w:w="1951"/>
        <w:gridCol w:w="1950"/>
      </w:tblGrid>
      <w:tr w:rsidR="00F57386" w:rsidRPr="00824177" w14:paraId="7271BD65" w14:textId="77777777" w:rsidTr="00C239FD">
        <w:trPr>
          <w:cnfStyle w:val="100000000000" w:firstRow="1" w:lastRow="0" w:firstColumn="0" w:lastColumn="0" w:oddVBand="0" w:evenVBand="0" w:oddHBand="0" w:evenHBand="0" w:firstRowFirstColumn="0" w:firstRowLastColumn="0" w:lastRowFirstColumn="0" w:lastRowLastColumn="0"/>
          <w:trHeight w:val="45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hideMark/>
          </w:tcPr>
          <w:p w14:paraId="5067CFA7" w14:textId="77777777" w:rsidR="00F57386" w:rsidRPr="00824177" w:rsidRDefault="00F57386" w:rsidP="004E6757">
            <w:pPr>
              <w:rPr>
                <w:rFonts w:cs="Arial"/>
                <w:bCs/>
                <w:sz w:val="18"/>
                <w:szCs w:val="18"/>
              </w:rPr>
            </w:pPr>
            <w:r w:rsidRPr="00C239FD">
              <w:rPr>
                <w:bCs/>
                <w:sz w:val="18"/>
                <w:szCs w:val="18"/>
              </w:rPr>
              <w:t>Variable</w:t>
            </w:r>
          </w:p>
        </w:tc>
        <w:tc>
          <w:tcPr>
            <w:tcW w:w="0" w:type="pct"/>
            <w:shd w:val="clear" w:color="auto" w:fill="5D7A38"/>
            <w:hideMark/>
          </w:tcPr>
          <w:p w14:paraId="39962557" w14:textId="77777777" w:rsidR="00F57386" w:rsidRPr="00824177"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Cs/>
                <w:sz w:val="18"/>
                <w:szCs w:val="18"/>
                <w:lang w:eastAsia="en-AU"/>
              </w:rPr>
            </w:pPr>
            <w:r w:rsidRPr="00C239FD">
              <w:rPr>
                <w:sz w:val="18"/>
                <w:szCs w:val="18"/>
              </w:rPr>
              <w:t>Odds ratio</w:t>
            </w:r>
            <w:r w:rsidRPr="00C239FD">
              <w:rPr>
                <w:sz w:val="18"/>
                <w:szCs w:val="18"/>
                <w:vertAlign w:val="superscript"/>
              </w:rPr>
              <w:t>1</w:t>
            </w:r>
          </w:p>
        </w:tc>
        <w:tc>
          <w:tcPr>
            <w:tcW w:w="0" w:type="pct"/>
            <w:shd w:val="clear" w:color="auto" w:fill="5D7A38"/>
            <w:hideMark/>
          </w:tcPr>
          <w:p w14:paraId="5023551E" w14:textId="77777777" w:rsidR="00F57386" w:rsidRPr="00824177"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Cs/>
                <w:sz w:val="18"/>
                <w:szCs w:val="18"/>
                <w:lang w:eastAsia="en-AU"/>
              </w:rPr>
            </w:pPr>
            <w:r w:rsidRPr="00C239FD">
              <w:rPr>
                <w:bCs/>
                <w:sz w:val="18"/>
                <w:szCs w:val="18"/>
              </w:rPr>
              <w:t>Lower 95% confidence limit</w:t>
            </w:r>
          </w:p>
        </w:tc>
        <w:tc>
          <w:tcPr>
            <w:tcW w:w="0" w:type="pct"/>
            <w:shd w:val="clear" w:color="auto" w:fill="5D7A38"/>
            <w:hideMark/>
          </w:tcPr>
          <w:p w14:paraId="768549EB" w14:textId="77777777" w:rsidR="00F57386" w:rsidRPr="00824177"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Cs/>
                <w:sz w:val="18"/>
                <w:szCs w:val="18"/>
                <w:lang w:eastAsia="en-AU"/>
              </w:rPr>
            </w:pPr>
            <w:r w:rsidRPr="00C239FD">
              <w:rPr>
                <w:bCs/>
                <w:sz w:val="18"/>
                <w:szCs w:val="18"/>
              </w:rPr>
              <w:t>Upper 95% confidence limit</w:t>
            </w:r>
          </w:p>
        </w:tc>
      </w:tr>
      <w:tr w:rsidR="00F57386" w:rsidRPr="00824177" w14:paraId="03061BC0" w14:textId="77777777" w:rsidTr="004A08F9">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hideMark/>
          </w:tcPr>
          <w:p w14:paraId="107BC3CE"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(Intercept)</w:t>
            </w:r>
          </w:p>
        </w:tc>
        <w:tc>
          <w:tcPr>
            <w:tcW w:w="592" w:type="pct"/>
            <w:hideMark/>
          </w:tcPr>
          <w:p w14:paraId="77136FE7"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0.005*</w:t>
            </w:r>
          </w:p>
        </w:tc>
        <w:tc>
          <w:tcPr>
            <w:tcW w:w="1093" w:type="pct"/>
            <w:hideMark/>
          </w:tcPr>
          <w:p w14:paraId="3FB8E85B"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0.001</w:t>
            </w:r>
          </w:p>
        </w:tc>
        <w:tc>
          <w:tcPr>
            <w:tcW w:w="1092" w:type="pct"/>
            <w:hideMark/>
          </w:tcPr>
          <w:p w14:paraId="33B6B337"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0.016</w:t>
            </w:r>
          </w:p>
        </w:tc>
      </w:tr>
      <w:tr w:rsidR="00F57386" w:rsidRPr="00824177" w14:paraId="1374FAB1"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hideMark/>
          </w:tcPr>
          <w:p w14:paraId="1C635544"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Attitude when joined TJA9 (Other)</w:t>
            </w:r>
          </w:p>
        </w:tc>
        <w:tc>
          <w:tcPr>
            <w:tcW w:w="592" w:type="pct"/>
            <w:hideMark/>
          </w:tcPr>
          <w:p w14:paraId="29CAD43E"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1093" w:type="pct"/>
            <w:hideMark/>
          </w:tcPr>
          <w:p w14:paraId="653D2464"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cs="Arial"/>
                <w:sz w:val="18"/>
                <w:szCs w:val="18"/>
                <w:lang w:eastAsia="en-AU"/>
              </w:rPr>
            </w:pPr>
          </w:p>
        </w:tc>
        <w:tc>
          <w:tcPr>
            <w:tcW w:w="1092" w:type="pct"/>
            <w:hideMark/>
          </w:tcPr>
          <w:p w14:paraId="75A9F04F"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cs="Arial"/>
                <w:sz w:val="18"/>
                <w:szCs w:val="18"/>
                <w:lang w:eastAsia="en-AU"/>
              </w:rPr>
            </w:pPr>
          </w:p>
        </w:tc>
      </w:tr>
      <w:tr w:rsidR="00F57386" w:rsidRPr="00824177" w14:paraId="10AD42FC" w14:textId="77777777" w:rsidTr="004A08F9">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hideMark/>
          </w:tcPr>
          <w:p w14:paraId="09C212AC" w14:textId="2259FD74"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Positive / very positive</w:t>
            </w:r>
          </w:p>
        </w:tc>
        <w:tc>
          <w:tcPr>
            <w:tcW w:w="592" w:type="pct"/>
            <w:hideMark/>
          </w:tcPr>
          <w:p w14:paraId="75531710"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1.820*</w:t>
            </w:r>
          </w:p>
        </w:tc>
        <w:tc>
          <w:tcPr>
            <w:tcW w:w="1093" w:type="pct"/>
            <w:hideMark/>
          </w:tcPr>
          <w:p w14:paraId="0FA8C510"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1.127</w:t>
            </w:r>
          </w:p>
        </w:tc>
        <w:tc>
          <w:tcPr>
            <w:tcW w:w="1092" w:type="pct"/>
            <w:hideMark/>
          </w:tcPr>
          <w:p w14:paraId="589CC137"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2.938</w:t>
            </w:r>
          </w:p>
        </w:tc>
      </w:tr>
      <w:tr w:rsidR="00F57386" w:rsidRPr="00824177" w14:paraId="2CBB78BD"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hideMark/>
          </w:tcPr>
          <w:p w14:paraId="61EF7584"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Frequency of contact with caseworker TJA3 (Less than weekly)</w:t>
            </w:r>
          </w:p>
        </w:tc>
        <w:tc>
          <w:tcPr>
            <w:tcW w:w="592" w:type="pct"/>
            <w:hideMark/>
          </w:tcPr>
          <w:p w14:paraId="3A7C3D18"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1093" w:type="pct"/>
            <w:hideMark/>
          </w:tcPr>
          <w:p w14:paraId="4B408A06"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cs="Arial"/>
                <w:sz w:val="18"/>
                <w:szCs w:val="18"/>
                <w:lang w:eastAsia="en-AU"/>
              </w:rPr>
            </w:pPr>
          </w:p>
        </w:tc>
        <w:tc>
          <w:tcPr>
            <w:tcW w:w="1092" w:type="pct"/>
            <w:hideMark/>
          </w:tcPr>
          <w:p w14:paraId="05FBECE3"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cs="Arial"/>
                <w:sz w:val="18"/>
                <w:szCs w:val="18"/>
                <w:lang w:eastAsia="en-AU"/>
              </w:rPr>
            </w:pPr>
          </w:p>
        </w:tc>
      </w:tr>
      <w:tr w:rsidR="00F57386" w:rsidRPr="00824177" w14:paraId="086A0122" w14:textId="77777777" w:rsidTr="004A08F9">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hideMark/>
          </w:tcPr>
          <w:p w14:paraId="2F13ADF2" w14:textId="715D007D"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At least weekly</w:t>
            </w:r>
          </w:p>
        </w:tc>
        <w:tc>
          <w:tcPr>
            <w:tcW w:w="592" w:type="pct"/>
            <w:hideMark/>
          </w:tcPr>
          <w:p w14:paraId="2104FB1A"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0.776</w:t>
            </w:r>
          </w:p>
        </w:tc>
        <w:tc>
          <w:tcPr>
            <w:tcW w:w="1093" w:type="pct"/>
            <w:hideMark/>
          </w:tcPr>
          <w:p w14:paraId="5721D448"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0.471</w:t>
            </w:r>
          </w:p>
        </w:tc>
        <w:tc>
          <w:tcPr>
            <w:tcW w:w="1092" w:type="pct"/>
            <w:hideMark/>
          </w:tcPr>
          <w:p w14:paraId="47D9C511"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1.280</w:t>
            </w:r>
          </w:p>
        </w:tc>
      </w:tr>
      <w:tr w:rsidR="00F57386" w:rsidRPr="00824177" w14:paraId="0F81DC15" w14:textId="77777777" w:rsidTr="004A08F9">
        <w:trPr>
          <w:cnfStyle w:val="000000010000" w:firstRow="0" w:lastRow="0" w:firstColumn="0" w:lastColumn="0" w:oddVBand="0" w:evenVBand="0" w:oddHBand="0" w:evenHBand="1"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tcPr>
          <w:p w14:paraId="65BA34AA"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Caseworker support – listened to your needs TTA6_a (Other)</w:t>
            </w:r>
          </w:p>
        </w:tc>
        <w:tc>
          <w:tcPr>
            <w:tcW w:w="592" w:type="pct"/>
          </w:tcPr>
          <w:p w14:paraId="33834A41"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3" w:type="pct"/>
          </w:tcPr>
          <w:p w14:paraId="4EC47A0D"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628B27C7"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F57386" w:rsidRPr="00824177" w14:paraId="180C170D" w14:textId="77777777" w:rsidTr="004A08F9">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hideMark/>
          </w:tcPr>
          <w:p w14:paraId="03E4BC7E" w14:textId="17E8A1D7"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Agree / strongly agree</w:t>
            </w:r>
          </w:p>
        </w:tc>
        <w:tc>
          <w:tcPr>
            <w:tcW w:w="592" w:type="pct"/>
          </w:tcPr>
          <w:p w14:paraId="791FDD5A"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1.620</w:t>
            </w:r>
          </w:p>
        </w:tc>
        <w:tc>
          <w:tcPr>
            <w:tcW w:w="1093" w:type="pct"/>
          </w:tcPr>
          <w:p w14:paraId="567BACA5"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0.819</w:t>
            </w:r>
          </w:p>
        </w:tc>
        <w:tc>
          <w:tcPr>
            <w:tcW w:w="1092" w:type="pct"/>
          </w:tcPr>
          <w:p w14:paraId="619B25F5"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3.204</w:t>
            </w:r>
          </w:p>
        </w:tc>
      </w:tr>
      <w:tr w:rsidR="00F57386" w:rsidRPr="00824177" w14:paraId="13B040A6" w14:textId="77777777" w:rsidTr="004A08F9">
        <w:trPr>
          <w:cnfStyle w:val="000000010000" w:firstRow="0" w:lastRow="0" w:firstColumn="0" w:lastColumn="0" w:oddVBand="0" w:evenVBand="0" w:oddHBand="0" w:evenHBand="1"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tcPr>
          <w:p w14:paraId="22DD088B"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bCs/>
                <w:color w:val="000000"/>
                <w:sz w:val="18"/>
                <w:szCs w:val="18"/>
                <w:lang w:eastAsia="en-AU"/>
              </w:rPr>
              <w:t>Took your needs and goals unto account when developing your job plan TTA6_b (Other)</w:t>
            </w:r>
          </w:p>
        </w:tc>
        <w:tc>
          <w:tcPr>
            <w:tcW w:w="592" w:type="pct"/>
          </w:tcPr>
          <w:p w14:paraId="149D8687"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3" w:type="pct"/>
          </w:tcPr>
          <w:p w14:paraId="7A3EAE33"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51ADCD77"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F57386" w:rsidRPr="00824177" w14:paraId="746668DE" w14:textId="77777777" w:rsidTr="004A08F9">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tcPr>
          <w:p w14:paraId="6BACE1CA" w14:textId="52957445"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Agree / strongly agree</w:t>
            </w:r>
          </w:p>
        </w:tc>
        <w:tc>
          <w:tcPr>
            <w:tcW w:w="592" w:type="pct"/>
          </w:tcPr>
          <w:p w14:paraId="625EF924"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2.695*</w:t>
            </w:r>
          </w:p>
        </w:tc>
        <w:tc>
          <w:tcPr>
            <w:tcW w:w="1093" w:type="pct"/>
          </w:tcPr>
          <w:p w14:paraId="7088D688"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1.330</w:t>
            </w:r>
          </w:p>
        </w:tc>
        <w:tc>
          <w:tcPr>
            <w:tcW w:w="1092" w:type="pct"/>
          </w:tcPr>
          <w:p w14:paraId="4C9B144B"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5.461</w:t>
            </w:r>
          </w:p>
        </w:tc>
      </w:tr>
      <w:tr w:rsidR="00F57386" w:rsidRPr="00824177" w14:paraId="5A14E74D" w14:textId="77777777" w:rsidTr="004A08F9">
        <w:trPr>
          <w:cnfStyle w:val="000000010000" w:firstRow="0" w:lastRow="0" w:firstColumn="0" w:lastColumn="0" w:oddVBand="0" w:evenVBand="0" w:oddHBand="0" w:evenHBand="1"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tcPr>
          <w:p w14:paraId="17D214DF" w14:textId="4A9A59A0" w:rsidR="00F57386" w:rsidRPr="00824177" w:rsidRDefault="00F57386" w:rsidP="004E6757">
            <w:pPr>
              <w:ind w:left="37" w:hanging="32"/>
              <w:rPr>
                <w:rFonts w:eastAsia="Times New Roman" w:cs="Arial"/>
                <w:color w:val="000000"/>
                <w:sz w:val="18"/>
                <w:szCs w:val="18"/>
                <w:lang w:eastAsia="en-AU"/>
              </w:rPr>
            </w:pPr>
            <w:r w:rsidRPr="00824177">
              <w:rPr>
                <w:rFonts w:eastAsia="Times New Roman" w:cs="Arial"/>
                <w:bCs/>
                <w:color w:val="000000"/>
                <w:sz w:val="18"/>
                <w:szCs w:val="18"/>
                <w:lang w:eastAsia="en-AU"/>
              </w:rPr>
              <w:t>Is on your side TTA6_c (Other)</w:t>
            </w:r>
          </w:p>
        </w:tc>
        <w:tc>
          <w:tcPr>
            <w:tcW w:w="592" w:type="pct"/>
          </w:tcPr>
          <w:p w14:paraId="71776B2D"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3" w:type="pct"/>
          </w:tcPr>
          <w:p w14:paraId="0D579815"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7472257B"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F57386" w:rsidRPr="00824177" w14:paraId="4FBE506A"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hideMark/>
          </w:tcPr>
          <w:p w14:paraId="6EFA6C7B" w14:textId="1E6D31CF" w:rsidR="00F57386" w:rsidRPr="00824177" w:rsidRDefault="00F57386" w:rsidP="004E6757">
            <w:pPr>
              <w:ind w:left="32" w:hanging="32"/>
              <w:rPr>
                <w:rFonts w:eastAsia="Times New Roman" w:cs="Arial"/>
                <w:b w:val="0"/>
                <w:bCs/>
                <w:color w:val="000000"/>
                <w:sz w:val="18"/>
                <w:szCs w:val="18"/>
                <w:lang w:eastAsia="en-AU"/>
              </w:rPr>
            </w:pPr>
            <w:r w:rsidRPr="00824177">
              <w:rPr>
                <w:rFonts w:eastAsia="Times New Roman" w:cs="Arial"/>
                <w:color w:val="000000"/>
                <w:sz w:val="18"/>
                <w:szCs w:val="18"/>
                <w:lang w:eastAsia="en-AU"/>
              </w:rPr>
              <w:t>Agree / strongly agree</w:t>
            </w:r>
          </w:p>
        </w:tc>
        <w:tc>
          <w:tcPr>
            <w:tcW w:w="592" w:type="pct"/>
          </w:tcPr>
          <w:p w14:paraId="1820A006" w14:textId="77777777" w:rsidR="00F57386" w:rsidRPr="00824177" w:rsidRDefault="00F57386" w:rsidP="004E6757">
            <w:pPr>
              <w:ind w:left="32" w:hanging="32"/>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1.047</w:t>
            </w:r>
          </w:p>
        </w:tc>
        <w:tc>
          <w:tcPr>
            <w:tcW w:w="1093" w:type="pct"/>
          </w:tcPr>
          <w:p w14:paraId="36A7CB0A" w14:textId="77777777" w:rsidR="00F57386" w:rsidRPr="00824177" w:rsidRDefault="00F57386" w:rsidP="004E6757">
            <w:pPr>
              <w:ind w:left="32" w:hanging="32"/>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0.457</w:t>
            </w:r>
          </w:p>
        </w:tc>
        <w:tc>
          <w:tcPr>
            <w:tcW w:w="1092" w:type="pct"/>
          </w:tcPr>
          <w:p w14:paraId="5E2515B3" w14:textId="77777777" w:rsidR="00F57386" w:rsidRPr="00824177" w:rsidRDefault="00F57386" w:rsidP="004E6757">
            <w:pPr>
              <w:ind w:left="32" w:hanging="32"/>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2.399</w:t>
            </w:r>
          </w:p>
        </w:tc>
      </w:tr>
      <w:tr w:rsidR="00F57386" w:rsidRPr="00824177" w14:paraId="5A31F659" w14:textId="77777777" w:rsidTr="004A08F9">
        <w:trPr>
          <w:cnfStyle w:val="000000010000" w:firstRow="0" w:lastRow="0" w:firstColumn="0" w:lastColumn="0" w:oddVBand="0" w:evenVBand="0" w:oddHBand="0" w:evenHBand="1"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hideMark/>
          </w:tcPr>
          <w:p w14:paraId="531FCAEC"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bCs/>
                <w:color w:val="000000"/>
                <w:sz w:val="18"/>
                <w:szCs w:val="18"/>
                <w:lang w:eastAsia="en-AU"/>
              </w:rPr>
              <w:t>Can be trusted TTA6_d (Other)</w:t>
            </w:r>
          </w:p>
        </w:tc>
        <w:tc>
          <w:tcPr>
            <w:tcW w:w="592" w:type="pct"/>
          </w:tcPr>
          <w:p w14:paraId="05B8A677"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3" w:type="pct"/>
          </w:tcPr>
          <w:p w14:paraId="17D6D7D5"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2822CD7D"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F57386" w:rsidRPr="00824177" w14:paraId="583CC719"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hideMark/>
          </w:tcPr>
          <w:p w14:paraId="49C4882D" w14:textId="5E1C8E24" w:rsidR="00F57386" w:rsidRPr="00824177" w:rsidRDefault="00F57386" w:rsidP="004E6757">
            <w:pPr>
              <w:rPr>
                <w:rFonts w:eastAsia="Times New Roman" w:cs="Arial"/>
                <w:b w:val="0"/>
                <w:bCs/>
                <w:color w:val="000000"/>
                <w:sz w:val="18"/>
                <w:szCs w:val="18"/>
                <w:lang w:eastAsia="en-AU"/>
              </w:rPr>
            </w:pPr>
            <w:r w:rsidRPr="00824177">
              <w:rPr>
                <w:rFonts w:eastAsia="Times New Roman" w:cs="Arial"/>
                <w:color w:val="000000"/>
                <w:sz w:val="18"/>
                <w:szCs w:val="18"/>
                <w:lang w:eastAsia="en-AU"/>
              </w:rPr>
              <w:t>Agree / strongly agree</w:t>
            </w:r>
          </w:p>
        </w:tc>
        <w:tc>
          <w:tcPr>
            <w:tcW w:w="592" w:type="pct"/>
          </w:tcPr>
          <w:p w14:paraId="13A90A01"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1.648</w:t>
            </w:r>
          </w:p>
        </w:tc>
        <w:tc>
          <w:tcPr>
            <w:tcW w:w="1093" w:type="pct"/>
          </w:tcPr>
          <w:p w14:paraId="56F1922B"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0.735</w:t>
            </w:r>
          </w:p>
        </w:tc>
        <w:tc>
          <w:tcPr>
            <w:tcW w:w="1092" w:type="pct"/>
          </w:tcPr>
          <w:p w14:paraId="0C81523E"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3.696</w:t>
            </w:r>
          </w:p>
        </w:tc>
      </w:tr>
      <w:tr w:rsidR="00F57386" w:rsidRPr="00824177" w14:paraId="3BB5FA21"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hideMark/>
          </w:tcPr>
          <w:p w14:paraId="2EAEFB3A"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bCs/>
                <w:color w:val="000000"/>
                <w:sz w:val="18"/>
                <w:szCs w:val="18"/>
                <w:lang w:eastAsia="en-AU"/>
              </w:rPr>
              <w:t>Is someone you can talk to or get support from TTA6_e (Other)</w:t>
            </w:r>
          </w:p>
        </w:tc>
        <w:tc>
          <w:tcPr>
            <w:tcW w:w="592" w:type="pct"/>
          </w:tcPr>
          <w:p w14:paraId="09E89E31"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3" w:type="pct"/>
          </w:tcPr>
          <w:p w14:paraId="3C09612B"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2" w:type="pct"/>
          </w:tcPr>
          <w:p w14:paraId="4EE17E45"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290126C4"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hideMark/>
          </w:tcPr>
          <w:p w14:paraId="4F498E64" w14:textId="0885E0E9" w:rsidR="00F57386" w:rsidRPr="00824177" w:rsidRDefault="00F57386" w:rsidP="004E6757">
            <w:pPr>
              <w:rPr>
                <w:rFonts w:eastAsia="Times New Roman" w:cs="Arial"/>
                <w:b w:val="0"/>
                <w:bCs/>
                <w:color w:val="000000"/>
                <w:sz w:val="18"/>
                <w:szCs w:val="18"/>
                <w:lang w:eastAsia="en-AU"/>
              </w:rPr>
            </w:pPr>
            <w:r w:rsidRPr="00824177">
              <w:rPr>
                <w:rFonts w:eastAsia="Times New Roman" w:cs="Arial"/>
                <w:color w:val="000000"/>
                <w:sz w:val="18"/>
                <w:szCs w:val="18"/>
                <w:lang w:eastAsia="en-AU"/>
              </w:rPr>
              <w:t>Agree / strongly agree</w:t>
            </w:r>
          </w:p>
        </w:tc>
        <w:tc>
          <w:tcPr>
            <w:tcW w:w="592" w:type="pct"/>
          </w:tcPr>
          <w:p w14:paraId="53E87A54"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3.111*</w:t>
            </w:r>
          </w:p>
        </w:tc>
        <w:tc>
          <w:tcPr>
            <w:tcW w:w="1093" w:type="pct"/>
          </w:tcPr>
          <w:p w14:paraId="18A9C6DA"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824177">
              <w:rPr>
                <w:rFonts w:cs="Arial"/>
                <w:sz w:val="18"/>
                <w:szCs w:val="18"/>
                <w:lang w:eastAsia="en-AU"/>
              </w:rPr>
              <w:t>1.644</w:t>
            </w:r>
          </w:p>
        </w:tc>
        <w:tc>
          <w:tcPr>
            <w:tcW w:w="1092" w:type="pct"/>
          </w:tcPr>
          <w:p w14:paraId="443E66F9"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824177">
              <w:rPr>
                <w:rFonts w:cs="Arial"/>
                <w:sz w:val="18"/>
                <w:szCs w:val="18"/>
                <w:lang w:eastAsia="en-AU"/>
              </w:rPr>
              <w:t>5.890</w:t>
            </w:r>
          </w:p>
        </w:tc>
      </w:tr>
      <w:tr w:rsidR="00F57386" w:rsidRPr="00824177" w14:paraId="1B03BB42" w14:textId="77777777" w:rsidTr="004A08F9">
        <w:trPr>
          <w:cnfStyle w:val="000000010000" w:firstRow="0" w:lastRow="0" w:firstColumn="0" w:lastColumn="0" w:oddVBand="0" w:evenVBand="0" w:oddHBand="0" w:evenHBand="1"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23" w:type="pct"/>
            <w:hideMark/>
          </w:tcPr>
          <w:p w14:paraId="2C38EB8C"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 xml:space="preserve">Discussed your hopes and plans for the future TTA7_a (Other) </w:t>
            </w:r>
          </w:p>
        </w:tc>
        <w:tc>
          <w:tcPr>
            <w:tcW w:w="592" w:type="pct"/>
          </w:tcPr>
          <w:p w14:paraId="1EB11222"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3" w:type="pct"/>
          </w:tcPr>
          <w:p w14:paraId="0A1165A4"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5874FC66"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F57386" w:rsidRPr="00824177" w14:paraId="1F50FE5B"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7933A385"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Yes</w:t>
            </w:r>
          </w:p>
        </w:tc>
        <w:tc>
          <w:tcPr>
            <w:tcW w:w="592" w:type="pct"/>
          </w:tcPr>
          <w:p w14:paraId="4D152FA2"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1.235</w:t>
            </w:r>
          </w:p>
        </w:tc>
        <w:tc>
          <w:tcPr>
            <w:tcW w:w="1093" w:type="pct"/>
          </w:tcPr>
          <w:p w14:paraId="40D13FAE"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0.701</w:t>
            </w:r>
          </w:p>
        </w:tc>
        <w:tc>
          <w:tcPr>
            <w:tcW w:w="1092" w:type="pct"/>
          </w:tcPr>
          <w:p w14:paraId="3684CA48"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2.175</w:t>
            </w:r>
          </w:p>
        </w:tc>
      </w:tr>
      <w:tr w:rsidR="00F57386" w:rsidRPr="00824177" w14:paraId="5710E9D5"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013AA681"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 xml:space="preserve">Discussed your strengths and weaknesses TTA7_b (Other) </w:t>
            </w:r>
          </w:p>
        </w:tc>
        <w:tc>
          <w:tcPr>
            <w:tcW w:w="592" w:type="pct"/>
          </w:tcPr>
          <w:p w14:paraId="4212543E"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3" w:type="pct"/>
          </w:tcPr>
          <w:p w14:paraId="54369CE6"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4E2E08B5"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66E92E6E"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3EE787AA"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color w:val="000000"/>
                <w:sz w:val="18"/>
                <w:szCs w:val="18"/>
                <w:lang w:eastAsia="en-AU"/>
              </w:rPr>
              <w:t>Yes</w:t>
            </w:r>
          </w:p>
        </w:tc>
        <w:tc>
          <w:tcPr>
            <w:tcW w:w="592" w:type="pct"/>
          </w:tcPr>
          <w:p w14:paraId="534C6531"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1.950*</w:t>
            </w:r>
          </w:p>
        </w:tc>
        <w:tc>
          <w:tcPr>
            <w:tcW w:w="1093" w:type="pct"/>
          </w:tcPr>
          <w:p w14:paraId="34D2D9E0"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1.174</w:t>
            </w:r>
          </w:p>
        </w:tc>
        <w:tc>
          <w:tcPr>
            <w:tcW w:w="1092" w:type="pct"/>
          </w:tcPr>
          <w:p w14:paraId="17FD2E62"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3.240</w:t>
            </w:r>
          </w:p>
        </w:tc>
      </w:tr>
      <w:tr w:rsidR="00F57386" w:rsidRPr="00824177" w14:paraId="0B0358DC"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1AA72115"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 xml:space="preserve">Supported you to participate in activities that would get you ready for work TTA7_c (Other) </w:t>
            </w:r>
          </w:p>
        </w:tc>
        <w:tc>
          <w:tcPr>
            <w:tcW w:w="592" w:type="pct"/>
          </w:tcPr>
          <w:p w14:paraId="18ACE46B"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3" w:type="pct"/>
          </w:tcPr>
          <w:p w14:paraId="3BC3A2C8"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5B489830"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2916A6CB"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1A74A739"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color w:val="000000"/>
                <w:sz w:val="18"/>
                <w:szCs w:val="18"/>
                <w:lang w:eastAsia="en-AU"/>
              </w:rPr>
              <w:lastRenderedPageBreak/>
              <w:t>Yes</w:t>
            </w:r>
          </w:p>
        </w:tc>
        <w:tc>
          <w:tcPr>
            <w:tcW w:w="592" w:type="pct"/>
          </w:tcPr>
          <w:p w14:paraId="083FEB22"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1.748</w:t>
            </w:r>
          </w:p>
        </w:tc>
        <w:tc>
          <w:tcPr>
            <w:tcW w:w="1093" w:type="pct"/>
          </w:tcPr>
          <w:p w14:paraId="172C3E63"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1.048</w:t>
            </w:r>
          </w:p>
        </w:tc>
        <w:tc>
          <w:tcPr>
            <w:tcW w:w="1092" w:type="pct"/>
          </w:tcPr>
          <w:p w14:paraId="176216F0"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2.916</w:t>
            </w:r>
          </w:p>
        </w:tc>
      </w:tr>
      <w:tr w:rsidR="00F57386" w:rsidRPr="00824177" w14:paraId="46C269BA"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650976A9"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 xml:space="preserve">Supported you to set work and study goals TTA7_d (Other) </w:t>
            </w:r>
          </w:p>
        </w:tc>
        <w:tc>
          <w:tcPr>
            <w:tcW w:w="592" w:type="pct"/>
          </w:tcPr>
          <w:p w14:paraId="371A2516"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3" w:type="pct"/>
          </w:tcPr>
          <w:p w14:paraId="010D81DB"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7E3B5F42"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13596B7B"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2B5EE89A"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color w:val="000000"/>
                <w:sz w:val="18"/>
                <w:szCs w:val="18"/>
                <w:lang w:eastAsia="en-AU"/>
              </w:rPr>
              <w:t>Yes</w:t>
            </w:r>
          </w:p>
        </w:tc>
        <w:tc>
          <w:tcPr>
            <w:tcW w:w="592" w:type="pct"/>
          </w:tcPr>
          <w:p w14:paraId="730E223A"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0.754</w:t>
            </w:r>
          </w:p>
        </w:tc>
        <w:tc>
          <w:tcPr>
            <w:tcW w:w="1093" w:type="pct"/>
          </w:tcPr>
          <w:p w14:paraId="0043F373"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0.389</w:t>
            </w:r>
          </w:p>
        </w:tc>
        <w:tc>
          <w:tcPr>
            <w:tcW w:w="1092" w:type="pct"/>
          </w:tcPr>
          <w:p w14:paraId="49DF374D"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1.460</w:t>
            </w:r>
          </w:p>
        </w:tc>
      </w:tr>
      <w:tr w:rsidR="00F57386" w:rsidRPr="00824177" w14:paraId="6E3D2D9A"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687CFBC3"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 xml:space="preserve">Supported you to set other personal goals TTA7_e (Other) </w:t>
            </w:r>
          </w:p>
        </w:tc>
        <w:tc>
          <w:tcPr>
            <w:tcW w:w="592" w:type="pct"/>
          </w:tcPr>
          <w:p w14:paraId="1DD35CE1"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3" w:type="pct"/>
          </w:tcPr>
          <w:p w14:paraId="509EF2F0"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7CDABACC"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6C76E31C"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3C0B52C6"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Yes</w:t>
            </w:r>
          </w:p>
        </w:tc>
        <w:tc>
          <w:tcPr>
            <w:tcW w:w="592" w:type="pct"/>
          </w:tcPr>
          <w:p w14:paraId="19734A14"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1.527</w:t>
            </w:r>
          </w:p>
        </w:tc>
        <w:tc>
          <w:tcPr>
            <w:tcW w:w="1093" w:type="pct"/>
          </w:tcPr>
          <w:p w14:paraId="76ED9410"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0.887</w:t>
            </w:r>
          </w:p>
        </w:tc>
        <w:tc>
          <w:tcPr>
            <w:tcW w:w="1092" w:type="pct"/>
          </w:tcPr>
          <w:p w14:paraId="13562FDD"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2.630</w:t>
            </w:r>
          </w:p>
        </w:tc>
      </w:tr>
      <w:tr w:rsidR="00F57386" w:rsidRPr="00824177" w14:paraId="5E2D3197"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27F3A15C"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 xml:space="preserve">Referred you to support services TTA7_g (Other) </w:t>
            </w:r>
          </w:p>
        </w:tc>
        <w:tc>
          <w:tcPr>
            <w:tcW w:w="592" w:type="pct"/>
          </w:tcPr>
          <w:p w14:paraId="48820762"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3" w:type="pct"/>
          </w:tcPr>
          <w:p w14:paraId="3F6226F3"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337D04C8"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0EEA91B0"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06D44BE5"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color w:val="000000"/>
                <w:sz w:val="18"/>
                <w:szCs w:val="18"/>
                <w:lang w:eastAsia="en-AU"/>
              </w:rPr>
              <w:t>Yes</w:t>
            </w:r>
          </w:p>
        </w:tc>
        <w:tc>
          <w:tcPr>
            <w:tcW w:w="592" w:type="pct"/>
          </w:tcPr>
          <w:p w14:paraId="19704219"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1.263</w:t>
            </w:r>
          </w:p>
        </w:tc>
        <w:tc>
          <w:tcPr>
            <w:tcW w:w="1093" w:type="pct"/>
          </w:tcPr>
          <w:p w14:paraId="02A46B83"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0.761</w:t>
            </w:r>
          </w:p>
        </w:tc>
        <w:tc>
          <w:tcPr>
            <w:tcW w:w="1092" w:type="pct"/>
          </w:tcPr>
          <w:p w14:paraId="78BD3D6E"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2.095</w:t>
            </w:r>
          </w:p>
        </w:tc>
      </w:tr>
      <w:tr w:rsidR="00F57386" w:rsidRPr="00824177" w14:paraId="557407A5"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57E3C68E"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bCs/>
                <w:color w:val="000000"/>
                <w:sz w:val="18"/>
                <w:szCs w:val="18"/>
                <w:lang w:eastAsia="en-AU"/>
              </w:rPr>
              <w:t xml:space="preserve">Provided useful feedback about your progress TTA7_h (Other) </w:t>
            </w:r>
          </w:p>
        </w:tc>
        <w:tc>
          <w:tcPr>
            <w:tcW w:w="592" w:type="pct"/>
          </w:tcPr>
          <w:p w14:paraId="58452993"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3" w:type="pct"/>
          </w:tcPr>
          <w:p w14:paraId="7058CD22"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19C27E4D"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0DD43D3C"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5F561D35"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Yes</w:t>
            </w:r>
          </w:p>
        </w:tc>
        <w:tc>
          <w:tcPr>
            <w:tcW w:w="592" w:type="pct"/>
          </w:tcPr>
          <w:p w14:paraId="05AB530C"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2.072*</w:t>
            </w:r>
          </w:p>
        </w:tc>
        <w:tc>
          <w:tcPr>
            <w:tcW w:w="1093" w:type="pct"/>
          </w:tcPr>
          <w:p w14:paraId="189DB034"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1.262</w:t>
            </w:r>
          </w:p>
        </w:tc>
        <w:tc>
          <w:tcPr>
            <w:tcW w:w="1092" w:type="pct"/>
          </w:tcPr>
          <w:p w14:paraId="747D813F"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3.402</w:t>
            </w:r>
          </w:p>
        </w:tc>
      </w:tr>
      <w:tr w:rsidR="00F57386" w:rsidRPr="00824177" w14:paraId="6A440516"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223DD747"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bCs/>
                <w:color w:val="000000"/>
                <w:sz w:val="18"/>
                <w:szCs w:val="18"/>
                <w:lang w:eastAsia="en-AU"/>
              </w:rPr>
              <w:t xml:space="preserve">Empowered you in any way TTA7_i (Other) </w:t>
            </w:r>
          </w:p>
        </w:tc>
        <w:tc>
          <w:tcPr>
            <w:tcW w:w="592" w:type="pct"/>
          </w:tcPr>
          <w:p w14:paraId="39788646"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3" w:type="pct"/>
          </w:tcPr>
          <w:p w14:paraId="5FC41035"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7FAEA6DA"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37B65D35"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4E83FBA0"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Yes</w:t>
            </w:r>
          </w:p>
        </w:tc>
        <w:tc>
          <w:tcPr>
            <w:tcW w:w="592" w:type="pct"/>
          </w:tcPr>
          <w:p w14:paraId="385912C6"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2.829*</w:t>
            </w:r>
          </w:p>
        </w:tc>
        <w:tc>
          <w:tcPr>
            <w:tcW w:w="1093" w:type="pct"/>
          </w:tcPr>
          <w:p w14:paraId="4C32141D"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1.813</w:t>
            </w:r>
          </w:p>
        </w:tc>
        <w:tc>
          <w:tcPr>
            <w:tcW w:w="1092" w:type="pct"/>
          </w:tcPr>
          <w:p w14:paraId="383A82BD"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4.414</w:t>
            </w:r>
          </w:p>
        </w:tc>
      </w:tr>
      <w:tr w:rsidR="00F57386" w:rsidRPr="00824177" w14:paraId="7DF6711A"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6A229E35"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Frequency of contact with caseworker – (Too little) TJA4</w:t>
            </w:r>
          </w:p>
        </w:tc>
        <w:tc>
          <w:tcPr>
            <w:tcW w:w="592" w:type="pct"/>
          </w:tcPr>
          <w:p w14:paraId="4D1C3CEE"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c>
          <w:tcPr>
            <w:tcW w:w="1093" w:type="pct"/>
          </w:tcPr>
          <w:p w14:paraId="4F5A62F5"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092" w:type="pct"/>
          </w:tcPr>
          <w:p w14:paraId="59932B71"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p>
        </w:tc>
      </w:tr>
      <w:tr w:rsidR="00F57386" w:rsidRPr="00824177" w14:paraId="2A7272AC"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725DF797"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Too much</w:t>
            </w:r>
          </w:p>
        </w:tc>
        <w:tc>
          <w:tcPr>
            <w:tcW w:w="592" w:type="pct"/>
          </w:tcPr>
          <w:p w14:paraId="19F05385"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1.915</w:t>
            </w:r>
          </w:p>
        </w:tc>
        <w:tc>
          <w:tcPr>
            <w:tcW w:w="1093" w:type="pct"/>
          </w:tcPr>
          <w:p w14:paraId="33C0CBF1"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0.641</w:t>
            </w:r>
          </w:p>
        </w:tc>
        <w:tc>
          <w:tcPr>
            <w:tcW w:w="1092" w:type="pct"/>
          </w:tcPr>
          <w:p w14:paraId="065C9FFD"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5.723</w:t>
            </w:r>
          </w:p>
        </w:tc>
      </w:tr>
      <w:tr w:rsidR="00F57386" w:rsidRPr="00824177" w14:paraId="4FC9A9D4"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03A5E816" w14:textId="77777777"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Just right</w:t>
            </w:r>
          </w:p>
        </w:tc>
        <w:tc>
          <w:tcPr>
            <w:tcW w:w="592" w:type="pct"/>
          </w:tcPr>
          <w:p w14:paraId="0EC53EEE"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4.849*</w:t>
            </w:r>
          </w:p>
        </w:tc>
        <w:tc>
          <w:tcPr>
            <w:tcW w:w="1093" w:type="pct"/>
          </w:tcPr>
          <w:p w14:paraId="400BE702"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2.618</w:t>
            </w:r>
          </w:p>
        </w:tc>
        <w:tc>
          <w:tcPr>
            <w:tcW w:w="1092" w:type="pct"/>
          </w:tcPr>
          <w:p w14:paraId="23AA1A8F"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8.981</w:t>
            </w:r>
          </w:p>
        </w:tc>
      </w:tr>
      <w:tr w:rsidR="00F57386" w:rsidRPr="00824177" w14:paraId="33C3A1F1"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0685079B"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Number of service months (continuous)</w:t>
            </w:r>
          </w:p>
        </w:tc>
        <w:tc>
          <w:tcPr>
            <w:tcW w:w="592" w:type="pct"/>
          </w:tcPr>
          <w:p w14:paraId="388173C4"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0.986</w:t>
            </w:r>
          </w:p>
        </w:tc>
        <w:tc>
          <w:tcPr>
            <w:tcW w:w="1093" w:type="pct"/>
          </w:tcPr>
          <w:p w14:paraId="5942F15B"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0.607</w:t>
            </w:r>
          </w:p>
        </w:tc>
        <w:tc>
          <w:tcPr>
            <w:tcW w:w="1092" w:type="pct"/>
          </w:tcPr>
          <w:p w14:paraId="78321103"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1.602</w:t>
            </w:r>
          </w:p>
        </w:tc>
      </w:tr>
      <w:tr w:rsidR="00F57386" w:rsidRPr="00824177" w14:paraId="3095E59F" w14:textId="77777777" w:rsidTr="004A08F9">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73286C25"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Number of vocational supports (continuous)</w:t>
            </w:r>
          </w:p>
        </w:tc>
        <w:tc>
          <w:tcPr>
            <w:tcW w:w="592" w:type="pct"/>
          </w:tcPr>
          <w:p w14:paraId="70C9C039"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1.218*</w:t>
            </w:r>
          </w:p>
        </w:tc>
        <w:tc>
          <w:tcPr>
            <w:tcW w:w="1093" w:type="pct"/>
          </w:tcPr>
          <w:p w14:paraId="06E0436C"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1.055</w:t>
            </w:r>
          </w:p>
        </w:tc>
        <w:tc>
          <w:tcPr>
            <w:tcW w:w="1092" w:type="pct"/>
          </w:tcPr>
          <w:p w14:paraId="64872B52"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1.406</w:t>
            </w:r>
          </w:p>
        </w:tc>
      </w:tr>
      <w:tr w:rsidR="00F57386" w:rsidRPr="00824177" w14:paraId="11A2A97A" w14:textId="77777777" w:rsidTr="004A08F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223" w:type="pct"/>
          </w:tcPr>
          <w:p w14:paraId="0196CFC5"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Number of non-vocational supports (continuous)</w:t>
            </w:r>
          </w:p>
        </w:tc>
        <w:tc>
          <w:tcPr>
            <w:tcW w:w="592" w:type="pct"/>
          </w:tcPr>
          <w:p w14:paraId="11AD653A"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0.9888</w:t>
            </w:r>
          </w:p>
        </w:tc>
        <w:tc>
          <w:tcPr>
            <w:tcW w:w="1093" w:type="pct"/>
          </w:tcPr>
          <w:p w14:paraId="44111F70"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0.852</w:t>
            </w:r>
          </w:p>
        </w:tc>
        <w:tc>
          <w:tcPr>
            <w:tcW w:w="1092" w:type="pct"/>
          </w:tcPr>
          <w:p w14:paraId="5FEFE7F6"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824177">
              <w:rPr>
                <w:rFonts w:eastAsia="Times New Roman" w:cs="Arial"/>
                <w:sz w:val="18"/>
                <w:szCs w:val="18"/>
                <w:lang w:eastAsia="en-AU"/>
              </w:rPr>
              <w:t>1.146</w:t>
            </w:r>
          </w:p>
        </w:tc>
      </w:tr>
    </w:tbl>
    <w:p w14:paraId="284C7062" w14:textId="1311F85B" w:rsidR="00F57386" w:rsidRDefault="00824177" w:rsidP="00C239FD">
      <w:pPr>
        <w:ind w:left="66"/>
      </w:pPr>
      <w:r>
        <w:rPr>
          <w:sz w:val="16"/>
        </w:rPr>
        <w:t xml:space="preserve">1. </w:t>
      </w:r>
      <w:r w:rsidR="00F57386" w:rsidRPr="00C239FD">
        <w:rPr>
          <w:sz w:val="16"/>
        </w:rPr>
        <w:t>*</w:t>
      </w:r>
      <w:r w:rsidR="004657A9">
        <w:rPr>
          <w:sz w:val="16"/>
        </w:rPr>
        <w:t>V</w:t>
      </w:r>
      <w:r w:rsidR="00F57386" w:rsidRPr="00C239FD">
        <w:rPr>
          <w:sz w:val="16"/>
        </w:rPr>
        <w:t xml:space="preserve">ariable has statistically significant coefficient: </w:t>
      </w:r>
      <w:r w:rsidR="00F57386" w:rsidRPr="00C239FD">
        <w:rPr>
          <w:i/>
          <w:iCs/>
          <w:sz w:val="16"/>
        </w:rPr>
        <w:t xml:space="preserve">p </w:t>
      </w:r>
      <w:r w:rsidR="00F57386" w:rsidRPr="00C239FD">
        <w:rPr>
          <w:sz w:val="16"/>
        </w:rPr>
        <w:t>&lt; 0.05</w:t>
      </w:r>
    </w:p>
    <w:p w14:paraId="178028E2" w14:textId="1160FAE0" w:rsidR="00F57386" w:rsidRDefault="00F57386" w:rsidP="00F57386">
      <w:pPr>
        <w:pStyle w:val="Caption"/>
        <w:keepNext/>
      </w:pPr>
      <w:bookmarkStart w:id="4179" w:name="_Toc132647826"/>
      <w:bookmarkStart w:id="4180" w:name="_Toc145877340"/>
      <w:r>
        <w:t xml:space="preserve">Table </w:t>
      </w:r>
      <w:r>
        <w:fldChar w:fldCharType="begin"/>
      </w:r>
      <w:r>
        <w:instrText>SEQ Table \* ARABIC</w:instrText>
      </w:r>
      <w:r>
        <w:fldChar w:fldCharType="separate"/>
      </w:r>
      <w:r w:rsidR="00180E14">
        <w:rPr>
          <w:noProof/>
        </w:rPr>
        <w:t>51</w:t>
      </w:r>
      <w:r>
        <w:fldChar w:fldCharType="end"/>
      </w:r>
      <w:r>
        <w:t xml:space="preserve">: </w:t>
      </w:r>
      <w:r w:rsidRPr="00BF22DC">
        <w:t>Regression results for program type and life satisfaction score</w:t>
      </w:r>
      <w:bookmarkEnd w:id="4179"/>
      <w:bookmarkEnd w:id="4180"/>
    </w:p>
    <w:tbl>
      <w:tblPr>
        <w:tblStyle w:val="TtWReportTableTemplate2"/>
        <w:tblW w:w="4982" w:type="pct"/>
        <w:tblLook w:val="04A0" w:firstRow="1" w:lastRow="0" w:firstColumn="1" w:lastColumn="0" w:noHBand="0" w:noVBand="1"/>
      </w:tblPr>
      <w:tblGrid>
        <w:gridCol w:w="3401"/>
        <w:gridCol w:w="774"/>
        <w:gridCol w:w="2409"/>
        <w:gridCol w:w="2410"/>
      </w:tblGrid>
      <w:tr w:rsidR="00F57386" w:rsidRPr="00824177" w14:paraId="04C65C4C" w14:textId="77777777" w:rsidTr="00C239F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hideMark/>
          </w:tcPr>
          <w:p w14:paraId="2AAD324E" w14:textId="77777777" w:rsidR="00F57386" w:rsidRPr="00824177" w:rsidRDefault="00F57386" w:rsidP="004E6757">
            <w:pPr>
              <w:spacing w:before="120" w:after="120"/>
              <w:rPr>
                <w:rFonts w:eastAsia="Times New Roman" w:cs="Arial"/>
                <w:b w:val="0"/>
                <w:bCs/>
                <w:color w:val="FFFFFF"/>
                <w:sz w:val="18"/>
                <w:szCs w:val="18"/>
                <w:lang w:eastAsia="en-AU"/>
              </w:rPr>
            </w:pPr>
            <w:r w:rsidRPr="00824177">
              <w:rPr>
                <w:rFonts w:eastAsia="Times New Roman" w:cs="Arial"/>
                <w:bCs/>
                <w:color w:val="FFFFFF"/>
                <w:sz w:val="18"/>
                <w:szCs w:val="18"/>
                <w:lang w:eastAsia="en-AU"/>
              </w:rPr>
              <w:t>Co-variate</w:t>
            </w:r>
            <w:r w:rsidRPr="00824177">
              <w:rPr>
                <w:rFonts w:eastAsia="Times New Roman" w:cs="Calibri"/>
                <w:color w:val="000000"/>
                <w:sz w:val="18"/>
                <w:szCs w:val="18"/>
                <w:lang w:eastAsia="en-AU"/>
              </w:rPr>
              <w:t> </w:t>
            </w:r>
          </w:p>
        </w:tc>
        <w:tc>
          <w:tcPr>
            <w:tcW w:w="0" w:type="pct"/>
            <w:shd w:val="clear" w:color="auto" w:fill="5D7A38"/>
            <w:hideMark/>
          </w:tcPr>
          <w:p w14:paraId="516FA9C2" w14:textId="77777777" w:rsidR="00F57386" w:rsidRPr="00824177" w:rsidRDefault="00F57386" w:rsidP="004E6757">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824177">
              <w:rPr>
                <w:rFonts w:eastAsia="Times New Roman" w:cs="Arial"/>
                <w:bCs/>
                <w:color w:val="FFFFFF"/>
                <w:sz w:val="18"/>
                <w:szCs w:val="18"/>
                <w:lang w:eastAsia="en-AU"/>
              </w:rPr>
              <w:t>Coef</w:t>
            </w:r>
            <w:r w:rsidRPr="00824177">
              <w:rPr>
                <w:rFonts w:eastAsia="Times New Roman" w:cs="Arial"/>
                <w:bCs/>
                <w:color w:val="FFFFFF"/>
                <w:sz w:val="18"/>
                <w:szCs w:val="18"/>
                <w:vertAlign w:val="superscript"/>
                <w:lang w:eastAsia="en-AU"/>
              </w:rPr>
              <w:t>1</w:t>
            </w:r>
          </w:p>
        </w:tc>
        <w:tc>
          <w:tcPr>
            <w:tcW w:w="0" w:type="pct"/>
            <w:shd w:val="clear" w:color="auto" w:fill="5D7A38"/>
            <w:vAlign w:val="bottom"/>
            <w:hideMark/>
          </w:tcPr>
          <w:p w14:paraId="43D065FF" w14:textId="77777777" w:rsidR="00F57386" w:rsidRPr="00824177" w:rsidRDefault="00F57386" w:rsidP="00C239FD">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rFonts w:eastAsia="Times New Roman" w:cs="Arial"/>
                <w:bCs/>
                <w:color w:val="FFFFFF"/>
                <w:sz w:val="18"/>
                <w:szCs w:val="18"/>
                <w:lang w:eastAsia="en-AU"/>
              </w:rPr>
              <w:t>Lower</w:t>
            </w:r>
            <w:r w:rsidRPr="00C239FD">
              <w:rPr>
                <w:sz w:val="18"/>
                <w:szCs w:val="18"/>
              </w:rPr>
              <w:t xml:space="preserve"> 95% confidence limit</w:t>
            </w:r>
          </w:p>
        </w:tc>
        <w:tc>
          <w:tcPr>
            <w:tcW w:w="0" w:type="pct"/>
            <w:shd w:val="clear" w:color="auto" w:fill="5D7A38"/>
            <w:hideMark/>
          </w:tcPr>
          <w:p w14:paraId="2CE5BE68" w14:textId="77777777" w:rsidR="00F57386" w:rsidRPr="00824177" w:rsidRDefault="00F57386" w:rsidP="00C239FD">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rFonts w:eastAsia="Times New Roman" w:cs="Arial"/>
                <w:bCs/>
                <w:color w:val="FFFFFF"/>
                <w:sz w:val="18"/>
                <w:szCs w:val="18"/>
                <w:lang w:eastAsia="en-AU"/>
              </w:rPr>
              <w:t>Upper</w:t>
            </w:r>
            <w:r w:rsidRPr="00C239FD">
              <w:rPr>
                <w:sz w:val="18"/>
                <w:szCs w:val="18"/>
              </w:rPr>
              <w:t xml:space="preserve"> 95% confidence limit</w:t>
            </w:r>
          </w:p>
        </w:tc>
      </w:tr>
      <w:tr w:rsidR="00F57386" w:rsidRPr="00824177" w14:paraId="418546D4" w14:textId="77777777" w:rsidTr="004A08F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91" w:type="pct"/>
            <w:hideMark/>
          </w:tcPr>
          <w:p w14:paraId="48CF9225"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(Intercept)</w:t>
            </w:r>
          </w:p>
        </w:tc>
        <w:tc>
          <w:tcPr>
            <w:tcW w:w="430" w:type="pct"/>
            <w:hideMark/>
          </w:tcPr>
          <w:p w14:paraId="5E267AAB"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6.778*</w:t>
            </w:r>
          </w:p>
        </w:tc>
        <w:tc>
          <w:tcPr>
            <w:tcW w:w="1339" w:type="pct"/>
            <w:hideMark/>
          </w:tcPr>
          <w:p w14:paraId="053CDB2D"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6.372</w:t>
            </w:r>
          </w:p>
        </w:tc>
        <w:tc>
          <w:tcPr>
            <w:tcW w:w="1340" w:type="pct"/>
            <w:hideMark/>
          </w:tcPr>
          <w:p w14:paraId="0AB0F3CA"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7.184</w:t>
            </w:r>
          </w:p>
        </w:tc>
      </w:tr>
      <w:tr w:rsidR="00F57386" w:rsidRPr="00824177" w14:paraId="714BF1F9" w14:textId="77777777" w:rsidTr="004A08F9">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91" w:type="pct"/>
            <w:noWrap/>
            <w:hideMark/>
          </w:tcPr>
          <w:p w14:paraId="30FB0091"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Program (jobactive)</w:t>
            </w:r>
          </w:p>
        </w:tc>
        <w:tc>
          <w:tcPr>
            <w:tcW w:w="430" w:type="pct"/>
            <w:noWrap/>
            <w:hideMark/>
          </w:tcPr>
          <w:p w14:paraId="28519471"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 </w:t>
            </w:r>
          </w:p>
        </w:tc>
        <w:tc>
          <w:tcPr>
            <w:tcW w:w="1339" w:type="pct"/>
            <w:noWrap/>
            <w:hideMark/>
          </w:tcPr>
          <w:p w14:paraId="5CB87DC1"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 </w:t>
            </w:r>
          </w:p>
        </w:tc>
        <w:tc>
          <w:tcPr>
            <w:tcW w:w="1340" w:type="pct"/>
            <w:noWrap/>
            <w:hideMark/>
          </w:tcPr>
          <w:p w14:paraId="2CBD32A0" w14:textId="77777777" w:rsidR="00F57386" w:rsidRPr="0082417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 </w:t>
            </w:r>
          </w:p>
        </w:tc>
      </w:tr>
      <w:tr w:rsidR="00F57386" w:rsidRPr="00824177" w14:paraId="2AC8460D" w14:textId="77777777" w:rsidTr="004A08F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91" w:type="pct"/>
            <w:hideMark/>
          </w:tcPr>
          <w:p w14:paraId="098ED319" w14:textId="0E0850B4" w:rsidR="00F57386" w:rsidRPr="00824177" w:rsidRDefault="00F57386" w:rsidP="004E6757">
            <w:pPr>
              <w:rPr>
                <w:rFonts w:eastAsia="Times New Roman" w:cs="Arial"/>
                <w:color w:val="000000"/>
                <w:sz w:val="18"/>
                <w:szCs w:val="18"/>
                <w:lang w:eastAsia="en-AU"/>
              </w:rPr>
            </w:pPr>
            <w:r w:rsidRPr="00824177">
              <w:rPr>
                <w:rFonts w:eastAsia="Times New Roman" w:cs="Arial"/>
                <w:color w:val="000000"/>
                <w:sz w:val="18"/>
                <w:szCs w:val="18"/>
                <w:lang w:eastAsia="en-AU"/>
              </w:rPr>
              <w:t>TtW</w:t>
            </w:r>
          </w:p>
        </w:tc>
        <w:tc>
          <w:tcPr>
            <w:tcW w:w="430" w:type="pct"/>
            <w:hideMark/>
          </w:tcPr>
          <w:p w14:paraId="47452073"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0.565*</w:t>
            </w:r>
          </w:p>
        </w:tc>
        <w:tc>
          <w:tcPr>
            <w:tcW w:w="1339" w:type="pct"/>
            <w:hideMark/>
          </w:tcPr>
          <w:p w14:paraId="41FAC8B9"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0.289</w:t>
            </w:r>
          </w:p>
        </w:tc>
        <w:tc>
          <w:tcPr>
            <w:tcW w:w="1340" w:type="pct"/>
            <w:hideMark/>
          </w:tcPr>
          <w:p w14:paraId="4CF33F17"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824177">
              <w:rPr>
                <w:rFonts w:eastAsia="Times New Roman" w:cs="Arial"/>
                <w:color w:val="000000"/>
                <w:sz w:val="18"/>
                <w:szCs w:val="18"/>
                <w:lang w:eastAsia="en-AU"/>
              </w:rPr>
              <w:t>0.842</w:t>
            </w:r>
          </w:p>
        </w:tc>
      </w:tr>
      <w:tr w:rsidR="00F57386" w:rsidRPr="00824177" w14:paraId="032A14C3" w14:textId="77777777" w:rsidTr="004A08F9">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91" w:type="pct"/>
            <w:noWrap/>
            <w:hideMark/>
          </w:tcPr>
          <w:p w14:paraId="60341B64"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Number of life events (continuous)</w:t>
            </w:r>
          </w:p>
        </w:tc>
        <w:tc>
          <w:tcPr>
            <w:tcW w:w="430" w:type="pct"/>
            <w:noWrap/>
            <w:hideMark/>
          </w:tcPr>
          <w:p w14:paraId="4A0BADC9"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-0.416*</w:t>
            </w:r>
          </w:p>
        </w:tc>
        <w:tc>
          <w:tcPr>
            <w:tcW w:w="1339" w:type="pct"/>
            <w:noWrap/>
            <w:hideMark/>
          </w:tcPr>
          <w:p w14:paraId="3D16C56C"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-0.483</w:t>
            </w:r>
          </w:p>
        </w:tc>
        <w:tc>
          <w:tcPr>
            <w:tcW w:w="1340" w:type="pct"/>
            <w:noWrap/>
            <w:hideMark/>
          </w:tcPr>
          <w:p w14:paraId="2DA08C10" w14:textId="77777777" w:rsidR="00F57386" w:rsidRPr="0082417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-0.348</w:t>
            </w:r>
          </w:p>
        </w:tc>
      </w:tr>
      <w:tr w:rsidR="00F57386" w:rsidRPr="00824177" w14:paraId="1B3AF6F3" w14:textId="77777777" w:rsidTr="004A08F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91" w:type="pct"/>
            <w:noWrap/>
            <w:hideMark/>
          </w:tcPr>
          <w:p w14:paraId="006B333E" w14:textId="77777777" w:rsidR="00F57386" w:rsidRPr="00824177" w:rsidRDefault="00F57386" w:rsidP="004E6757">
            <w:pPr>
              <w:rPr>
                <w:rFonts w:eastAsia="Times New Roman" w:cs="Arial"/>
                <w:b w:val="0"/>
                <w:bCs/>
                <w:color w:val="000000"/>
                <w:sz w:val="18"/>
                <w:szCs w:val="18"/>
                <w:lang w:eastAsia="en-AU"/>
              </w:rPr>
            </w:pPr>
            <w:r w:rsidRPr="00824177">
              <w:rPr>
                <w:rFonts w:eastAsia="Times New Roman" w:cs="Arial"/>
                <w:bCs/>
                <w:color w:val="000000"/>
                <w:sz w:val="18"/>
                <w:szCs w:val="18"/>
                <w:lang w:eastAsia="en-AU"/>
              </w:rPr>
              <w:t xml:space="preserve">Number of service months (continuous) </w:t>
            </w:r>
          </w:p>
        </w:tc>
        <w:tc>
          <w:tcPr>
            <w:tcW w:w="430" w:type="pct"/>
            <w:noWrap/>
            <w:hideMark/>
          </w:tcPr>
          <w:p w14:paraId="2B99800F"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0.002</w:t>
            </w:r>
          </w:p>
        </w:tc>
        <w:tc>
          <w:tcPr>
            <w:tcW w:w="1339" w:type="pct"/>
            <w:noWrap/>
            <w:hideMark/>
          </w:tcPr>
          <w:p w14:paraId="3AD28235"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-0.015</w:t>
            </w:r>
          </w:p>
        </w:tc>
        <w:tc>
          <w:tcPr>
            <w:tcW w:w="1340" w:type="pct"/>
            <w:noWrap/>
            <w:hideMark/>
          </w:tcPr>
          <w:p w14:paraId="38D9EBE1" w14:textId="77777777" w:rsidR="00F57386" w:rsidRPr="0082417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24177">
              <w:rPr>
                <w:rFonts w:eastAsia="Times New Roman" w:cs="Arial"/>
                <w:b/>
                <w:bCs/>
                <w:color w:val="000000"/>
                <w:sz w:val="18"/>
                <w:szCs w:val="18"/>
                <w:lang w:eastAsia="en-AU"/>
              </w:rPr>
              <w:t>0.019</w:t>
            </w:r>
          </w:p>
        </w:tc>
      </w:tr>
    </w:tbl>
    <w:p w14:paraId="40208472" w14:textId="700CBBE4" w:rsidR="00F57386" w:rsidRPr="00CA435E" w:rsidRDefault="00F57386" w:rsidP="00F57386">
      <w:r w:rsidRPr="00133D87">
        <w:rPr>
          <w:sz w:val="16"/>
        </w:rPr>
        <w:lastRenderedPageBreak/>
        <w:t>1. *</w:t>
      </w:r>
      <w:r w:rsidR="004657A9">
        <w:rPr>
          <w:sz w:val="16"/>
        </w:rPr>
        <w:t>V</w:t>
      </w:r>
      <w:r w:rsidRPr="00133D87">
        <w:rPr>
          <w:sz w:val="16"/>
        </w:rPr>
        <w:t xml:space="preserve">ariable has statistically significant coefficient: </w:t>
      </w:r>
      <w:r w:rsidRPr="00C239FD">
        <w:rPr>
          <w:i/>
          <w:iCs/>
          <w:sz w:val="16"/>
        </w:rPr>
        <w:t xml:space="preserve">p </w:t>
      </w:r>
      <w:r w:rsidRPr="00133D87">
        <w:rPr>
          <w:sz w:val="16"/>
        </w:rPr>
        <w:t>&lt; 0.05</w:t>
      </w:r>
    </w:p>
    <w:p w14:paraId="3A85DDC9" w14:textId="7FEA2797" w:rsidR="00F57386" w:rsidRDefault="00F57386" w:rsidP="006E41FD">
      <w:pPr>
        <w:pStyle w:val="Caption"/>
        <w:keepNext/>
      </w:pPr>
      <w:bookmarkStart w:id="4181" w:name="_Toc132647827"/>
      <w:bookmarkStart w:id="4182" w:name="_Toc145877341"/>
      <w:r>
        <w:t xml:space="preserve">Table </w:t>
      </w:r>
      <w:r>
        <w:fldChar w:fldCharType="begin"/>
      </w:r>
      <w:r>
        <w:instrText>SEQ Table \* ARABIC</w:instrText>
      </w:r>
      <w:r>
        <w:fldChar w:fldCharType="separate"/>
      </w:r>
      <w:r w:rsidR="00180E14">
        <w:rPr>
          <w:noProof/>
        </w:rPr>
        <w:t>52</w:t>
      </w:r>
      <w:r>
        <w:fldChar w:fldCharType="end"/>
      </w:r>
      <w:r>
        <w:rPr>
          <w:noProof/>
        </w:rPr>
        <w:t xml:space="preserve">: </w:t>
      </w:r>
      <w:r w:rsidRPr="0038479F">
        <w:rPr>
          <w:noProof/>
        </w:rPr>
        <w:t>Regression results for TtW characteristics and life satisfaction score</w:t>
      </w:r>
      <w:bookmarkEnd w:id="4181"/>
      <w:bookmarkEnd w:id="4182"/>
    </w:p>
    <w:tbl>
      <w:tblPr>
        <w:tblStyle w:val="TtWReportTableTemplate2"/>
        <w:tblW w:w="4952" w:type="pct"/>
        <w:tblLook w:val="04A0" w:firstRow="1" w:lastRow="0" w:firstColumn="1" w:lastColumn="0" w:noHBand="0" w:noVBand="1"/>
      </w:tblPr>
      <w:tblGrid>
        <w:gridCol w:w="3402"/>
        <w:gridCol w:w="712"/>
        <w:gridCol w:w="7"/>
        <w:gridCol w:w="2397"/>
        <w:gridCol w:w="9"/>
        <w:gridCol w:w="2403"/>
        <w:gridCol w:w="9"/>
      </w:tblGrid>
      <w:tr w:rsidR="008E0678" w:rsidRPr="0038479F" w14:paraId="30381717" w14:textId="77777777" w:rsidTr="00C24C7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903" w:type="pct"/>
            <w:shd w:val="clear" w:color="auto" w:fill="5D7A38"/>
            <w:hideMark/>
          </w:tcPr>
          <w:p w14:paraId="3C9A2FBA" w14:textId="77777777" w:rsidR="00F57386" w:rsidRPr="0038479F" w:rsidRDefault="00F57386" w:rsidP="006E41FD">
            <w:pPr>
              <w:keepNext/>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402" w:type="pct"/>
            <w:gridSpan w:val="2"/>
            <w:shd w:val="clear" w:color="auto" w:fill="5D7A38"/>
            <w:hideMark/>
          </w:tcPr>
          <w:p w14:paraId="0225C5E5" w14:textId="77777777" w:rsidR="00F57386" w:rsidRPr="0038479F" w:rsidRDefault="00F57386" w:rsidP="006E41FD">
            <w:pPr>
              <w:keepNext/>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1346" w:type="pct"/>
            <w:gridSpan w:val="2"/>
            <w:shd w:val="clear" w:color="auto" w:fill="5D7A38"/>
            <w:hideMark/>
          </w:tcPr>
          <w:p w14:paraId="7E259510" w14:textId="77777777" w:rsidR="00F57386" w:rsidRPr="00C239FD" w:rsidRDefault="00F57386" w:rsidP="00C239FD">
            <w:pPr>
              <w:keepNext/>
              <w:spacing w:before="120"/>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18"/>
                <w:szCs w:val="18"/>
                <w:lang w:eastAsia="en-AU"/>
              </w:rPr>
            </w:pPr>
            <w:r w:rsidRPr="00C239FD">
              <w:rPr>
                <w:rFonts w:eastAsia="Times New Roman" w:cs="Arial"/>
                <w:bCs/>
                <w:color w:val="FFFFFF"/>
                <w:sz w:val="18"/>
                <w:szCs w:val="18"/>
                <w:lang w:eastAsia="en-AU"/>
              </w:rPr>
              <w:t>Lower 95% confidence limit</w:t>
            </w:r>
          </w:p>
        </w:tc>
        <w:tc>
          <w:tcPr>
            <w:tcW w:w="1349" w:type="pct"/>
            <w:gridSpan w:val="2"/>
            <w:shd w:val="clear" w:color="auto" w:fill="5D7A38"/>
            <w:hideMark/>
          </w:tcPr>
          <w:p w14:paraId="02D493D5" w14:textId="77777777" w:rsidR="00F57386" w:rsidRPr="00C239FD" w:rsidRDefault="00F57386" w:rsidP="00C239FD">
            <w:pPr>
              <w:keepNext/>
              <w:spacing w:before="120"/>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18"/>
                <w:szCs w:val="18"/>
                <w:lang w:eastAsia="en-AU"/>
              </w:rPr>
            </w:pPr>
            <w:r w:rsidRPr="00C239FD">
              <w:rPr>
                <w:rFonts w:eastAsia="Times New Roman" w:cs="Arial"/>
                <w:bCs/>
                <w:color w:val="FFFFFF"/>
                <w:sz w:val="18"/>
                <w:szCs w:val="18"/>
                <w:lang w:eastAsia="en-AU"/>
              </w:rPr>
              <w:t>Upper 95% confidence limit</w:t>
            </w:r>
          </w:p>
        </w:tc>
      </w:tr>
      <w:tr w:rsidR="008E0678" w:rsidRPr="0038479F" w14:paraId="18515344" w14:textId="77777777" w:rsidTr="004A08F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72DA967C" w14:textId="77777777" w:rsidR="00F57386" w:rsidRPr="0038479F" w:rsidRDefault="00F57386" w:rsidP="006E41FD">
            <w:pPr>
              <w:keepNext/>
              <w:rPr>
                <w:rFonts w:eastAsia="Times New Roman" w:cs="Arial"/>
                <w:b w:val="0"/>
                <w:bCs/>
                <w:color w:val="000000"/>
                <w:sz w:val="18"/>
                <w:szCs w:val="18"/>
                <w:lang w:eastAsia="en-AU"/>
              </w:rPr>
            </w:pPr>
            <w:r w:rsidRPr="0038479F">
              <w:rPr>
                <w:rFonts w:eastAsia="Times New Roman" w:cs="Arial"/>
                <w:bCs/>
                <w:color w:val="000000"/>
                <w:sz w:val="18"/>
                <w:szCs w:val="18"/>
                <w:lang w:eastAsia="en-AU"/>
              </w:rPr>
              <w:t>(Intercept)</w:t>
            </w:r>
          </w:p>
        </w:tc>
        <w:tc>
          <w:tcPr>
            <w:tcW w:w="402" w:type="pct"/>
            <w:gridSpan w:val="2"/>
            <w:hideMark/>
          </w:tcPr>
          <w:p w14:paraId="46CC0EAE"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5.983</w:t>
            </w:r>
            <w:r>
              <w:rPr>
                <w:rFonts w:eastAsia="Times New Roman" w:cs="Arial"/>
                <w:b/>
                <w:bCs/>
                <w:color w:val="000000"/>
                <w:sz w:val="18"/>
                <w:szCs w:val="18"/>
                <w:lang w:eastAsia="en-AU"/>
              </w:rPr>
              <w:t>*</w:t>
            </w:r>
          </w:p>
        </w:tc>
        <w:tc>
          <w:tcPr>
            <w:tcW w:w="1346" w:type="pct"/>
            <w:gridSpan w:val="2"/>
            <w:hideMark/>
          </w:tcPr>
          <w:p w14:paraId="1D5BF7F7"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5.509</w:t>
            </w:r>
          </w:p>
        </w:tc>
        <w:tc>
          <w:tcPr>
            <w:tcW w:w="1349" w:type="pct"/>
            <w:gridSpan w:val="2"/>
            <w:hideMark/>
          </w:tcPr>
          <w:p w14:paraId="6C446E88"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6.457</w:t>
            </w:r>
          </w:p>
        </w:tc>
      </w:tr>
      <w:tr w:rsidR="008E0678" w:rsidRPr="0038479F" w14:paraId="67F0C784" w14:textId="77777777" w:rsidTr="004A08F9">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noWrap/>
            <w:hideMark/>
          </w:tcPr>
          <w:p w14:paraId="02F414EC" w14:textId="77777777" w:rsidR="00F57386" w:rsidRPr="0038479F" w:rsidRDefault="00F57386" w:rsidP="006E41FD">
            <w:pPr>
              <w:keepNext/>
              <w:rPr>
                <w:rFonts w:eastAsia="Times New Roman" w:cs="Arial"/>
                <w:b w:val="0"/>
                <w:bCs/>
                <w:color w:val="000000"/>
                <w:sz w:val="18"/>
                <w:szCs w:val="18"/>
                <w:lang w:eastAsia="en-AU"/>
              </w:rPr>
            </w:pPr>
            <w:r w:rsidRPr="0038479F">
              <w:rPr>
                <w:rFonts w:eastAsia="Times New Roman" w:cs="Arial"/>
                <w:bCs/>
                <w:color w:val="000000"/>
                <w:sz w:val="18"/>
                <w:szCs w:val="18"/>
                <w:lang w:eastAsia="en-AU"/>
              </w:rPr>
              <w:t>Age as of May 2021 (16 to 21 years)</w:t>
            </w:r>
          </w:p>
        </w:tc>
        <w:tc>
          <w:tcPr>
            <w:tcW w:w="402" w:type="pct"/>
            <w:gridSpan w:val="2"/>
            <w:noWrap/>
            <w:hideMark/>
          </w:tcPr>
          <w:p w14:paraId="68D36491"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c>
          <w:tcPr>
            <w:tcW w:w="1346" w:type="pct"/>
            <w:gridSpan w:val="2"/>
            <w:noWrap/>
            <w:hideMark/>
          </w:tcPr>
          <w:p w14:paraId="10C60FC8"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c>
          <w:tcPr>
            <w:tcW w:w="1349" w:type="pct"/>
            <w:gridSpan w:val="2"/>
            <w:noWrap/>
            <w:hideMark/>
          </w:tcPr>
          <w:p w14:paraId="195834DD"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r>
      <w:tr w:rsidR="008E0678" w:rsidRPr="0038479F" w14:paraId="70E55F5B" w14:textId="77777777" w:rsidTr="004A08F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1B230CDD" w14:textId="5D535CAC" w:rsidR="00F57386" w:rsidRPr="0038479F" w:rsidRDefault="00F57386" w:rsidP="006E41FD">
            <w:pPr>
              <w:keepNext/>
              <w:rPr>
                <w:rFonts w:eastAsia="Times New Roman" w:cs="Arial"/>
                <w:color w:val="000000"/>
                <w:sz w:val="18"/>
                <w:szCs w:val="18"/>
                <w:lang w:eastAsia="en-AU"/>
              </w:rPr>
            </w:pPr>
            <w:r w:rsidRPr="0038479F">
              <w:rPr>
                <w:rFonts w:eastAsia="Times New Roman" w:cs="Arial"/>
                <w:color w:val="000000"/>
                <w:sz w:val="18"/>
                <w:szCs w:val="18"/>
                <w:lang w:eastAsia="en-AU"/>
              </w:rPr>
              <w:t>22</w:t>
            </w:r>
            <w:r w:rsidR="00824177">
              <w:rPr>
                <w:rFonts w:eastAsia="Times New Roman" w:cs="Arial"/>
                <w:color w:val="000000"/>
                <w:sz w:val="18"/>
                <w:szCs w:val="18"/>
                <w:lang w:eastAsia="en-AU"/>
              </w:rPr>
              <w:t>–</w:t>
            </w:r>
            <w:r w:rsidRPr="0038479F">
              <w:rPr>
                <w:rFonts w:eastAsia="Times New Roman" w:cs="Arial"/>
                <w:color w:val="000000"/>
                <w:sz w:val="18"/>
                <w:szCs w:val="18"/>
                <w:lang w:eastAsia="en-AU"/>
              </w:rPr>
              <w:t>25 years</w:t>
            </w:r>
          </w:p>
        </w:tc>
        <w:tc>
          <w:tcPr>
            <w:tcW w:w="402" w:type="pct"/>
            <w:gridSpan w:val="2"/>
            <w:hideMark/>
          </w:tcPr>
          <w:p w14:paraId="2AB14211"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-0.224</w:t>
            </w:r>
          </w:p>
        </w:tc>
        <w:tc>
          <w:tcPr>
            <w:tcW w:w="1346" w:type="pct"/>
            <w:gridSpan w:val="2"/>
            <w:hideMark/>
          </w:tcPr>
          <w:p w14:paraId="6D406076"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-0.666</w:t>
            </w:r>
          </w:p>
        </w:tc>
        <w:tc>
          <w:tcPr>
            <w:tcW w:w="1349" w:type="pct"/>
            <w:gridSpan w:val="2"/>
            <w:hideMark/>
          </w:tcPr>
          <w:p w14:paraId="59C18A59"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0.217</w:t>
            </w:r>
          </w:p>
        </w:tc>
      </w:tr>
      <w:tr w:rsidR="008E0678" w:rsidRPr="0038479F" w14:paraId="1CCFF7AE" w14:textId="77777777" w:rsidTr="004A08F9">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noWrap/>
            <w:hideMark/>
          </w:tcPr>
          <w:p w14:paraId="2A881CE6" w14:textId="77777777" w:rsidR="00F57386" w:rsidRPr="0038479F" w:rsidRDefault="00F57386" w:rsidP="006E41FD">
            <w:pPr>
              <w:keepNext/>
              <w:rPr>
                <w:rFonts w:eastAsia="Times New Roman" w:cs="Arial"/>
                <w:b w:val="0"/>
                <w:bCs/>
                <w:color w:val="000000"/>
                <w:sz w:val="18"/>
                <w:szCs w:val="18"/>
                <w:lang w:eastAsia="en-AU"/>
              </w:rPr>
            </w:pPr>
            <w:r w:rsidRPr="0038479F">
              <w:rPr>
                <w:rFonts w:eastAsia="Times New Roman" w:cs="Arial"/>
                <w:bCs/>
                <w:color w:val="000000"/>
                <w:sz w:val="18"/>
                <w:szCs w:val="18"/>
                <w:lang w:eastAsia="en-AU"/>
              </w:rPr>
              <w:t>Gender (Female)</w:t>
            </w:r>
          </w:p>
        </w:tc>
        <w:tc>
          <w:tcPr>
            <w:tcW w:w="402" w:type="pct"/>
            <w:gridSpan w:val="2"/>
            <w:noWrap/>
            <w:hideMark/>
          </w:tcPr>
          <w:p w14:paraId="42C95A54"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c>
          <w:tcPr>
            <w:tcW w:w="1346" w:type="pct"/>
            <w:gridSpan w:val="2"/>
            <w:noWrap/>
            <w:hideMark/>
          </w:tcPr>
          <w:p w14:paraId="419B19E3"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c>
          <w:tcPr>
            <w:tcW w:w="1349" w:type="pct"/>
            <w:gridSpan w:val="2"/>
            <w:noWrap/>
            <w:hideMark/>
          </w:tcPr>
          <w:p w14:paraId="763CFD57"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r>
      <w:tr w:rsidR="008E0678" w:rsidRPr="0038479F" w14:paraId="16659358" w14:textId="77777777" w:rsidTr="004A08F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715D9876" w14:textId="6217292B" w:rsidR="00F57386" w:rsidRPr="0038479F" w:rsidRDefault="00F57386" w:rsidP="006E41FD">
            <w:pPr>
              <w:keepNext/>
              <w:rPr>
                <w:rFonts w:eastAsia="Times New Roman" w:cs="Arial"/>
                <w:color w:val="000000"/>
                <w:sz w:val="18"/>
                <w:szCs w:val="18"/>
                <w:lang w:eastAsia="en-AU"/>
              </w:rPr>
            </w:pPr>
            <w:r w:rsidRPr="0038479F">
              <w:rPr>
                <w:rFonts w:eastAsia="Times New Roman" w:cs="Arial"/>
                <w:color w:val="000000"/>
                <w:sz w:val="18"/>
                <w:szCs w:val="18"/>
                <w:lang w:eastAsia="en-AU"/>
              </w:rPr>
              <w:t>Male</w:t>
            </w:r>
          </w:p>
        </w:tc>
        <w:tc>
          <w:tcPr>
            <w:tcW w:w="402" w:type="pct"/>
            <w:gridSpan w:val="2"/>
            <w:hideMark/>
          </w:tcPr>
          <w:p w14:paraId="2EAEE74C"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0.104</w:t>
            </w:r>
          </w:p>
        </w:tc>
        <w:tc>
          <w:tcPr>
            <w:tcW w:w="1346" w:type="pct"/>
            <w:gridSpan w:val="2"/>
            <w:hideMark/>
          </w:tcPr>
          <w:p w14:paraId="06EC0EFA"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-0.174</w:t>
            </w:r>
          </w:p>
        </w:tc>
        <w:tc>
          <w:tcPr>
            <w:tcW w:w="1349" w:type="pct"/>
            <w:gridSpan w:val="2"/>
            <w:hideMark/>
          </w:tcPr>
          <w:p w14:paraId="2907416C"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0.382</w:t>
            </w:r>
          </w:p>
        </w:tc>
      </w:tr>
      <w:tr w:rsidR="008E0678" w:rsidRPr="0038479F" w14:paraId="3F7951FC" w14:textId="77777777" w:rsidTr="004A08F9">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03" w:type="pct"/>
            <w:hideMark/>
          </w:tcPr>
          <w:p w14:paraId="51D258E8" w14:textId="06D8C0F3" w:rsidR="00F57386" w:rsidRPr="0038479F" w:rsidRDefault="00F57386" w:rsidP="006E41FD">
            <w:pPr>
              <w:keepNext/>
              <w:rPr>
                <w:rFonts w:eastAsia="Times New Roman" w:cs="Arial"/>
                <w:b w:val="0"/>
                <w:bCs/>
                <w:color w:val="000000"/>
                <w:sz w:val="18"/>
                <w:szCs w:val="18"/>
                <w:lang w:eastAsia="en-AU"/>
              </w:rPr>
            </w:pPr>
            <w:r w:rsidRPr="0038479F">
              <w:rPr>
                <w:rFonts w:eastAsia="Times New Roman" w:cs="Arial"/>
                <w:bCs/>
                <w:color w:val="000000"/>
                <w:sz w:val="18"/>
                <w:szCs w:val="18"/>
                <w:lang w:eastAsia="en-AU"/>
              </w:rPr>
              <w:t>Aboriginal and/or Torres Strait Islander person (No)</w:t>
            </w:r>
          </w:p>
        </w:tc>
        <w:tc>
          <w:tcPr>
            <w:tcW w:w="402" w:type="pct"/>
            <w:gridSpan w:val="2"/>
            <w:noWrap/>
            <w:hideMark/>
          </w:tcPr>
          <w:p w14:paraId="0DA99021"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c>
          <w:tcPr>
            <w:tcW w:w="1346" w:type="pct"/>
            <w:gridSpan w:val="2"/>
            <w:noWrap/>
            <w:hideMark/>
          </w:tcPr>
          <w:p w14:paraId="3D0AFF48"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c>
          <w:tcPr>
            <w:tcW w:w="1349" w:type="pct"/>
            <w:gridSpan w:val="2"/>
            <w:noWrap/>
            <w:hideMark/>
          </w:tcPr>
          <w:p w14:paraId="69F036F5"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r>
      <w:tr w:rsidR="008E0678" w:rsidRPr="0038479F" w14:paraId="711B8617" w14:textId="77777777" w:rsidTr="004A08F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2C4B097D" w14:textId="446EEF49" w:rsidR="00F57386" w:rsidRPr="0038479F" w:rsidRDefault="00F57386" w:rsidP="006E41FD">
            <w:pPr>
              <w:keepNext/>
              <w:rPr>
                <w:rFonts w:eastAsia="Times New Roman" w:cs="Arial"/>
                <w:color w:val="000000"/>
                <w:sz w:val="18"/>
                <w:szCs w:val="18"/>
                <w:lang w:eastAsia="en-AU"/>
              </w:rPr>
            </w:pPr>
            <w:r w:rsidRPr="0038479F">
              <w:rPr>
                <w:rFonts w:eastAsia="Times New Roman" w:cs="Arial"/>
                <w:color w:val="000000"/>
                <w:sz w:val="18"/>
                <w:szCs w:val="18"/>
                <w:lang w:eastAsia="en-AU"/>
              </w:rPr>
              <w:t>Yes</w:t>
            </w:r>
          </w:p>
        </w:tc>
        <w:tc>
          <w:tcPr>
            <w:tcW w:w="402" w:type="pct"/>
            <w:gridSpan w:val="2"/>
            <w:hideMark/>
          </w:tcPr>
          <w:p w14:paraId="55B7CB30"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0.687</w:t>
            </w:r>
            <w:r>
              <w:rPr>
                <w:rFonts w:eastAsia="Times New Roman" w:cs="Arial"/>
                <w:color w:val="000000"/>
                <w:sz w:val="18"/>
                <w:szCs w:val="18"/>
                <w:lang w:eastAsia="en-AU"/>
              </w:rPr>
              <w:t>*</w:t>
            </w:r>
          </w:p>
        </w:tc>
        <w:tc>
          <w:tcPr>
            <w:tcW w:w="1346" w:type="pct"/>
            <w:gridSpan w:val="2"/>
            <w:hideMark/>
          </w:tcPr>
          <w:p w14:paraId="06FAD4EC"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0.358</w:t>
            </w:r>
          </w:p>
        </w:tc>
        <w:tc>
          <w:tcPr>
            <w:tcW w:w="1349" w:type="pct"/>
            <w:gridSpan w:val="2"/>
            <w:hideMark/>
          </w:tcPr>
          <w:p w14:paraId="5FC70519" w14:textId="77777777" w:rsidR="00F57386" w:rsidRPr="0038479F"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1.015</w:t>
            </w:r>
          </w:p>
        </w:tc>
      </w:tr>
      <w:tr w:rsidR="008E0678" w:rsidRPr="0038479F" w14:paraId="7CBEF974" w14:textId="77777777" w:rsidTr="004A08F9">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noWrap/>
            <w:hideMark/>
          </w:tcPr>
          <w:p w14:paraId="47F423C8" w14:textId="77777777" w:rsidR="00F57386" w:rsidRPr="0038479F" w:rsidRDefault="00F57386" w:rsidP="006E41FD">
            <w:pPr>
              <w:keepNext/>
              <w:rPr>
                <w:rFonts w:eastAsia="Times New Roman" w:cs="Arial"/>
                <w:b w:val="0"/>
                <w:bCs/>
                <w:color w:val="000000"/>
                <w:sz w:val="18"/>
                <w:szCs w:val="18"/>
                <w:lang w:eastAsia="en-AU"/>
              </w:rPr>
            </w:pPr>
            <w:r w:rsidRPr="0038479F">
              <w:rPr>
                <w:rFonts w:eastAsia="Times New Roman" w:cs="Arial"/>
                <w:bCs/>
                <w:color w:val="000000"/>
                <w:sz w:val="18"/>
                <w:szCs w:val="18"/>
                <w:lang w:eastAsia="en-AU"/>
              </w:rPr>
              <w:t>TtW group (Group 1)</w:t>
            </w:r>
          </w:p>
        </w:tc>
        <w:tc>
          <w:tcPr>
            <w:tcW w:w="402" w:type="pct"/>
            <w:gridSpan w:val="2"/>
            <w:noWrap/>
            <w:hideMark/>
          </w:tcPr>
          <w:p w14:paraId="7C0D7A35"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c>
          <w:tcPr>
            <w:tcW w:w="1346" w:type="pct"/>
            <w:gridSpan w:val="2"/>
            <w:noWrap/>
            <w:hideMark/>
          </w:tcPr>
          <w:p w14:paraId="2C163931"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c>
          <w:tcPr>
            <w:tcW w:w="1349" w:type="pct"/>
            <w:gridSpan w:val="2"/>
            <w:noWrap/>
            <w:hideMark/>
          </w:tcPr>
          <w:p w14:paraId="6B9CE30A" w14:textId="77777777" w:rsidR="00F57386" w:rsidRPr="0038479F"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 </w:t>
            </w:r>
          </w:p>
        </w:tc>
      </w:tr>
      <w:tr w:rsidR="008E0678" w:rsidRPr="0038479F" w14:paraId="2968C5CA" w14:textId="77777777" w:rsidTr="004A08F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4574DD0A" w14:textId="6EDEA885" w:rsidR="00F57386" w:rsidRPr="0038479F" w:rsidRDefault="00F57386" w:rsidP="004E6757">
            <w:pPr>
              <w:rPr>
                <w:rFonts w:eastAsia="Times New Roman" w:cs="Arial"/>
                <w:color w:val="000000"/>
                <w:sz w:val="18"/>
                <w:szCs w:val="18"/>
                <w:lang w:eastAsia="en-AU"/>
              </w:rPr>
            </w:pPr>
            <w:r w:rsidRPr="0038479F">
              <w:rPr>
                <w:rFonts w:eastAsia="Times New Roman" w:cs="Arial"/>
                <w:color w:val="000000"/>
                <w:sz w:val="18"/>
                <w:szCs w:val="18"/>
                <w:lang w:eastAsia="en-AU"/>
              </w:rPr>
              <w:t>Group 2</w:t>
            </w:r>
          </w:p>
        </w:tc>
        <w:tc>
          <w:tcPr>
            <w:tcW w:w="402" w:type="pct"/>
            <w:gridSpan w:val="2"/>
            <w:hideMark/>
          </w:tcPr>
          <w:p w14:paraId="2F5092E3" w14:textId="77777777" w:rsidR="00F57386" w:rsidRPr="0038479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0.286</w:t>
            </w:r>
          </w:p>
        </w:tc>
        <w:tc>
          <w:tcPr>
            <w:tcW w:w="1346" w:type="pct"/>
            <w:gridSpan w:val="2"/>
            <w:hideMark/>
          </w:tcPr>
          <w:p w14:paraId="411FE887" w14:textId="77777777" w:rsidR="00F57386" w:rsidRPr="0038479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-0.055</w:t>
            </w:r>
          </w:p>
        </w:tc>
        <w:tc>
          <w:tcPr>
            <w:tcW w:w="1349" w:type="pct"/>
            <w:gridSpan w:val="2"/>
            <w:hideMark/>
          </w:tcPr>
          <w:p w14:paraId="002869A0" w14:textId="77777777" w:rsidR="00F57386" w:rsidRPr="0038479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0.628</w:t>
            </w:r>
          </w:p>
        </w:tc>
      </w:tr>
      <w:tr w:rsidR="008E0678" w:rsidRPr="0038479F" w14:paraId="09A97B82" w14:textId="77777777" w:rsidTr="004A08F9">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3378A5BC" w14:textId="6EF3F0D2" w:rsidR="00F57386" w:rsidRPr="0038479F" w:rsidRDefault="00F57386" w:rsidP="004E6757">
            <w:pPr>
              <w:rPr>
                <w:rFonts w:eastAsia="Times New Roman" w:cs="Arial"/>
                <w:color w:val="000000"/>
                <w:sz w:val="18"/>
                <w:szCs w:val="18"/>
                <w:lang w:eastAsia="en-AU"/>
              </w:rPr>
            </w:pPr>
            <w:r w:rsidRPr="0038479F">
              <w:rPr>
                <w:rFonts w:eastAsia="Times New Roman" w:cs="Arial"/>
                <w:color w:val="000000"/>
                <w:sz w:val="18"/>
                <w:szCs w:val="18"/>
                <w:lang w:eastAsia="en-AU"/>
              </w:rPr>
              <w:t>Group 3</w:t>
            </w:r>
          </w:p>
        </w:tc>
        <w:tc>
          <w:tcPr>
            <w:tcW w:w="402" w:type="pct"/>
            <w:gridSpan w:val="2"/>
            <w:hideMark/>
          </w:tcPr>
          <w:p w14:paraId="367AECDF"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-0.071</w:t>
            </w:r>
          </w:p>
        </w:tc>
        <w:tc>
          <w:tcPr>
            <w:tcW w:w="1346" w:type="pct"/>
            <w:gridSpan w:val="2"/>
            <w:hideMark/>
          </w:tcPr>
          <w:p w14:paraId="24DDFD1B"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-1.129</w:t>
            </w:r>
          </w:p>
        </w:tc>
        <w:tc>
          <w:tcPr>
            <w:tcW w:w="1349" w:type="pct"/>
            <w:gridSpan w:val="2"/>
            <w:hideMark/>
          </w:tcPr>
          <w:p w14:paraId="7343C355"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0.987</w:t>
            </w:r>
          </w:p>
        </w:tc>
      </w:tr>
      <w:tr w:rsidR="008E0678" w:rsidRPr="0038479F" w14:paraId="16FA9681" w14:textId="77777777" w:rsidTr="004A08F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noWrap/>
            <w:hideMark/>
          </w:tcPr>
          <w:p w14:paraId="45F3E5CB" w14:textId="77777777" w:rsidR="00F57386" w:rsidRPr="0038479F" w:rsidRDefault="00F57386" w:rsidP="004E6757">
            <w:pPr>
              <w:rPr>
                <w:rFonts w:eastAsia="Times New Roman" w:cs="Arial"/>
                <w:b w:val="0"/>
                <w:bCs/>
                <w:color w:val="000000"/>
                <w:sz w:val="18"/>
                <w:szCs w:val="18"/>
                <w:lang w:eastAsia="en-AU"/>
              </w:rPr>
            </w:pPr>
            <w:r w:rsidRPr="0038479F">
              <w:rPr>
                <w:rFonts w:eastAsia="Times New Roman" w:cs="Arial"/>
                <w:bCs/>
                <w:color w:val="000000"/>
                <w:sz w:val="18"/>
                <w:szCs w:val="18"/>
                <w:lang w:eastAsia="en-AU"/>
              </w:rPr>
              <w:t>Education (Year 11 or less)</w:t>
            </w:r>
          </w:p>
        </w:tc>
        <w:tc>
          <w:tcPr>
            <w:tcW w:w="402" w:type="pct"/>
            <w:gridSpan w:val="2"/>
            <w:noWrap/>
            <w:hideMark/>
          </w:tcPr>
          <w:p w14:paraId="38C38619" w14:textId="77777777" w:rsidR="00F57386" w:rsidRPr="0038479F" w:rsidRDefault="00F57386" w:rsidP="004E6757">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 </w:t>
            </w:r>
          </w:p>
        </w:tc>
        <w:tc>
          <w:tcPr>
            <w:tcW w:w="1346" w:type="pct"/>
            <w:gridSpan w:val="2"/>
            <w:noWrap/>
            <w:hideMark/>
          </w:tcPr>
          <w:p w14:paraId="3FFC2F65" w14:textId="77777777" w:rsidR="00F57386" w:rsidRPr="0038479F" w:rsidRDefault="00F57386" w:rsidP="004E6757">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 </w:t>
            </w:r>
          </w:p>
        </w:tc>
        <w:tc>
          <w:tcPr>
            <w:tcW w:w="1349" w:type="pct"/>
            <w:gridSpan w:val="2"/>
            <w:noWrap/>
            <w:hideMark/>
          </w:tcPr>
          <w:p w14:paraId="48B30604" w14:textId="77777777" w:rsidR="00F57386" w:rsidRPr="0038479F" w:rsidRDefault="00F57386" w:rsidP="004E6757">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 </w:t>
            </w:r>
          </w:p>
        </w:tc>
      </w:tr>
      <w:tr w:rsidR="008E0678" w:rsidRPr="0038479F" w14:paraId="244AB8EA" w14:textId="77777777" w:rsidTr="004A08F9">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266C9E8B" w14:textId="1F6AA7E5" w:rsidR="00F57386" w:rsidRPr="0038479F" w:rsidRDefault="00F57386" w:rsidP="004E6757">
            <w:pPr>
              <w:rPr>
                <w:rFonts w:eastAsia="Times New Roman" w:cs="Arial"/>
                <w:color w:val="000000"/>
                <w:sz w:val="18"/>
                <w:szCs w:val="18"/>
                <w:lang w:eastAsia="en-AU"/>
              </w:rPr>
            </w:pPr>
            <w:r w:rsidRPr="0038479F">
              <w:rPr>
                <w:rFonts w:eastAsia="Times New Roman" w:cs="Arial"/>
                <w:color w:val="000000"/>
                <w:sz w:val="18"/>
                <w:szCs w:val="18"/>
                <w:lang w:eastAsia="en-AU"/>
              </w:rPr>
              <w:t>Year 12 or higher</w:t>
            </w:r>
          </w:p>
        </w:tc>
        <w:tc>
          <w:tcPr>
            <w:tcW w:w="402" w:type="pct"/>
            <w:gridSpan w:val="2"/>
            <w:hideMark/>
          </w:tcPr>
          <w:p w14:paraId="300AFF82"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0.103</w:t>
            </w:r>
          </w:p>
        </w:tc>
        <w:tc>
          <w:tcPr>
            <w:tcW w:w="1346" w:type="pct"/>
            <w:gridSpan w:val="2"/>
            <w:hideMark/>
          </w:tcPr>
          <w:p w14:paraId="30F8DCDE"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-0.223</w:t>
            </w:r>
          </w:p>
        </w:tc>
        <w:tc>
          <w:tcPr>
            <w:tcW w:w="1349" w:type="pct"/>
            <w:gridSpan w:val="2"/>
            <w:hideMark/>
          </w:tcPr>
          <w:p w14:paraId="563E04CB"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0.429</w:t>
            </w:r>
          </w:p>
        </w:tc>
      </w:tr>
      <w:tr w:rsidR="008E0678" w:rsidRPr="0038479F" w14:paraId="052F92B8" w14:textId="77777777" w:rsidTr="004A08F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noWrap/>
            <w:hideMark/>
          </w:tcPr>
          <w:p w14:paraId="61A4A254" w14:textId="77777777" w:rsidR="00F57386" w:rsidRPr="0038479F" w:rsidRDefault="00F57386" w:rsidP="004E6757">
            <w:pPr>
              <w:rPr>
                <w:rFonts w:eastAsia="Times New Roman" w:cs="Arial"/>
                <w:b w:val="0"/>
                <w:bCs/>
                <w:color w:val="000000"/>
                <w:sz w:val="18"/>
                <w:szCs w:val="18"/>
                <w:lang w:eastAsia="en-AU"/>
              </w:rPr>
            </w:pPr>
            <w:r w:rsidRPr="0038479F">
              <w:rPr>
                <w:rFonts w:eastAsia="Times New Roman" w:cs="Arial"/>
                <w:bCs/>
                <w:color w:val="000000"/>
                <w:sz w:val="18"/>
                <w:szCs w:val="18"/>
                <w:lang w:eastAsia="en-AU"/>
              </w:rPr>
              <w:t>Current JSCI score (26+)</w:t>
            </w:r>
          </w:p>
        </w:tc>
        <w:tc>
          <w:tcPr>
            <w:tcW w:w="402" w:type="pct"/>
            <w:gridSpan w:val="2"/>
            <w:noWrap/>
            <w:hideMark/>
          </w:tcPr>
          <w:p w14:paraId="03F448A3" w14:textId="77777777" w:rsidR="00F57386" w:rsidRPr="0038479F" w:rsidRDefault="00F57386" w:rsidP="004E6757">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 </w:t>
            </w:r>
          </w:p>
        </w:tc>
        <w:tc>
          <w:tcPr>
            <w:tcW w:w="1346" w:type="pct"/>
            <w:gridSpan w:val="2"/>
            <w:noWrap/>
            <w:hideMark/>
          </w:tcPr>
          <w:p w14:paraId="4D9339B4" w14:textId="77777777" w:rsidR="00F57386" w:rsidRPr="0038479F" w:rsidRDefault="00F57386" w:rsidP="004E6757">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 </w:t>
            </w:r>
          </w:p>
        </w:tc>
        <w:tc>
          <w:tcPr>
            <w:tcW w:w="1349" w:type="pct"/>
            <w:gridSpan w:val="2"/>
            <w:noWrap/>
            <w:hideMark/>
          </w:tcPr>
          <w:p w14:paraId="241999D7" w14:textId="77777777" w:rsidR="00F57386" w:rsidRPr="0038479F" w:rsidRDefault="00F57386" w:rsidP="004E6757">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 </w:t>
            </w:r>
          </w:p>
        </w:tc>
      </w:tr>
      <w:tr w:rsidR="008E0678" w:rsidRPr="0038479F" w14:paraId="37B4AA4E" w14:textId="77777777" w:rsidTr="004A08F9">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0D1C4682" w14:textId="78C96E8C" w:rsidR="00F57386" w:rsidRPr="0038479F" w:rsidRDefault="00F57386" w:rsidP="004E6757">
            <w:pPr>
              <w:rPr>
                <w:rFonts w:eastAsia="Times New Roman" w:cs="Arial"/>
                <w:color w:val="000000"/>
                <w:sz w:val="18"/>
                <w:szCs w:val="18"/>
                <w:lang w:eastAsia="en-AU"/>
              </w:rPr>
            </w:pPr>
            <w:r w:rsidRPr="0038479F">
              <w:rPr>
                <w:rFonts w:eastAsia="Times New Roman" w:cs="Arial"/>
                <w:color w:val="000000"/>
                <w:sz w:val="18"/>
                <w:szCs w:val="18"/>
                <w:lang w:eastAsia="en-AU"/>
              </w:rPr>
              <w:t>0</w:t>
            </w:r>
            <w:r w:rsidR="00824177">
              <w:rPr>
                <w:rFonts w:eastAsia="Times New Roman" w:cs="Arial"/>
                <w:color w:val="000000"/>
                <w:sz w:val="18"/>
                <w:szCs w:val="18"/>
                <w:lang w:eastAsia="en-AU"/>
              </w:rPr>
              <w:t>–</w:t>
            </w:r>
            <w:r w:rsidRPr="0038479F">
              <w:rPr>
                <w:rFonts w:eastAsia="Times New Roman" w:cs="Arial"/>
                <w:color w:val="000000"/>
                <w:sz w:val="18"/>
                <w:szCs w:val="18"/>
                <w:lang w:eastAsia="en-AU"/>
              </w:rPr>
              <w:t>25</w:t>
            </w:r>
          </w:p>
        </w:tc>
        <w:tc>
          <w:tcPr>
            <w:tcW w:w="402" w:type="pct"/>
            <w:gridSpan w:val="2"/>
            <w:hideMark/>
          </w:tcPr>
          <w:p w14:paraId="10C99C68"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0.425</w:t>
            </w:r>
            <w:r>
              <w:rPr>
                <w:rFonts w:eastAsia="Times New Roman" w:cs="Arial"/>
                <w:color w:val="000000"/>
                <w:sz w:val="18"/>
                <w:szCs w:val="18"/>
                <w:lang w:eastAsia="en-AU"/>
              </w:rPr>
              <w:t>*</w:t>
            </w:r>
          </w:p>
        </w:tc>
        <w:tc>
          <w:tcPr>
            <w:tcW w:w="1346" w:type="pct"/>
            <w:gridSpan w:val="2"/>
            <w:hideMark/>
          </w:tcPr>
          <w:p w14:paraId="2181F795"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0.098</w:t>
            </w:r>
          </w:p>
        </w:tc>
        <w:tc>
          <w:tcPr>
            <w:tcW w:w="1349" w:type="pct"/>
            <w:gridSpan w:val="2"/>
            <w:hideMark/>
          </w:tcPr>
          <w:p w14:paraId="1203D2A4"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0.752</w:t>
            </w:r>
          </w:p>
        </w:tc>
      </w:tr>
      <w:tr w:rsidR="00F57386" w:rsidRPr="0038479F" w14:paraId="7396E07A" w14:textId="77777777" w:rsidTr="004A08F9">
        <w:trPr>
          <w:gridAfter w:val="1"/>
          <w:cnfStyle w:val="000000100000" w:firstRow="0" w:lastRow="0" w:firstColumn="0" w:lastColumn="0" w:oddVBand="0" w:evenVBand="0" w:oddHBand="1" w:evenHBand="0" w:firstRowFirstColumn="0" w:firstRowLastColumn="0" w:lastRowFirstColumn="0" w:lastRowLastColumn="0"/>
          <w:wAfter w:w="4" w:type="pct"/>
          <w:trHeight w:val="306"/>
        </w:trPr>
        <w:tc>
          <w:tcPr>
            <w:cnfStyle w:val="001000000000" w:firstRow="0" w:lastRow="0" w:firstColumn="1" w:lastColumn="0" w:oddVBand="0" w:evenVBand="0" w:oddHBand="0" w:evenHBand="0" w:firstRowFirstColumn="0" w:firstRowLastColumn="0" w:lastRowFirstColumn="0" w:lastRowLastColumn="0"/>
            <w:tcW w:w="2301" w:type="pct"/>
            <w:gridSpan w:val="2"/>
            <w:noWrap/>
            <w:hideMark/>
          </w:tcPr>
          <w:p w14:paraId="28F64C2D" w14:textId="0DEC19A5" w:rsidR="00F57386" w:rsidRPr="0038479F" w:rsidRDefault="00F57386" w:rsidP="004E6757">
            <w:pPr>
              <w:rPr>
                <w:rFonts w:eastAsia="Times New Roman" w:cs="Arial"/>
                <w:b w:val="0"/>
                <w:bCs/>
                <w:color w:val="000000"/>
                <w:sz w:val="18"/>
                <w:szCs w:val="18"/>
                <w:lang w:eastAsia="en-AU"/>
              </w:rPr>
            </w:pPr>
            <w:r w:rsidRPr="0038479F">
              <w:rPr>
                <w:rFonts w:eastAsia="Times New Roman" w:cs="Arial"/>
                <w:bCs/>
                <w:color w:val="000000"/>
                <w:sz w:val="18"/>
                <w:szCs w:val="18"/>
                <w:lang w:eastAsia="en-AU"/>
              </w:rPr>
              <w:t xml:space="preserve">Remoteness area (Major </w:t>
            </w:r>
            <w:r w:rsidR="001159FE">
              <w:rPr>
                <w:rFonts w:eastAsia="Times New Roman" w:cs="Arial"/>
                <w:bCs/>
                <w:color w:val="000000"/>
                <w:sz w:val="18"/>
                <w:szCs w:val="18"/>
                <w:lang w:eastAsia="en-AU"/>
              </w:rPr>
              <w:t>C</w:t>
            </w:r>
            <w:r w:rsidRPr="0038479F">
              <w:rPr>
                <w:rFonts w:eastAsia="Times New Roman" w:cs="Arial"/>
                <w:bCs/>
                <w:color w:val="000000"/>
                <w:sz w:val="18"/>
                <w:szCs w:val="18"/>
                <w:lang w:eastAsia="en-AU"/>
              </w:rPr>
              <w:t xml:space="preserve">ity or </w:t>
            </w:r>
            <w:r w:rsidR="001159FE">
              <w:rPr>
                <w:rFonts w:eastAsia="Times New Roman" w:cs="Arial"/>
                <w:bCs/>
                <w:color w:val="000000"/>
                <w:sz w:val="18"/>
                <w:szCs w:val="18"/>
                <w:lang w:eastAsia="en-AU"/>
              </w:rPr>
              <w:t>I</w:t>
            </w:r>
            <w:r w:rsidRPr="0038479F">
              <w:rPr>
                <w:rFonts w:eastAsia="Times New Roman" w:cs="Arial"/>
                <w:bCs/>
                <w:color w:val="000000"/>
                <w:sz w:val="18"/>
                <w:szCs w:val="18"/>
                <w:lang w:eastAsia="en-AU"/>
              </w:rPr>
              <w:t xml:space="preserve">nner </w:t>
            </w:r>
            <w:r w:rsidR="001159FE">
              <w:rPr>
                <w:rFonts w:eastAsia="Times New Roman" w:cs="Arial"/>
                <w:bCs/>
                <w:color w:val="000000"/>
                <w:sz w:val="18"/>
                <w:szCs w:val="18"/>
                <w:lang w:eastAsia="en-AU"/>
              </w:rPr>
              <w:t>R</w:t>
            </w:r>
            <w:r w:rsidRPr="0038479F">
              <w:rPr>
                <w:rFonts w:eastAsia="Times New Roman" w:cs="Arial"/>
                <w:bCs/>
                <w:color w:val="000000"/>
                <w:sz w:val="18"/>
                <w:szCs w:val="18"/>
                <w:lang w:eastAsia="en-AU"/>
              </w:rPr>
              <w:t>egional)</w:t>
            </w:r>
          </w:p>
        </w:tc>
        <w:tc>
          <w:tcPr>
            <w:tcW w:w="1345" w:type="pct"/>
            <w:gridSpan w:val="2"/>
            <w:noWrap/>
            <w:hideMark/>
          </w:tcPr>
          <w:p w14:paraId="0BD52C06" w14:textId="77777777" w:rsidR="00F57386" w:rsidRPr="0038479F" w:rsidRDefault="00F57386" w:rsidP="004E6757">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 </w:t>
            </w:r>
          </w:p>
        </w:tc>
        <w:tc>
          <w:tcPr>
            <w:tcW w:w="1349" w:type="pct"/>
            <w:gridSpan w:val="2"/>
            <w:noWrap/>
            <w:hideMark/>
          </w:tcPr>
          <w:p w14:paraId="0C069536" w14:textId="77777777" w:rsidR="00F57386" w:rsidRPr="0038479F" w:rsidRDefault="00F57386" w:rsidP="004E6757">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 </w:t>
            </w:r>
          </w:p>
        </w:tc>
      </w:tr>
      <w:tr w:rsidR="008E0678" w:rsidRPr="0038479F" w14:paraId="616E5ED1" w14:textId="77777777" w:rsidTr="004A08F9">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7E2E9A6F" w14:textId="6A928AB6" w:rsidR="00F57386" w:rsidRPr="0038479F" w:rsidRDefault="00F57386" w:rsidP="004E6757">
            <w:pPr>
              <w:rPr>
                <w:rFonts w:eastAsia="Times New Roman" w:cs="Arial"/>
                <w:color w:val="000000"/>
                <w:sz w:val="18"/>
                <w:szCs w:val="18"/>
                <w:lang w:eastAsia="en-AU"/>
              </w:rPr>
            </w:pPr>
            <w:r w:rsidRPr="0038479F">
              <w:rPr>
                <w:rFonts w:eastAsia="Times New Roman" w:cs="Arial"/>
                <w:color w:val="000000"/>
                <w:sz w:val="18"/>
                <w:szCs w:val="18"/>
                <w:lang w:eastAsia="en-AU"/>
              </w:rPr>
              <w:t xml:space="preserve">Regional or </w:t>
            </w:r>
            <w:r w:rsidR="00AD74F5">
              <w:rPr>
                <w:rFonts w:eastAsia="Times New Roman" w:cs="Arial"/>
                <w:color w:val="000000"/>
                <w:sz w:val="18"/>
                <w:szCs w:val="18"/>
                <w:lang w:eastAsia="en-AU"/>
              </w:rPr>
              <w:t>R</w:t>
            </w:r>
            <w:r w:rsidRPr="0038479F">
              <w:rPr>
                <w:rFonts w:eastAsia="Times New Roman" w:cs="Arial"/>
                <w:color w:val="000000"/>
                <w:sz w:val="18"/>
                <w:szCs w:val="18"/>
                <w:lang w:eastAsia="en-AU"/>
              </w:rPr>
              <w:t xml:space="preserve">emote </w:t>
            </w:r>
          </w:p>
        </w:tc>
        <w:tc>
          <w:tcPr>
            <w:tcW w:w="402" w:type="pct"/>
            <w:gridSpan w:val="2"/>
            <w:hideMark/>
          </w:tcPr>
          <w:p w14:paraId="5CE786BD"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-0.147</w:t>
            </w:r>
          </w:p>
        </w:tc>
        <w:tc>
          <w:tcPr>
            <w:tcW w:w="1346" w:type="pct"/>
            <w:gridSpan w:val="2"/>
            <w:hideMark/>
          </w:tcPr>
          <w:p w14:paraId="3928E896"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-0.549</w:t>
            </w:r>
          </w:p>
        </w:tc>
        <w:tc>
          <w:tcPr>
            <w:tcW w:w="1349" w:type="pct"/>
            <w:gridSpan w:val="2"/>
            <w:hideMark/>
          </w:tcPr>
          <w:p w14:paraId="716F99DB" w14:textId="77777777" w:rsidR="00F57386" w:rsidRPr="0038479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38479F">
              <w:rPr>
                <w:rFonts w:eastAsia="Times New Roman" w:cs="Arial"/>
                <w:color w:val="000000"/>
                <w:sz w:val="18"/>
                <w:szCs w:val="18"/>
                <w:lang w:eastAsia="en-AU"/>
              </w:rPr>
              <w:t>0.256</w:t>
            </w:r>
          </w:p>
        </w:tc>
      </w:tr>
      <w:tr w:rsidR="008E0678" w:rsidRPr="0038479F" w14:paraId="0BDB6ED2" w14:textId="77777777" w:rsidTr="004A08F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903" w:type="pct"/>
            <w:hideMark/>
          </w:tcPr>
          <w:p w14:paraId="6238664B" w14:textId="77777777" w:rsidR="00F57386" w:rsidRPr="0038479F" w:rsidRDefault="00F57386" w:rsidP="004E6757">
            <w:pPr>
              <w:rPr>
                <w:rFonts w:eastAsia="Times New Roman" w:cs="Arial"/>
                <w:b w:val="0"/>
                <w:bCs/>
                <w:color w:val="000000"/>
                <w:sz w:val="18"/>
                <w:szCs w:val="18"/>
                <w:lang w:eastAsia="en-AU"/>
              </w:rPr>
            </w:pPr>
            <w:r w:rsidRPr="0038479F">
              <w:rPr>
                <w:rFonts w:eastAsia="Times New Roman" w:cs="Arial"/>
                <w:bCs/>
                <w:color w:val="000000"/>
                <w:sz w:val="18"/>
                <w:szCs w:val="18"/>
                <w:lang w:eastAsia="en-AU"/>
              </w:rPr>
              <w:t>Number of service months (continuous)</w:t>
            </w:r>
          </w:p>
        </w:tc>
        <w:tc>
          <w:tcPr>
            <w:tcW w:w="402" w:type="pct"/>
            <w:gridSpan w:val="2"/>
            <w:hideMark/>
          </w:tcPr>
          <w:p w14:paraId="28B93A71" w14:textId="77777777" w:rsidR="00F57386" w:rsidRPr="0038479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0.065</w:t>
            </w:r>
          </w:p>
        </w:tc>
        <w:tc>
          <w:tcPr>
            <w:tcW w:w="1346" w:type="pct"/>
            <w:gridSpan w:val="2"/>
            <w:hideMark/>
          </w:tcPr>
          <w:p w14:paraId="6503C9CE" w14:textId="77777777" w:rsidR="00F57386" w:rsidRPr="0038479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-0.199</w:t>
            </w:r>
          </w:p>
        </w:tc>
        <w:tc>
          <w:tcPr>
            <w:tcW w:w="1349" w:type="pct"/>
            <w:gridSpan w:val="2"/>
            <w:hideMark/>
          </w:tcPr>
          <w:p w14:paraId="5D61CBFC" w14:textId="77777777" w:rsidR="00F57386" w:rsidRPr="0038479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38479F">
              <w:rPr>
                <w:rFonts w:eastAsia="Times New Roman" w:cs="Arial"/>
                <w:b/>
                <w:bCs/>
                <w:color w:val="000000"/>
                <w:sz w:val="18"/>
                <w:szCs w:val="18"/>
                <w:lang w:eastAsia="en-AU"/>
              </w:rPr>
              <w:t>0.328</w:t>
            </w:r>
          </w:p>
        </w:tc>
      </w:tr>
    </w:tbl>
    <w:p w14:paraId="7C3733D2" w14:textId="12E06194" w:rsidR="00F57386" w:rsidRPr="00CA435E" w:rsidRDefault="00F57386" w:rsidP="00F57386">
      <w:r w:rsidRPr="00CA435E">
        <w:rPr>
          <w:sz w:val="16"/>
        </w:rPr>
        <w:t>1. *</w:t>
      </w:r>
      <w:r w:rsidR="004657A9">
        <w:rPr>
          <w:sz w:val="16"/>
        </w:rPr>
        <w:t>V</w:t>
      </w:r>
      <w:r w:rsidRPr="00CA435E">
        <w:rPr>
          <w:sz w:val="16"/>
        </w:rPr>
        <w:t xml:space="preserve">ariable has statistically significant coefficient: </w:t>
      </w:r>
      <w:r w:rsidRPr="00C239FD">
        <w:rPr>
          <w:i/>
          <w:iCs/>
          <w:sz w:val="16"/>
        </w:rPr>
        <w:t>p</w:t>
      </w:r>
      <w:r w:rsidRPr="00CA435E">
        <w:rPr>
          <w:sz w:val="16"/>
        </w:rPr>
        <w:t xml:space="preserve"> &lt; 0.05</w:t>
      </w:r>
    </w:p>
    <w:p w14:paraId="6CCBEEB4" w14:textId="62D4356B" w:rsidR="00F57386" w:rsidRDefault="00F57386" w:rsidP="00F57386">
      <w:pPr>
        <w:pStyle w:val="Caption"/>
        <w:rPr>
          <w:noProof/>
        </w:rPr>
      </w:pPr>
      <w:bookmarkStart w:id="4183" w:name="_Toc132647828"/>
      <w:bookmarkStart w:id="4184" w:name="_Toc145877342"/>
      <w:r>
        <w:t xml:space="preserve">Table </w:t>
      </w:r>
      <w:r>
        <w:fldChar w:fldCharType="begin"/>
      </w:r>
      <w:r>
        <w:instrText>SEQ Table \* ARABIC</w:instrText>
      </w:r>
      <w:r>
        <w:fldChar w:fldCharType="separate"/>
      </w:r>
      <w:r w:rsidR="00180E14">
        <w:rPr>
          <w:noProof/>
        </w:rPr>
        <w:t>53</w:t>
      </w:r>
      <w:r>
        <w:fldChar w:fldCharType="end"/>
      </w:r>
      <w:r>
        <w:rPr>
          <w:noProof/>
        </w:rPr>
        <w:t>: Regression results for TtW program elements and life satisafction score</w:t>
      </w:r>
      <w:bookmarkEnd w:id="4183"/>
      <w:bookmarkEnd w:id="4184"/>
    </w:p>
    <w:tbl>
      <w:tblPr>
        <w:tblStyle w:val="TtWReportTableTemplate2"/>
        <w:tblW w:w="4968" w:type="pct"/>
        <w:tblLayout w:type="fixed"/>
        <w:tblLook w:val="04A0" w:firstRow="1" w:lastRow="0" w:firstColumn="1" w:lastColumn="0" w:noHBand="0" w:noVBand="1"/>
      </w:tblPr>
      <w:tblGrid>
        <w:gridCol w:w="1841"/>
        <w:gridCol w:w="1841"/>
        <w:gridCol w:w="1841"/>
        <w:gridCol w:w="1605"/>
        <w:gridCol w:w="1840"/>
      </w:tblGrid>
      <w:tr w:rsidR="008E0678" w:rsidRPr="007D2D22" w14:paraId="3BF460ED" w14:textId="77777777" w:rsidTr="00C239FD">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hideMark/>
          </w:tcPr>
          <w:p w14:paraId="6691737D" w14:textId="77777777" w:rsidR="00F57386" w:rsidRPr="007D2D22"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0" w:type="pct"/>
            <w:shd w:val="clear" w:color="auto" w:fill="5D7A38"/>
            <w:hideMark/>
          </w:tcPr>
          <w:p w14:paraId="7508653D" w14:textId="77777777" w:rsidR="00F57386" w:rsidRPr="007D2D22" w:rsidRDefault="00F57386" w:rsidP="004E6757">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0" w:type="pct"/>
            <w:shd w:val="clear" w:color="auto" w:fill="5D7A38"/>
            <w:hideMark/>
          </w:tcPr>
          <w:p w14:paraId="5E20C567" w14:textId="77777777" w:rsidR="00F57386" w:rsidRPr="00824177" w:rsidRDefault="00F57386" w:rsidP="00C239FD">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Lower 95% </w:t>
            </w:r>
            <w:r w:rsidRPr="00C239FD">
              <w:rPr>
                <w:rFonts w:eastAsia="Times New Roman" w:cs="Arial"/>
                <w:bCs/>
                <w:color w:val="FFFFFF"/>
                <w:sz w:val="18"/>
                <w:szCs w:val="18"/>
                <w:lang w:eastAsia="en-AU"/>
              </w:rPr>
              <w:t>confidence</w:t>
            </w:r>
            <w:r w:rsidRPr="00C239FD">
              <w:rPr>
                <w:bCs/>
                <w:sz w:val="18"/>
                <w:szCs w:val="18"/>
              </w:rPr>
              <w:t> limit</w:t>
            </w:r>
          </w:p>
        </w:tc>
        <w:tc>
          <w:tcPr>
            <w:tcW w:w="0" w:type="pct"/>
            <w:gridSpan w:val="2"/>
            <w:shd w:val="clear" w:color="auto" w:fill="5D7A38"/>
            <w:hideMark/>
          </w:tcPr>
          <w:p w14:paraId="2A41DE28" w14:textId="77777777" w:rsidR="00F57386" w:rsidRPr="00824177" w:rsidRDefault="00F57386" w:rsidP="00C239FD">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rFonts w:eastAsia="Times New Roman" w:cs="Arial"/>
                <w:bCs/>
                <w:color w:val="FFFFFF"/>
                <w:sz w:val="18"/>
                <w:szCs w:val="18"/>
                <w:lang w:eastAsia="en-AU"/>
              </w:rPr>
              <w:t>Upper</w:t>
            </w:r>
            <w:r w:rsidRPr="00C239FD">
              <w:rPr>
                <w:bCs/>
                <w:sz w:val="18"/>
                <w:szCs w:val="18"/>
              </w:rPr>
              <w:t xml:space="preserve"> 95% confidence limit</w:t>
            </w:r>
          </w:p>
        </w:tc>
      </w:tr>
      <w:tr w:rsidR="008E0678" w:rsidRPr="007D2D22" w14:paraId="4A1800B9" w14:textId="77777777" w:rsidTr="00C239F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pct"/>
            <w:hideMark/>
          </w:tcPr>
          <w:p w14:paraId="29372703" w14:textId="77777777" w:rsidR="00F57386" w:rsidRPr="007D2D22" w:rsidRDefault="00F57386" w:rsidP="004E6757">
            <w:pPr>
              <w:rPr>
                <w:rFonts w:eastAsia="Times New Roman" w:cs="Arial"/>
                <w:b w:val="0"/>
                <w:bCs/>
                <w:color w:val="000000"/>
                <w:sz w:val="18"/>
                <w:szCs w:val="18"/>
                <w:lang w:eastAsia="en-AU"/>
              </w:rPr>
            </w:pPr>
            <w:r w:rsidRPr="007D2D22">
              <w:rPr>
                <w:rFonts w:eastAsia="Times New Roman" w:cs="Arial"/>
                <w:bCs/>
                <w:color w:val="000000"/>
                <w:sz w:val="18"/>
                <w:szCs w:val="18"/>
                <w:lang w:eastAsia="en-AU"/>
              </w:rPr>
              <w:t>(Intercept)</w:t>
            </w:r>
          </w:p>
        </w:tc>
        <w:tc>
          <w:tcPr>
            <w:tcW w:w="0" w:type="pct"/>
            <w:hideMark/>
          </w:tcPr>
          <w:p w14:paraId="43E0596F"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D2D22">
              <w:rPr>
                <w:rFonts w:eastAsia="Times New Roman" w:cs="Arial"/>
                <w:b/>
                <w:bCs/>
                <w:color w:val="000000"/>
                <w:sz w:val="18"/>
                <w:szCs w:val="18"/>
                <w:lang w:eastAsia="en-AU"/>
              </w:rPr>
              <w:t>4.874</w:t>
            </w:r>
            <w:r>
              <w:rPr>
                <w:rFonts w:eastAsia="Times New Roman" w:cs="Arial"/>
                <w:b/>
                <w:bCs/>
                <w:color w:val="000000"/>
                <w:sz w:val="18"/>
                <w:szCs w:val="18"/>
                <w:lang w:eastAsia="en-AU"/>
              </w:rPr>
              <w:t>*</w:t>
            </w:r>
          </w:p>
        </w:tc>
        <w:tc>
          <w:tcPr>
            <w:tcW w:w="0" w:type="pct"/>
            <w:hideMark/>
          </w:tcPr>
          <w:p w14:paraId="10D3CBC6"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D2D22">
              <w:rPr>
                <w:rFonts w:eastAsia="Times New Roman" w:cs="Arial"/>
                <w:b/>
                <w:bCs/>
                <w:color w:val="000000"/>
                <w:sz w:val="18"/>
                <w:szCs w:val="18"/>
                <w:lang w:eastAsia="en-AU"/>
              </w:rPr>
              <w:t>4.493</w:t>
            </w:r>
          </w:p>
        </w:tc>
        <w:tc>
          <w:tcPr>
            <w:tcW w:w="0" w:type="pct"/>
            <w:gridSpan w:val="2"/>
            <w:hideMark/>
          </w:tcPr>
          <w:p w14:paraId="283D133E"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D2D22">
              <w:rPr>
                <w:rFonts w:eastAsia="Times New Roman" w:cs="Arial"/>
                <w:b/>
                <w:bCs/>
                <w:color w:val="000000"/>
                <w:sz w:val="18"/>
                <w:szCs w:val="18"/>
                <w:lang w:eastAsia="en-AU"/>
              </w:rPr>
              <w:t>5.254</w:t>
            </w:r>
          </w:p>
        </w:tc>
      </w:tr>
      <w:tr w:rsidR="008E0678" w:rsidRPr="007D2D22" w14:paraId="4B73A976" w14:textId="77777777" w:rsidTr="00C239FD">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pct"/>
            <w:noWrap/>
            <w:hideMark/>
          </w:tcPr>
          <w:p w14:paraId="15E092D3" w14:textId="77777777" w:rsidR="00F57386" w:rsidRPr="007D2D22" w:rsidRDefault="00F57386" w:rsidP="004E6757">
            <w:pPr>
              <w:rPr>
                <w:rFonts w:eastAsia="Times New Roman" w:cs="Arial"/>
                <w:b w:val="0"/>
                <w:bCs/>
                <w:color w:val="000000"/>
                <w:sz w:val="18"/>
                <w:szCs w:val="18"/>
                <w:lang w:eastAsia="en-AU"/>
              </w:rPr>
            </w:pPr>
            <w:r w:rsidRPr="007D2D22">
              <w:rPr>
                <w:rFonts w:eastAsia="Times New Roman" w:cs="Arial"/>
                <w:bCs/>
                <w:color w:val="000000"/>
                <w:sz w:val="18"/>
                <w:szCs w:val="18"/>
                <w:lang w:eastAsia="en-AU"/>
              </w:rPr>
              <w:t>Satisfaction with caseworker (other)</w:t>
            </w:r>
          </w:p>
        </w:tc>
        <w:tc>
          <w:tcPr>
            <w:tcW w:w="0" w:type="pct"/>
            <w:noWrap/>
            <w:hideMark/>
          </w:tcPr>
          <w:p w14:paraId="636D656B"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pct"/>
            <w:noWrap/>
            <w:hideMark/>
          </w:tcPr>
          <w:p w14:paraId="76D89F9F"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pct"/>
            <w:gridSpan w:val="2"/>
            <w:noWrap/>
            <w:hideMark/>
          </w:tcPr>
          <w:p w14:paraId="6F708A39"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8E0678" w:rsidRPr="007D2D22" w14:paraId="5E0CF688" w14:textId="77777777" w:rsidTr="00C239F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pct"/>
            <w:hideMark/>
          </w:tcPr>
          <w:p w14:paraId="2F38FE57" w14:textId="450C2F1A" w:rsidR="00F57386" w:rsidRPr="007D2D22" w:rsidRDefault="00F57386" w:rsidP="004E6757">
            <w:pPr>
              <w:rPr>
                <w:rFonts w:eastAsia="Times New Roman" w:cs="Arial"/>
                <w:color w:val="000000"/>
                <w:sz w:val="18"/>
                <w:szCs w:val="18"/>
                <w:lang w:eastAsia="en-AU"/>
              </w:rPr>
            </w:pPr>
            <w:r w:rsidRPr="007D2D22">
              <w:rPr>
                <w:rFonts w:eastAsia="Times New Roman" w:cs="Arial"/>
                <w:color w:val="000000"/>
                <w:sz w:val="18"/>
                <w:szCs w:val="18"/>
                <w:lang w:eastAsia="en-AU"/>
              </w:rPr>
              <w:t xml:space="preserve">Satisfied / very satisfied </w:t>
            </w:r>
          </w:p>
        </w:tc>
        <w:tc>
          <w:tcPr>
            <w:tcW w:w="0" w:type="pct"/>
            <w:hideMark/>
          </w:tcPr>
          <w:p w14:paraId="38822DB7"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0.767</w:t>
            </w:r>
            <w:r>
              <w:rPr>
                <w:rFonts w:eastAsia="Times New Roman" w:cs="Arial"/>
                <w:color w:val="000000"/>
                <w:sz w:val="18"/>
                <w:szCs w:val="18"/>
                <w:lang w:eastAsia="en-AU"/>
              </w:rPr>
              <w:t>*</w:t>
            </w:r>
          </w:p>
        </w:tc>
        <w:tc>
          <w:tcPr>
            <w:tcW w:w="0" w:type="pct"/>
            <w:hideMark/>
          </w:tcPr>
          <w:p w14:paraId="7520A4B6"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0.365</w:t>
            </w:r>
          </w:p>
        </w:tc>
        <w:tc>
          <w:tcPr>
            <w:tcW w:w="0" w:type="pct"/>
            <w:gridSpan w:val="2"/>
            <w:hideMark/>
          </w:tcPr>
          <w:p w14:paraId="005BD527"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1.169</w:t>
            </w:r>
          </w:p>
        </w:tc>
      </w:tr>
      <w:tr w:rsidR="008E0678" w:rsidRPr="007D2D22" w14:paraId="7838DC56" w14:textId="77777777" w:rsidTr="00C239FD">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pct"/>
            <w:noWrap/>
            <w:hideMark/>
          </w:tcPr>
          <w:p w14:paraId="325AB68B" w14:textId="77777777" w:rsidR="00F57386" w:rsidRPr="007D2D22" w:rsidRDefault="00F57386" w:rsidP="004E6757">
            <w:pPr>
              <w:rPr>
                <w:rFonts w:eastAsia="Times New Roman" w:cs="Arial"/>
                <w:b w:val="0"/>
                <w:bCs/>
                <w:color w:val="000000"/>
                <w:sz w:val="18"/>
                <w:szCs w:val="18"/>
                <w:lang w:eastAsia="en-AU"/>
              </w:rPr>
            </w:pPr>
            <w:r w:rsidRPr="007D2D22">
              <w:rPr>
                <w:rFonts w:eastAsia="Times New Roman" w:cs="Arial"/>
                <w:bCs/>
                <w:color w:val="000000"/>
                <w:sz w:val="18"/>
                <w:szCs w:val="18"/>
                <w:lang w:eastAsia="en-AU"/>
              </w:rPr>
              <w:lastRenderedPageBreak/>
              <w:t>Attitude when joined (other)</w:t>
            </w:r>
          </w:p>
        </w:tc>
        <w:tc>
          <w:tcPr>
            <w:tcW w:w="0" w:type="pct"/>
            <w:noWrap/>
            <w:hideMark/>
          </w:tcPr>
          <w:p w14:paraId="5D19D360"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0" w:type="pct"/>
            <w:noWrap/>
            <w:hideMark/>
          </w:tcPr>
          <w:p w14:paraId="42CF04C2"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0" w:type="pct"/>
            <w:gridSpan w:val="2"/>
            <w:noWrap/>
            <w:hideMark/>
          </w:tcPr>
          <w:p w14:paraId="1AF65C1F"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r>
      <w:tr w:rsidR="008E0678" w:rsidRPr="007D2D22" w14:paraId="28FB87B6" w14:textId="77777777" w:rsidTr="00C239F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pct"/>
            <w:hideMark/>
          </w:tcPr>
          <w:p w14:paraId="3869CF98" w14:textId="7F77C518" w:rsidR="00F57386" w:rsidRPr="007D2D22" w:rsidRDefault="00F57386" w:rsidP="004E6757">
            <w:pPr>
              <w:rPr>
                <w:rFonts w:eastAsia="Times New Roman" w:cs="Arial"/>
                <w:color w:val="000000"/>
                <w:sz w:val="18"/>
                <w:szCs w:val="18"/>
                <w:lang w:eastAsia="en-AU"/>
              </w:rPr>
            </w:pPr>
            <w:r w:rsidRPr="007D2D22">
              <w:rPr>
                <w:rFonts w:eastAsia="Times New Roman" w:cs="Arial"/>
                <w:color w:val="000000"/>
                <w:sz w:val="18"/>
                <w:szCs w:val="18"/>
                <w:lang w:eastAsia="en-AU"/>
              </w:rPr>
              <w:t xml:space="preserve">Positive / very positive </w:t>
            </w:r>
          </w:p>
        </w:tc>
        <w:tc>
          <w:tcPr>
            <w:tcW w:w="0" w:type="pct"/>
            <w:hideMark/>
          </w:tcPr>
          <w:p w14:paraId="4E4DD9E7"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0.812</w:t>
            </w:r>
            <w:r>
              <w:rPr>
                <w:rFonts w:eastAsia="Times New Roman" w:cs="Arial"/>
                <w:color w:val="000000"/>
                <w:sz w:val="18"/>
                <w:szCs w:val="18"/>
                <w:lang w:eastAsia="en-AU"/>
              </w:rPr>
              <w:t>*</w:t>
            </w:r>
          </w:p>
        </w:tc>
        <w:tc>
          <w:tcPr>
            <w:tcW w:w="0" w:type="pct"/>
            <w:hideMark/>
          </w:tcPr>
          <w:p w14:paraId="1BAD4B09"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0.543</w:t>
            </w:r>
          </w:p>
        </w:tc>
        <w:tc>
          <w:tcPr>
            <w:tcW w:w="0" w:type="pct"/>
            <w:gridSpan w:val="2"/>
            <w:hideMark/>
          </w:tcPr>
          <w:p w14:paraId="6224631F"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1.082</w:t>
            </w:r>
          </w:p>
        </w:tc>
      </w:tr>
      <w:tr w:rsidR="00F57386" w:rsidRPr="007D2D22" w14:paraId="2DD679C2" w14:textId="77777777" w:rsidTr="00C239F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gridSpan w:val="4"/>
            <w:noWrap/>
            <w:hideMark/>
          </w:tcPr>
          <w:p w14:paraId="549216BA" w14:textId="77777777" w:rsidR="00F57386" w:rsidRPr="007D2D22" w:rsidRDefault="00F57386" w:rsidP="004E6757">
            <w:pPr>
              <w:rPr>
                <w:rFonts w:eastAsia="Times New Roman" w:cs="Arial"/>
                <w:b w:val="0"/>
                <w:bCs/>
                <w:color w:val="000000"/>
                <w:sz w:val="18"/>
                <w:szCs w:val="18"/>
                <w:lang w:eastAsia="en-AU"/>
              </w:rPr>
            </w:pPr>
            <w:r w:rsidRPr="007D2D22">
              <w:rPr>
                <w:rFonts w:eastAsia="Times New Roman" w:cs="Arial"/>
                <w:bCs/>
                <w:color w:val="000000"/>
                <w:sz w:val="18"/>
                <w:szCs w:val="18"/>
                <w:lang w:eastAsia="en-AU"/>
              </w:rPr>
              <w:t>Frequency of contact with caseworker (Less than weekly)</w:t>
            </w:r>
          </w:p>
        </w:tc>
        <w:tc>
          <w:tcPr>
            <w:tcW w:w="0" w:type="pct"/>
            <w:noWrap/>
            <w:hideMark/>
          </w:tcPr>
          <w:p w14:paraId="037EAD99" w14:textId="77777777" w:rsidR="00F57386" w:rsidRPr="007D2D22"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D2D22">
              <w:rPr>
                <w:rFonts w:eastAsia="Times New Roman" w:cs="Arial"/>
                <w:b/>
                <w:bCs/>
                <w:color w:val="000000"/>
                <w:sz w:val="18"/>
                <w:szCs w:val="18"/>
                <w:lang w:eastAsia="en-AU"/>
              </w:rPr>
              <w:t> </w:t>
            </w:r>
          </w:p>
        </w:tc>
      </w:tr>
      <w:tr w:rsidR="008E0678" w:rsidRPr="007D2D22" w14:paraId="7226ED43" w14:textId="77777777" w:rsidTr="00C239F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pct"/>
            <w:hideMark/>
          </w:tcPr>
          <w:p w14:paraId="1809E3A4" w14:textId="30D122F4" w:rsidR="00F57386" w:rsidRPr="007D2D22" w:rsidRDefault="00F57386" w:rsidP="004E6757">
            <w:pPr>
              <w:rPr>
                <w:rFonts w:eastAsia="Times New Roman" w:cs="Arial"/>
                <w:color w:val="000000"/>
                <w:sz w:val="18"/>
                <w:szCs w:val="18"/>
                <w:lang w:eastAsia="en-AU"/>
              </w:rPr>
            </w:pPr>
            <w:r w:rsidRPr="007D2D22">
              <w:rPr>
                <w:rFonts w:eastAsia="Times New Roman" w:cs="Arial"/>
                <w:color w:val="000000"/>
                <w:sz w:val="18"/>
                <w:szCs w:val="18"/>
                <w:lang w:eastAsia="en-AU"/>
              </w:rPr>
              <w:t xml:space="preserve">At least weekly </w:t>
            </w:r>
          </w:p>
        </w:tc>
        <w:tc>
          <w:tcPr>
            <w:tcW w:w="0" w:type="pct"/>
            <w:hideMark/>
          </w:tcPr>
          <w:p w14:paraId="4E6ECE17"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-0.157</w:t>
            </w:r>
          </w:p>
        </w:tc>
        <w:tc>
          <w:tcPr>
            <w:tcW w:w="0" w:type="pct"/>
            <w:hideMark/>
          </w:tcPr>
          <w:p w14:paraId="0BE51516"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-0.407</w:t>
            </w:r>
          </w:p>
        </w:tc>
        <w:tc>
          <w:tcPr>
            <w:tcW w:w="0" w:type="pct"/>
            <w:gridSpan w:val="2"/>
            <w:hideMark/>
          </w:tcPr>
          <w:p w14:paraId="6E66A077"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0.094</w:t>
            </w:r>
          </w:p>
        </w:tc>
      </w:tr>
      <w:tr w:rsidR="008E0678" w:rsidRPr="007D2D22" w14:paraId="652032FA" w14:textId="77777777" w:rsidTr="00C239FD">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pct"/>
            <w:noWrap/>
            <w:hideMark/>
          </w:tcPr>
          <w:p w14:paraId="5A69233E" w14:textId="77777777" w:rsidR="00F57386" w:rsidRPr="007D2D22" w:rsidRDefault="00F57386" w:rsidP="004E6757">
            <w:pPr>
              <w:rPr>
                <w:rFonts w:eastAsia="Times New Roman" w:cs="Arial"/>
                <w:b w:val="0"/>
                <w:bCs/>
                <w:color w:val="000000"/>
                <w:sz w:val="18"/>
                <w:szCs w:val="18"/>
                <w:lang w:eastAsia="en-AU"/>
              </w:rPr>
            </w:pPr>
            <w:r w:rsidRPr="007D2D22">
              <w:rPr>
                <w:rFonts w:eastAsia="Times New Roman" w:cs="Arial"/>
                <w:bCs/>
                <w:color w:val="000000"/>
                <w:sz w:val="18"/>
                <w:szCs w:val="18"/>
                <w:lang w:eastAsia="en-AU"/>
              </w:rPr>
              <w:t>Number of vocational supports (continuous)</w:t>
            </w:r>
          </w:p>
        </w:tc>
        <w:tc>
          <w:tcPr>
            <w:tcW w:w="0" w:type="pct"/>
            <w:noWrap/>
            <w:hideMark/>
          </w:tcPr>
          <w:p w14:paraId="0E79DDC3"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D2D22">
              <w:rPr>
                <w:rFonts w:cs="Arial"/>
                <w:b/>
                <w:bCs/>
                <w:sz w:val="18"/>
                <w:szCs w:val="18"/>
              </w:rPr>
              <w:t>0.170</w:t>
            </w:r>
            <w:r>
              <w:rPr>
                <w:rFonts w:cs="Arial"/>
                <w:b/>
                <w:bCs/>
                <w:sz w:val="18"/>
                <w:szCs w:val="18"/>
              </w:rPr>
              <w:t>*</w:t>
            </w:r>
          </w:p>
        </w:tc>
        <w:tc>
          <w:tcPr>
            <w:tcW w:w="0" w:type="pct"/>
            <w:noWrap/>
            <w:hideMark/>
          </w:tcPr>
          <w:p w14:paraId="743D4C51"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D2D22">
              <w:rPr>
                <w:rFonts w:cs="Arial"/>
                <w:b/>
                <w:bCs/>
                <w:sz w:val="18"/>
                <w:szCs w:val="18"/>
              </w:rPr>
              <w:t>0.078</w:t>
            </w:r>
          </w:p>
        </w:tc>
        <w:tc>
          <w:tcPr>
            <w:tcW w:w="0" w:type="pct"/>
            <w:gridSpan w:val="2"/>
            <w:noWrap/>
            <w:hideMark/>
          </w:tcPr>
          <w:p w14:paraId="6EA5AE64" w14:textId="77777777" w:rsidR="00F57386" w:rsidRPr="007D2D22"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D2D22">
              <w:rPr>
                <w:rFonts w:cs="Arial"/>
                <w:b/>
                <w:bCs/>
                <w:sz w:val="18"/>
                <w:szCs w:val="18"/>
              </w:rPr>
              <w:t>0.263</w:t>
            </w:r>
          </w:p>
        </w:tc>
      </w:tr>
      <w:tr w:rsidR="008E0678" w:rsidRPr="007D2D22" w14:paraId="3ABFE5AA" w14:textId="77777777" w:rsidTr="00C239F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pct"/>
            <w:noWrap/>
            <w:hideMark/>
          </w:tcPr>
          <w:p w14:paraId="1F509C61" w14:textId="77777777" w:rsidR="00F57386" w:rsidRPr="007D2D22" w:rsidRDefault="00F57386" w:rsidP="004E6757">
            <w:pPr>
              <w:rPr>
                <w:rFonts w:eastAsia="Times New Roman" w:cs="Arial"/>
                <w:b w:val="0"/>
                <w:bCs/>
                <w:color w:val="000000"/>
                <w:sz w:val="18"/>
                <w:szCs w:val="18"/>
                <w:lang w:eastAsia="en-AU"/>
              </w:rPr>
            </w:pPr>
            <w:r w:rsidRPr="007D2D22">
              <w:rPr>
                <w:rFonts w:eastAsia="Times New Roman" w:cs="Arial"/>
                <w:bCs/>
                <w:color w:val="000000"/>
                <w:sz w:val="18"/>
                <w:szCs w:val="18"/>
                <w:lang w:eastAsia="en-AU"/>
              </w:rPr>
              <w:t>Number of non-vocational supports (continuous)</w:t>
            </w:r>
          </w:p>
        </w:tc>
        <w:tc>
          <w:tcPr>
            <w:tcW w:w="0" w:type="pct"/>
            <w:noWrap/>
            <w:hideMark/>
          </w:tcPr>
          <w:p w14:paraId="728BFCDE"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-0.029</w:t>
            </w:r>
          </w:p>
        </w:tc>
        <w:tc>
          <w:tcPr>
            <w:tcW w:w="0" w:type="pct"/>
            <w:noWrap/>
            <w:hideMark/>
          </w:tcPr>
          <w:p w14:paraId="7F70C35C"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-0.084</w:t>
            </w:r>
          </w:p>
        </w:tc>
        <w:tc>
          <w:tcPr>
            <w:tcW w:w="0" w:type="pct"/>
            <w:gridSpan w:val="2"/>
            <w:noWrap/>
            <w:hideMark/>
          </w:tcPr>
          <w:p w14:paraId="2403A439" w14:textId="77777777" w:rsidR="00F57386" w:rsidRPr="007D2D22"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D2D22">
              <w:rPr>
                <w:rFonts w:eastAsia="Times New Roman" w:cs="Arial"/>
                <w:color w:val="000000"/>
                <w:sz w:val="18"/>
                <w:szCs w:val="18"/>
                <w:lang w:eastAsia="en-AU"/>
              </w:rPr>
              <w:t>0.026</w:t>
            </w:r>
          </w:p>
        </w:tc>
      </w:tr>
    </w:tbl>
    <w:p w14:paraId="6EDA851E" w14:textId="6986FB14" w:rsidR="00F57386" w:rsidRPr="007D2D22"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5031D259" w14:textId="26C6D1BE" w:rsidR="00F57386" w:rsidRDefault="00F57386" w:rsidP="00F57386">
      <w:pPr>
        <w:pStyle w:val="Caption"/>
      </w:pPr>
      <w:bookmarkStart w:id="4185" w:name="_Toc132647829"/>
      <w:bookmarkStart w:id="4186" w:name="_Toc145877343"/>
      <w:r>
        <w:t xml:space="preserve">Table </w:t>
      </w:r>
      <w:r>
        <w:fldChar w:fldCharType="begin"/>
      </w:r>
      <w:r>
        <w:instrText>SEQ Table \* ARABIC</w:instrText>
      </w:r>
      <w:r>
        <w:fldChar w:fldCharType="separate"/>
      </w:r>
      <w:r w:rsidR="00180E14">
        <w:rPr>
          <w:noProof/>
        </w:rPr>
        <w:t>54</w:t>
      </w:r>
      <w:r>
        <w:fldChar w:fldCharType="end"/>
      </w:r>
      <w:r>
        <w:t xml:space="preserve">: </w:t>
      </w:r>
      <w:r w:rsidRPr="004D7FAE">
        <w:t xml:space="preserve">Regression results for program type and </w:t>
      </w:r>
      <w:r w:rsidR="005F4E5F">
        <w:t>P</w:t>
      </w:r>
      <w:r w:rsidRPr="004D7FAE">
        <w:t xml:space="preserve">ersonal </w:t>
      </w:r>
      <w:r w:rsidR="005F4E5F">
        <w:t>W</w:t>
      </w:r>
      <w:r w:rsidRPr="004D7FAE">
        <w:t xml:space="preserve">ellbeing </w:t>
      </w:r>
      <w:r w:rsidR="005F4E5F">
        <w:t>I</w:t>
      </w:r>
      <w:r w:rsidRPr="004D7FAE">
        <w:t>ndex score</w:t>
      </w:r>
      <w:bookmarkEnd w:id="4185"/>
      <w:bookmarkEnd w:id="4186"/>
    </w:p>
    <w:tbl>
      <w:tblPr>
        <w:tblStyle w:val="TtWReportTableTemplate2"/>
        <w:tblW w:w="5000" w:type="pct"/>
        <w:tblLook w:val="04A0" w:firstRow="1" w:lastRow="0" w:firstColumn="1" w:lastColumn="0" w:noHBand="0" w:noVBand="1"/>
      </w:tblPr>
      <w:tblGrid>
        <w:gridCol w:w="3824"/>
        <w:gridCol w:w="955"/>
        <w:gridCol w:w="2303"/>
        <w:gridCol w:w="1944"/>
      </w:tblGrid>
      <w:tr w:rsidR="00F57386" w:rsidRPr="004D7FAE" w14:paraId="3E9563A3" w14:textId="77777777" w:rsidTr="00C24C7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118" w:type="pct"/>
            <w:shd w:val="clear" w:color="auto" w:fill="5D7A38"/>
            <w:hideMark/>
          </w:tcPr>
          <w:p w14:paraId="225F8350" w14:textId="77777777" w:rsidR="00F57386" w:rsidRPr="004D7FAE"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529" w:type="pct"/>
            <w:shd w:val="clear" w:color="auto" w:fill="5D7A38"/>
            <w:hideMark/>
          </w:tcPr>
          <w:p w14:paraId="453D6BE1" w14:textId="77777777" w:rsidR="00F57386" w:rsidRPr="004D7FAE" w:rsidRDefault="00F57386" w:rsidP="004E6757">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1276" w:type="pct"/>
            <w:shd w:val="clear" w:color="auto" w:fill="5D7A38"/>
            <w:hideMark/>
          </w:tcPr>
          <w:p w14:paraId="60606C14" w14:textId="77777777" w:rsidR="00F57386" w:rsidRPr="00C239FD" w:rsidRDefault="00F57386" w:rsidP="00C239FD">
            <w:pPr>
              <w:spacing w:before="120"/>
              <w:jc w:val="center"/>
              <w:cnfStyle w:val="100000000000" w:firstRow="1" w:lastRow="0" w:firstColumn="0" w:lastColumn="0" w:oddVBand="0" w:evenVBand="0" w:oddHBand="0" w:evenHBand="0" w:firstRowFirstColumn="0" w:firstRowLastColumn="0" w:lastRowFirstColumn="0" w:lastRowLastColumn="0"/>
              <w:rPr>
                <w:bCs/>
                <w:sz w:val="18"/>
                <w:szCs w:val="18"/>
              </w:rPr>
            </w:pPr>
            <w:r w:rsidRPr="00C239FD">
              <w:rPr>
                <w:bCs/>
                <w:sz w:val="18"/>
                <w:szCs w:val="18"/>
              </w:rPr>
              <w:t>Lower 95% confidence limit</w:t>
            </w:r>
          </w:p>
        </w:tc>
        <w:tc>
          <w:tcPr>
            <w:tcW w:w="1077" w:type="pct"/>
            <w:shd w:val="clear" w:color="auto" w:fill="5D7A38"/>
            <w:hideMark/>
          </w:tcPr>
          <w:p w14:paraId="6E1F3732" w14:textId="77777777" w:rsidR="00F57386" w:rsidRPr="00C239FD" w:rsidRDefault="00F57386" w:rsidP="00C239FD">
            <w:pPr>
              <w:spacing w:before="120"/>
              <w:jc w:val="center"/>
              <w:cnfStyle w:val="100000000000" w:firstRow="1" w:lastRow="0" w:firstColumn="0" w:lastColumn="0" w:oddVBand="0" w:evenVBand="0" w:oddHBand="0" w:evenHBand="0" w:firstRowFirstColumn="0" w:firstRowLastColumn="0" w:lastRowFirstColumn="0" w:lastRowLastColumn="0"/>
              <w:rPr>
                <w:bCs/>
                <w:sz w:val="18"/>
                <w:szCs w:val="18"/>
              </w:rPr>
            </w:pPr>
            <w:r w:rsidRPr="00C239FD">
              <w:rPr>
                <w:bCs/>
                <w:sz w:val="18"/>
                <w:szCs w:val="18"/>
              </w:rPr>
              <w:t>Upper 95% confidence limit</w:t>
            </w:r>
          </w:p>
        </w:tc>
      </w:tr>
      <w:tr w:rsidR="00F57386" w:rsidRPr="004D7FAE" w14:paraId="718B65AD"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8" w:type="pct"/>
            <w:hideMark/>
          </w:tcPr>
          <w:p w14:paraId="041C4267" w14:textId="77777777" w:rsidR="00F57386" w:rsidRPr="004D7FAE" w:rsidRDefault="00F57386" w:rsidP="004E6757">
            <w:pPr>
              <w:rPr>
                <w:rFonts w:eastAsia="Times New Roman" w:cs="Arial"/>
                <w:b w:val="0"/>
                <w:bCs/>
                <w:color w:val="000000"/>
                <w:sz w:val="18"/>
                <w:szCs w:val="18"/>
                <w:lang w:eastAsia="en-AU"/>
              </w:rPr>
            </w:pPr>
            <w:r w:rsidRPr="004D7FAE">
              <w:rPr>
                <w:rFonts w:eastAsia="Times New Roman" w:cs="Arial"/>
                <w:bCs/>
                <w:color w:val="000000"/>
                <w:sz w:val="18"/>
                <w:szCs w:val="18"/>
                <w:lang w:eastAsia="en-AU"/>
              </w:rPr>
              <w:t>(Intercept)</w:t>
            </w:r>
          </w:p>
        </w:tc>
        <w:tc>
          <w:tcPr>
            <w:tcW w:w="529" w:type="pct"/>
            <w:hideMark/>
          </w:tcPr>
          <w:p w14:paraId="4B2C2942"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74.35</w:t>
            </w:r>
            <w:r w:rsidRPr="002655B2">
              <w:rPr>
                <w:rFonts w:eastAsia="Times New Roman" w:cs="Arial"/>
                <w:b/>
                <w:bCs/>
                <w:color w:val="000000"/>
                <w:sz w:val="18"/>
                <w:szCs w:val="18"/>
                <w:lang w:eastAsia="en-AU"/>
              </w:rPr>
              <w:t>0</w:t>
            </w:r>
          </w:p>
        </w:tc>
        <w:tc>
          <w:tcPr>
            <w:tcW w:w="1276" w:type="pct"/>
            <w:hideMark/>
          </w:tcPr>
          <w:p w14:paraId="78379985"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70.893</w:t>
            </w:r>
            <w:r>
              <w:rPr>
                <w:rFonts w:eastAsia="Times New Roman" w:cs="Arial"/>
                <w:b/>
                <w:bCs/>
                <w:color w:val="000000"/>
                <w:sz w:val="18"/>
                <w:szCs w:val="18"/>
                <w:lang w:eastAsia="en-AU"/>
              </w:rPr>
              <w:t>*</w:t>
            </w:r>
          </w:p>
        </w:tc>
        <w:tc>
          <w:tcPr>
            <w:tcW w:w="1077" w:type="pct"/>
            <w:hideMark/>
          </w:tcPr>
          <w:p w14:paraId="08098DA3"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77.806</w:t>
            </w:r>
          </w:p>
        </w:tc>
      </w:tr>
      <w:tr w:rsidR="008E0678" w:rsidRPr="004D7FAE" w14:paraId="7F0C6B4D"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8" w:type="pct"/>
            <w:noWrap/>
            <w:hideMark/>
          </w:tcPr>
          <w:p w14:paraId="0BC89849" w14:textId="77777777" w:rsidR="00F57386" w:rsidRPr="004D7FAE" w:rsidRDefault="00F57386" w:rsidP="004E6757">
            <w:pPr>
              <w:rPr>
                <w:rFonts w:eastAsia="Times New Roman" w:cs="Arial"/>
                <w:b w:val="0"/>
                <w:bCs/>
                <w:color w:val="000000"/>
                <w:sz w:val="18"/>
                <w:szCs w:val="18"/>
                <w:lang w:eastAsia="en-AU"/>
              </w:rPr>
            </w:pPr>
            <w:r w:rsidRPr="004D7FAE">
              <w:rPr>
                <w:rFonts w:eastAsia="Times New Roman" w:cs="Arial"/>
                <w:bCs/>
                <w:color w:val="000000"/>
                <w:sz w:val="18"/>
                <w:szCs w:val="18"/>
                <w:lang w:eastAsia="en-AU"/>
              </w:rPr>
              <w:t>Program (jobactive)</w:t>
            </w:r>
          </w:p>
        </w:tc>
        <w:tc>
          <w:tcPr>
            <w:tcW w:w="529" w:type="pct"/>
            <w:noWrap/>
            <w:hideMark/>
          </w:tcPr>
          <w:p w14:paraId="2986D481" w14:textId="77777777" w:rsidR="00F57386" w:rsidRPr="004D7FAE"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D7FAE">
              <w:rPr>
                <w:rFonts w:eastAsia="Times New Roman" w:cs="Arial"/>
                <w:color w:val="000000"/>
                <w:sz w:val="18"/>
                <w:szCs w:val="18"/>
                <w:lang w:eastAsia="en-AU"/>
              </w:rPr>
              <w:t> </w:t>
            </w:r>
          </w:p>
        </w:tc>
        <w:tc>
          <w:tcPr>
            <w:tcW w:w="1276" w:type="pct"/>
            <w:noWrap/>
            <w:hideMark/>
          </w:tcPr>
          <w:p w14:paraId="3493243E" w14:textId="77777777" w:rsidR="00F57386" w:rsidRPr="004D7FAE"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D7FAE">
              <w:rPr>
                <w:rFonts w:eastAsia="Times New Roman" w:cs="Arial"/>
                <w:color w:val="000000"/>
                <w:sz w:val="18"/>
                <w:szCs w:val="18"/>
                <w:lang w:eastAsia="en-AU"/>
              </w:rPr>
              <w:t> </w:t>
            </w:r>
          </w:p>
        </w:tc>
        <w:tc>
          <w:tcPr>
            <w:tcW w:w="1077" w:type="pct"/>
            <w:noWrap/>
            <w:hideMark/>
          </w:tcPr>
          <w:p w14:paraId="0BE22E07" w14:textId="77777777" w:rsidR="00F57386" w:rsidRPr="004D7FAE"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D7FAE">
              <w:rPr>
                <w:rFonts w:eastAsia="Times New Roman" w:cs="Arial"/>
                <w:color w:val="000000"/>
                <w:sz w:val="18"/>
                <w:szCs w:val="18"/>
                <w:lang w:eastAsia="en-AU"/>
              </w:rPr>
              <w:t> </w:t>
            </w:r>
          </w:p>
        </w:tc>
      </w:tr>
      <w:tr w:rsidR="00F57386" w:rsidRPr="004D7FAE" w14:paraId="3123D437"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8" w:type="pct"/>
            <w:hideMark/>
          </w:tcPr>
          <w:p w14:paraId="1A7D61FC" w14:textId="60F53558" w:rsidR="00F57386" w:rsidRPr="004D7FAE" w:rsidRDefault="00F57386" w:rsidP="004E6757">
            <w:pPr>
              <w:rPr>
                <w:rFonts w:eastAsia="Times New Roman" w:cs="Arial"/>
                <w:color w:val="000000"/>
                <w:sz w:val="18"/>
                <w:szCs w:val="18"/>
                <w:lang w:eastAsia="en-AU"/>
              </w:rPr>
            </w:pPr>
            <w:r w:rsidRPr="004D7FAE">
              <w:rPr>
                <w:rFonts w:eastAsia="Times New Roman" w:cs="Arial"/>
                <w:color w:val="000000"/>
                <w:sz w:val="18"/>
                <w:szCs w:val="18"/>
                <w:lang w:eastAsia="en-AU"/>
              </w:rPr>
              <w:t>TtW</w:t>
            </w:r>
          </w:p>
        </w:tc>
        <w:tc>
          <w:tcPr>
            <w:tcW w:w="529" w:type="pct"/>
            <w:hideMark/>
          </w:tcPr>
          <w:p w14:paraId="5724C182"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D7FAE">
              <w:rPr>
                <w:rFonts w:eastAsia="Times New Roman" w:cs="Arial"/>
                <w:color w:val="000000"/>
                <w:sz w:val="18"/>
                <w:szCs w:val="18"/>
                <w:lang w:eastAsia="en-AU"/>
              </w:rPr>
              <w:t>4.241</w:t>
            </w:r>
          </w:p>
        </w:tc>
        <w:tc>
          <w:tcPr>
            <w:tcW w:w="1276" w:type="pct"/>
            <w:hideMark/>
          </w:tcPr>
          <w:p w14:paraId="38208493"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D7FAE">
              <w:rPr>
                <w:rFonts w:eastAsia="Times New Roman" w:cs="Arial"/>
                <w:color w:val="000000"/>
                <w:sz w:val="18"/>
                <w:szCs w:val="18"/>
                <w:lang w:eastAsia="en-AU"/>
              </w:rPr>
              <w:t>1.889</w:t>
            </w:r>
            <w:r>
              <w:rPr>
                <w:rFonts w:eastAsia="Times New Roman" w:cs="Arial"/>
                <w:color w:val="000000"/>
                <w:sz w:val="18"/>
                <w:szCs w:val="18"/>
                <w:lang w:eastAsia="en-AU"/>
              </w:rPr>
              <w:t>*</w:t>
            </w:r>
          </w:p>
        </w:tc>
        <w:tc>
          <w:tcPr>
            <w:tcW w:w="1077" w:type="pct"/>
            <w:hideMark/>
          </w:tcPr>
          <w:p w14:paraId="528AC7E7"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D7FAE">
              <w:rPr>
                <w:rFonts w:eastAsia="Times New Roman" w:cs="Arial"/>
                <w:color w:val="000000"/>
                <w:sz w:val="18"/>
                <w:szCs w:val="18"/>
                <w:lang w:eastAsia="en-AU"/>
              </w:rPr>
              <w:t>6.593</w:t>
            </w:r>
          </w:p>
        </w:tc>
      </w:tr>
      <w:tr w:rsidR="00F57386" w:rsidRPr="004D7FAE" w14:paraId="256C9FCF"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8" w:type="pct"/>
            <w:hideMark/>
          </w:tcPr>
          <w:p w14:paraId="46912004" w14:textId="77777777" w:rsidR="00F57386" w:rsidRPr="004D7FAE" w:rsidRDefault="00F57386" w:rsidP="004E6757">
            <w:pPr>
              <w:rPr>
                <w:rFonts w:eastAsia="Times New Roman" w:cs="Arial"/>
                <w:b w:val="0"/>
                <w:bCs/>
                <w:color w:val="000000"/>
                <w:sz w:val="18"/>
                <w:szCs w:val="18"/>
                <w:lang w:eastAsia="en-AU"/>
              </w:rPr>
            </w:pPr>
            <w:r w:rsidRPr="004D7FAE">
              <w:rPr>
                <w:rFonts w:eastAsia="Times New Roman" w:cs="Arial"/>
                <w:bCs/>
                <w:color w:val="000000"/>
                <w:sz w:val="18"/>
                <w:szCs w:val="18"/>
                <w:lang w:eastAsia="en-AU"/>
              </w:rPr>
              <w:t>Number of life events (continuous)</w:t>
            </w:r>
          </w:p>
        </w:tc>
        <w:tc>
          <w:tcPr>
            <w:tcW w:w="529" w:type="pct"/>
            <w:hideMark/>
          </w:tcPr>
          <w:p w14:paraId="488611B8" w14:textId="77777777" w:rsidR="00F57386" w:rsidRPr="004D7FAE"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-4.025</w:t>
            </w:r>
          </w:p>
        </w:tc>
        <w:tc>
          <w:tcPr>
            <w:tcW w:w="1276" w:type="pct"/>
            <w:hideMark/>
          </w:tcPr>
          <w:p w14:paraId="5A6298A2" w14:textId="77777777" w:rsidR="00F57386" w:rsidRPr="004D7FAE"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-4.595</w:t>
            </w:r>
            <w:r>
              <w:rPr>
                <w:rFonts w:eastAsia="Times New Roman" w:cs="Arial"/>
                <w:b/>
                <w:bCs/>
                <w:color w:val="000000"/>
                <w:sz w:val="18"/>
                <w:szCs w:val="18"/>
                <w:lang w:eastAsia="en-AU"/>
              </w:rPr>
              <w:t>*</w:t>
            </w:r>
          </w:p>
        </w:tc>
        <w:tc>
          <w:tcPr>
            <w:tcW w:w="1077" w:type="pct"/>
            <w:hideMark/>
          </w:tcPr>
          <w:p w14:paraId="1386620F" w14:textId="77777777" w:rsidR="00F57386" w:rsidRPr="004D7FAE"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-3.454</w:t>
            </w:r>
          </w:p>
        </w:tc>
      </w:tr>
      <w:tr w:rsidR="00F57386" w:rsidRPr="004D7FAE" w14:paraId="751854D6"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8" w:type="pct"/>
            <w:hideMark/>
          </w:tcPr>
          <w:p w14:paraId="533B912E" w14:textId="77777777" w:rsidR="00F57386" w:rsidRPr="004D7FAE" w:rsidRDefault="00F57386" w:rsidP="004E6757">
            <w:pPr>
              <w:rPr>
                <w:rFonts w:eastAsia="Times New Roman" w:cs="Arial"/>
                <w:b w:val="0"/>
                <w:bCs/>
                <w:color w:val="000000"/>
                <w:sz w:val="18"/>
                <w:szCs w:val="18"/>
                <w:lang w:eastAsia="en-AU"/>
              </w:rPr>
            </w:pPr>
            <w:r w:rsidRPr="004D7FAE">
              <w:rPr>
                <w:rFonts w:eastAsia="Times New Roman" w:cs="Arial"/>
                <w:bCs/>
                <w:color w:val="000000"/>
                <w:sz w:val="18"/>
                <w:szCs w:val="18"/>
                <w:lang w:eastAsia="en-AU"/>
              </w:rPr>
              <w:t xml:space="preserve">Number of service months (continuous) </w:t>
            </w:r>
          </w:p>
        </w:tc>
        <w:tc>
          <w:tcPr>
            <w:tcW w:w="529" w:type="pct"/>
            <w:hideMark/>
          </w:tcPr>
          <w:p w14:paraId="2F3D6868"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-0.017</w:t>
            </w:r>
          </w:p>
        </w:tc>
        <w:tc>
          <w:tcPr>
            <w:tcW w:w="1276" w:type="pct"/>
            <w:hideMark/>
          </w:tcPr>
          <w:p w14:paraId="61DB1753"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-0.165</w:t>
            </w:r>
          </w:p>
        </w:tc>
        <w:tc>
          <w:tcPr>
            <w:tcW w:w="1077" w:type="pct"/>
            <w:hideMark/>
          </w:tcPr>
          <w:p w14:paraId="2D1AB82D" w14:textId="77777777" w:rsidR="00F57386" w:rsidRPr="004D7FAE"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D7FAE">
              <w:rPr>
                <w:rFonts w:eastAsia="Times New Roman" w:cs="Arial"/>
                <w:b/>
                <w:bCs/>
                <w:color w:val="000000"/>
                <w:sz w:val="18"/>
                <w:szCs w:val="18"/>
                <w:lang w:eastAsia="en-AU"/>
              </w:rPr>
              <w:t>0.132</w:t>
            </w:r>
          </w:p>
        </w:tc>
      </w:tr>
    </w:tbl>
    <w:p w14:paraId="417B8250" w14:textId="04C9D6EF"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3A43188B" w14:textId="324F6704" w:rsidR="00F57386" w:rsidRDefault="00F57386" w:rsidP="00F57386">
      <w:pPr>
        <w:pStyle w:val="Caption"/>
      </w:pPr>
      <w:bookmarkStart w:id="4187" w:name="_Toc132647830"/>
      <w:bookmarkStart w:id="4188" w:name="_Toc145877344"/>
      <w:r>
        <w:t xml:space="preserve">Table </w:t>
      </w:r>
      <w:r>
        <w:fldChar w:fldCharType="begin"/>
      </w:r>
      <w:r>
        <w:instrText>SEQ Table \* ARABIC</w:instrText>
      </w:r>
      <w:r>
        <w:fldChar w:fldCharType="separate"/>
      </w:r>
      <w:r w:rsidR="00180E14">
        <w:rPr>
          <w:noProof/>
        </w:rPr>
        <w:t>55</w:t>
      </w:r>
      <w:r>
        <w:fldChar w:fldCharType="end"/>
      </w:r>
      <w:r>
        <w:t xml:space="preserve">: </w:t>
      </w:r>
      <w:r w:rsidRPr="007448BD">
        <w:t xml:space="preserve">Regression results for TtW characteristics and </w:t>
      </w:r>
      <w:r w:rsidR="005F4E5F">
        <w:t>P</w:t>
      </w:r>
      <w:r w:rsidRPr="007448BD">
        <w:t xml:space="preserve">ersonal </w:t>
      </w:r>
      <w:r w:rsidR="005F4E5F">
        <w:t>W</w:t>
      </w:r>
      <w:r w:rsidRPr="007448BD">
        <w:t xml:space="preserve">ellbeing </w:t>
      </w:r>
      <w:r w:rsidR="005F4E5F">
        <w:t>I</w:t>
      </w:r>
      <w:r w:rsidRPr="007448BD">
        <w:t>ndex score</w:t>
      </w:r>
      <w:bookmarkEnd w:id="4187"/>
      <w:bookmarkEnd w:id="4188"/>
    </w:p>
    <w:tbl>
      <w:tblPr>
        <w:tblStyle w:val="TtWReportTableTemplate2"/>
        <w:tblW w:w="5000" w:type="pct"/>
        <w:tblLook w:val="04A0" w:firstRow="1" w:lastRow="0" w:firstColumn="1" w:lastColumn="0" w:noHBand="0" w:noVBand="1"/>
      </w:tblPr>
      <w:tblGrid>
        <w:gridCol w:w="2875"/>
        <w:gridCol w:w="810"/>
        <w:gridCol w:w="3311"/>
        <w:gridCol w:w="257"/>
        <w:gridCol w:w="1773"/>
      </w:tblGrid>
      <w:tr w:rsidR="008E0678" w:rsidRPr="007448BD" w14:paraId="0A9CE765" w14:textId="77777777" w:rsidTr="00C239F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hideMark/>
          </w:tcPr>
          <w:p w14:paraId="3B117266" w14:textId="77777777" w:rsidR="00F57386" w:rsidRPr="007448BD"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0" w:type="pct"/>
            <w:shd w:val="clear" w:color="auto" w:fill="5D7A38"/>
            <w:hideMark/>
          </w:tcPr>
          <w:p w14:paraId="275E8E18" w14:textId="77777777" w:rsidR="00F57386" w:rsidRPr="007448BD" w:rsidRDefault="00F57386" w:rsidP="004E6757">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0" w:type="pct"/>
            <w:gridSpan w:val="2"/>
            <w:shd w:val="clear" w:color="auto" w:fill="5D7A38"/>
            <w:hideMark/>
          </w:tcPr>
          <w:p w14:paraId="717DFCCB" w14:textId="77777777" w:rsidR="00F57386" w:rsidRPr="00C239FD" w:rsidRDefault="00F57386" w:rsidP="00C239FD">
            <w:pPr>
              <w:spacing w:before="120"/>
              <w:jc w:val="center"/>
              <w:cnfStyle w:val="100000000000" w:firstRow="1" w:lastRow="0" w:firstColumn="0" w:lastColumn="0" w:oddVBand="0" w:evenVBand="0" w:oddHBand="0" w:evenHBand="0" w:firstRowFirstColumn="0" w:firstRowLastColumn="0" w:lastRowFirstColumn="0" w:lastRowLastColumn="0"/>
              <w:rPr>
                <w:bCs/>
                <w:sz w:val="18"/>
                <w:szCs w:val="18"/>
              </w:rPr>
            </w:pPr>
            <w:r w:rsidRPr="00C239FD">
              <w:rPr>
                <w:bCs/>
                <w:sz w:val="18"/>
                <w:szCs w:val="18"/>
              </w:rPr>
              <w:t>Lower 95% confidence limit</w:t>
            </w:r>
          </w:p>
        </w:tc>
        <w:tc>
          <w:tcPr>
            <w:tcW w:w="0" w:type="pct"/>
            <w:shd w:val="clear" w:color="auto" w:fill="5D7A38"/>
            <w:hideMark/>
          </w:tcPr>
          <w:p w14:paraId="0957DBEE" w14:textId="77777777" w:rsidR="00F57386" w:rsidRPr="00C239FD" w:rsidRDefault="00F57386" w:rsidP="00C239FD">
            <w:pPr>
              <w:spacing w:before="120"/>
              <w:jc w:val="center"/>
              <w:cnfStyle w:val="100000000000" w:firstRow="1" w:lastRow="0" w:firstColumn="0" w:lastColumn="0" w:oddVBand="0" w:evenVBand="0" w:oddHBand="0" w:evenHBand="0" w:firstRowFirstColumn="0" w:firstRowLastColumn="0" w:lastRowFirstColumn="0" w:lastRowLastColumn="0"/>
              <w:rPr>
                <w:bCs/>
                <w:sz w:val="18"/>
                <w:szCs w:val="18"/>
              </w:rPr>
            </w:pPr>
            <w:r w:rsidRPr="00C239FD">
              <w:rPr>
                <w:bCs/>
                <w:sz w:val="18"/>
                <w:szCs w:val="18"/>
              </w:rPr>
              <w:t>Upper 95% confidence limit</w:t>
            </w:r>
          </w:p>
        </w:tc>
      </w:tr>
      <w:tr w:rsidR="008E0678" w:rsidRPr="007448BD" w14:paraId="7C34381D" w14:textId="77777777" w:rsidTr="00C239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4065CE6E"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(Intercept)</w:t>
            </w:r>
          </w:p>
        </w:tc>
        <w:tc>
          <w:tcPr>
            <w:tcW w:w="0" w:type="pct"/>
            <w:hideMark/>
          </w:tcPr>
          <w:p w14:paraId="1CAD2968"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65.672</w:t>
            </w:r>
            <w:r>
              <w:rPr>
                <w:rFonts w:eastAsia="Times New Roman" w:cs="Arial"/>
                <w:b/>
                <w:bCs/>
                <w:color w:val="000000"/>
                <w:sz w:val="18"/>
                <w:szCs w:val="18"/>
                <w:lang w:eastAsia="en-AU"/>
              </w:rPr>
              <w:t>*</w:t>
            </w:r>
          </w:p>
        </w:tc>
        <w:tc>
          <w:tcPr>
            <w:tcW w:w="0" w:type="pct"/>
            <w:gridSpan w:val="2"/>
            <w:hideMark/>
          </w:tcPr>
          <w:p w14:paraId="3A1A2D49"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61.523</w:t>
            </w:r>
          </w:p>
        </w:tc>
        <w:tc>
          <w:tcPr>
            <w:tcW w:w="0" w:type="pct"/>
            <w:hideMark/>
          </w:tcPr>
          <w:p w14:paraId="19480D55"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69.82</w:t>
            </w:r>
          </w:p>
        </w:tc>
      </w:tr>
      <w:tr w:rsidR="008E0678" w:rsidRPr="007448BD" w14:paraId="072348EB" w14:textId="77777777" w:rsidTr="00C239F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noWrap/>
            <w:hideMark/>
          </w:tcPr>
          <w:p w14:paraId="7A59A040"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Age as of May 2021 (16 to 21 years)</w:t>
            </w:r>
          </w:p>
        </w:tc>
        <w:tc>
          <w:tcPr>
            <w:tcW w:w="0" w:type="pct"/>
            <w:noWrap/>
            <w:hideMark/>
          </w:tcPr>
          <w:p w14:paraId="5B65B0DB"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0" w:type="pct"/>
            <w:gridSpan w:val="2"/>
            <w:noWrap/>
            <w:hideMark/>
          </w:tcPr>
          <w:p w14:paraId="673EBA44"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0" w:type="pct"/>
            <w:noWrap/>
            <w:hideMark/>
          </w:tcPr>
          <w:p w14:paraId="6C7CB471"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r>
      <w:tr w:rsidR="008E0678" w:rsidRPr="007448BD" w14:paraId="00E56A56" w14:textId="77777777" w:rsidTr="00C23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6FB10834" w14:textId="01D78677"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22</w:t>
            </w:r>
            <w:r w:rsidR="00AD74F5">
              <w:rPr>
                <w:rFonts w:eastAsia="Times New Roman" w:cs="Arial"/>
                <w:color w:val="000000"/>
                <w:sz w:val="18"/>
                <w:szCs w:val="18"/>
                <w:lang w:eastAsia="en-AU"/>
              </w:rPr>
              <w:t>–</w:t>
            </w:r>
            <w:r w:rsidRPr="007448BD">
              <w:rPr>
                <w:rFonts w:eastAsia="Times New Roman" w:cs="Arial"/>
                <w:color w:val="000000"/>
                <w:sz w:val="18"/>
                <w:szCs w:val="18"/>
                <w:lang w:eastAsia="en-AU"/>
              </w:rPr>
              <w:t>25 years</w:t>
            </w:r>
          </w:p>
        </w:tc>
        <w:tc>
          <w:tcPr>
            <w:tcW w:w="0" w:type="pct"/>
            <w:hideMark/>
          </w:tcPr>
          <w:p w14:paraId="7594B2DD"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-4.315</w:t>
            </w:r>
            <w:r>
              <w:rPr>
                <w:rFonts w:eastAsia="Times New Roman" w:cs="Arial"/>
                <w:color w:val="000000"/>
                <w:sz w:val="18"/>
                <w:szCs w:val="18"/>
                <w:lang w:eastAsia="en-AU"/>
              </w:rPr>
              <w:t>*</w:t>
            </w:r>
          </w:p>
        </w:tc>
        <w:tc>
          <w:tcPr>
            <w:tcW w:w="0" w:type="pct"/>
            <w:gridSpan w:val="2"/>
            <w:hideMark/>
          </w:tcPr>
          <w:p w14:paraId="649ED1C7"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-7.991</w:t>
            </w:r>
          </w:p>
        </w:tc>
        <w:tc>
          <w:tcPr>
            <w:tcW w:w="0" w:type="pct"/>
            <w:hideMark/>
          </w:tcPr>
          <w:p w14:paraId="3BE2A51F"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-0.639</w:t>
            </w:r>
          </w:p>
        </w:tc>
      </w:tr>
      <w:tr w:rsidR="008E0678" w:rsidRPr="007448BD" w14:paraId="0B5D6872" w14:textId="77777777" w:rsidTr="00C239F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noWrap/>
            <w:hideMark/>
          </w:tcPr>
          <w:p w14:paraId="7C2D1112"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Gender (Female)</w:t>
            </w:r>
          </w:p>
        </w:tc>
        <w:tc>
          <w:tcPr>
            <w:tcW w:w="0" w:type="pct"/>
            <w:noWrap/>
            <w:hideMark/>
          </w:tcPr>
          <w:p w14:paraId="67F4E9B5"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0" w:type="pct"/>
            <w:gridSpan w:val="2"/>
            <w:noWrap/>
            <w:hideMark/>
          </w:tcPr>
          <w:p w14:paraId="39B6A809"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0" w:type="pct"/>
            <w:noWrap/>
            <w:hideMark/>
          </w:tcPr>
          <w:p w14:paraId="2F592E99"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r>
      <w:tr w:rsidR="008E0678" w:rsidRPr="007448BD" w14:paraId="06933444" w14:textId="77777777" w:rsidTr="00C23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197C8E1F" w14:textId="444E301D"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Male</w:t>
            </w:r>
          </w:p>
        </w:tc>
        <w:tc>
          <w:tcPr>
            <w:tcW w:w="0" w:type="pct"/>
            <w:hideMark/>
          </w:tcPr>
          <w:p w14:paraId="5A64F149"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0.548</w:t>
            </w:r>
          </w:p>
        </w:tc>
        <w:tc>
          <w:tcPr>
            <w:tcW w:w="0" w:type="pct"/>
            <w:gridSpan w:val="2"/>
            <w:hideMark/>
          </w:tcPr>
          <w:p w14:paraId="6D8955EF"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-1.801</w:t>
            </w:r>
          </w:p>
        </w:tc>
        <w:tc>
          <w:tcPr>
            <w:tcW w:w="0" w:type="pct"/>
            <w:hideMark/>
          </w:tcPr>
          <w:p w14:paraId="48B2988D"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2.896</w:t>
            </w:r>
          </w:p>
        </w:tc>
      </w:tr>
      <w:tr w:rsidR="00F57386" w:rsidRPr="007448BD" w14:paraId="0C19E4AB" w14:textId="77777777" w:rsidTr="00C239F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8" w:type="pct"/>
            <w:gridSpan w:val="3"/>
            <w:noWrap/>
            <w:hideMark/>
          </w:tcPr>
          <w:p w14:paraId="5848BC6A" w14:textId="2777D29D"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lastRenderedPageBreak/>
              <w:t>Aboriginal and/or Torres Strait Islander person (No)</w:t>
            </w:r>
          </w:p>
        </w:tc>
        <w:tc>
          <w:tcPr>
            <w:tcW w:w="0" w:type="pct"/>
            <w:noWrap/>
            <w:hideMark/>
          </w:tcPr>
          <w:p w14:paraId="797112AF"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 </w:t>
            </w:r>
          </w:p>
        </w:tc>
        <w:tc>
          <w:tcPr>
            <w:tcW w:w="0" w:type="pct"/>
            <w:noWrap/>
            <w:hideMark/>
          </w:tcPr>
          <w:p w14:paraId="01E6BE29"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 </w:t>
            </w:r>
          </w:p>
        </w:tc>
      </w:tr>
      <w:tr w:rsidR="008E0678" w:rsidRPr="007448BD" w14:paraId="107CC79D" w14:textId="77777777" w:rsidTr="00C23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58662952" w14:textId="3AD79B97"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Yes</w:t>
            </w:r>
          </w:p>
        </w:tc>
        <w:tc>
          <w:tcPr>
            <w:tcW w:w="0" w:type="pct"/>
            <w:hideMark/>
          </w:tcPr>
          <w:p w14:paraId="624C1E45"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6.586</w:t>
            </w:r>
            <w:r>
              <w:rPr>
                <w:rFonts w:eastAsia="Times New Roman" w:cs="Arial"/>
                <w:color w:val="000000"/>
                <w:sz w:val="18"/>
                <w:szCs w:val="18"/>
                <w:lang w:eastAsia="en-AU"/>
              </w:rPr>
              <w:t>*</w:t>
            </w:r>
          </w:p>
        </w:tc>
        <w:tc>
          <w:tcPr>
            <w:tcW w:w="0" w:type="pct"/>
            <w:gridSpan w:val="2"/>
            <w:hideMark/>
          </w:tcPr>
          <w:p w14:paraId="1D3238C7"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3.912</w:t>
            </w:r>
          </w:p>
        </w:tc>
        <w:tc>
          <w:tcPr>
            <w:tcW w:w="0" w:type="pct"/>
            <w:hideMark/>
          </w:tcPr>
          <w:p w14:paraId="2AB8D980"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9.26</w:t>
            </w:r>
          </w:p>
        </w:tc>
      </w:tr>
      <w:tr w:rsidR="008E0678" w:rsidRPr="007448BD" w14:paraId="57CAF7C1" w14:textId="77777777" w:rsidTr="00C239F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noWrap/>
            <w:hideMark/>
          </w:tcPr>
          <w:p w14:paraId="1E0289C9"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TtW group (Group 1)</w:t>
            </w:r>
          </w:p>
        </w:tc>
        <w:tc>
          <w:tcPr>
            <w:tcW w:w="0" w:type="pct"/>
            <w:noWrap/>
            <w:hideMark/>
          </w:tcPr>
          <w:p w14:paraId="626C9CE3"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 </w:t>
            </w:r>
          </w:p>
        </w:tc>
        <w:tc>
          <w:tcPr>
            <w:tcW w:w="0" w:type="pct"/>
            <w:gridSpan w:val="2"/>
            <w:noWrap/>
            <w:hideMark/>
          </w:tcPr>
          <w:p w14:paraId="7BCBAB7E"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 </w:t>
            </w:r>
          </w:p>
        </w:tc>
        <w:tc>
          <w:tcPr>
            <w:tcW w:w="0" w:type="pct"/>
            <w:noWrap/>
            <w:hideMark/>
          </w:tcPr>
          <w:p w14:paraId="4F7F0AB7"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 </w:t>
            </w:r>
          </w:p>
        </w:tc>
      </w:tr>
      <w:tr w:rsidR="008E0678" w:rsidRPr="007448BD" w14:paraId="22D717A6" w14:textId="77777777" w:rsidTr="00C23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208F88D2" w14:textId="7C78BF6D"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Group 2</w:t>
            </w:r>
          </w:p>
        </w:tc>
        <w:tc>
          <w:tcPr>
            <w:tcW w:w="0" w:type="pct"/>
            <w:hideMark/>
          </w:tcPr>
          <w:p w14:paraId="3D80B4BC"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2.329</w:t>
            </w:r>
          </w:p>
        </w:tc>
        <w:tc>
          <w:tcPr>
            <w:tcW w:w="0" w:type="pct"/>
            <w:gridSpan w:val="2"/>
            <w:hideMark/>
          </w:tcPr>
          <w:p w14:paraId="0DA25EFA"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-0.328</w:t>
            </w:r>
          </w:p>
        </w:tc>
        <w:tc>
          <w:tcPr>
            <w:tcW w:w="0" w:type="pct"/>
            <w:hideMark/>
          </w:tcPr>
          <w:p w14:paraId="292245A8"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4.985</w:t>
            </w:r>
          </w:p>
        </w:tc>
      </w:tr>
      <w:tr w:rsidR="008E0678" w:rsidRPr="007448BD" w14:paraId="136409BD" w14:textId="77777777" w:rsidTr="00C239F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30B2F813" w14:textId="3F54B50E"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Group 3</w:t>
            </w:r>
          </w:p>
        </w:tc>
        <w:tc>
          <w:tcPr>
            <w:tcW w:w="0" w:type="pct"/>
            <w:hideMark/>
          </w:tcPr>
          <w:p w14:paraId="5CE3B04A"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-1.497</w:t>
            </w:r>
          </w:p>
        </w:tc>
        <w:tc>
          <w:tcPr>
            <w:tcW w:w="0" w:type="pct"/>
            <w:gridSpan w:val="2"/>
            <w:hideMark/>
          </w:tcPr>
          <w:p w14:paraId="25EEFA59"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-10.918</w:t>
            </w:r>
          </w:p>
        </w:tc>
        <w:tc>
          <w:tcPr>
            <w:tcW w:w="0" w:type="pct"/>
            <w:hideMark/>
          </w:tcPr>
          <w:p w14:paraId="5C06FEA6"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7.924</w:t>
            </w:r>
          </w:p>
        </w:tc>
      </w:tr>
      <w:tr w:rsidR="008E0678" w:rsidRPr="007448BD" w14:paraId="6099212C" w14:textId="77777777" w:rsidTr="00C239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7FD64C8E"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Education (Year 11 or less)</w:t>
            </w:r>
          </w:p>
        </w:tc>
        <w:tc>
          <w:tcPr>
            <w:tcW w:w="0" w:type="pct"/>
            <w:hideMark/>
          </w:tcPr>
          <w:p w14:paraId="5B43ECEE" w14:textId="77777777" w:rsidR="00F57386" w:rsidRPr="007448BD"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7448BD">
              <w:rPr>
                <w:rFonts w:ascii="Calibri" w:eastAsia="Times New Roman" w:hAnsi="Calibri" w:cs="Calibri"/>
                <w:color w:val="000000"/>
                <w:sz w:val="18"/>
                <w:szCs w:val="18"/>
                <w:lang w:eastAsia="en-AU"/>
              </w:rPr>
              <w:t> </w:t>
            </w:r>
          </w:p>
        </w:tc>
        <w:tc>
          <w:tcPr>
            <w:tcW w:w="0" w:type="pct"/>
            <w:gridSpan w:val="2"/>
            <w:hideMark/>
          </w:tcPr>
          <w:p w14:paraId="57E53E5A" w14:textId="77777777" w:rsidR="00F57386" w:rsidRPr="007448BD"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7448BD">
              <w:rPr>
                <w:rFonts w:ascii="Calibri" w:eastAsia="Times New Roman" w:hAnsi="Calibri" w:cs="Calibri"/>
                <w:color w:val="000000"/>
                <w:sz w:val="18"/>
                <w:szCs w:val="18"/>
                <w:lang w:eastAsia="en-AU"/>
              </w:rPr>
              <w:t> </w:t>
            </w:r>
          </w:p>
        </w:tc>
        <w:tc>
          <w:tcPr>
            <w:tcW w:w="0" w:type="pct"/>
            <w:hideMark/>
          </w:tcPr>
          <w:p w14:paraId="1095DF03" w14:textId="77777777" w:rsidR="00F57386" w:rsidRPr="007448BD"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7448BD">
              <w:rPr>
                <w:rFonts w:ascii="Calibri" w:eastAsia="Times New Roman" w:hAnsi="Calibri" w:cs="Calibri"/>
                <w:color w:val="000000"/>
                <w:sz w:val="18"/>
                <w:szCs w:val="18"/>
                <w:lang w:eastAsia="en-AU"/>
              </w:rPr>
              <w:t> </w:t>
            </w:r>
          </w:p>
        </w:tc>
      </w:tr>
      <w:tr w:rsidR="008E0678" w:rsidRPr="007448BD" w14:paraId="18C5109D" w14:textId="77777777" w:rsidTr="00C239F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6D9A7FD4" w14:textId="2FB2A8B0"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Year 12 or higher</w:t>
            </w:r>
          </w:p>
        </w:tc>
        <w:tc>
          <w:tcPr>
            <w:tcW w:w="0" w:type="pct"/>
            <w:hideMark/>
          </w:tcPr>
          <w:p w14:paraId="5B26E8F7"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1.555</w:t>
            </w:r>
          </w:p>
        </w:tc>
        <w:tc>
          <w:tcPr>
            <w:tcW w:w="0" w:type="pct"/>
            <w:gridSpan w:val="2"/>
            <w:hideMark/>
          </w:tcPr>
          <w:p w14:paraId="7EC43CCB"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-0.999</w:t>
            </w:r>
          </w:p>
        </w:tc>
        <w:tc>
          <w:tcPr>
            <w:tcW w:w="0" w:type="pct"/>
            <w:hideMark/>
          </w:tcPr>
          <w:p w14:paraId="495D3B9F"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4.109</w:t>
            </w:r>
          </w:p>
        </w:tc>
      </w:tr>
      <w:tr w:rsidR="008E0678" w:rsidRPr="007448BD" w14:paraId="579AB68B" w14:textId="77777777" w:rsidTr="00C239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5B1B264F"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Current JSCI score (26+)</w:t>
            </w:r>
          </w:p>
        </w:tc>
        <w:tc>
          <w:tcPr>
            <w:tcW w:w="0" w:type="pct"/>
            <w:hideMark/>
          </w:tcPr>
          <w:p w14:paraId="3B998548"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 </w:t>
            </w:r>
          </w:p>
        </w:tc>
        <w:tc>
          <w:tcPr>
            <w:tcW w:w="0" w:type="pct"/>
            <w:gridSpan w:val="2"/>
            <w:hideMark/>
          </w:tcPr>
          <w:p w14:paraId="0B9AFA2B"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0" w:type="pct"/>
            <w:hideMark/>
          </w:tcPr>
          <w:p w14:paraId="537C0362"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r>
      <w:tr w:rsidR="008E0678" w:rsidRPr="007448BD" w14:paraId="30FA9305" w14:textId="77777777" w:rsidTr="00C239F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6559DA92" w14:textId="798ABF5A"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0</w:t>
            </w:r>
            <w:r w:rsidR="00AD74F5">
              <w:rPr>
                <w:rFonts w:eastAsia="Times New Roman" w:cs="Arial"/>
                <w:color w:val="000000"/>
                <w:sz w:val="18"/>
                <w:szCs w:val="18"/>
                <w:lang w:eastAsia="en-AU"/>
              </w:rPr>
              <w:t>–</w:t>
            </w:r>
            <w:r w:rsidRPr="007448BD">
              <w:rPr>
                <w:rFonts w:eastAsia="Times New Roman" w:cs="Arial"/>
                <w:color w:val="000000"/>
                <w:sz w:val="18"/>
                <w:szCs w:val="18"/>
                <w:lang w:eastAsia="en-AU"/>
              </w:rPr>
              <w:t>25</w:t>
            </w:r>
          </w:p>
        </w:tc>
        <w:tc>
          <w:tcPr>
            <w:tcW w:w="0" w:type="pct"/>
            <w:hideMark/>
          </w:tcPr>
          <w:p w14:paraId="4322F858"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3.651</w:t>
            </w:r>
            <w:r>
              <w:rPr>
                <w:rFonts w:eastAsia="Times New Roman" w:cs="Arial"/>
                <w:color w:val="000000"/>
                <w:sz w:val="18"/>
                <w:szCs w:val="18"/>
                <w:lang w:eastAsia="en-AU"/>
              </w:rPr>
              <w:t>*</w:t>
            </w:r>
          </w:p>
        </w:tc>
        <w:tc>
          <w:tcPr>
            <w:tcW w:w="0" w:type="pct"/>
            <w:gridSpan w:val="2"/>
            <w:hideMark/>
          </w:tcPr>
          <w:p w14:paraId="2F9E11A0"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0.862</w:t>
            </w:r>
          </w:p>
        </w:tc>
        <w:tc>
          <w:tcPr>
            <w:tcW w:w="0" w:type="pct"/>
            <w:hideMark/>
          </w:tcPr>
          <w:p w14:paraId="5E16EFCE"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6.44</w:t>
            </w:r>
            <w:r>
              <w:rPr>
                <w:rFonts w:eastAsia="Times New Roman" w:cs="Arial"/>
                <w:color w:val="000000"/>
                <w:sz w:val="18"/>
                <w:szCs w:val="18"/>
                <w:lang w:eastAsia="en-AU"/>
              </w:rPr>
              <w:t>0</w:t>
            </w:r>
          </w:p>
        </w:tc>
      </w:tr>
      <w:tr w:rsidR="008E0678" w:rsidRPr="007448BD" w14:paraId="479DECFF" w14:textId="77777777" w:rsidTr="00C239FD">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pct"/>
            <w:hideMark/>
          </w:tcPr>
          <w:p w14:paraId="17E6F0D9" w14:textId="3C62A936"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 xml:space="preserve">Remoteness area (Major </w:t>
            </w:r>
            <w:r w:rsidR="001159FE">
              <w:rPr>
                <w:rFonts w:eastAsia="Times New Roman" w:cs="Arial"/>
                <w:bCs/>
                <w:color w:val="000000"/>
                <w:sz w:val="18"/>
                <w:szCs w:val="18"/>
                <w:lang w:eastAsia="en-AU"/>
              </w:rPr>
              <w:t>C</w:t>
            </w:r>
            <w:r w:rsidRPr="007448BD">
              <w:rPr>
                <w:rFonts w:eastAsia="Times New Roman" w:cs="Arial"/>
                <w:bCs/>
                <w:color w:val="000000"/>
                <w:sz w:val="18"/>
                <w:szCs w:val="18"/>
                <w:lang w:eastAsia="en-AU"/>
              </w:rPr>
              <w:t xml:space="preserve">ity or </w:t>
            </w:r>
            <w:r w:rsidR="001159FE">
              <w:rPr>
                <w:rFonts w:eastAsia="Times New Roman" w:cs="Arial"/>
                <w:bCs/>
                <w:color w:val="000000"/>
                <w:sz w:val="18"/>
                <w:szCs w:val="18"/>
                <w:lang w:eastAsia="en-AU"/>
              </w:rPr>
              <w:t>I</w:t>
            </w:r>
            <w:r w:rsidRPr="007448BD">
              <w:rPr>
                <w:rFonts w:eastAsia="Times New Roman" w:cs="Arial"/>
                <w:bCs/>
                <w:color w:val="000000"/>
                <w:sz w:val="18"/>
                <w:szCs w:val="18"/>
                <w:lang w:eastAsia="en-AU"/>
              </w:rPr>
              <w:t xml:space="preserve">nner </w:t>
            </w:r>
            <w:r w:rsidR="001159FE">
              <w:rPr>
                <w:rFonts w:eastAsia="Times New Roman" w:cs="Arial"/>
                <w:bCs/>
                <w:color w:val="000000"/>
                <w:sz w:val="18"/>
                <w:szCs w:val="18"/>
                <w:lang w:eastAsia="en-AU"/>
              </w:rPr>
              <w:t>R</w:t>
            </w:r>
            <w:r w:rsidRPr="007448BD">
              <w:rPr>
                <w:rFonts w:eastAsia="Times New Roman" w:cs="Arial"/>
                <w:bCs/>
                <w:color w:val="000000"/>
                <w:sz w:val="18"/>
                <w:szCs w:val="18"/>
                <w:lang w:eastAsia="en-AU"/>
              </w:rPr>
              <w:t>egional)</w:t>
            </w:r>
          </w:p>
        </w:tc>
        <w:tc>
          <w:tcPr>
            <w:tcW w:w="0" w:type="pct"/>
            <w:hideMark/>
          </w:tcPr>
          <w:p w14:paraId="11B279FE" w14:textId="77777777" w:rsidR="00F57386" w:rsidRPr="007448BD"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7448BD">
              <w:rPr>
                <w:rFonts w:ascii="Calibri" w:eastAsia="Times New Roman" w:hAnsi="Calibri" w:cs="Calibri"/>
                <w:color w:val="000000"/>
                <w:sz w:val="18"/>
                <w:szCs w:val="18"/>
                <w:lang w:eastAsia="en-AU"/>
              </w:rPr>
              <w:t> </w:t>
            </w:r>
          </w:p>
        </w:tc>
        <w:tc>
          <w:tcPr>
            <w:tcW w:w="0" w:type="pct"/>
            <w:gridSpan w:val="2"/>
            <w:hideMark/>
          </w:tcPr>
          <w:p w14:paraId="06FED1DB" w14:textId="77777777" w:rsidR="00F57386" w:rsidRPr="007448BD"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7448BD">
              <w:rPr>
                <w:rFonts w:ascii="Calibri" w:eastAsia="Times New Roman" w:hAnsi="Calibri" w:cs="Calibri"/>
                <w:color w:val="000000"/>
                <w:sz w:val="18"/>
                <w:szCs w:val="18"/>
                <w:lang w:eastAsia="en-AU"/>
              </w:rPr>
              <w:t> </w:t>
            </w:r>
          </w:p>
        </w:tc>
        <w:tc>
          <w:tcPr>
            <w:tcW w:w="0" w:type="pct"/>
            <w:hideMark/>
          </w:tcPr>
          <w:p w14:paraId="78C56418" w14:textId="77777777" w:rsidR="00F57386" w:rsidRPr="007448BD"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7448BD">
              <w:rPr>
                <w:rFonts w:ascii="Calibri" w:eastAsia="Times New Roman" w:hAnsi="Calibri" w:cs="Calibri"/>
                <w:color w:val="000000"/>
                <w:sz w:val="18"/>
                <w:szCs w:val="18"/>
                <w:lang w:eastAsia="en-AU"/>
              </w:rPr>
              <w:t> </w:t>
            </w:r>
          </w:p>
        </w:tc>
      </w:tr>
      <w:tr w:rsidR="008E0678" w:rsidRPr="007448BD" w14:paraId="615EBE57" w14:textId="77777777" w:rsidTr="00C239F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1099CB48" w14:textId="635CE7F4"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 xml:space="preserve">Regional or </w:t>
            </w:r>
            <w:r w:rsidR="00AD74F5">
              <w:rPr>
                <w:rFonts w:eastAsia="Times New Roman" w:cs="Arial"/>
                <w:color w:val="000000"/>
                <w:sz w:val="18"/>
                <w:szCs w:val="18"/>
                <w:lang w:eastAsia="en-AU"/>
              </w:rPr>
              <w:t>R</w:t>
            </w:r>
            <w:r w:rsidRPr="007448BD">
              <w:rPr>
                <w:rFonts w:eastAsia="Times New Roman" w:cs="Arial"/>
                <w:color w:val="000000"/>
                <w:sz w:val="18"/>
                <w:szCs w:val="18"/>
                <w:lang w:eastAsia="en-AU"/>
              </w:rPr>
              <w:t xml:space="preserve">emote </w:t>
            </w:r>
          </w:p>
        </w:tc>
        <w:tc>
          <w:tcPr>
            <w:tcW w:w="0" w:type="pct"/>
            <w:hideMark/>
          </w:tcPr>
          <w:p w14:paraId="7718380F"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0.794</w:t>
            </w:r>
          </w:p>
        </w:tc>
        <w:tc>
          <w:tcPr>
            <w:tcW w:w="0" w:type="pct"/>
            <w:gridSpan w:val="2"/>
            <w:hideMark/>
          </w:tcPr>
          <w:p w14:paraId="772B8C69"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-2.424</w:t>
            </w:r>
          </w:p>
        </w:tc>
        <w:tc>
          <w:tcPr>
            <w:tcW w:w="0" w:type="pct"/>
            <w:hideMark/>
          </w:tcPr>
          <w:p w14:paraId="5CB686D0"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4.012</w:t>
            </w:r>
          </w:p>
        </w:tc>
      </w:tr>
      <w:tr w:rsidR="008E0678" w:rsidRPr="007448BD" w14:paraId="6F219770" w14:textId="77777777" w:rsidTr="00C239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0AB8F536"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Number of service months (continuous)</w:t>
            </w:r>
          </w:p>
        </w:tc>
        <w:tc>
          <w:tcPr>
            <w:tcW w:w="0" w:type="pct"/>
            <w:hideMark/>
          </w:tcPr>
          <w:p w14:paraId="74A3D7C7"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0.468</w:t>
            </w:r>
          </w:p>
        </w:tc>
        <w:tc>
          <w:tcPr>
            <w:tcW w:w="0" w:type="pct"/>
            <w:gridSpan w:val="2"/>
            <w:hideMark/>
          </w:tcPr>
          <w:p w14:paraId="4C99F237"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-1.718</w:t>
            </w:r>
          </w:p>
        </w:tc>
        <w:tc>
          <w:tcPr>
            <w:tcW w:w="0" w:type="pct"/>
            <w:hideMark/>
          </w:tcPr>
          <w:p w14:paraId="48EE0AD0"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2.653</w:t>
            </w:r>
          </w:p>
        </w:tc>
      </w:tr>
    </w:tbl>
    <w:p w14:paraId="76BBA7A2" w14:textId="45D51B26"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181AED1D" w14:textId="4A0BD521" w:rsidR="00F57386" w:rsidRPr="004D7FAE" w:rsidRDefault="00F57386" w:rsidP="00F57386">
      <w:pPr>
        <w:pStyle w:val="Caption"/>
        <w:ind w:left="1440" w:hanging="1440"/>
      </w:pPr>
      <w:bookmarkStart w:id="4189" w:name="_Toc132647831"/>
      <w:bookmarkStart w:id="4190" w:name="_Toc145877345"/>
      <w:r>
        <w:t xml:space="preserve">Table </w:t>
      </w:r>
      <w:r>
        <w:fldChar w:fldCharType="begin"/>
      </w:r>
      <w:r>
        <w:instrText>SEQ Table \* ARABIC</w:instrText>
      </w:r>
      <w:r>
        <w:fldChar w:fldCharType="separate"/>
      </w:r>
      <w:r w:rsidR="00180E14">
        <w:rPr>
          <w:noProof/>
        </w:rPr>
        <w:t>56</w:t>
      </w:r>
      <w:r>
        <w:fldChar w:fldCharType="end"/>
      </w:r>
      <w:r>
        <w:t xml:space="preserve">: </w:t>
      </w:r>
      <w:r w:rsidRPr="007448BD">
        <w:t xml:space="preserve">Regression results for TtW program elements and </w:t>
      </w:r>
      <w:r w:rsidR="005F4E5F">
        <w:t>P</w:t>
      </w:r>
      <w:r w:rsidRPr="007448BD">
        <w:t xml:space="preserve">ersonal </w:t>
      </w:r>
      <w:r w:rsidR="005F4E5F">
        <w:t>W</w:t>
      </w:r>
      <w:r w:rsidRPr="007448BD">
        <w:t xml:space="preserve">ellbeing </w:t>
      </w:r>
      <w:r w:rsidR="005F4E5F">
        <w:t>I</w:t>
      </w:r>
      <w:r w:rsidRPr="007448BD">
        <w:t>ndex score</w:t>
      </w:r>
      <w:bookmarkEnd w:id="4189"/>
      <w:bookmarkEnd w:id="4190"/>
    </w:p>
    <w:tbl>
      <w:tblPr>
        <w:tblStyle w:val="TtWReportTableTemplate2"/>
        <w:tblW w:w="5000" w:type="pct"/>
        <w:tblLook w:val="04A0" w:firstRow="1" w:lastRow="0" w:firstColumn="1" w:lastColumn="0" w:noHBand="0" w:noVBand="1"/>
      </w:tblPr>
      <w:tblGrid>
        <w:gridCol w:w="3948"/>
        <w:gridCol w:w="951"/>
        <w:gridCol w:w="2154"/>
        <w:gridCol w:w="1973"/>
      </w:tblGrid>
      <w:tr w:rsidR="008E0678" w:rsidRPr="007448BD" w14:paraId="67D7EB82" w14:textId="77777777" w:rsidTr="00C24C7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187" w:type="pct"/>
            <w:shd w:val="clear" w:color="auto" w:fill="5D7A38"/>
            <w:hideMark/>
          </w:tcPr>
          <w:p w14:paraId="5C071D5E" w14:textId="77777777" w:rsidR="00F57386" w:rsidRPr="007448BD"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527" w:type="pct"/>
            <w:shd w:val="clear" w:color="auto" w:fill="5D7A38"/>
            <w:hideMark/>
          </w:tcPr>
          <w:p w14:paraId="17FE82F5" w14:textId="77777777" w:rsidR="00F57386" w:rsidRPr="007448BD" w:rsidRDefault="00F57386" w:rsidP="004E6757">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1191" w:type="pct"/>
            <w:shd w:val="clear" w:color="auto" w:fill="5D7A38"/>
            <w:hideMark/>
          </w:tcPr>
          <w:p w14:paraId="19F2A262"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Lower 95% confidence limit</w:t>
            </w:r>
          </w:p>
        </w:tc>
        <w:tc>
          <w:tcPr>
            <w:tcW w:w="1093" w:type="pct"/>
            <w:shd w:val="clear" w:color="auto" w:fill="5D7A38"/>
            <w:hideMark/>
          </w:tcPr>
          <w:p w14:paraId="0C4C57FB"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Upper 95% confidence limit</w:t>
            </w:r>
          </w:p>
        </w:tc>
      </w:tr>
      <w:tr w:rsidR="008E0678" w:rsidRPr="007448BD" w14:paraId="1662B6A7"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7" w:type="pct"/>
            <w:hideMark/>
          </w:tcPr>
          <w:p w14:paraId="6172C453"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(Intercept)</w:t>
            </w:r>
          </w:p>
        </w:tc>
        <w:tc>
          <w:tcPr>
            <w:tcW w:w="527" w:type="pct"/>
            <w:hideMark/>
          </w:tcPr>
          <w:p w14:paraId="0AE285CA"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52.405</w:t>
            </w:r>
            <w:r>
              <w:rPr>
                <w:rFonts w:eastAsia="Times New Roman" w:cs="Arial"/>
                <w:b/>
                <w:bCs/>
                <w:color w:val="000000"/>
                <w:sz w:val="18"/>
                <w:szCs w:val="18"/>
                <w:lang w:eastAsia="en-AU"/>
              </w:rPr>
              <w:t>*</w:t>
            </w:r>
          </w:p>
        </w:tc>
        <w:tc>
          <w:tcPr>
            <w:tcW w:w="1191" w:type="pct"/>
            <w:hideMark/>
          </w:tcPr>
          <w:p w14:paraId="2F333D7F"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49.014</w:t>
            </w:r>
          </w:p>
        </w:tc>
        <w:tc>
          <w:tcPr>
            <w:tcW w:w="1093" w:type="pct"/>
            <w:hideMark/>
          </w:tcPr>
          <w:p w14:paraId="5BCB03EE"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55.797</w:t>
            </w:r>
          </w:p>
        </w:tc>
      </w:tr>
      <w:tr w:rsidR="008E0678" w:rsidRPr="007448BD" w14:paraId="55D5AC24"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7" w:type="pct"/>
            <w:noWrap/>
            <w:hideMark/>
          </w:tcPr>
          <w:p w14:paraId="6405DB70"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Satisfaction with caseworker (other)</w:t>
            </w:r>
          </w:p>
        </w:tc>
        <w:tc>
          <w:tcPr>
            <w:tcW w:w="527" w:type="pct"/>
            <w:noWrap/>
            <w:hideMark/>
          </w:tcPr>
          <w:p w14:paraId="4FC04F6C"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1191" w:type="pct"/>
            <w:noWrap/>
            <w:hideMark/>
          </w:tcPr>
          <w:p w14:paraId="1FB3C61E"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1093" w:type="pct"/>
            <w:noWrap/>
            <w:hideMark/>
          </w:tcPr>
          <w:p w14:paraId="4EC4253E"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r>
      <w:tr w:rsidR="008E0678" w:rsidRPr="007448BD" w14:paraId="4B2637D9"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7" w:type="pct"/>
            <w:hideMark/>
          </w:tcPr>
          <w:p w14:paraId="0139BB25" w14:textId="6DC6CAAF"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 xml:space="preserve">Satisfied / very satisfied </w:t>
            </w:r>
          </w:p>
        </w:tc>
        <w:tc>
          <w:tcPr>
            <w:tcW w:w="527" w:type="pct"/>
            <w:hideMark/>
          </w:tcPr>
          <w:p w14:paraId="1ECD3AA8"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8.782</w:t>
            </w:r>
            <w:r>
              <w:rPr>
                <w:rFonts w:eastAsia="Times New Roman" w:cs="Arial"/>
                <w:color w:val="000000"/>
                <w:sz w:val="18"/>
                <w:szCs w:val="18"/>
                <w:lang w:eastAsia="en-AU"/>
              </w:rPr>
              <w:t>*</w:t>
            </w:r>
          </w:p>
        </w:tc>
        <w:tc>
          <w:tcPr>
            <w:tcW w:w="1191" w:type="pct"/>
            <w:hideMark/>
          </w:tcPr>
          <w:p w14:paraId="42500C0F"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5.177</w:t>
            </w:r>
          </w:p>
        </w:tc>
        <w:tc>
          <w:tcPr>
            <w:tcW w:w="1093" w:type="pct"/>
            <w:hideMark/>
          </w:tcPr>
          <w:p w14:paraId="13EB764E"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12.388</w:t>
            </w:r>
          </w:p>
        </w:tc>
      </w:tr>
      <w:tr w:rsidR="008E0678" w:rsidRPr="007448BD" w14:paraId="765DBFF4"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7" w:type="pct"/>
            <w:noWrap/>
            <w:hideMark/>
          </w:tcPr>
          <w:p w14:paraId="14394B70"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Attitude when joined (other)</w:t>
            </w:r>
          </w:p>
        </w:tc>
        <w:tc>
          <w:tcPr>
            <w:tcW w:w="527" w:type="pct"/>
            <w:noWrap/>
            <w:hideMark/>
          </w:tcPr>
          <w:p w14:paraId="750FC5BA"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1191" w:type="pct"/>
            <w:noWrap/>
            <w:hideMark/>
          </w:tcPr>
          <w:p w14:paraId="792159B1"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c>
          <w:tcPr>
            <w:tcW w:w="1093" w:type="pct"/>
            <w:noWrap/>
            <w:hideMark/>
          </w:tcPr>
          <w:p w14:paraId="0F7AD583"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r>
      <w:tr w:rsidR="008E0678" w:rsidRPr="007448BD" w14:paraId="2FB8DE9E"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7" w:type="pct"/>
            <w:hideMark/>
          </w:tcPr>
          <w:p w14:paraId="0599EAC8" w14:textId="7E5A89DD"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 xml:space="preserve">Positive / very positive </w:t>
            </w:r>
          </w:p>
        </w:tc>
        <w:tc>
          <w:tcPr>
            <w:tcW w:w="527" w:type="pct"/>
            <w:hideMark/>
          </w:tcPr>
          <w:p w14:paraId="7CD0A6EF"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8.243</w:t>
            </w:r>
            <w:r>
              <w:rPr>
                <w:rFonts w:eastAsia="Times New Roman" w:cs="Arial"/>
                <w:color w:val="000000"/>
                <w:sz w:val="18"/>
                <w:szCs w:val="18"/>
                <w:lang w:eastAsia="en-AU"/>
              </w:rPr>
              <w:t>*</w:t>
            </w:r>
          </w:p>
        </w:tc>
        <w:tc>
          <w:tcPr>
            <w:tcW w:w="1191" w:type="pct"/>
            <w:hideMark/>
          </w:tcPr>
          <w:p w14:paraId="6BA12C70"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5.959</w:t>
            </w:r>
          </w:p>
        </w:tc>
        <w:tc>
          <w:tcPr>
            <w:tcW w:w="1093" w:type="pct"/>
            <w:hideMark/>
          </w:tcPr>
          <w:p w14:paraId="2132AA38"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10.527</w:t>
            </w:r>
          </w:p>
        </w:tc>
      </w:tr>
      <w:tr w:rsidR="00F57386" w:rsidRPr="007448BD" w14:paraId="621F99AD"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07" w:type="pct"/>
            <w:gridSpan w:val="3"/>
            <w:noWrap/>
            <w:hideMark/>
          </w:tcPr>
          <w:p w14:paraId="624116AF"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Frequency of contact with caseworker</w:t>
            </w:r>
            <w:r>
              <w:rPr>
                <w:rFonts w:eastAsia="Times New Roman" w:cs="Arial"/>
                <w:bCs/>
                <w:color w:val="000000"/>
                <w:sz w:val="18"/>
                <w:szCs w:val="18"/>
                <w:lang w:eastAsia="en-AU"/>
              </w:rPr>
              <w:t xml:space="preserve"> </w:t>
            </w:r>
            <w:r w:rsidRPr="007448BD">
              <w:rPr>
                <w:rFonts w:eastAsia="Times New Roman" w:cs="Arial"/>
                <w:bCs/>
                <w:color w:val="000000"/>
                <w:sz w:val="18"/>
                <w:szCs w:val="18"/>
                <w:lang w:eastAsia="en-AU"/>
              </w:rPr>
              <w:t>(Less than weekly)</w:t>
            </w:r>
          </w:p>
        </w:tc>
        <w:tc>
          <w:tcPr>
            <w:tcW w:w="1093" w:type="pct"/>
            <w:noWrap/>
            <w:hideMark/>
          </w:tcPr>
          <w:p w14:paraId="761015C2" w14:textId="77777777" w:rsidR="00F57386" w:rsidRPr="007448BD"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 </w:t>
            </w:r>
          </w:p>
        </w:tc>
      </w:tr>
      <w:tr w:rsidR="008E0678" w:rsidRPr="007448BD" w14:paraId="04DD3857"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7" w:type="pct"/>
            <w:hideMark/>
          </w:tcPr>
          <w:p w14:paraId="715778C2" w14:textId="7267F1DF" w:rsidR="00F57386" w:rsidRPr="007448BD" w:rsidRDefault="00F57386" w:rsidP="004E6757">
            <w:pPr>
              <w:rPr>
                <w:rFonts w:eastAsia="Times New Roman" w:cs="Arial"/>
                <w:color w:val="000000"/>
                <w:sz w:val="18"/>
                <w:szCs w:val="18"/>
                <w:lang w:eastAsia="en-AU"/>
              </w:rPr>
            </w:pPr>
            <w:r w:rsidRPr="007448BD">
              <w:rPr>
                <w:rFonts w:eastAsia="Times New Roman" w:cs="Arial"/>
                <w:color w:val="000000"/>
                <w:sz w:val="18"/>
                <w:szCs w:val="18"/>
                <w:lang w:eastAsia="en-AU"/>
              </w:rPr>
              <w:t xml:space="preserve">At least weekly </w:t>
            </w:r>
          </w:p>
        </w:tc>
        <w:tc>
          <w:tcPr>
            <w:tcW w:w="527" w:type="pct"/>
            <w:hideMark/>
          </w:tcPr>
          <w:p w14:paraId="43C08E6E"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-1.778</w:t>
            </w:r>
          </w:p>
        </w:tc>
        <w:tc>
          <w:tcPr>
            <w:tcW w:w="1191" w:type="pct"/>
            <w:hideMark/>
          </w:tcPr>
          <w:p w14:paraId="4D24F7CA"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-3.839</w:t>
            </w:r>
          </w:p>
        </w:tc>
        <w:tc>
          <w:tcPr>
            <w:tcW w:w="1093" w:type="pct"/>
            <w:hideMark/>
          </w:tcPr>
          <w:p w14:paraId="1E42D474"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7448BD">
              <w:rPr>
                <w:rFonts w:eastAsia="Times New Roman" w:cs="Arial"/>
                <w:color w:val="000000"/>
                <w:sz w:val="18"/>
                <w:szCs w:val="18"/>
                <w:lang w:eastAsia="en-AU"/>
              </w:rPr>
              <w:t>0.282</w:t>
            </w:r>
          </w:p>
        </w:tc>
      </w:tr>
      <w:tr w:rsidR="008E0678" w:rsidRPr="007448BD" w14:paraId="3807DBFF"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7" w:type="pct"/>
            <w:hideMark/>
          </w:tcPr>
          <w:p w14:paraId="35C71F0C"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Number of vocational supports (continuous)</w:t>
            </w:r>
          </w:p>
        </w:tc>
        <w:tc>
          <w:tcPr>
            <w:tcW w:w="527" w:type="pct"/>
            <w:hideMark/>
          </w:tcPr>
          <w:p w14:paraId="32FEE71A"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1.678</w:t>
            </w:r>
            <w:r>
              <w:rPr>
                <w:rFonts w:eastAsia="Times New Roman" w:cs="Arial"/>
                <w:b/>
                <w:bCs/>
                <w:color w:val="000000"/>
                <w:sz w:val="18"/>
                <w:szCs w:val="18"/>
                <w:lang w:eastAsia="en-AU"/>
              </w:rPr>
              <w:t>*</w:t>
            </w:r>
          </w:p>
        </w:tc>
        <w:tc>
          <w:tcPr>
            <w:tcW w:w="1191" w:type="pct"/>
            <w:hideMark/>
          </w:tcPr>
          <w:p w14:paraId="77F49ED1"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0.91</w:t>
            </w:r>
          </w:p>
        </w:tc>
        <w:tc>
          <w:tcPr>
            <w:tcW w:w="1093" w:type="pct"/>
            <w:hideMark/>
          </w:tcPr>
          <w:p w14:paraId="7E7DB7FA" w14:textId="77777777" w:rsidR="00F57386" w:rsidRPr="007448BD"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2.446</w:t>
            </w:r>
          </w:p>
        </w:tc>
      </w:tr>
      <w:tr w:rsidR="008E0678" w:rsidRPr="007448BD" w14:paraId="79B76D6E" w14:textId="77777777" w:rsidTr="004A08F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87" w:type="pct"/>
            <w:hideMark/>
          </w:tcPr>
          <w:p w14:paraId="208F87F3" w14:textId="77777777" w:rsidR="00F57386" w:rsidRPr="007448BD" w:rsidRDefault="00F57386" w:rsidP="004E6757">
            <w:pPr>
              <w:rPr>
                <w:rFonts w:eastAsia="Times New Roman" w:cs="Arial"/>
                <w:b w:val="0"/>
                <w:bCs/>
                <w:color w:val="000000"/>
                <w:sz w:val="18"/>
                <w:szCs w:val="18"/>
                <w:lang w:eastAsia="en-AU"/>
              </w:rPr>
            </w:pPr>
            <w:r w:rsidRPr="007448BD">
              <w:rPr>
                <w:rFonts w:eastAsia="Times New Roman" w:cs="Arial"/>
                <w:bCs/>
                <w:color w:val="000000"/>
                <w:sz w:val="18"/>
                <w:szCs w:val="18"/>
                <w:lang w:eastAsia="en-AU"/>
              </w:rPr>
              <w:t>Number of non-vocational supports (continuous)</w:t>
            </w:r>
          </w:p>
        </w:tc>
        <w:tc>
          <w:tcPr>
            <w:tcW w:w="527" w:type="pct"/>
            <w:hideMark/>
          </w:tcPr>
          <w:p w14:paraId="3D5F459A"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-0.195</w:t>
            </w:r>
          </w:p>
        </w:tc>
        <w:tc>
          <w:tcPr>
            <w:tcW w:w="1191" w:type="pct"/>
            <w:hideMark/>
          </w:tcPr>
          <w:p w14:paraId="0AFDF400"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-0.622</w:t>
            </w:r>
          </w:p>
        </w:tc>
        <w:tc>
          <w:tcPr>
            <w:tcW w:w="1093" w:type="pct"/>
            <w:hideMark/>
          </w:tcPr>
          <w:p w14:paraId="4B864950" w14:textId="77777777" w:rsidR="00F57386" w:rsidRPr="007448BD"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7448BD">
              <w:rPr>
                <w:rFonts w:eastAsia="Times New Roman" w:cs="Arial"/>
                <w:b/>
                <w:bCs/>
                <w:color w:val="000000"/>
                <w:sz w:val="18"/>
                <w:szCs w:val="18"/>
                <w:lang w:eastAsia="en-AU"/>
              </w:rPr>
              <w:t>0.232</w:t>
            </w:r>
          </w:p>
        </w:tc>
      </w:tr>
    </w:tbl>
    <w:p w14:paraId="0CEE2055" w14:textId="3C6EBDF9" w:rsidR="00F57386" w:rsidRPr="00F036DE"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 xml:space="preserve">p </w:t>
      </w:r>
      <w:r w:rsidRPr="00CE7617">
        <w:rPr>
          <w:sz w:val="16"/>
        </w:rPr>
        <w:t>&lt; 0.05</w:t>
      </w:r>
    </w:p>
    <w:p w14:paraId="265B0AA9" w14:textId="1D01192E" w:rsidR="00F57386" w:rsidRDefault="00F57386" w:rsidP="00C239FD">
      <w:pPr>
        <w:pStyle w:val="Caption"/>
        <w:keepNext/>
        <w:ind w:left="992" w:hanging="992"/>
      </w:pPr>
      <w:bookmarkStart w:id="4191" w:name="_Toc132647832"/>
      <w:bookmarkStart w:id="4192" w:name="_Toc145877346"/>
      <w:r>
        <w:lastRenderedPageBreak/>
        <w:t xml:space="preserve">Table </w:t>
      </w:r>
      <w:r>
        <w:fldChar w:fldCharType="begin"/>
      </w:r>
      <w:r>
        <w:instrText>SEQ Table \* ARABIC</w:instrText>
      </w:r>
      <w:r>
        <w:fldChar w:fldCharType="separate"/>
      </w:r>
      <w:r w:rsidR="00180E14">
        <w:rPr>
          <w:noProof/>
        </w:rPr>
        <w:t>57</w:t>
      </w:r>
      <w:r>
        <w:fldChar w:fldCharType="end"/>
      </w:r>
      <w:r>
        <w:t xml:space="preserve">: </w:t>
      </w:r>
      <w:r w:rsidRPr="00412287">
        <w:t>Regression results for program types and self-rated mental health (excellent / very good)</w:t>
      </w:r>
      <w:bookmarkEnd w:id="4191"/>
      <w:bookmarkEnd w:id="4192"/>
    </w:p>
    <w:tbl>
      <w:tblPr>
        <w:tblStyle w:val="TtWReportTableTemplate2"/>
        <w:tblW w:w="5000" w:type="pct"/>
        <w:tblLook w:val="04A0" w:firstRow="1" w:lastRow="0" w:firstColumn="1" w:lastColumn="0" w:noHBand="0" w:noVBand="1"/>
      </w:tblPr>
      <w:tblGrid>
        <w:gridCol w:w="3668"/>
        <w:gridCol w:w="1060"/>
        <w:gridCol w:w="2184"/>
        <w:gridCol w:w="2114"/>
      </w:tblGrid>
      <w:tr w:rsidR="00F57386" w:rsidRPr="00412287" w14:paraId="7A2B106F" w14:textId="77777777" w:rsidTr="00C24C7F">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2032" w:type="pct"/>
            <w:shd w:val="clear" w:color="auto" w:fill="5D7A38"/>
            <w:hideMark/>
          </w:tcPr>
          <w:p w14:paraId="0DB4CE90" w14:textId="77777777" w:rsidR="00F57386" w:rsidRPr="00412287" w:rsidRDefault="00F57386" w:rsidP="004E6757">
            <w:pPr>
              <w:rPr>
                <w:rFonts w:eastAsia="Times New Roman" w:cs="Arial"/>
                <w:b w:val="0"/>
                <w:bCs/>
                <w:color w:val="FFFFFF"/>
                <w:sz w:val="18"/>
                <w:szCs w:val="18"/>
                <w:lang w:eastAsia="en-AU"/>
              </w:rPr>
            </w:pPr>
            <w:r w:rsidRPr="00412287">
              <w:rPr>
                <w:rFonts w:eastAsia="Times New Roman" w:cs="Arial"/>
                <w:bCs/>
                <w:color w:val="FFFFFF"/>
                <w:sz w:val="18"/>
                <w:szCs w:val="18"/>
                <w:lang w:eastAsia="en-AU"/>
              </w:rPr>
              <w:t>Co-variate</w:t>
            </w:r>
            <w:r w:rsidRPr="00412287">
              <w:rPr>
                <w:rFonts w:eastAsia="Times New Roman" w:cs="Calibri"/>
                <w:color w:val="000000"/>
                <w:sz w:val="18"/>
                <w:szCs w:val="18"/>
                <w:lang w:eastAsia="en-AU"/>
              </w:rPr>
              <w:t> </w:t>
            </w:r>
          </w:p>
        </w:tc>
        <w:tc>
          <w:tcPr>
            <w:tcW w:w="587" w:type="pct"/>
            <w:shd w:val="clear" w:color="auto" w:fill="5D7A38"/>
            <w:hideMark/>
          </w:tcPr>
          <w:p w14:paraId="6C6523A1"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sz w:val="18"/>
                <w:szCs w:val="18"/>
              </w:rPr>
              <w:t>Odds ratio</w:t>
            </w:r>
            <w:r w:rsidRPr="00C239FD">
              <w:rPr>
                <w:sz w:val="18"/>
                <w:szCs w:val="18"/>
                <w:vertAlign w:val="superscript"/>
              </w:rPr>
              <w:t>1</w:t>
            </w:r>
          </w:p>
        </w:tc>
        <w:tc>
          <w:tcPr>
            <w:tcW w:w="1210" w:type="pct"/>
            <w:shd w:val="clear" w:color="auto" w:fill="5D7A38"/>
            <w:hideMark/>
          </w:tcPr>
          <w:p w14:paraId="7F14D5F7"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Lower 95% confidence limit</w:t>
            </w:r>
          </w:p>
        </w:tc>
        <w:tc>
          <w:tcPr>
            <w:tcW w:w="1171" w:type="pct"/>
            <w:shd w:val="clear" w:color="auto" w:fill="5D7A38"/>
            <w:hideMark/>
          </w:tcPr>
          <w:p w14:paraId="5D6155F2"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Upper 95% confidence limit</w:t>
            </w:r>
          </w:p>
        </w:tc>
      </w:tr>
      <w:tr w:rsidR="00F57386" w:rsidRPr="00412287" w14:paraId="775197BF"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32" w:type="pct"/>
            <w:hideMark/>
          </w:tcPr>
          <w:p w14:paraId="61226543"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(Intercept)</w:t>
            </w:r>
          </w:p>
        </w:tc>
        <w:tc>
          <w:tcPr>
            <w:tcW w:w="587" w:type="pct"/>
            <w:hideMark/>
          </w:tcPr>
          <w:p w14:paraId="7F93ADC0"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0.442</w:t>
            </w:r>
            <w:r>
              <w:rPr>
                <w:rFonts w:eastAsia="Times New Roman" w:cs="Arial"/>
                <w:b/>
                <w:bCs/>
                <w:color w:val="000000"/>
                <w:sz w:val="18"/>
                <w:szCs w:val="18"/>
                <w:lang w:eastAsia="en-AU"/>
              </w:rPr>
              <w:t>*</w:t>
            </w:r>
          </w:p>
        </w:tc>
        <w:tc>
          <w:tcPr>
            <w:tcW w:w="1210" w:type="pct"/>
            <w:hideMark/>
          </w:tcPr>
          <w:p w14:paraId="5F7DACF6"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0.296</w:t>
            </w:r>
          </w:p>
        </w:tc>
        <w:tc>
          <w:tcPr>
            <w:tcW w:w="1171" w:type="pct"/>
            <w:hideMark/>
          </w:tcPr>
          <w:p w14:paraId="73615047"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0.659</w:t>
            </w:r>
          </w:p>
        </w:tc>
      </w:tr>
      <w:tr w:rsidR="00F57386" w:rsidRPr="00412287" w14:paraId="5C76534A"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32" w:type="pct"/>
            <w:noWrap/>
            <w:hideMark/>
          </w:tcPr>
          <w:p w14:paraId="10376038"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Program (jobactive)</w:t>
            </w:r>
          </w:p>
        </w:tc>
        <w:tc>
          <w:tcPr>
            <w:tcW w:w="587" w:type="pct"/>
            <w:noWrap/>
            <w:hideMark/>
          </w:tcPr>
          <w:p w14:paraId="3772F220" w14:textId="77777777" w:rsidR="00F57386" w:rsidRPr="0041228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210" w:type="pct"/>
            <w:noWrap/>
            <w:hideMark/>
          </w:tcPr>
          <w:p w14:paraId="4FBF8ECA" w14:textId="77777777" w:rsidR="00F57386" w:rsidRPr="0041228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71" w:type="pct"/>
            <w:noWrap/>
            <w:hideMark/>
          </w:tcPr>
          <w:p w14:paraId="02D5BB12" w14:textId="77777777" w:rsidR="00F57386" w:rsidRPr="0041228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r>
      <w:tr w:rsidR="00F57386" w:rsidRPr="00412287" w14:paraId="1D63C51D"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2" w:type="pct"/>
            <w:hideMark/>
          </w:tcPr>
          <w:p w14:paraId="42662F1A" w14:textId="7F7AC5BB"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TtW</w:t>
            </w:r>
          </w:p>
        </w:tc>
        <w:tc>
          <w:tcPr>
            <w:tcW w:w="587" w:type="pct"/>
            <w:hideMark/>
          </w:tcPr>
          <w:p w14:paraId="6529D488"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1.456</w:t>
            </w:r>
            <w:r>
              <w:rPr>
                <w:rFonts w:eastAsia="Times New Roman" w:cs="Arial"/>
                <w:color w:val="000000"/>
                <w:sz w:val="18"/>
                <w:szCs w:val="18"/>
                <w:lang w:eastAsia="en-AU"/>
              </w:rPr>
              <w:t>*</w:t>
            </w:r>
          </w:p>
        </w:tc>
        <w:tc>
          <w:tcPr>
            <w:tcW w:w="1210" w:type="pct"/>
            <w:hideMark/>
          </w:tcPr>
          <w:p w14:paraId="10CB4851"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1.096</w:t>
            </w:r>
          </w:p>
        </w:tc>
        <w:tc>
          <w:tcPr>
            <w:tcW w:w="1171" w:type="pct"/>
            <w:hideMark/>
          </w:tcPr>
          <w:p w14:paraId="61A1F5E9"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1.934</w:t>
            </w:r>
          </w:p>
        </w:tc>
      </w:tr>
      <w:tr w:rsidR="00F57386" w:rsidRPr="00412287" w14:paraId="24098A45"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32" w:type="pct"/>
            <w:hideMark/>
          </w:tcPr>
          <w:p w14:paraId="178D985E"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Number of life events (continuous)</w:t>
            </w:r>
          </w:p>
        </w:tc>
        <w:tc>
          <w:tcPr>
            <w:tcW w:w="587" w:type="pct"/>
            <w:hideMark/>
          </w:tcPr>
          <w:p w14:paraId="2E1B15C8"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0.654</w:t>
            </w:r>
            <w:r>
              <w:rPr>
                <w:rFonts w:eastAsia="Times New Roman" w:cs="Arial"/>
                <w:b/>
                <w:bCs/>
                <w:color w:val="000000"/>
                <w:sz w:val="18"/>
                <w:szCs w:val="18"/>
                <w:lang w:eastAsia="en-AU"/>
              </w:rPr>
              <w:t>*</w:t>
            </w:r>
          </w:p>
        </w:tc>
        <w:tc>
          <w:tcPr>
            <w:tcW w:w="1210" w:type="pct"/>
            <w:hideMark/>
          </w:tcPr>
          <w:p w14:paraId="601F6602"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0.601</w:t>
            </w:r>
          </w:p>
        </w:tc>
        <w:tc>
          <w:tcPr>
            <w:tcW w:w="1171" w:type="pct"/>
            <w:hideMark/>
          </w:tcPr>
          <w:p w14:paraId="2F993817"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0.712</w:t>
            </w:r>
          </w:p>
        </w:tc>
      </w:tr>
      <w:tr w:rsidR="00F57386" w:rsidRPr="00412287" w14:paraId="40A341AA"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32" w:type="pct"/>
            <w:hideMark/>
          </w:tcPr>
          <w:p w14:paraId="1D0A5096"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 xml:space="preserve">Number of service months (continuous) </w:t>
            </w:r>
          </w:p>
        </w:tc>
        <w:tc>
          <w:tcPr>
            <w:tcW w:w="587" w:type="pct"/>
            <w:hideMark/>
          </w:tcPr>
          <w:p w14:paraId="2FC243F7"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1.005</w:t>
            </w:r>
          </w:p>
        </w:tc>
        <w:tc>
          <w:tcPr>
            <w:tcW w:w="1210" w:type="pct"/>
            <w:hideMark/>
          </w:tcPr>
          <w:p w14:paraId="4AB61A6B"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0.989</w:t>
            </w:r>
          </w:p>
        </w:tc>
        <w:tc>
          <w:tcPr>
            <w:tcW w:w="1171" w:type="pct"/>
            <w:hideMark/>
          </w:tcPr>
          <w:p w14:paraId="472063D8"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1.021</w:t>
            </w:r>
          </w:p>
        </w:tc>
      </w:tr>
    </w:tbl>
    <w:p w14:paraId="521AFBAF" w14:textId="452EB169"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70365C1C" w14:textId="479B1EAC" w:rsidR="00F57386" w:rsidRDefault="00F57386" w:rsidP="006E41FD">
      <w:pPr>
        <w:pStyle w:val="Caption"/>
        <w:keepNext/>
        <w:ind w:left="1440" w:hanging="1440"/>
      </w:pPr>
      <w:bookmarkStart w:id="4193" w:name="_Toc132647833"/>
      <w:bookmarkStart w:id="4194" w:name="_Toc145877347"/>
      <w:r>
        <w:t xml:space="preserve">Table </w:t>
      </w:r>
      <w:r>
        <w:fldChar w:fldCharType="begin"/>
      </w:r>
      <w:r>
        <w:instrText>SEQ Table \* ARABIC</w:instrText>
      </w:r>
      <w:r>
        <w:fldChar w:fldCharType="separate"/>
      </w:r>
      <w:r w:rsidR="00180E14">
        <w:rPr>
          <w:noProof/>
        </w:rPr>
        <w:t>58</w:t>
      </w:r>
      <w:r>
        <w:fldChar w:fldCharType="end"/>
      </w:r>
      <w:r>
        <w:t>: Regression results for TtW characteristics and self-rated mental health (excellent / very good)</w:t>
      </w:r>
      <w:bookmarkEnd w:id="4193"/>
      <w:bookmarkEnd w:id="4194"/>
    </w:p>
    <w:tbl>
      <w:tblPr>
        <w:tblStyle w:val="TtWReportTableTemplate2"/>
        <w:tblW w:w="4946" w:type="pct"/>
        <w:tblLook w:val="04A0" w:firstRow="1" w:lastRow="0" w:firstColumn="1" w:lastColumn="0" w:noHBand="0" w:noVBand="1"/>
      </w:tblPr>
      <w:tblGrid>
        <w:gridCol w:w="3686"/>
        <w:gridCol w:w="1064"/>
        <w:gridCol w:w="2054"/>
        <w:gridCol w:w="2125"/>
      </w:tblGrid>
      <w:tr w:rsidR="00F57386" w:rsidRPr="00412287" w14:paraId="18FFA825" w14:textId="77777777" w:rsidTr="00C239FD">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hideMark/>
          </w:tcPr>
          <w:p w14:paraId="7078A1D1" w14:textId="77777777" w:rsidR="00F57386" w:rsidRPr="00412287" w:rsidRDefault="00F57386" w:rsidP="006E41FD">
            <w:pPr>
              <w:keepNext/>
              <w:rPr>
                <w:rFonts w:eastAsia="Times New Roman" w:cs="Arial"/>
                <w:b w:val="0"/>
                <w:bCs/>
                <w:color w:val="FFFFFF"/>
                <w:sz w:val="18"/>
                <w:szCs w:val="18"/>
                <w:lang w:eastAsia="en-AU"/>
              </w:rPr>
            </w:pPr>
            <w:r w:rsidRPr="00412287">
              <w:rPr>
                <w:rFonts w:eastAsia="Times New Roman" w:cs="Arial"/>
                <w:bCs/>
                <w:color w:val="FFFFFF"/>
                <w:sz w:val="18"/>
                <w:szCs w:val="18"/>
                <w:lang w:eastAsia="en-AU"/>
              </w:rPr>
              <w:t>Co-variate</w:t>
            </w:r>
            <w:r w:rsidRPr="00412287">
              <w:rPr>
                <w:rFonts w:eastAsia="Times New Roman" w:cs="Calibri"/>
                <w:color w:val="000000"/>
                <w:sz w:val="18"/>
                <w:szCs w:val="18"/>
                <w:lang w:eastAsia="en-AU"/>
              </w:rPr>
              <w:t> </w:t>
            </w:r>
          </w:p>
        </w:tc>
        <w:tc>
          <w:tcPr>
            <w:tcW w:w="0" w:type="pct"/>
            <w:shd w:val="clear" w:color="auto" w:fill="5D7A38"/>
            <w:hideMark/>
          </w:tcPr>
          <w:p w14:paraId="5EE4D4AC" w14:textId="77777777" w:rsidR="00F57386" w:rsidRPr="00AD74F5" w:rsidRDefault="00F57386" w:rsidP="006E41FD">
            <w:pPr>
              <w:keepNex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sz w:val="18"/>
                <w:szCs w:val="18"/>
              </w:rPr>
              <w:t>Odds ratio</w:t>
            </w:r>
            <w:r w:rsidRPr="00C239FD">
              <w:rPr>
                <w:sz w:val="18"/>
                <w:szCs w:val="18"/>
                <w:vertAlign w:val="superscript"/>
              </w:rPr>
              <w:t>1</w:t>
            </w:r>
          </w:p>
        </w:tc>
        <w:tc>
          <w:tcPr>
            <w:tcW w:w="0" w:type="pct"/>
            <w:shd w:val="clear" w:color="auto" w:fill="5D7A38"/>
            <w:hideMark/>
          </w:tcPr>
          <w:p w14:paraId="0BBFAD2B" w14:textId="77777777" w:rsidR="00F57386" w:rsidRPr="00AD74F5" w:rsidRDefault="00F57386" w:rsidP="006E41FD">
            <w:pPr>
              <w:keepNex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Lower 95% confidence limit</w:t>
            </w:r>
          </w:p>
        </w:tc>
        <w:tc>
          <w:tcPr>
            <w:tcW w:w="0" w:type="pct"/>
            <w:shd w:val="clear" w:color="auto" w:fill="5D7A38"/>
            <w:hideMark/>
          </w:tcPr>
          <w:p w14:paraId="53630690" w14:textId="77777777" w:rsidR="00F57386" w:rsidRPr="00AD74F5" w:rsidRDefault="00F57386" w:rsidP="006E41FD">
            <w:pPr>
              <w:keepNex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Upper 95% confidence limit</w:t>
            </w:r>
          </w:p>
        </w:tc>
      </w:tr>
      <w:tr w:rsidR="00F57386" w:rsidRPr="00412287" w14:paraId="0217FA25"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64" w:type="pct"/>
            <w:hideMark/>
          </w:tcPr>
          <w:p w14:paraId="22E24126" w14:textId="77777777" w:rsidR="00F57386" w:rsidRPr="00412287" w:rsidRDefault="00F57386" w:rsidP="006E41FD">
            <w:pPr>
              <w:keepNext/>
              <w:rPr>
                <w:rFonts w:eastAsia="Times New Roman" w:cs="Arial"/>
                <w:b w:val="0"/>
                <w:bCs/>
                <w:color w:val="000000"/>
                <w:sz w:val="18"/>
                <w:szCs w:val="18"/>
                <w:lang w:eastAsia="en-AU"/>
              </w:rPr>
            </w:pPr>
            <w:r w:rsidRPr="00412287">
              <w:rPr>
                <w:rFonts w:eastAsia="Times New Roman" w:cs="Arial"/>
                <w:bCs/>
                <w:color w:val="000000"/>
                <w:sz w:val="18"/>
                <w:szCs w:val="18"/>
                <w:lang w:eastAsia="en-AU"/>
              </w:rPr>
              <w:t>(Intercept)</w:t>
            </w:r>
          </w:p>
        </w:tc>
        <w:tc>
          <w:tcPr>
            <w:tcW w:w="596" w:type="pct"/>
            <w:hideMark/>
          </w:tcPr>
          <w:p w14:paraId="5CEA2100" w14:textId="77777777" w:rsidR="00F57386" w:rsidRPr="00412287"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0.141</w:t>
            </w:r>
            <w:r>
              <w:rPr>
                <w:rFonts w:eastAsia="Times New Roman" w:cs="Arial"/>
                <w:b/>
                <w:bCs/>
                <w:color w:val="000000"/>
                <w:sz w:val="18"/>
                <w:szCs w:val="18"/>
                <w:lang w:eastAsia="en-AU"/>
              </w:rPr>
              <w:t>*</w:t>
            </w:r>
          </w:p>
        </w:tc>
        <w:tc>
          <w:tcPr>
            <w:tcW w:w="1150" w:type="pct"/>
            <w:hideMark/>
          </w:tcPr>
          <w:p w14:paraId="1D00E0CF" w14:textId="77777777" w:rsidR="00F57386" w:rsidRPr="00412287"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0.088</w:t>
            </w:r>
          </w:p>
        </w:tc>
        <w:tc>
          <w:tcPr>
            <w:tcW w:w="1190" w:type="pct"/>
            <w:hideMark/>
          </w:tcPr>
          <w:p w14:paraId="45BD1694" w14:textId="77777777" w:rsidR="00F57386" w:rsidRPr="00412287" w:rsidRDefault="00F57386" w:rsidP="006E41FD">
            <w:pPr>
              <w:keepNext/>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0.225</w:t>
            </w:r>
          </w:p>
        </w:tc>
      </w:tr>
      <w:tr w:rsidR="00F57386" w:rsidRPr="00412287" w14:paraId="03AA6325"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64" w:type="pct"/>
            <w:noWrap/>
            <w:hideMark/>
          </w:tcPr>
          <w:p w14:paraId="6CE410C4" w14:textId="77777777" w:rsidR="00F57386" w:rsidRPr="00412287" w:rsidRDefault="00F57386" w:rsidP="006E41FD">
            <w:pPr>
              <w:keepNext/>
              <w:rPr>
                <w:rFonts w:eastAsia="Times New Roman" w:cs="Arial"/>
                <w:b w:val="0"/>
                <w:bCs/>
                <w:color w:val="000000"/>
                <w:sz w:val="18"/>
                <w:szCs w:val="18"/>
                <w:lang w:eastAsia="en-AU"/>
              </w:rPr>
            </w:pPr>
            <w:r w:rsidRPr="00412287">
              <w:rPr>
                <w:rFonts w:eastAsia="Times New Roman" w:cs="Arial"/>
                <w:bCs/>
                <w:color w:val="000000"/>
                <w:sz w:val="18"/>
                <w:szCs w:val="18"/>
                <w:lang w:eastAsia="en-AU"/>
              </w:rPr>
              <w:t>Age as of May 2021 (16 to 21 years)</w:t>
            </w:r>
          </w:p>
        </w:tc>
        <w:tc>
          <w:tcPr>
            <w:tcW w:w="596" w:type="pct"/>
            <w:noWrap/>
            <w:hideMark/>
          </w:tcPr>
          <w:p w14:paraId="0464194F" w14:textId="77777777" w:rsidR="00F57386" w:rsidRPr="00412287"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50" w:type="pct"/>
            <w:noWrap/>
            <w:hideMark/>
          </w:tcPr>
          <w:p w14:paraId="0F2B97AF" w14:textId="77777777" w:rsidR="00F57386" w:rsidRPr="00412287"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90" w:type="pct"/>
            <w:noWrap/>
            <w:hideMark/>
          </w:tcPr>
          <w:p w14:paraId="1666DFF4" w14:textId="77777777" w:rsidR="00F57386" w:rsidRPr="00412287" w:rsidRDefault="00F57386" w:rsidP="006E41FD">
            <w:pPr>
              <w:keepNex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r>
      <w:tr w:rsidR="00F57386" w:rsidRPr="00412287" w14:paraId="080392CA"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4" w:type="pct"/>
            <w:hideMark/>
          </w:tcPr>
          <w:p w14:paraId="3AAA2B34" w14:textId="0CAC87DA"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22</w:t>
            </w:r>
            <w:r w:rsidR="00AD74F5">
              <w:rPr>
                <w:rFonts w:eastAsia="Times New Roman" w:cs="Arial"/>
                <w:color w:val="000000"/>
                <w:sz w:val="18"/>
                <w:szCs w:val="18"/>
                <w:lang w:eastAsia="en-AU"/>
              </w:rPr>
              <w:t>–</w:t>
            </w:r>
            <w:r w:rsidRPr="00412287">
              <w:rPr>
                <w:rFonts w:eastAsia="Times New Roman" w:cs="Arial"/>
                <w:color w:val="000000"/>
                <w:sz w:val="18"/>
                <w:szCs w:val="18"/>
                <w:lang w:eastAsia="en-AU"/>
              </w:rPr>
              <w:t>25 years</w:t>
            </w:r>
          </w:p>
        </w:tc>
        <w:tc>
          <w:tcPr>
            <w:tcW w:w="596" w:type="pct"/>
            <w:hideMark/>
          </w:tcPr>
          <w:p w14:paraId="2D483C8A"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1.01</w:t>
            </w:r>
            <w:r>
              <w:rPr>
                <w:rFonts w:eastAsia="Times New Roman" w:cs="Arial"/>
                <w:color w:val="000000"/>
                <w:sz w:val="18"/>
                <w:szCs w:val="18"/>
                <w:lang w:eastAsia="en-AU"/>
              </w:rPr>
              <w:t>0</w:t>
            </w:r>
          </w:p>
        </w:tc>
        <w:tc>
          <w:tcPr>
            <w:tcW w:w="1150" w:type="pct"/>
            <w:hideMark/>
          </w:tcPr>
          <w:p w14:paraId="47473B05"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0.671</w:t>
            </w:r>
          </w:p>
        </w:tc>
        <w:tc>
          <w:tcPr>
            <w:tcW w:w="1190" w:type="pct"/>
            <w:hideMark/>
          </w:tcPr>
          <w:p w14:paraId="12B01433"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1.519</w:t>
            </w:r>
          </w:p>
        </w:tc>
      </w:tr>
      <w:tr w:rsidR="00F57386" w:rsidRPr="00412287" w14:paraId="6FCFF870"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64" w:type="pct"/>
            <w:noWrap/>
            <w:hideMark/>
          </w:tcPr>
          <w:p w14:paraId="0C2313F2"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Gender (Female)</w:t>
            </w:r>
          </w:p>
        </w:tc>
        <w:tc>
          <w:tcPr>
            <w:tcW w:w="596" w:type="pct"/>
            <w:noWrap/>
            <w:hideMark/>
          </w:tcPr>
          <w:p w14:paraId="38C0E61C" w14:textId="77777777" w:rsidR="00F57386" w:rsidRPr="0041228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50" w:type="pct"/>
            <w:noWrap/>
            <w:hideMark/>
          </w:tcPr>
          <w:p w14:paraId="5B4886AE" w14:textId="77777777" w:rsidR="00F57386" w:rsidRPr="0041228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90" w:type="pct"/>
            <w:noWrap/>
            <w:hideMark/>
          </w:tcPr>
          <w:p w14:paraId="08639822" w14:textId="77777777" w:rsidR="00F57386" w:rsidRPr="00412287"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r>
      <w:tr w:rsidR="00F57386" w:rsidRPr="00412287" w14:paraId="1BB816E6"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4" w:type="pct"/>
            <w:hideMark/>
          </w:tcPr>
          <w:p w14:paraId="187AC159" w14:textId="51E46480"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Male</w:t>
            </w:r>
          </w:p>
        </w:tc>
        <w:tc>
          <w:tcPr>
            <w:tcW w:w="596" w:type="pct"/>
            <w:hideMark/>
          </w:tcPr>
          <w:p w14:paraId="38583319"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1.622</w:t>
            </w:r>
            <w:r>
              <w:rPr>
                <w:rFonts w:eastAsia="Times New Roman" w:cs="Arial"/>
                <w:color w:val="000000"/>
                <w:sz w:val="18"/>
                <w:szCs w:val="18"/>
                <w:lang w:eastAsia="en-AU"/>
              </w:rPr>
              <w:t>*</w:t>
            </w:r>
          </w:p>
        </w:tc>
        <w:tc>
          <w:tcPr>
            <w:tcW w:w="1150" w:type="pct"/>
            <w:hideMark/>
          </w:tcPr>
          <w:p w14:paraId="2AAD0FAA"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1.228</w:t>
            </w:r>
          </w:p>
        </w:tc>
        <w:tc>
          <w:tcPr>
            <w:tcW w:w="1190" w:type="pct"/>
            <w:hideMark/>
          </w:tcPr>
          <w:p w14:paraId="4C3EAE78"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2.143</w:t>
            </w:r>
          </w:p>
        </w:tc>
      </w:tr>
      <w:tr w:rsidR="00F57386" w:rsidRPr="00412287" w14:paraId="6ADB3AAC" w14:textId="77777777" w:rsidTr="004A08F9">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064" w:type="pct"/>
            <w:hideMark/>
          </w:tcPr>
          <w:p w14:paraId="00533F37" w14:textId="41F06614"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 xml:space="preserve">Aboriginal </w:t>
            </w:r>
            <w:r w:rsidR="00AD74F5">
              <w:rPr>
                <w:rFonts w:eastAsia="Times New Roman" w:cs="Arial"/>
                <w:bCs/>
                <w:color w:val="000000"/>
                <w:sz w:val="18"/>
                <w:szCs w:val="18"/>
                <w:lang w:eastAsia="en-AU"/>
              </w:rPr>
              <w:t>and/or</w:t>
            </w:r>
            <w:r w:rsidRPr="00412287">
              <w:rPr>
                <w:rFonts w:eastAsia="Times New Roman" w:cs="Arial"/>
                <w:bCs/>
                <w:color w:val="000000"/>
                <w:sz w:val="18"/>
                <w:szCs w:val="18"/>
                <w:lang w:eastAsia="en-AU"/>
              </w:rPr>
              <w:t xml:space="preserve"> Torres Strait Islander person</w:t>
            </w:r>
            <w:r>
              <w:rPr>
                <w:rFonts w:eastAsia="Times New Roman" w:cs="Arial"/>
                <w:bCs/>
                <w:color w:val="000000"/>
                <w:sz w:val="18"/>
                <w:szCs w:val="18"/>
                <w:lang w:eastAsia="en-AU"/>
              </w:rPr>
              <w:t xml:space="preserve"> (</w:t>
            </w:r>
            <w:r w:rsidRPr="00412287">
              <w:rPr>
                <w:rFonts w:eastAsia="Times New Roman" w:cs="Arial"/>
                <w:bCs/>
                <w:color w:val="000000"/>
                <w:sz w:val="18"/>
                <w:szCs w:val="18"/>
                <w:lang w:eastAsia="en-AU"/>
              </w:rPr>
              <w:t>No)</w:t>
            </w:r>
          </w:p>
        </w:tc>
        <w:tc>
          <w:tcPr>
            <w:tcW w:w="596" w:type="pct"/>
            <w:hideMark/>
          </w:tcPr>
          <w:p w14:paraId="14ACC34D"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50" w:type="pct"/>
            <w:hideMark/>
          </w:tcPr>
          <w:p w14:paraId="42CD1BCB"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90" w:type="pct"/>
            <w:hideMark/>
          </w:tcPr>
          <w:p w14:paraId="51B01324"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r>
      <w:tr w:rsidR="00F57386" w:rsidRPr="00412287" w14:paraId="7309C2E3"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4" w:type="pct"/>
            <w:hideMark/>
          </w:tcPr>
          <w:p w14:paraId="7766B637" w14:textId="3E88F677"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Yes</w:t>
            </w:r>
          </w:p>
        </w:tc>
        <w:tc>
          <w:tcPr>
            <w:tcW w:w="596" w:type="pct"/>
            <w:hideMark/>
          </w:tcPr>
          <w:p w14:paraId="3A69652D"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1.355</w:t>
            </w:r>
            <w:r>
              <w:rPr>
                <w:rFonts w:eastAsia="Times New Roman" w:cs="Arial"/>
                <w:color w:val="000000"/>
                <w:sz w:val="18"/>
                <w:szCs w:val="18"/>
                <w:lang w:eastAsia="en-AU"/>
              </w:rPr>
              <w:t>*</w:t>
            </w:r>
          </w:p>
        </w:tc>
        <w:tc>
          <w:tcPr>
            <w:tcW w:w="1150" w:type="pct"/>
            <w:hideMark/>
          </w:tcPr>
          <w:p w14:paraId="785B394C"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w:t>
            </w:r>
            <w:r>
              <w:rPr>
                <w:rFonts w:eastAsia="Times New Roman" w:cs="Arial"/>
                <w:color w:val="000000"/>
                <w:sz w:val="18"/>
                <w:szCs w:val="18"/>
                <w:lang w:eastAsia="en-AU"/>
              </w:rPr>
              <w:t>.000</w:t>
            </w:r>
          </w:p>
        </w:tc>
        <w:tc>
          <w:tcPr>
            <w:tcW w:w="1190" w:type="pct"/>
            <w:hideMark/>
          </w:tcPr>
          <w:p w14:paraId="5EB22386"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1.835</w:t>
            </w:r>
          </w:p>
        </w:tc>
      </w:tr>
      <w:tr w:rsidR="00F57386" w:rsidRPr="00412287" w14:paraId="1B6CF0DE"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64" w:type="pct"/>
            <w:hideMark/>
          </w:tcPr>
          <w:p w14:paraId="58867E4B"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TtW group (Group 1)</w:t>
            </w:r>
          </w:p>
        </w:tc>
        <w:tc>
          <w:tcPr>
            <w:tcW w:w="596" w:type="pct"/>
            <w:hideMark/>
          </w:tcPr>
          <w:p w14:paraId="3AA7D897"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50" w:type="pct"/>
            <w:hideMark/>
          </w:tcPr>
          <w:p w14:paraId="542CEE6C"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90" w:type="pct"/>
            <w:hideMark/>
          </w:tcPr>
          <w:p w14:paraId="5AC38FB5"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r>
      <w:tr w:rsidR="00F57386" w:rsidRPr="00412287" w14:paraId="45078364"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4" w:type="pct"/>
            <w:hideMark/>
          </w:tcPr>
          <w:p w14:paraId="3D612D85" w14:textId="27640DF8"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Group 2</w:t>
            </w:r>
          </w:p>
        </w:tc>
        <w:tc>
          <w:tcPr>
            <w:tcW w:w="596" w:type="pct"/>
            <w:hideMark/>
          </w:tcPr>
          <w:p w14:paraId="541C1BFC"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1.203</w:t>
            </w:r>
          </w:p>
        </w:tc>
        <w:tc>
          <w:tcPr>
            <w:tcW w:w="1150" w:type="pct"/>
            <w:hideMark/>
          </w:tcPr>
          <w:p w14:paraId="556A7620"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0.875</w:t>
            </w:r>
          </w:p>
        </w:tc>
        <w:tc>
          <w:tcPr>
            <w:tcW w:w="1190" w:type="pct"/>
            <w:hideMark/>
          </w:tcPr>
          <w:p w14:paraId="704292D2"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1.653</w:t>
            </w:r>
          </w:p>
        </w:tc>
      </w:tr>
      <w:tr w:rsidR="00F57386" w:rsidRPr="00412287" w14:paraId="643445E6"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4" w:type="pct"/>
            <w:hideMark/>
          </w:tcPr>
          <w:p w14:paraId="4C486BF8" w14:textId="4478BBA9"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Group 3</w:t>
            </w:r>
          </w:p>
        </w:tc>
        <w:tc>
          <w:tcPr>
            <w:tcW w:w="596" w:type="pct"/>
            <w:hideMark/>
          </w:tcPr>
          <w:p w14:paraId="1162DE5E"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0.53</w:t>
            </w:r>
            <w:r>
              <w:rPr>
                <w:rFonts w:eastAsia="Times New Roman" w:cs="Arial"/>
                <w:color w:val="000000"/>
                <w:sz w:val="18"/>
                <w:szCs w:val="18"/>
                <w:lang w:eastAsia="en-AU"/>
              </w:rPr>
              <w:t>0</w:t>
            </w:r>
          </w:p>
        </w:tc>
        <w:tc>
          <w:tcPr>
            <w:tcW w:w="1150" w:type="pct"/>
            <w:hideMark/>
          </w:tcPr>
          <w:p w14:paraId="18F96463"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0.203</w:t>
            </w:r>
          </w:p>
        </w:tc>
        <w:tc>
          <w:tcPr>
            <w:tcW w:w="1190" w:type="pct"/>
            <w:hideMark/>
          </w:tcPr>
          <w:p w14:paraId="328CF232"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1.382</w:t>
            </w:r>
          </w:p>
        </w:tc>
      </w:tr>
      <w:tr w:rsidR="00F57386" w:rsidRPr="00412287" w14:paraId="54A96310"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64" w:type="pct"/>
            <w:hideMark/>
          </w:tcPr>
          <w:p w14:paraId="446A6B4F"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Education (Year 11 or less)</w:t>
            </w:r>
          </w:p>
        </w:tc>
        <w:tc>
          <w:tcPr>
            <w:tcW w:w="596" w:type="pct"/>
            <w:hideMark/>
          </w:tcPr>
          <w:p w14:paraId="41A39EF9" w14:textId="77777777" w:rsidR="00F57386" w:rsidRPr="00412287"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412287">
              <w:rPr>
                <w:rFonts w:ascii="Calibri" w:eastAsia="Times New Roman" w:hAnsi="Calibri" w:cs="Calibri"/>
                <w:color w:val="000000"/>
                <w:sz w:val="18"/>
                <w:szCs w:val="18"/>
                <w:lang w:eastAsia="en-AU"/>
              </w:rPr>
              <w:t> </w:t>
            </w:r>
          </w:p>
        </w:tc>
        <w:tc>
          <w:tcPr>
            <w:tcW w:w="1150" w:type="pct"/>
            <w:hideMark/>
          </w:tcPr>
          <w:p w14:paraId="3D16982A" w14:textId="77777777" w:rsidR="00F57386" w:rsidRPr="00412287"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412287">
              <w:rPr>
                <w:rFonts w:ascii="Calibri" w:eastAsia="Times New Roman" w:hAnsi="Calibri" w:cs="Calibri"/>
                <w:color w:val="000000"/>
                <w:sz w:val="18"/>
                <w:szCs w:val="18"/>
                <w:lang w:eastAsia="en-AU"/>
              </w:rPr>
              <w:t> </w:t>
            </w:r>
          </w:p>
        </w:tc>
        <w:tc>
          <w:tcPr>
            <w:tcW w:w="1190" w:type="pct"/>
            <w:hideMark/>
          </w:tcPr>
          <w:p w14:paraId="26D857B4" w14:textId="77777777" w:rsidR="00F57386" w:rsidRPr="00412287"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412287">
              <w:rPr>
                <w:rFonts w:ascii="Calibri" w:eastAsia="Times New Roman" w:hAnsi="Calibri" w:cs="Calibri"/>
                <w:color w:val="000000"/>
                <w:sz w:val="18"/>
                <w:szCs w:val="18"/>
                <w:lang w:eastAsia="en-AU"/>
              </w:rPr>
              <w:t> </w:t>
            </w:r>
          </w:p>
        </w:tc>
      </w:tr>
      <w:tr w:rsidR="00F57386" w:rsidRPr="00412287" w14:paraId="7078A0B6"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4" w:type="pct"/>
            <w:hideMark/>
          </w:tcPr>
          <w:p w14:paraId="014A5261" w14:textId="66C410B1"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Year 12 or higher</w:t>
            </w:r>
          </w:p>
        </w:tc>
        <w:tc>
          <w:tcPr>
            <w:tcW w:w="596" w:type="pct"/>
            <w:hideMark/>
          </w:tcPr>
          <w:p w14:paraId="1B47067E"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1.059</w:t>
            </w:r>
          </w:p>
        </w:tc>
        <w:tc>
          <w:tcPr>
            <w:tcW w:w="1150" w:type="pct"/>
            <w:hideMark/>
          </w:tcPr>
          <w:p w14:paraId="0ED0CC8B"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0.777</w:t>
            </w:r>
          </w:p>
        </w:tc>
        <w:tc>
          <w:tcPr>
            <w:tcW w:w="1190" w:type="pct"/>
            <w:hideMark/>
          </w:tcPr>
          <w:p w14:paraId="7B43BB62"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1.444</w:t>
            </w:r>
          </w:p>
        </w:tc>
      </w:tr>
      <w:tr w:rsidR="00F57386" w:rsidRPr="00412287" w14:paraId="13177F17"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64" w:type="pct"/>
            <w:hideMark/>
          </w:tcPr>
          <w:p w14:paraId="5EBA6352"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Current JSCI score (26+)</w:t>
            </w:r>
          </w:p>
        </w:tc>
        <w:tc>
          <w:tcPr>
            <w:tcW w:w="596" w:type="pct"/>
            <w:hideMark/>
          </w:tcPr>
          <w:p w14:paraId="2F812EB6"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 </w:t>
            </w:r>
          </w:p>
        </w:tc>
        <w:tc>
          <w:tcPr>
            <w:tcW w:w="1150" w:type="pct"/>
            <w:hideMark/>
          </w:tcPr>
          <w:p w14:paraId="09E9C181"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c>
          <w:tcPr>
            <w:tcW w:w="1190" w:type="pct"/>
            <w:hideMark/>
          </w:tcPr>
          <w:p w14:paraId="67B12CFB"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 </w:t>
            </w:r>
          </w:p>
        </w:tc>
      </w:tr>
      <w:tr w:rsidR="00F57386" w:rsidRPr="00412287" w14:paraId="7EF0CD5D"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4" w:type="pct"/>
            <w:hideMark/>
          </w:tcPr>
          <w:p w14:paraId="07734A09" w14:textId="350F50D2"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0</w:t>
            </w:r>
            <w:r w:rsidR="00AD74F5">
              <w:rPr>
                <w:rFonts w:eastAsia="Times New Roman" w:cs="Arial"/>
                <w:color w:val="000000"/>
                <w:sz w:val="18"/>
                <w:szCs w:val="18"/>
                <w:lang w:eastAsia="en-AU"/>
              </w:rPr>
              <w:t>–</w:t>
            </w:r>
            <w:r w:rsidRPr="00412287">
              <w:rPr>
                <w:rFonts w:eastAsia="Times New Roman" w:cs="Arial"/>
                <w:color w:val="000000"/>
                <w:sz w:val="18"/>
                <w:szCs w:val="18"/>
                <w:lang w:eastAsia="en-AU"/>
              </w:rPr>
              <w:t>25</w:t>
            </w:r>
          </w:p>
        </w:tc>
        <w:tc>
          <w:tcPr>
            <w:tcW w:w="596" w:type="pct"/>
            <w:hideMark/>
          </w:tcPr>
          <w:p w14:paraId="6CEBE2FB"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1.385</w:t>
            </w:r>
            <w:r>
              <w:rPr>
                <w:rFonts w:eastAsia="Times New Roman" w:cs="Arial"/>
                <w:color w:val="000000"/>
                <w:sz w:val="18"/>
                <w:szCs w:val="18"/>
                <w:lang w:eastAsia="en-AU"/>
              </w:rPr>
              <w:t>*</w:t>
            </w:r>
          </w:p>
        </w:tc>
        <w:tc>
          <w:tcPr>
            <w:tcW w:w="1150" w:type="pct"/>
            <w:hideMark/>
          </w:tcPr>
          <w:p w14:paraId="306F9B5D"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1.013</w:t>
            </w:r>
          </w:p>
        </w:tc>
        <w:tc>
          <w:tcPr>
            <w:tcW w:w="1190" w:type="pct"/>
            <w:hideMark/>
          </w:tcPr>
          <w:p w14:paraId="44A81314"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1.893</w:t>
            </w:r>
          </w:p>
        </w:tc>
      </w:tr>
      <w:tr w:rsidR="00F57386" w:rsidRPr="00412287" w14:paraId="1CF29E89" w14:textId="77777777" w:rsidTr="004A08F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064" w:type="pct"/>
            <w:hideMark/>
          </w:tcPr>
          <w:p w14:paraId="77036696" w14:textId="64E9E8F5"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t xml:space="preserve">Remoteness area (Major </w:t>
            </w:r>
            <w:r w:rsidR="001159FE">
              <w:rPr>
                <w:rFonts w:eastAsia="Times New Roman" w:cs="Arial"/>
                <w:bCs/>
                <w:color w:val="000000"/>
                <w:sz w:val="18"/>
                <w:szCs w:val="18"/>
                <w:lang w:eastAsia="en-AU"/>
              </w:rPr>
              <w:t>C</w:t>
            </w:r>
            <w:r w:rsidRPr="00412287">
              <w:rPr>
                <w:rFonts w:eastAsia="Times New Roman" w:cs="Arial"/>
                <w:bCs/>
                <w:color w:val="000000"/>
                <w:sz w:val="18"/>
                <w:szCs w:val="18"/>
                <w:lang w:eastAsia="en-AU"/>
              </w:rPr>
              <w:t xml:space="preserve">ity or </w:t>
            </w:r>
            <w:r w:rsidR="001159FE">
              <w:rPr>
                <w:rFonts w:eastAsia="Times New Roman" w:cs="Arial"/>
                <w:bCs/>
                <w:color w:val="000000"/>
                <w:sz w:val="18"/>
                <w:szCs w:val="18"/>
                <w:lang w:eastAsia="en-AU"/>
              </w:rPr>
              <w:t>I</w:t>
            </w:r>
            <w:r w:rsidRPr="00412287">
              <w:rPr>
                <w:rFonts w:eastAsia="Times New Roman" w:cs="Arial"/>
                <w:bCs/>
                <w:color w:val="000000"/>
                <w:sz w:val="18"/>
                <w:szCs w:val="18"/>
                <w:lang w:eastAsia="en-AU"/>
              </w:rPr>
              <w:t xml:space="preserve">nner </w:t>
            </w:r>
            <w:r w:rsidR="001159FE">
              <w:rPr>
                <w:rFonts w:eastAsia="Times New Roman" w:cs="Arial"/>
                <w:bCs/>
                <w:color w:val="000000"/>
                <w:sz w:val="18"/>
                <w:szCs w:val="18"/>
                <w:lang w:eastAsia="en-AU"/>
              </w:rPr>
              <w:t>R</w:t>
            </w:r>
            <w:r w:rsidRPr="00412287">
              <w:rPr>
                <w:rFonts w:eastAsia="Times New Roman" w:cs="Arial"/>
                <w:bCs/>
                <w:color w:val="000000"/>
                <w:sz w:val="18"/>
                <w:szCs w:val="18"/>
                <w:lang w:eastAsia="en-AU"/>
              </w:rPr>
              <w:t>egional)</w:t>
            </w:r>
          </w:p>
        </w:tc>
        <w:tc>
          <w:tcPr>
            <w:tcW w:w="596" w:type="pct"/>
            <w:hideMark/>
          </w:tcPr>
          <w:p w14:paraId="588387CB" w14:textId="77777777" w:rsidR="00F57386" w:rsidRPr="00412287"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412287">
              <w:rPr>
                <w:rFonts w:ascii="Calibri" w:eastAsia="Times New Roman" w:hAnsi="Calibri" w:cs="Calibri"/>
                <w:color w:val="000000"/>
                <w:sz w:val="18"/>
                <w:szCs w:val="18"/>
                <w:lang w:eastAsia="en-AU"/>
              </w:rPr>
              <w:t> </w:t>
            </w:r>
          </w:p>
        </w:tc>
        <w:tc>
          <w:tcPr>
            <w:tcW w:w="1150" w:type="pct"/>
            <w:hideMark/>
          </w:tcPr>
          <w:p w14:paraId="48FD67F6" w14:textId="77777777" w:rsidR="00F57386" w:rsidRPr="00412287"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412287">
              <w:rPr>
                <w:rFonts w:ascii="Calibri" w:eastAsia="Times New Roman" w:hAnsi="Calibri" w:cs="Calibri"/>
                <w:color w:val="000000"/>
                <w:sz w:val="18"/>
                <w:szCs w:val="18"/>
                <w:lang w:eastAsia="en-AU"/>
              </w:rPr>
              <w:t> </w:t>
            </w:r>
          </w:p>
        </w:tc>
        <w:tc>
          <w:tcPr>
            <w:tcW w:w="1190" w:type="pct"/>
            <w:hideMark/>
          </w:tcPr>
          <w:p w14:paraId="3C8A33D1" w14:textId="77777777" w:rsidR="00F57386" w:rsidRPr="00412287"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412287">
              <w:rPr>
                <w:rFonts w:ascii="Calibri" w:eastAsia="Times New Roman" w:hAnsi="Calibri" w:cs="Calibri"/>
                <w:color w:val="000000"/>
                <w:sz w:val="18"/>
                <w:szCs w:val="18"/>
                <w:lang w:eastAsia="en-AU"/>
              </w:rPr>
              <w:t> </w:t>
            </w:r>
          </w:p>
        </w:tc>
      </w:tr>
      <w:tr w:rsidR="00F57386" w:rsidRPr="00412287" w14:paraId="4EB0D3B8"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4" w:type="pct"/>
            <w:hideMark/>
          </w:tcPr>
          <w:p w14:paraId="22B8BDCC" w14:textId="5F4EFC2B" w:rsidR="00F57386" w:rsidRPr="00412287" w:rsidRDefault="00F57386" w:rsidP="004E6757">
            <w:pPr>
              <w:rPr>
                <w:rFonts w:eastAsia="Times New Roman" w:cs="Arial"/>
                <w:color w:val="000000"/>
                <w:sz w:val="18"/>
                <w:szCs w:val="18"/>
                <w:lang w:eastAsia="en-AU"/>
              </w:rPr>
            </w:pPr>
            <w:r w:rsidRPr="00412287">
              <w:rPr>
                <w:rFonts w:eastAsia="Times New Roman" w:cs="Arial"/>
                <w:color w:val="000000"/>
                <w:sz w:val="18"/>
                <w:szCs w:val="18"/>
                <w:lang w:eastAsia="en-AU"/>
              </w:rPr>
              <w:t xml:space="preserve">Regional or </w:t>
            </w:r>
            <w:r w:rsidR="00AD74F5">
              <w:rPr>
                <w:rFonts w:eastAsia="Times New Roman" w:cs="Arial"/>
                <w:color w:val="000000"/>
                <w:sz w:val="18"/>
                <w:szCs w:val="18"/>
                <w:lang w:eastAsia="en-AU"/>
              </w:rPr>
              <w:t>R</w:t>
            </w:r>
            <w:r w:rsidRPr="00412287">
              <w:rPr>
                <w:rFonts w:eastAsia="Times New Roman" w:cs="Arial"/>
                <w:color w:val="000000"/>
                <w:sz w:val="18"/>
                <w:szCs w:val="18"/>
                <w:lang w:eastAsia="en-AU"/>
              </w:rPr>
              <w:t xml:space="preserve">emote </w:t>
            </w:r>
          </w:p>
        </w:tc>
        <w:tc>
          <w:tcPr>
            <w:tcW w:w="596" w:type="pct"/>
            <w:hideMark/>
          </w:tcPr>
          <w:p w14:paraId="2455EE4A"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1.22</w:t>
            </w:r>
            <w:r>
              <w:rPr>
                <w:rFonts w:eastAsia="Times New Roman" w:cs="Arial"/>
                <w:color w:val="000000"/>
                <w:sz w:val="18"/>
                <w:szCs w:val="18"/>
                <w:lang w:eastAsia="en-AU"/>
              </w:rPr>
              <w:t>0</w:t>
            </w:r>
          </w:p>
        </w:tc>
        <w:tc>
          <w:tcPr>
            <w:tcW w:w="1150" w:type="pct"/>
            <w:hideMark/>
          </w:tcPr>
          <w:p w14:paraId="0FA342AF"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0.854</w:t>
            </w:r>
          </w:p>
        </w:tc>
        <w:tc>
          <w:tcPr>
            <w:tcW w:w="1190" w:type="pct"/>
            <w:hideMark/>
          </w:tcPr>
          <w:p w14:paraId="0541F717" w14:textId="77777777" w:rsidR="00F57386" w:rsidRPr="00412287"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12287">
              <w:rPr>
                <w:rFonts w:eastAsia="Times New Roman" w:cs="Arial"/>
                <w:color w:val="000000"/>
                <w:sz w:val="18"/>
                <w:szCs w:val="18"/>
                <w:lang w:eastAsia="en-AU"/>
              </w:rPr>
              <w:t>1.744</w:t>
            </w:r>
          </w:p>
        </w:tc>
      </w:tr>
      <w:tr w:rsidR="00F57386" w:rsidRPr="00412287" w14:paraId="60A39D59"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64" w:type="pct"/>
            <w:hideMark/>
          </w:tcPr>
          <w:p w14:paraId="70B713AE" w14:textId="77777777" w:rsidR="00F57386" w:rsidRPr="00412287" w:rsidRDefault="00F57386" w:rsidP="004E6757">
            <w:pPr>
              <w:rPr>
                <w:rFonts w:eastAsia="Times New Roman" w:cs="Arial"/>
                <w:b w:val="0"/>
                <w:bCs/>
                <w:color w:val="000000"/>
                <w:sz w:val="18"/>
                <w:szCs w:val="18"/>
                <w:lang w:eastAsia="en-AU"/>
              </w:rPr>
            </w:pPr>
            <w:r w:rsidRPr="00412287">
              <w:rPr>
                <w:rFonts w:eastAsia="Times New Roman" w:cs="Arial"/>
                <w:bCs/>
                <w:color w:val="000000"/>
                <w:sz w:val="18"/>
                <w:szCs w:val="18"/>
                <w:lang w:eastAsia="en-AU"/>
              </w:rPr>
              <w:lastRenderedPageBreak/>
              <w:t>Number of service months (continuous)</w:t>
            </w:r>
          </w:p>
        </w:tc>
        <w:tc>
          <w:tcPr>
            <w:tcW w:w="596" w:type="pct"/>
            <w:hideMark/>
          </w:tcPr>
          <w:p w14:paraId="3A7AF23F"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1.22</w:t>
            </w:r>
            <w:r>
              <w:rPr>
                <w:rFonts w:eastAsia="Times New Roman" w:cs="Arial"/>
                <w:b/>
                <w:bCs/>
                <w:color w:val="000000"/>
                <w:sz w:val="18"/>
                <w:szCs w:val="18"/>
                <w:lang w:eastAsia="en-AU"/>
              </w:rPr>
              <w:t>0</w:t>
            </w:r>
          </w:p>
        </w:tc>
        <w:tc>
          <w:tcPr>
            <w:tcW w:w="1150" w:type="pct"/>
            <w:hideMark/>
          </w:tcPr>
          <w:p w14:paraId="19AC346E"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0.943</w:t>
            </w:r>
          </w:p>
        </w:tc>
        <w:tc>
          <w:tcPr>
            <w:tcW w:w="1190" w:type="pct"/>
            <w:hideMark/>
          </w:tcPr>
          <w:p w14:paraId="7E6415C2" w14:textId="77777777" w:rsidR="00F57386" w:rsidRPr="00412287"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12287">
              <w:rPr>
                <w:rFonts w:eastAsia="Times New Roman" w:cs="Arial"/>
                <w:b/>
                <w:bCs/>
                <w:color w:val="000000"/>
                <w:sz w:val="18"/>
                <w:szCs w:val="18"/>
                <w:lang w:eastAsia="en-AU"/>
              </w:rPr>
              <w:t>1.578</w:t>
            </w:r>
          </w:p>
        </w:tc>
      </w:tr>
    </w:tbl>
    <w:p w14:paraId="7FD8527E" w14:textId="7A047C7F"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 xml:space="preserve">p </w:t>
      </w:r>
      <w:r w:rsidRPr="00CE7617">
        <w:rPr>
          <w:sz w:val="16"/>
        </w:rPr>
        <w:t>&lt; 0.05</w:t>
      </w:r>
    </w:p>
    <w:p w14:paraId="28E1B2F2" w14:textId="795E9872" w:rsidR="00F57386" w:rsidRDefault="00F57386" w:rsidP="00F57386">
      <w:pPr>
        <w:pStyle w:val="Caption"/>
        <w:ind w:left="1440" w:hanging="1440"/>
      </w:pPr>
      <w:bookmarkStart w:id="4195" w:name="_Toc132647834"/>
      <w:bookmarkStart w:id="4196" w:name="_Toc145877348"/>
      <w:r>
        <w:t xml:space="preserve">Table </w:t>
      </w:r>
      <w:r>
        <w:fldChar w:fldCharType="begin"/>
      </w:r>
      <w:r>
        <w:instrText>SEQ Table \* ARABIC</w:instrText>
      </w:r>
      <w:r>
        <w:fldChar w:fldCharType="separate"/>
      </w:r>
      <w:r w:rsidR="00180E14">
        <w:rPr>
          <w:noProof/>
        </w:rPr>
        <w:t>59</w:t>
      </w:r>
      <w:r>
        <w:fldChar w:fldCharType="end"/>
      </w:r>
      <w:r>
        <w:t>: Regression results for TtW program elements and self-rated mental health (excellent / very good)</w:t>
      </w:r>
      <w:bookmarkEnd w:id="4195"/>
      <w:bookmarkEnd w:id="4196"/>
    </w:p>
    <w:tbl>
      <w:tblPr>
        <w:tblStyle w:val="TtWReportTableTemplate2"/>
        <w:tblW w:w="4963" w:type="pct"/>
        <w:tblLayout w:type="fixed"/>
        <w:tblLook w:val="04A0" w:firstRow="1" w:lastRow="0" w:firstColumn="1" w:lastColumn="0" w:noHBand="0" w:noVBand="1"/>
      </w:tblPr>
      <w:tblGrid>
        <w:gridCol w:w="3970"/>
        <w:gridCol w:w="1048"/>
        <w:gridCol w:w="1992"/>
        <w:gridCol w:w="1949"/>
      </w:tblGrid>
      <w:tr w:rsidR="00F57386" w:rsidRPr="00DB0333" w14:paraId="7832E587" w14:textId="77777777" w:rsidTr="00C24C7F">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2215" w:type="pct"/>
            <w:shd w:val="clear" w:color="auto" w:fill="5D7A38"/>
            <w:hideMark/>
          </w:tcPr>
          <w:p w14:paraId="759ABB76" w14:textId="77777777" w:rsidR="00F57386" w:rsidRPr="00DB0333" w:rsidRDefault="00F57386" w:rsidP="004E6757">
            <w:pPr>
              <w:rPr>
                <w:rFonts w:eastAsia="Times New Roman" w:cs="Arial"/>
                <w:b w:val="0"/>
                <w:bCs/>
                <w:color w:val="FFFFFF"/>
                <w:sz w:val="18"/>
                <w:szCs w:val="18"/>
                <w:lang w:eastAsia="en-AU"/>
              </w:rPr>
            </w:pPr>
            <w:r w:rsidRPr="00DB0333">
              <w:rPr>
                <w:rFonts w:eastAsia="Times New Roman" w:cs="Arial"/>
                <w:bCs/>
                <w:color w:val="FFFFFF"/>
                <w:sz w:val="18"/>
                <w:szCs w:val="18"/>
                <w:lang w:eastAsia="en-AU"/>
              </w:rPr>
              <w:t>Co-variate</w:t>
            </w:r>
            <w:r w:rsidRPr="00DB0333">
              <w:rPr>
                <w:rFonts w:eastAsia="Times New Roman" w:cs="Calibri"/>
                <w:color w:val="000000"/>
                <w:sz w:val="18"/>
                <w:szCs w:val="18"/>
                <w:lang w:eastAsia="en-AU"/>
              </w:rPr>
              <w:t> </w:t>
            </w:r>
          </w:p>
        </w:tc>
        <w:tc>
          <w:tcPr>
            <w:tcW w:w="585" w:type="pct"/>
            <w:shd w:val="clear" w:color="auto" w:fill="5D7A38"/>
            <w:hideMark/>
          </w:tcPr>
          <w:p w14:paraId="4C169DFF"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sz w:val="18"/>
                <w:szCs w:val="18"/>
              </w:rPr>
              <w:t>Odds ratio</w:t>
            </w:r>
            <w:r w:rsidRPr="00C239FD">
              <w:rPr>
                <w:sz w:val="18"/>
                <w:szCs w:val="18"/>
                <w:vertAlign w:val="superscript"/>
              </w:rPr>
              <w:t>1</w:t>
            </w:r>
          </w:p>
        </w:tc>
        <w:tc>
          <w:tcPr>
            <w:tcW w:w="1112" w:type="pct"/>
            <w:shd w:val="clear" w:color="auto" w:fill="5D7A38"/>
            <w:hideMark/>
          </w:tcPr>
          <w:p w14:paraId="1AB80A7E"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Lower 95% confidence limit</w:t>
            </w:r>
          </w:p>
        </w:tc>
        <w:tc>
          <w:tcPr>
            <w:tcW w:w="1088" w:type="pct"/>
            <w:shd w:val="clear" w:color="auto" w:fill="5D7A38"/>
            <w:hideMark/>
          </w:tcPr>
          <w:p w14:paraId="217748DC"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Upper 95% confidence limit</w:t>
            </w:r>
          </w:p>
        </w:tc>
      </w:tr>
      <w:tr w:rsidR="00F57386" w:rsidRPr="00DB0333" w14:paraId="7DA7D1CA"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15" w:type="pct"/>
            <w:hideMark/>
          </w:tcPr>
          <w:p w14:paraId="539C626E" w14:textId="77777777" w:rsidR="00F57386" w:rsidRPr="00DB0333" w:rsidRDefault="00F57386" w:rsidP="004E6757">
            <w:pPr>
              <w:rPr>
                <w:rFonts w:eastAsia="Times New Roman" w:cs="Arial"/>
                <w:b w:val="0"/>
                <w:bCs/>
                <w:color w:val="000000"/>
                <w:sz w:val="18"/>
                <w:szCs w:val="18"/>
                <w:lang w:eastAsia="en-AU"/>
              </w:rPr>
            </w:pPr>
            <w:r w:rsidRPr="00DB0333">
              <w:rPr>
                <w:rFonts w:eastAsia="Times New Roman" w:cs="Arial"/>
                <w:bCs/>
                <w:color w:val="000000"/>
                <w:sz w:val="18"/>
                <w:szCs w:val="18"/>
                <w:lang w:eastAsia="en-AU"/>
              </w:rPr>
              <w:t>(Intercept)</w:t>
            </w:r>
          </w:p>
        </w:tc>
        <w:tc>
          <w:tcPr>
            <w:tcW w:w="585" w:type="pct"/>
            <w:hideMark/>
          </w:tcPr>
          <w:p w14:paraId="3178EF80"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0.095</w:t>
            </w:r>
            <w:r>
              <w:rPr>
                <w:rFonts w:eastAsia="Times New Roman" w:cs="Arial"/>
                <w:b/>
                <w:bCs/>
                <w:color w:val="000000"/>
                <w:sz w:val="18"/>
                <w:szCs w:val="18"/>
                <w:lang w:eastAsia="en-AU"/>
              </w:rPr>
              <w:t>*</w:t>
            </w:r>
          </w:p>
        </w:tc>
        <w:tc>
          <w:tcPr>
            <w:tcW w:w="1112" w:type="pct"/>
            <w:hideMark/>
          </w:tcPr>
          <w:p w14:paraId="0788DDAA"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0.061</w:t>
            </w:r>
          </w:p>
        </w:tc>
        <w:tc>
          <w:tcPr>
            <w:tcW w:w="1088" w:type="pct"/>
            <w:hideMark/>
          </w:tcPr>
          <w:p w14:paraId="28AC8645"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0.15</w:t>
            </w:r>
          </w:p>
        </w:tc>
      </w:tr>
      <w:tr w:rsidR="008E0678" w:rsidRPr="00DB0333" w14:paraId="688C455C"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15" w:type="pct"/>
            <w:noWrap/>
            <w:hideMark/>
          </w:tcPr>
          <w:p w14:paraId="2A283296" w14:textId="77777777" w:rsidR="00F57386" w:rsidRPr="00DB0333" w:rsidRDefault="00F57386" w:rsidP="004E6757">
            <w:pPr>
              <w:rPr>
                <w:rFonts w:eastAsia="Times New Roman" w:cs="Arial"/>
                <w:b w:val="0"/>
                <w:bCs/>
                <w:color w:val="000000"/>
                <w:sz w:val="18"/>
                <w:szCs w:val="18"/>
                <w:lang w:eastAsia="en-AU"/>
              </w:rPr>
            </w:pPr>
            <w:r w:rsidRPr="00DB0333">
              <w:rPr>
                <w:rFonts w:eastAsia="Times New Roman" w:cs="Arial"/>
                <w:bCs/>
                <w:color w:val="000000"/>
                <w:sz w:val="18"/>
                <w:szCs w:val="18"/>
                <w:lang w:eastAsia="en-AU"/>
              </w:rPr>
              <w:t>Satisfaction with caseworker (other)</w:t>
            </w:r>
          </w:p>
        </w:tc>
        <w:tc>
          <w:tcPr>
            <w:tcW w:w="585" w:type="pct"/>
            <w:noWrap/>
            <w:hideMark/>
          </w:tcPr>
          <w:p w14:paraId="6329763D"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 </w:t>
            </w:r>
          </w:p>
        </w:tc>
        <w:tc>
          <w:tcPr>
            <w:tcW w:w="1112" w:type="pct"/>
            <w:noWrap/>
            <w:hideMark/>
          </w:tcPr>
          <w:p w14:paraId="48A9E285"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 </w:t>
            </w:r>
          </w:p>
        </w:tc>
        <w:tc>
          <w:tcPr>
            <w:tcW w:w="1088" w:type="pct"/>
            <w:noWrap/>
            <w:hideMark/>
          </w:tcPr>
          <w:p w14:paraId="3863D26C"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 </w:t>
            </w:r>
          </w:p>
        </w:tc>
      </w:tr>
      <w:tr w:rsidR="00F57386" w:rsidRPr="00DB0333" w14:paraId="3D16FDB8"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15" w:type="pct"/>
            <w:hideMark/>
          </w:tcPr>
          <w:p w14:paraId="684DC93D" w14:textId="19291C6F" w:rsidR="00F57386" w:rsidRPr="00DB0333" w:rsidRDefault="00F57386" w:rsidP="004E6757">
            <w:pPr>
              <w:rPr>
                <w:rFonts w:eastAsia="Times New Roman" w:cs="Arial"/>
                <w:color w:val="000000"/>
                <w:sz w:val="18"/>
                <w:szCs w:val="18"/>
                <w:lang w:eastAsia="en-AU"/>
              </w:rPr>
            </w:pPr>
            <w:r w:rsidRPr="00DB0333">
              <w:rPr>
                <w:rFonts w:eastAsia="Times New Roman" w:cs="Arial"/>
                <w:color w:val="000000"/>
                <w:sz w:val="18"/>
                <w:szCs w:val="18"/>
                <w:lang w:eastAsia="en-AU"/>
              </w:rPr>
              <w:t xml:space="preserve">Satisfied / very satisfied </w:t>
            </w:r>
          </w:p>
        </w:tc>
        <w:tc>
          <w:tcPr>
            <w:tcW w:w="585" w:type="pct"/>
            <w:hideMark/>
          </w:tcPr>
          <w:p w14:paraId="0B2E1BCE"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2.27</w:t>
            </w:r>
            <w:r>
              <w:rPr>
                <w:rFonts w:eastAsia="Times New Roman" w:cs="Arial"/>
                <w:color w:val="000000"/>
                <w:sz w:val="18"/>
                <w:szCs w:val="18"/>
                <w:lang w:eastAsia="en-AU"/>
              </w:rPr>
              <w:t>0*</w:t>
            </w:r>
          </w:p>
        </w:tc>
        <w:tc>
          <w:tcPr>
            <w:tcW w:w="1112" w:type="pct"/>
            <w:hideMark/>
          </w:tcPr>
          <w:p w14:paraId="02ED5DDE"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1.396</w:t>
            </w:r>
          </w:p>
        </w:tc>
        <w:tc>
          <w:tcPr>
            <w:tcW w:w="1088" w:type="pct"/>
            <w:hideMark/>
          </w:tcPr>
          <w:p w14:paraId="6736D1AE"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3.69</w:t>
            </w:r>
            <w:r>
              <w:rPr>
                <w:rFonts w:eastAsia="Times New Roman" w:cs="Arial"/>
                <w:color w:val="000000"/>
                <w:sz w:val="18"/>
                <w:szCs w:val="18"/>
                <w:lang w:eastAsia="en-AU"/>
              </w:rPr>
              <w:t>0</w:t>
            </w:r>
          </w:p>
        </w:tc>
      </w:tr>
      <w:tr w:rsidR="00F57386" w:rsidRPr="00DB0333" w14:paraId="46820CCA"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15" w:type="pct"/>
            <w:hideMark/>
          </w:tcPr>
          <w:p w14:paraId="36104FD7" w14:textId="77777777" w:rsidR="00F57386" w:rsidRPr="00DB0333" w:rsidRDefault="00F57386" w:rsidP="004E6757">
            <w:pPr>
              <w:rPr>
                <w:rFonts w:eastAsia="Times New Roman" w:cs="Arial"/>
                <w:b w:val="0"/>
                <w:bCs/>
                <w:color w:val="000000"/>
                <w:sz w:val="18"/>
                <w:szCs w:val="18"/>
                <w:lang w:eastAsia="en-AU"/>
              </w:rPr>
            </w:pPr>
            <w:r w:rsidRPr="00DB0333">
              <w:rPr>
                <w:rFonts w:eastAsia="Times New Roman" w:cs="Arial"/>
                <w:bCs/>
                <w:color w:val="000000"/>
                <w:sz w:val="18"/>
                <w:szCs w:val="18"/>
                <w:lang w:eastAsia="en-AU"/>
              </w:rPr>
              <w:t>Attitude when joined (other)</w:t>
            </w:r>
          </w:p>
        </w:tc>
        <w:tc>
          <w:tcPr>
            <w:tcW w:w="585" w:type="pct"/>
            <w:hideMark/>
          </w:tcPr>
          <w:p w14:paraId="2AD3B656"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DB0333">
              <w:rPr>
                <w:rFonts w:ascii="Calibri" w:eastAsia="Times New Roman" w:hAnsi="Calibri" w:cs="Calibri"/>
                <w:color w:val="000000"/>
                <w:sz w:val="18"/>
                <w:szCs w:val="18"/>
                <w:lang w:eastAsia="en-AU"/>
              </w:rPr>
              <w:t> </w:t>
            </w:r>
          </w:p>
        </w:tc>
        <w:tc>
          <w:tcPr>
            <w:tcW w:w="1112" w:type="pct"/>
            <w:hideMark/>
          </w:tcPr>
          <w:p w14:paraId="1706C2CF"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DB0333">
              <w:rPr>
                <w:rFonts w:ascii="Calibri" w:eastAsia="Times New Roman" w:hAnsi="Calibri" w:cs="Calibri"/>
                <w:color w:val="000000"/>
                <w:sz w:val="18"/>
                <w:szCs w:val="18"/>
                <w:lang w:eastAsia="en-AU"/>
              </w:rPr>
              <w:t> </w:t>
            </w:r>
          </w:p>
        </w:tc>
        <w:tc>
          <w:tcPr>
            <w:tcW w:w="1088" w:type="pct"/>
            <w:hideMark/>
          </w:tcPr>
          <w:p w14:paraId="796C3033"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DB0333">
              <w:rPr>
                <w:rFonts w:ascii="Calibri" w:eastAsia="Times New Roman" w:hAnsi="Calibri" w:cs="Calibri"/>
                <w:color w:val="000000"/>
                <w:sz w:val="18"/>
                <w:szCs w:val="18"/>
                <w:lang w:eastAsia="en-AU"/>
              </w:rPr>
              <w:t> </w:t>
            </w:r>
          </w:p>
        </w:tc>
      </w:tr>
      <w:tr w:rsidR="00F57386" w:rsidRPr="00DB0333" w14:paraId="49659D69"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15" w:type="pct"/>
            <w:hideMark/>
          </w:tcPr>
          <w:p w14:paraId="06316965" w14:textId="59349162" w:rsidR="00F57386" w:rsidRPr="00DB0333" w:rsidRDefault="00F57386" w:rsidP="004E6757">
            <w:pPr>
              <w:rPr>
                <w:rFonts w:eastAsia="Times New Roman" w:cs="Arial"/>
                <w:color w:val="000000"/>
                <w:sz w:val="18"/>
                <w:szCs w:val="18"/>
                <w:lang w:eastAsia="en-AU"/>
              </w:rPr>
            </w:pPr>
            <w:r w:rsidRPr="00DB0333">
              <w:rPr>
                <w:rFonts w:eastAsia="Times New Roman" w:cs="Arial"/>
                <w:color w:val="000000"/>
                <w:sz w:val="18"/>
                <w:szCs w:val="18"/>
                <w:lang w:eastAsia="en-AU"/>
              </w:rPr>
              <w:t xml:space="preserve">Positive / very positive </w:t>
            </w:r>
          </w:p>
        </w:tc>
        <w:tc>
          <w:tcPr>
            <w:tcW w:w="585" w:type="pct"/>
            <w:hideMark/>
          </w:tcPr>
          <w:p w14:paraId="30A4EA29"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1.8</w:t>
            </w:r>
            <w:r>
              <w:rPr>
                <w:rFonts w:eastAsia="Times New Roman" w:cs="Arial"/>
                <w:color w:val="000000"/>
                <w:sz w:val="18"/>
                <w:szCs w:val="18"/>
                <w:lang w:eastAsia="en-AU"/>
              </w:rPr>
              <w:t>00*</w:t>
            </w:r>
          </w:p>
        </w:tc>
        <w:tc>
          <w:tcPr>
            <w:tcW w:w="1112" w:type="pct"/>
            <w:hideMark/>
          </w:tcPr>
          <w:p w14:paraId="41B7EFA6"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1.337</w:t>
            </w:r>
          </w:p>
        </w:tc>
        <w:tc>
          <w:tcPr>
            <w:tcW w:w="1088" w:type="pct"/>
            <w:hideMark/>
          </w:tcPr>
          <w:p w14:paraId="48719B74"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2.425</w:t>
            </w:r>
          </w:p>
        </w:tc>
      </w:tr>
      <w:tr w:rsidR="00F57386" w:rsidRPr="00DB0333" w14:paraId="2651FE1A" w14:textId="77777777" w:rsidTr="004A08F9">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5" w:type="pct"/>
            <w:hideMark/>
          </w:tcPr>
          <w:p w14:paraId="5A54B10A" w14:textId="77777777" w:rsidR="00F57386" w:rsidRPr="00DB0333" w:rsidRDefault="00F57386" w:rsidP="004E6757">
            <w:pPr>
              <w:rPr>
                <w:rFonts w:eastAsia="Times New Roman" w:cs="Arial"/>
                <w:b w:val="0"/>
                <w:bCs/>
                <w:color w:val="000000"/>
                <w:sz w:val="18"/>
                <w:szCs w:val="18"/>
                <w:lang w:eastAsia="en-AU"/>
              </w:rPr>
            </w:pPr>
            <w:r w:rsidRPr="00DB0333">
              <w:rPr>
                <w:rFonts w:eastAsia="Times New Roman" w:cs="Arial"/>
                <w:bCs/>
                <w:color w:val="000000"/>
                <w:sz w:val="18"/>
                <w:szCs w:val="18"/>
                <w:lang w:eastAsia="en-AU"/>
              </w:rPr>
              <w:t>Frequency of contact with caseworker</w:t>
            </w:r>
            <w:r>
              <w:rPr>
                <w:rFonts w:eastAsia="Times New Roman" w:cs="Arial"/>
                <w:bCs/>
                <w:color w:val="000000"/>
                <w:sz w:val="18"/>
                <w:szCs w:val="18"/>
                <w:lang w:eastAsia="en-AU"/>
              </w:rPr>
              <w:t xml:space="preserve"> </w:t>
            </w:r>
            <w:r w:rsidRPr="00DB0333">
              <w:rPr>
                <w:rFonts w:eastAsia="Times New Roman" w:cs="Arial"/>
                <w:bCs/>
                <w:color w:val="000000"/>
                <w:sz w:val="18"/>
                <w:szCs w:val="18"/>
                <w:lang w:eastAsia="en-AU"/>
              </w:rPr>
              <w:t>(Less than weekly)</w:t>
            </w:r>
          </w:p>
        </w:tc>
        <w:tc>
          <w:tcPr>
            <w:tcW w:w="585" w:type="pct"/>
            <w:hideMark/>
          </w:tcPr>
          <w:p w14:paraId="7E18BC0C"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DB0333">
              <w:rPr>
                <w:rFonts w:ascii="Calibri" w:eastAsia="Times New Roman" w:hAnsi="Calibri" w:cs="Calibri"/>
                <w:color w:val="000000"/>
                <w:sz w:val="18"/>
                <w:szCs w:val="18"/>
                <w:lang w:eastAsia="en-AU"/>
              </w:rPr>
              <w:t> </w:t>
            </w:r>
          </w:p>
        </w:tc>
        <w:tc>
          <w:tcPr>
            <w:tcW w:w="1112" w:type="pct"/>
            <w:hideMark/>
          </w:tcPr>
          <w:p w14:paraId="15F31C63"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DB0333">
              <w:rPr>
                <w:rFonts w:ascii="Calibri" w:eastAsia="Times New Roman" w:hAnsi="Calibri" w:cs="Calibri"/>
                <w:color w:val="000000"/>
                <w:sz w:val="18"/>
                <w:szCs w:val="18"/>
                <w:lang w:eastAsia="en-AU"/>
              </w:rPr>
              <w:t> </w:t>
            </w:r>
          </w:p>
        </w:tc>
        <w:tc>
          <w:tcPr>
            <w:tcW w:w="1088" w:type="pct"/>
            <w:hideMark/>
          </w:tcPr>
          <w:p w14:paraId="2A94B78A" w14:textId="77777777" w:rsidR="00F57386" w:rsidRPr="00DB0333"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DB0333">
              <w:rPr>
                <w:rFonts w:ascii="Calibri" w:eastAsia="Times New Roman" w:hAnsi="Calibri" w:cs="Calibri"/>
                <w:color w:val="000000"/>
                <w:sz w:val="18"/>
                <w:szCs w:val="18"/>
                <w:lang w:eastAsia="en-AU"/>
              </w:rPr>
              <w:t> </w:t>
            </w:r>
          </w:p>
        </w:tc>
      </w:tr>
      <w:tr w:rsidR="00F57386" w:rsidRPr="00DB0333" w14:paraId="6DBE94C1" w14:textId="77777777" w:rsidTr="004A08F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215" w:type="pct"/>
            <w:hideMark/>
          </w:tcPr>
          <w:p w14:paraId="328E0489" w14:textId="50BA4C3E" w:rsidR="00F57386" w:rsidRPr="00DB0333" w:rsidRDefault="00F57386" w:rsidP="004E6757">
            <w:pPr>
              <w:rPr>
                <w:rFonts w:eastAsia="Times New Roman" w:cs="Arial"/>
                <w:color w:val="000000"/>
                <w:sz w:val="18"/>
                <w:szCs w:val="18"/>
                <w:lang w:eastAsia="en-AU"/>
              </w:rPr>
            </w:pPr>
            <w:r w:rsidRPr="00DB0333">
              <w:rPr>
                <w:rFonts w:eastAsia="Times New Roman" w:cs="Arial"/>
                <w:color w:val="000000"/>
                <w:sz w:val="18"/>
                <w:szCs w:val="18"/>
                <w:lang w:eastAsia="en-AU"/>
              </w:rPr>
              <w:t xml:space="preserve">At least weekly </w:t>
            </w:r>
          </w:p>
        </w:tc>
        <w:tc>
          <w:tcPr>
            <w:tcW w:w="585" w:type="pct"/>
            <w:hideMark/>
          </w:tcPr>
          <w:p w14:paraId="0D50D47D"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0.916</w:t>
            </w:r>
          </w:p>
        </w:tc>
        <w:tc>
          <w:tcPr>
            <w:tcW w:w="1112" w:type="pct"/>
            <w:hideMark/>
          </w:tcPr>
          <w:p w14:paraId="70F47548"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0.706</w:t>
            </w:r>
          </w:p>
        </w:tc>
        <w:tc>
          <w:tcPr>
            <w:tcW w:w="1088" w:type="pct"/>
            <w:hideMark/>
          </w:tcPr>
          <w:p w14:paraId="6D443BFF"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B0333">
              <w:rPr>
                <w:rFonts w:eastAsia="Times New Roman" w:cs="Arial"/>
                <w:color w:val="000000"/>
                <w:sz w:val="18"/>
                <w:szCs w:val="18"/>
                <w:lang w:eastAsia="en-AU"/>
              </w:rPr>
              <w:t>1.188</w:t>
            </w:r>
          </w:p>
        </w:tc>
      </w:tr>
      <w:tr w:rsidR="00F57386" w:rsidRPr="00DB0333" w14:paraId="56A6B1B1" w14:textId="77777777" w:rsidTr="004A08F9">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215" w:type="pct"/>
            <w:hideMark/>
          </w:tcPr>
          <w:p w14:paraId="435D9857" w14:textId="77777777" w:rsidR="00F57386" w:rsidRPr="00DB0333" w:rsidRDefault="00F57386" w:rsidP="004E6757">
            <w:pPr>
              <w:rPr>
                <w:rFonts w:eastAsia="Times New Roman" w:cs="Arial"/>
                <w:b w:val="0"/>
                <w:bCs/>
                <w:color w:val="000000"/>
                <w:sz w:val="18"/>
                <w:szCs w:val="18"/>
                <w:lang w:eastAsia="en-AU"/>
              </w:rPr>
            </w:pPr>
            <w:r w:rsidRPr="00DB0333">
              <w:rPr>
                <w:rFonts w:eastAsia="Times New Roman" w:cs="Arial"/>
                <w:bCs/>
                <w:color w:val="000000"/>
                <w:sz w:val="18"/>
                <w:szCs w:val="18"/>
                <w:lang w:eastAsia="en-AU"/>
              </w:rPr>
              <w:t>Number of vocational supports (continuous)</w:t>
            </w:r>
          </w:p>
        </w:tc>
        <w:tc>
          <w:tcPr>
            <w:tcW w:w="585" w:type="pct"/>
            <w:hideMark/>
          </w:tcPr>
          <w:p w14:paraId="78AA0E8E" w14:textId="77777777" w:rsidR="00F57386" w:rsidRPr="00DB0333"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1.088</w:t>
            </w:r>
          </w:p>
        </w:tc>
        <w:tc>
          <w:tcPr>
            <w:tcW w:w="1112" w:type="pct"/>
            <w:hideMark/>
          </w:tcPr>
          <w:p w14:paraId="2EFD4C55" w14:textId="77777777" w:rsidR="00F57386" w:rsidRPr="00DB0333"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0.992</w:t>
            </w:r>
          </w:p>
        </w:tc>
        <w:tc>
          <w:tcPr>
            <w:tcW w:w="1088" w:type="pct"/>
            <w:hideMark/>
          </w:tcPr>
          <w:p w14:paraId="46661E56" w14:textId="77777777" w:rsidR="00F57386" w:rsidRPr="00DB0333"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1.194</w:t>
            </w:r>
          </w:p>
        </w:tc>
      </w:tr>
      <w:tr w:rsidR="00F57386" w:rsidRPr="00DB0333" w14:paraId="48923213" w14:textId="77777777" w:rsidTr="004A08F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5" w:type="pct"/>
            <w:hideMark/>
          </w:tcPr>
          <w:p w14:paraId="53FBB515" w14:textId="77777777" w:rsidR="00F57386" w:rsidRPr="00DB0333" w:rsidRDefault="00F57386" w:rsidP="004E6757">
            <w:pPr>
              <w:rPr>
                <w:rFonts w:eastAsia="Times New Roman" w:cs="Arial"/>
                <w:b w:val="0"/>
                <w:bCs/>
                <w:color w:val="000000"/>
                <w:sz w:val="18"/>
                <w:szCs w:val="18"/>
                <w:lang w:eastAsia="en-AU"/>
              </w:rPr>
            </w:pPr>
            <w:r w:rsidRPr="00DB0333">
              <w:rPr>
                <w:rFonts w:eastAsia="Times New Roman" w:cs="Arial"/>
                <w:bCs/>
                <w:color w:val="000000"/>
                <w:sz w:val="18"/>
                <w:szCs w:val="18"/>
                <w:lang w:eastAsia="en-AU"/>
              </w:rPr>
              <w:t>Number of non-vocational supports (continuous)</w:t>
            </w:r>
          </w:p>
        </w:tc>
        <w:tc>
          <w:tcPr>
            <w:tcW w:w="585" w:type="pct"/>
            <w:hideMark/>
          </w:tcPr>
          <w:p w14:paraId="7A5EC20A"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0.955</w:t>
            </w:r>
          </w:p>
        </w:tc>
        <w:tc>
          <w:tcPr>
            <w:tcW w:w="1112" w:type="pct"/>
            <w:hideMark/>
          </w:tcPr>
          <w:p w14:paraId="2046EA8D"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0.904</w:t>
            </w:r>
          </w:p>
        </w:tc>
        <w:tc>
          <w:tcPr>
            <w:tcW w:w="1088" w:type="pct"/>
            <w:hideMark/>
          </w:tcPr>
          <w:p w14:paraId="5BA0F2DF" w14:textId="77777777" w:rsidR="00F57386" w:rsidRPr="00DB0333"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B0333">
              <w:rPr>
                <w:rFonts w:eastAsia="Times New Roman" w:cs="Arial"/>
                <w:b/>
                <w:bCs/>
                <w:color w:val="000000"/>
                <w:sz w:val="18"/>
                <w:szCs w:val="18"/>
                <w:lang w:eastAsia="en-AU"/>
              </w:rPr>
              <w:t>1.009</w:t>
            </w:r>
          </w:p>
        </w:tc>
      </w:tr>
    </w:tbl>
    <w:p w14:paraId="2B97CD4F" w14:textId="5F9416C7"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79AC1155" w14:textId="65E562A4" w:rsidR="00F57386" w:rsidRDefault="00F57386" w:rsidP="00F57386">
      <w:pPr>
        <w:pStyle w:val="Caption"/>
      </w:pPr>
      <w:bookmarkStart w:id="4197" w:name="_Toc132647835"/>
      <w:bookmarkStart w:id="4198" w:name="_Toc145877349"/>
      <w:r>
        <w:t xml:space="preserve">Table </w:t>
      </w:r>
      <w:r>
        <w:fldChar w:fldCharType="begin"/>
      </w:r>
      <w:r>
        <w:instrText>SEQ Table \* ARABIC</w:instrText>
      </w:r>
      <w:r>
        <w:fldChar w:fldCharType="separate"/>
      </w:r>
      <w:r w:rsidR="00180E14">
        <w:rPr>
          <w:noProof/>
        </w:rPr>
        <w:t>60</w:t>
      </w:r>
      <w:r>
        <w:fldChar w:fldCharType="end"/>
      </w:r>
      <w:r>
        <w:t xml:space="preserve">: Regression results for program type and </w:t>
      </w:r>
      <w:r w:rsidR="000F5A37">
        <w:t>F</w:t>
      </w:r>
      <w:r w:rsidRPr="000F5A37">
        <w:t xml:space="preserve">lourishing </w:t>
      </w:r>
      <w:r w:rsidR="000F5A37">
        <w:t>S</w:t>
      </w:r>
      <w:r w:rsidRPr="000F5A37">
        <w:t>cale</w:t>
      </w:r>
      <w:r>
        <w:t xml:space="preserve"> (psychological wellbeing)</w:t>
      </w:r>
      <w:bookmarkEnd w:id="4197"/>
      <w:bookmarkEnd w:id="4198"/>
    </w:p>
    <w:tbl>
      <w:tblPr>
        <w:tblStyle w:val="TtWReportTableTemplate2"/>
        <w:tblW w:w="4972" w:type="pct"/>
        <w:tblLayout w:type="fixed"/>
        <w:tblLook w:val="04A0" w:firstRow="1" w:lastRow="0" w:firstColumn="1" w:lastColumn="0" w:noHBand="0" w:noVBand="1"/>
      </w:tblPr>
      <w:tblGrid>
        <w:gridCol w:w="3970"/>
        <w:gridCol w:w="918"/>
        <w:gridCol w:w="2021"/>
        <w:gridCol w:w="2066"/>
      </w:tblGrid>
      <w:tr w:rsidR="00F57386" w:rsidRPr="00911E01" w14:paraId="6051A72F" w14:textId="77777777" w:rsidTr="00C24C7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11" w:type="pct"/>
            <w:shd w:val="clear" w:color="auto" w:fill="5D7A38"/>
            <w:hideMark/>
          </w:tcPr>
          <w:p w14:paraId="5921EE93" w14:textId="77777777" w:rsidR="00F57386" w:rsidRPr="00911E01"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511" w:type="pct"/>
            <w:shd w:val="clear" w:color="auto" w:fill="5D7A38"/>
            <w:hideMark/>
          </w:tcPr>
          <w:p w14:paraId="05CA719F" w14:textId="77777777" w:rsidR="00F57386" w:rsidRPr="00911E01" w:rsidRDefault="00F57386" w:rsidP="004A08F9">
            <w:pPr>
              <w:spacing w:before="120"/>
              <w:ind w:left="-531" w:firstLine="531"/>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1126" w:type="pct"/>
            <w:shd w:val="clear" w:color="auto" w:fill="5D7A38"/>
            <w:hideMark/>
          </w:tcPr>
          <w:p w14:paraId="427589AC"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Lower 95% confidence limit</w:t>
            </w:r>
          </w:p>
        </w:tc>
        <w:tc>
          <w:tcPr>
            <w:tcW w:w="1151" w:type="pct"/>
            <w:shd w:val="clear" w:color="auto" w:fill="5D7A38"/>
            <w:hideMark/>
          </w:tcPr>
          <w:p w14:paraId="322F6C11"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Upper 95% confidence limit</w:t>
            </w:r>
          </w:p>
        </w:tc>
      </w:tr>
      <w:tr w:rsidR="00F57386" w:rsidRPr="00911E01" w14:paraId="2231EB41"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11" w:type="pct"/>
            <w:hideMark/>
          </w:tcPr>
          <w:p w14:paraId="37879C34" w14:textId="77777777" w:rsidR="00F57386" w:rsidRPr="00911E01" w:rsidRDefault="00F57386" w:rsidP="004E6757">
            <w:pPr>
              <w:rPr>
                <w:rFonts w:eastAsia="Times New Roman" w:cs="Arial"/>
                <w:b w:val="0"/>
                <w:bCs/>
                <w:color w:val="000000"/>
                <w:sz w:val="18"/>
                <w:szCs w:val="18"/>
                <w:lang w:eastAsia="en-AU"/>
              </w:rPr>
            </w:pPr>
            <w:r w:rsidRPr="00911E01">
              <w:rPr>
                <w:rFonts w:eastAsia="Times New Roman" w:cs="Arial"/>
                <w:bCs/>
                <w:color w:val="000000"/>
                <w:sz w:val="18"/>
                <w:szCs w:val="18"/>
                <w:lang w:eastAsia="en-AU"/>
              </w:rPr>
              <w:t>(Intercept)</w:t>
            </w:r>
          </w:p>
        </w:tc>
        <w:tc>
          <w:tcPr>
            <w:tcW w:w="511" w:type="pct"/>
            <w:hideMark/>
          </w:tcPr>
          <w:p w14:paraId="68804078"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44.414</w:t>
            </w:r>
            <w:r>
              <w:rPr>
                <w:rFonts w:eastAsia="Times New Roman" w:cs="Arial"/>
                <w:b/>
                <w:bCs/>
                <w:color w:val="000000"/>
                <w:sz w:val="18"/>
                <w:szCs w:val="18"/>
                <w:lang w:eastAsia="en-AU"/>
              </w:rPr>
              <w:t>*</w:t>
            </w:r>
          </w:p>
        </w:tc>
        <w:tc>
          <w:tcPr>
            <w:tcW w:w="1126" w:type="pct"/>
            <w:hideMark/>
          </w:tcPr>
          <w:p w14:paraId="1B3623AC"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43.035</w:t>
            </w:r>
          </w:p>
        </w:tc>
        <w:tc>
          <w:tcPr>
            <w:tcW w:w="1151" w:type="pct"/>
            <w:hideMark/>
          </w:tcPr>
          <w:p w14:paraId="07033C6E"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45.793</w:t>
            </w:r>
          </w:p>
        </w:tc>
      </w:tr>
      <w:tr w:rsidR="008E0678" w:rsidRPr="00911E01" w14:paraId="6865F1CA"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11" w:type="pct"/>
            <w:noWrap/>
            <w:hideMark/>
          </w:tcPr>
          <w:p w14:paraId="701AE54B" w14:textId="77777777" w:rsidR="00F57386" w:rsidRPr="00911E01" w:rsidRDefault="00F57386" w:rsidP="004E6757">
            <w:pPr>
              <w:rPr>
                <w:rFonts w:eastAsia="Times New Roman" w:cs="Arial"/>
                <w:b w:val="0"/>
                <w:bCs/>
                <w:color w:val="000000"/>
                <w:sz w:val="18"/>
                <w:szCs w:val="18"/>
                <w:lang w:eastAsia="en-AU"/>
              </w:rPr>
            </w:pPr>
            <w:r w:rsidRPr="00911E01">
              <w:rPr>
                <w:rFonts w:eastAsia="Times New Roman" w:cs="Arial"/>
                <w:bCs/>
                <w:color w:val="000000"/>
                <w:sz w:val="18"/>
                <w:szCs w:val="18"/>
                <w:lang w:eastAsia="en-AU"/>
              </w:rPr>
              <w:t>Program (jobactive)</w:t>
            </w:r>
          </w:p>
        </w:tc>
        <w:tc>
          <w:tcPr>
            <w:tcW w:w="511" w:type="pct"/>
            <w:noWrap/>
            <w:hideMark/>
          </w:tcPr>
          <w:p w14:paraId="52DB4F6D" w14:textId="77777777" w:rsidR="00F57386" w:rsidRPr="00911E01"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26" w:type="pct"/>
            <w:noWrap/>
            <w:hideMark/>
          </w:tcPr>
          <w:p w14:paraId="4282F911" w14:textId="77777777" w:rsidR="00F57386" w:rsidRPr="00911E01"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51" w:type="pct"/>
            <w:noWrap/>
            <w:hideMark/>
          </w:tcPr>
          <w:p w14:paraId="3599CD4E" w14:textId="77777777" w:rsidR="00F57386" w:rsidRPr="00911E01"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r>
      <w:tr w:rsidR="00F57386" w:rsidRPr="00911E01" w14:paraId="670B4F5E"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11" w:type="pct"/>
            <w:hideMark/>
          </w:tcPr>
          <w:p w14:paraId="29F9C506" w14:textId="2B59418E" w:rsidR="00F57386" w:rsidRPr="00911E01" w:rsidRDefault="00F57386" w:rsidP="004E6757">
            <w:pPr>
              <w:rPr>
                <w:rFonts w:eastAsia="Times New Roman" w:cs="Arial"/>
                <w:color w:val="000000"/>
                <w:sz w:val="18"/>
                <w:szCs w:val="18"/>
                <w:lang w:eastAsia="en-AU"/>
              </w:rPr>
            </w:pPr>
            <w:r w:rsidRPr="00911E01">
              <w:rPr>
                <w:rFonts w:eastAsia="Times New Roman" w:cs="Arial"/>
                <w:color w:val="000000"/>
                <w:sz w:val="18"/>
                <w:szCs w:val="18"/>
                <w:lang w:eastAsia="en-AU"/>
              </w:rPr>
              <w:t>TtW</w:t>
            </w:r>
          </w:p>
        </w:tc>
        <w:tc>
          <w:tcPr>
            <w:tcW w:w="511" w:type="pct"/>
            <w:hideMark/>
          </w:tcPr>
          <w:p w14:paraId="6E084D92"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1.624</w:t>
            </w:r>
            <w:r>
              <w:rPr>
                <w:rFonts w:eastAsia="Times New Roman" w:cs="Arial"/>
                <w:color w:val="000000"/>
                <w:sz w:val="18"/>
                <w:szCs w:val="18"/>
                <w:lang w:eastAsia="en-AU"/>
              </w:rPr>
              <w:t>*</w:t>
            </w:r>
          </w:p>
        </w:tc>
        <w:tc>
          <w:tcPr>
            <w:tcW w:w="1126" w:type="pct"/>
            <w:hideMark/>
          </w:tcPr>
          <w:p w14:paraId="4F94C470"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0.651</w:t>
            </w:r>
          </w:p>
        </w:tc>
        <w:tc>
          <w:tcPr>
            <w:tcW w:w="1151" w:type="pct"/>
            <w:hideMark/>
          </w:tcPr>
          <w:p w14:paraId="1940D3D5"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2.597</w:t>
            </w:r>
          </w:p>
        </w:tc>
      </w:tr>
      <w:tr w:rsidR="00F57386" w:rsidRPr="00911E01" w14:paraId="0AADA5DF"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11" w:type="pct"/>
            <w:hideMark/>
          </w:tcPr>
          <w:p w14:paraId="37F0C3CF" w14:textId="77777777" w:rsidR="00F57386" w:rsidRPr="00911E01" w:rsidRDefault="00F57386" w:rsidP="004E6757">
            <w:pPr>
              <w:rPr>
                <w:rFonts w:eastAsia="Times New Roman" w:cs="Arial"/>
                <w:b w:val="0"/>
                <w:bCs/>
                <w:color w:val="000000"/>
                <w:sz w:val="18"/>
                <w:szCs w:val="18"/>
                <w:lang w:eastAsia="en-AU"/>
              </w:rPr>
            </w:pPr>
            <w:r w:rsidRPr="00911E01">
              <w:rPr>
                <w:rFonts w:eastAsia="Times New Roman" w:cs="Arial"/>
                <w:bCs/>
                <w:color w:val="000000"/>
                <w:sz w:val="18"/>
                <w:szCs w:val="18"/>
                <w:lang w:eastAsia="en-AU"/>
              </w:rPr>
              <w:t>Number of life events (continuous)</w:t>
            </w:r>
          </w:p>
        </w:tc>
        <w:tc>
          <w:tcPr>
            <w:tcW w:w="511" w:type="pct"/>
            <w:hideMark/>
          </w:tcPr>
          <w:p w14:paraId="2A949CF0" w14:textId="77777777" w:rsidR="00F57386" w:rsidRPr="00911E01"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-0.9</w:t>
            </w:r>
            <w:r>
              <w:rPr>
                <w:rFonts w:eastAsia="Times New Roman" w:cs="Arial"/>
                <w:b/>
                <w:bCs/>
                <w:color w:val="000000"/>
                <w:sz w:val="18"/>
                <w:szCs w:val="18"/>
                <w:lang w:eastAsia="en-AU"/>
              </w:rPr>
              <w:t>00*</w:t>
            </w:r>
          </w:p>
        </w:tc>
        <w:tc>
          <w:tcPr>
            <w:tcW w:w="1126" w:type="pct"/>
            <w:hideMark/>
          </w:tcPr>
          <w:p w14:paraId="22557AA2" w14:textId="77777777" w:rsidR="00F57386" w:rsidRPr="00911E01"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-1.13</w:t>
            </w:r>
            <w:r>
              <w:rPr>
                <w:rFonts w:eastAsia="Times New Roman" w:cs="Arial"/>
                <w:b/>
                <w:bCs/>
                <w:color w:val="000000"/>
                <w:sz w:val="18"/>
                <w:szCs w:val="18"/>
                <w:lang w:eastAsia="en-AU"/>
              </w:rPr>
              <w:t>0</w:t>
            </w:r>
          </w:p>
        </w:tc>
        <w:tc>
          <w:tcPr>
            <w:tcW w:w="1151" w:type="pct"/>
            <w:hideMark/>
          </w:tcPr>
          <w:p w14:paraId="444E4B5A" w14:textId="77777777" w:rsidR="00F57386" w:rsidRPr="00911E01"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-0.669</w:t>
            </w:r>
          </w:p>
        </w:tc>
      </w:tr>
      <w:tr w:rsidR="00F57386" w:rsidRPr="00911E01" w14:paraId="4D12FA71"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11" w:type="pct"/>
            <w:hideMark/>
          </w:tcPr>
          <w:p w14:paraId="42C11E40" w14:textId="77777777" w:rsidR="00F57386" w:rsidRPr="00911E01" w:rsidRDefault="00F57386" w:rsidP="004E6757">
            <w:pPr>
              <w:rPr>
                <w:rFonts w:eastAsia="Times New Roman" w:cs="Arial"/>
                <w:b w:val="0"/>
                <w:bCs/>
                <w:color w:val="000000"/>
                <w:sz w:val="18"/>
                <w:szCs w:val="18"/>
                <w:lang w:eastAsia="en-AU"/>
              </w:rPr>
            </w:pPr>
            <w:r w:rsidRPr="00911E01">
              <w:rPr>
                <w:rFonts w:eastAsia="Times New Roman" w:cs="Arial"/>
                <w:bCs/>
                <w:color w:val="000000"/>
                <w:sz w:val="18"/>
                <w:szCs w:val="18"/>
                <w:lang w:eastAsia="en-AU"/>
              </w:rPr>
              <w:t xml:space="preserve">Number of service months (continuous) </w:t>
            </w:r>
          </w:p>
        </w:tc>
        <w:tc>
          <w:tcPr>
            <w:tcW w:w="511" w:type="pct"/>
            <w:hideMark/>
          </w:tcPr>
          <w:p w14:paraId="05B2469C"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0.017</w:t>
            </w:r>
          </w:p>
        </w:tc>
        <w:tc>
          <w:tcPr>
            <w:tcW w:w="1126" w:type="pct"/>
            <w:hideMark/>
          </w:tcPr>
          <w:p w14:paraId="234B7B7B"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-0.04</w:t>
            </w:r>
            <w:r>
              <w:rPr>
                <w:rFonts w:eastAsia="Times New Roman" w:cs="Arial"/>
                <w:b/>
                <w:bCs/>
                <w:color w:val="000000"/>
                <w:sz w:val="18"/>
                <w:szCs w:val="18"/>
                <w:lang w:eastAsia="en-AU"/>
              </w:rPr>
              <w:t>0</w:t>
            </w:r>
          </w:p>
        </w:tc>
        <w:tc>
          <w:tcPr>
            <w:tcW w:w="1151" w:type="pct"/>
            <w:hideMark/>
          </w:tcPr>
          <w:p w14:paraId="21CCE8FD" w14:textId="77777777" w:rsidR="00F57386" w:rsidRPr="00911E0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0.074</w:t>
            </w:r>
          </w:p>
        </w:tc>
      </w:tr>
    </w:tbl>
    <w:p w14:paraId="6C1E944B" w14:textId="71AE6D78"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6C2BF9E1" w14:textId="208A2764" w:rsidR="00F57386" w:rsidRDefault="00F57386" w:rsidP="00C24C7F">
      <w:pPr>
        <w:pStyle w:val="Caption"/>
        <w:keepNext/>
        <w:keepLines/>
        <w:ind w:left="1440" w:hanging="1440"/>
      </w:pPr>
      <w:bookmarkStart w:id="4199" w:name="_Toc132647836"/>
      <w:bookmarkStart w:id="4200" w:name="_Toc145877350"/>
      <w:r>
        <w:lastRenderedPageBreak/>
        <w:t xml:space="preserve">Table </w:t>
      </w:r>
      <w:r>
        <w:fldChar w:fldCharType="begin"/>
      </w:r>
      <w:r>
        <w:instrText>SEQ Table \* ARABIC</w:instrText>
      </w:r>
      <w:r>
        <w:fldChar w:fldCharType="separate"/>
      </w:r>
      <w:r w:rsidR="00180E14">
        <w:rPr>
          <w:noProof/>
        </w:rPr>
        <w:t>61</w:t>
      </w:r>
      <w:r>
        <w:fldChar w:fldCharType="end"/>
      </w:r>
      <w:r>
        <w:t xml:space="preserve">: Regression results for TtW characteristics and </w:t>
      </w:r>
      <w:r w:rsidR="000F5A37">
        <w:t>F</w:t>
      </w:r>
      <w:r>
        <w:t xml:space="preserve">lourishing </w:t>
      </w:r>
      <w:r w:rsidR="000F5A37">
        <w:t>S</w:t>
      </w:r>
      <w:r>
        <w:t>cale (psychological wellbeing)</w:t>
      </w:r>
      <w:bookmarkEnd w:id="4199"/>
      <w:bookmarkEnd w:id="4200"/>
    </w:p>
    <w:tbl>
      <w:tblPr>
        <w:tblStyle w:val="TtWReportTableTemplate2"/>
        <w:tblW w:w="4970" w:type="pct"/>
        <w:tblLayout w:type="fixed"/>
        <w:tblLook w:val="04A0" w:firstRow="1" w:lastRow="0" w:firstColumn="1" w:lastColumn="0" w:noHBand="0" w:noVBand="1"/>
      </w:tblPr>
      <w:tblGrid>
        <w:gridCol w:w="3828"/>
        <w:gridCol w:w="958"/>
        <w:gridCol w:w="25"/>
        <w:gridCol w:w="2038"/>
        <w:gridCol w:w="2123"/>
      </w:tblGrid>
      <w:tr w:rsidR="008E0678" w:rsidRPr="00911E01" w14:paraId="70CFC3E6" w14:textId="77777777" w:rsidTr="00C239F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hideMark/>
          </w:tcPr>
          <w:p w14:paraId="6E1E17A9" w14:textId="77777777" w:rsidR="00F57386" w:rsidRPr="00911E01" w:rsidRDefault="00F57386" w:rsidP="00C24C7F">
            <w:pPr>
              <w:keepNext/>
              <w:keepLines/>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0" w:type="pct"/>
            <w:shd w:val="clear" w:color="auto" w:fill="5D7A38"/>
            <w:hideMark/>
          </w:tcPr>
          <w:p w14:paraId="137E9007" w14:textId="77777777" w:rsidR="00F57386" w:rsidRPr="00911E01" w:rsidRDefault="00F57386" w:rsidP="00C24C7F">
            <w:pPr>
              <w:keepNext/>
              <w:keepLines/>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0" w:type="pct"/>
            <w:gridSpan w:val="2"/>
            <w:shd w:val="clear" w:color="auto" w:fill="5D7A38"/>
            <w:hideMark/>
          </w:tcPr>
          <w:p w14:paraId="79682A17" w14:textId="77777777" w:rsidR="00F57386" w:rsidRPr="00AD74F5" w:rsidRDefault="00F57386" w:rsidP="00C24C7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Lower 95% confidence limit</w:t>
            </w:r>
          </w:p>
        </w:tc>
        <w:tc>
          <w:tcPr>
            <w:tcW w:w="0" w:type="pct"/>
            <w:shd w:val="clear" w:color="auto" w:fill="5D7A38"/>
            <w:hideMark/>
          </w:tcPr>
          <w:p w14:paraId="2C23B47C" w14:textId="77777777" w:rsidR="00F57386" w:rsidRPr="00AD74F5" w:rsidRDefault="00F57386" w:rsidP="00C24C7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Upper 95% confidence limit</w:t>
            </w:r>
          </w:p>
        </w:tc>
      </w:tr>
      <w:tr w:rsidR="008E0678" w:rsidRPr="00911E01" w14:paraId="4AE88A09"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3" w:type="pct"/>
            <w:hideMark/>
          </w:tcPr>
          <w:p w14:paraId="6D9B3A00" w14:textId="77777777"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(Intercept)</w:t>
            </w:r>
          </w:p>
        </w:tc>
        <w:tc>
          <w:tcPr>
            <w:tcW w:w="534" w:type="pct"/>
            <w:hideMark/>
          </w:tcPr>
          <w:p w14:paraId="770CFE1E"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41.957</w:t>
            </w:r>
            <w:r>
              <w:rPr>
                <w:rFonts w:eastAsia="Times New Roman" w:cs="Arial"/>
                <w:b/>
                <w:bCs/>
                <w:color w:val="000000"/>
                <w:sz w:val="18"/>
                <w:szCs w:val="18"/>
                <w:lang w:eastAsia="en-AU"/>
              </w:rPr>
              <w:t>*</w:t>
            </w:r>
          </w:p>
        </w:tc>
        <w:tc>
          <w:tcPr>
            <w:tcW w:w="1150" w:type="pct"/>
            <w:gridSpan w:val="2"/>
            <w:hideMark/>
          </w:tcPr>
          <w:p w14:paraId="487DC94C"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40.345</w:t>
            </w:r>
          </w:p>
        </w:tc>
        <w:tc>
          <w:tcPr>
            <w:tcW w:w="1183" w:type="pct"/>
            <w:hideMark/>
          </w:tcPr>
          <w:p w14:paraId="1CA040F4"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43.569</w:t>
            </w:r>
          </w:p>
        </w:tc>
      </w:tr>
      <w:tr w:rsidR="008E0678" w:rsidRPr="00911E01" w14:paraId="39970006"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3" w:type="pct"/>
            <w:noWrap/>
            <w:hideMark/>
          </w:tcPr>
          <w:p w14:paraId="56045A5A" w14:textId="77777777"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Age as of May 2021 (16 to 21 years)</w:t>
            </w:r>
          </w:p>
        </w:tc>
        <w:tc>
          <w:tcPr>
            <w:tcW w:w="534" w:type="pct"/>
            <w:noWrap/>
            <w:hideMark/>
          </w:tcPr>
          <w:p w14:paraId="000B1BCC"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50" w:type="pct"/>
            <w:gridSpan w:val="2"/>
            <w:noWrap/>
            <w:hideMark/>
          </w:tcPr>
          <w:p w14:paraId="45360034"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83" w:type="pct"/>
            <w:noWrap/>
            <w:hideMark/>
          </w:tcPr>
          <w:p w14:paraId="43B2B358"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r>
      <w:tr w:rsidR="008E0678" w:rsidRPr="00911E01" w14:paraId="2F0C677E"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pct"/>
            <w:hideMark/>
          </w:tcPr>
          <w:p w14:paraId="70E8C3D6" w14:textId="29244A6F" w:rsidR="00F57386" w:rsidRPr="00911E01" w:rsidRDefault="00F57386" w:rsidP="00C24C7F">
            <w:pPr>
              <w:keepNext/>
              <w:keepLines/>
              <w:rPr>
                <w:rFonts w:eastAsia="Times New Roman" w:cs="Arial"/>
                <w:color w:val="000000"/>
                <w:sz w:val="18"/>
                <w:szCs w:val="18"/>
                <w:lang w:eastAsia="en-AU"/>
              </w:rPr>
            </w:pPr>
            <w:r w:rsidRPr="00911E01">
              <w:rPr>
                <w:rFonts w:eastAsia="Times New Roman" w:cs="Arial"/>
                <w:color w:val="000000"/>
                <w:sz w:val="18"/>
                <w:szCs w:val="18"/>
                <w:lang w:eastAsia="en-AU"/>
              </w:rPr>
              <w:t>22</w:t>
            </w:r>
            <w:r w:rsidR="00AD74F5">
              <w:rPr>
                <w:rFonts w:eastAsia="Times New Roman" w:cs="Arial"/>
                <w:color w:val="000000"/>
                <w:sz w:val="18"/>
                <w:szCs w:val="18"/>
                <w:lang w:eastAsia="en-AU"/>
              </w:rPr>
              <w:t>–</w:t>
            </w:r>
            <w:r w:rsidRPr="00911E01">
              <w:rPr>
                <w:rFonts w:eastAsia="Times New Roman" w:cs="Arial"/>
                <w:color w:val="000000"/>
                <w:sz w:val="18"/>
                <w:szCs w:val="18"/>
                <w:lang w:eastAsia="en-AU"/>
              </w:rPr>
              <w:t>25 years</w:t>
            </w:r>
          </w:p>
        </w:tc>
        <w:tc>
          <w:tcPr>
            <w:tcW w:w="534" w:type="pct"/>
            <w:hideMark/>
          </w:tcPr>
          <w:p w14:paraId="2CADEAE5"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-1.287</w:t>
            </w:r>
          </w:p>
        </w:tc>
        <w:tc>
          <w:tcPr>
            <w:tcW w:w="1150" w:type="pct"/>
            <w:gridSpan w:val="2"/>
            <w:hideMark/>
          </w:tcPr>
          <w:p w14:paraId="27191A4D"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-2.938</w:t>
            </w:r>
          </w:p>
        </w:tc>
        <w:tc>
          <w:tcPr>
            <w:tcW w:w="1183" w:type="pct"/>
            <w:hideMark/>
          </w:tcPr>
          <w:p w14:paraId="0912BDEA"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0.363</w:t>
            </w:r>
          </w:p>
        </w:tc>
      </w:tr>
      <w:tr w:rsidR="008E0678" w:rsidRPr="00911E01" w14:paraId="5297785C"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3" w:type="pct"/>
            <w:noWrap/>
            <w:hideMark/>
          </w:tcPr>
          <w:p w14:paraId="09EB0A12" w14:textId="77777777"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Gender (Female)</w:t>
            </w:r>
          </w:p>
        </w:tc>
        <w:tc>
          <w:tcPr>
            <w:tcW w:w="534" w:type="pct"/>
            <w:noWrap/>
            <w:hideMark/>
          </w:tcPr>
          <w:p w14:paraId="18EDF7FC"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50" w:type="pct"/>
            <w:gridSpan w:val="2"/>
            <w:noWrap/>
            <w:hideMark/>
          </w:tcPr>
          <w:p w14:paraId="7C4F2ECC"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83" w:type="pct"/>
            <w:noWrap/>
            <w:hideMark/>
          </w:tcPr>
          <w:p w14:paraId="04C3476B"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r>
      <w:tr w:rsidR="008E0678" w:rsidRPr="00911E01" w14:paraId="22A35930"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pct"/>
            <w:hideMark/>
          </w:tcPr>
          <w:p w14:paraId="17F14CDF" w14:textId="70483D7E" w:rsidR="00F57386" w:rsidRPr="00911E01" w:rsidRDefault="00F57386" w:rsidP="00C24C7F">
            <w:pPr>
              <w:keepNext/>
              <w:keepLines/>
              <w:rPr>
                <w:rFonts w:eastAsia="Times New Roman" w:cs="Arial"/>
                <w:color w:val="000000"/>
                <w:sz w:val="18"/>
                <w:szCs w:val="18"/>
                <w:lang w:eastAsia="en-AU"/>
              </w:rPr>
            </w:pPr>
            <w:r w:rsidRPr="00911E01">
              <w:rPr>
                <w:rFonts w:eastAsia="Times New Roman" w:cs="Arial"/>
                <w:color w:val="000000"/>
                <w:sz w:val="18"/>
                <w:szCs w:val="18"/>
                <w:lang w:eastAsia="en-AU"/>
              </w:rPr>
              <w:t>Male</w:t>
            </w:r>
          </w:p>
        </w:tc>
        <w:tc>
          <w:tcPr>
            <w:tcW w:w="534" w:type="pct"/>
            <w:hideMark/>
          </w:tcPr>
          <w:p w14:paraId="1F1ECC9F"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0.479</w:t>
            </w:r>
          </w:p>
        </w:tc>
        <w:tc>
          <w:tcPr>
            <w:tcW w:w="1150" w:type="pct"/>
            <w:gridSpan w:val="2"/>
            <w:hideMark/>
          </w:tcPr>
          <w:p w14:paraId="7B9CBFC8"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-0.417</w:t>
            </w:r>
          </w:p>
        </w:tc>
        <w:tc>
          <w:tcPr>
            <w:tcW w:w="1183" w:type="pct"/>
            <w:hideMark/>
          </w:tcPr>
          <w:p w14:paraId="47765B8F"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1.375</w:t>
            </w:r>
          </w:p>
        </w:tc>
      </w:tr>
      <w:tr w:rsidR="00F57386" w:rsidRPr="00911E01" w14:paraId="0933C41D" w14:textId="77777777" w:rsidTr="004A08F9">
        <w:trPr>
          <w:gridAfter w:val="1"/>
          <w:cnfStyle w:val="000000010000" w:firstRow="0" w:lastRow="0" w:firstColumn="0" w:lastColumn="0" w:oddVBand="0" w:evenVBand="0" w:oddHBand="0" w:evenHBand="1" w:firstRowFirstColumn="0" w:firstRowLastColumn="0" w:lastRowFirstColumn="0" w:lastRowLastColumn="0"/>
          <w:wAfter w:w="1183" w:type="pct"/>
          <w:trHeight w:val="315"/>
        </w:trPr>
        <w:tc>
          <w:tcPr>
            <w:cnfStyle w:val="001000000000" w:firstRow="0" w:lastRow="0" w:firstColumn="1" w:lastColumn="0" w:oddVBand="0" w:evenVBand="0" w:oddHBand="0" w:evenHBand="0" w:firstRowFirstColumn="0" w:firstRowLastColumn="0" w:lastRowFirstColumn="0" w:lastRowLastColumn="0"/>
            <w:tcW w:w="2681" w:type="pct"/>
            <w:gridSpan w:val="3"/>
            <w:noWrap/>
            <w:hideMark/>
          </w:tcPr>
          <w:p w14:paraId="6FA150EA" w14:textId="1E6BFB51"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 xml:space="preserve">Aboriginal </w:t>
            </w:r>
            <w:r w:rsidR="00AD74F5">
              <w:rPr>
                <w:rFonts w:eastAsia="Times New Roman" w:cs="Arial"/>
                <w:bCs/>
                <w:color w:val="000000"/>
                <w:sz w:val="18"/>
                <w:szCs w:val="18"/>
                <w:lang w:eastAsia="en-AU"/>
              </w:rPr>
              <w:t>and/or</w:t>
            </w:r>
            <w:r w:rsidRPr="00911E01">
              <w:rPr>
                <w:rFonts w:eastAsia="Times New Roman" w:cs="Arial"/>
                <w:bCs/>
                <w:color w:val="000000"/>
                <w:sz w:val="18"/>
                <w:szCs w:val="18"/>
                <w:lang w:eastAsia="en-AU"/>
              </w:rPr>
              <w:t xml:space="preserve"> Torres Strait Islander</w:t>
            </w:r>
            <w:r>
              <w:rPr>
                <w:rFonts w:eastAsia="Times New Roman" w:cs="Arial"/>
                <w:bCs/>
                <w:color w:val="000000"/>
                <w:sz w:val="18"/>
                <w:szCs w:val="18"/>
                <w:lang w:eastAsia="en-AU"/>
              </w:rPr>
              <w:t xml:space="preserve"> </w:t>
            </w:r>
            <w:r w:rsidRPr="00911E01">
              <w:rPr>
                <w:rFonts w:eastAsia="Times New Roman" w:cs="Arial"/>
                <w:bCs/>
                <w:color w:val="000000"/>
                <w:sz w:val="18"/>
                <w:szCs w:val="18"/>
                <w:lang w:eastAsia="en-AU"/>
              </w:rPr>
              <w:t>person (No)</w:t>
            </w:r>
          </w:p>
        </w:tc>
        <w:tc>
          <w:tcPr>
            <w:tcW w:w="1136" w:type="pct"/>
            <w:noWrap/>
            <w:hideMark/>
          </w:tcPr>
          <w:p w14:paraId="1AAA0FFB"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r>
      <w:tr w:rsidR="008E0678" w:rsidRPr="00911E01" w14:paraId="7E3BC5E6"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pct"/>
            <w:hideMark/>
          </w:tcPr>
          <w:p w14:paraId="21F73B4B" w14:textId="2F9525AC" w:rsidR="00F57386" w:rsidRPr="00911E01" w:rsidRDefault="00F57386" w:rsidP="00C24C7F">
            <w:pPr>
              <w:keepNext/>
              <w:keepLines/>
              <w:rPr>
                <w:rFonts w:eastAsia="Times New Roman" w:cs="Arial"/>
                <w:color w:val="000000"/>
                <w:sz w:val="18"/>
                <w:szCs w:val="18"/>
                <w:lang w:eastAsia="en-AU"/>
              </w:rPr>
            </w:pPr>
            <w:r w:rsidRPr="00911E01">
              <w:rPr>
                <w:rFonts w:eastAsia="Times New Roman" w:cs="Arial"/>
                <w:color w:val="000000"/>
                <w:sz w:val="18"/>
                <w:szCs w:val="18"/>
                <w:lang w:eastAsia="en-AU"/>
              </w:rPr>
              <w:t>Yes</w:t>
            </w:r>
          </w:p>
        </w:tc>
        <w:tc>
          <w:tcPr>
            <w:tcW w:w="534" w:type="pct"/>
            <w:hideMark/>
          </w:tcPr>
          <w:p w14:paraId="24AA6CE9"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1.904</w:t>
            </w:r>
            <w:r>
              <w:rPr>
                <w:rFonts w:eastAsia="Times New Roman" w:cs="Arial"/>
                <w:color w:val="000000"/>
                <w:sz w:val="18"/>
                <w:szCs w:val="18"/>
                <w:lang w:eastAsia="en-AU"/>
              </w:rPr>
              <w:t>*</w:t>
            </w:r>
          </w:p>
        </w:tc>
        <w:tc>
          <w:tcPr>
            <w:tcW w:w="1150" w:type="pct"/>
            <w:gridSpan w:val="2"/>
            <w:hideMark/>
          </w:tcPr>
          <w:p w14:paraId="3920F71E"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0.925</w:t>
            </w:r>
          </w:p>
        </w:tc>
        <w:tc>
          <w:tcPr>
            <w:tcW w:w="1183" w:type="pct"/>
            <w:hideMark/>
          </w:tcPr>
          <w:p w14:paraId="40B516E2"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2.883</w:t>
            </w:r>
          </w:p>
        </w:tc>
      </w:tr>
      <w:tr w:rsidR="008E0678" w:rsidRPr="00911E01" w14:paraId="2F705C78"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3" w:type="pct"/>
            <w:noWrap/>
            <w:hideMark/>
          </w:tcPr>
          <w:p w14:paraId="5623F4AD" w14:textId="77777777"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TtW group (Group 1)</w:t>
            </w:r>
          </w:p>
        </w:tc>
        <w:tc>
          <w:tcPr>
            <w:tcW w:w="534" w:type="pct"/>
            <w:noWrap/>
            <w:hideMark/>
          </w:tcPr>
          <w:p w14:paraId="3C6E6EE2"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50" w:type="pct"/>
            <w:gridSpan w:val="2"/>
            <w:noWrap/>
            <w:hideMark/>
          </w:tcPr>
          <w:p w14:paraId="73A0AC5D"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83" w:type="pct"/>
            <w:noWrap/>
            <w:hideMark/>
          </w:tcPr>
          <w:p w14:paraId="76016AEF" w14:textId="77777777" w:rsidR="00F57386" w:rsidRPr="00911E01" w:rsidRDefault="00F57386" w:rsidP="00C24C7F">
            <w:pPr>
              <w:keepNext/>
              <w:keepLines/>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r>
      <w:tr w:rsidR="008E0678" w:rsidRPr="00911E01" w14:paraId="2409BC11"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pct"/>
            <w:hideMark/>
          </w:tcPr>
          <w:p w14:paraId="04983500" w14:textId="07D309C2" w:rsidR="00F57386" w:rsidRPr="00911E01" w:rsidRDefault="00F57386" w:rsidP="00C24C7F">
            <w:pPr>
              <w:keepNext/>
              <w:keepLines/>
              <w:rPr>
                <w:rFonts w:eastAsia="Times New Roman" w:cs="Arial"/>
                <w:color w:val="000000"/>
                <w:sz w:val="18"/>
                <w:szCs w:val="18"/>
                <w:lang w:eastAsia="en-AU"/>
              </w:rPr>
            </w:pPr>
            <w:r w:rsidRPr="00911E01">
              <w:rPr>
                <w:rFonts w:eastAsia="Times New Roman" w:cs="Arial"/>
                <w:color w:val="000000"/>
                <w:sz w:val="18"/>
                <w:szCs w:val="18"/>
                <w:lang w:eastAsia="en-AU"/>
              </w:rPr>
              <w:t>Group 2</w:t>
            </w:r>
          </w:p>
        </w:tc>
        <w:tc>
          <w:tcPr>
            <w:tcW w:w="534" w:type="pct"/>
            <w:hideMark/>
          </w:tcPr>
          <w:p w14:paraId="5E35E676"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0.626</w:t>
            </w:r>
          </w:p>
        </w:tc>
        <w:tc>
          <w:tcPr>
            <w:tcW w:w="1150" w:type="pct"/>
            <w:gridSpan w:val="2"/>
            <w:hideMark/>
          </w:tcPr>
          <w:p w14:paraId="54D7362D"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-0.371</w:t>
            </w:r>
          </w:p>
        </w:tc>
        <w:tc>
          <w:tcPr>
            <w:tcW w:w="1183" w:type="pct"/>
            <w:hideMark/>
          </w:tcPr>
          <w:p w14:paraId="5F46391B"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1.623</w:t>
            </w:r>
          </w:p>
        </w:tc>
      </w:tr>
      <w:tr w:rsidR="008E0678" w:rsidRPr="00911E01" w14:paraId="2CD458B3"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pct"/>
            <w:hideMark/>
          </w:tcPr>
          <w:p w14:paraId="2480AA4D" w14:textId="462A1BE3" w:rsidR="00F57386" w:rsidRPr="00911E01" w:rsidRDefault="00F57386" w:rsidP="00C24C7F">
            <w:pPr>
              <w:keepNext/>
              <w:keepLines/>
              <w:rPr>
                <w:rFonts w:eastAsia="Times New Roman" w:cs="Arial"/>
                <w:color w:val="000000"/>
                <w:sz w:val="18"/>
                <w:szCs w:val="18"/>
                <w:lang w:eastAsia="en-AU"/>
              </w:rPr>
            </w:pPr>
            <w:r w:rsidRPr="00911E01">
              <w:rPr>
                <w:rFonts w:eastAsia="Times New Roman" w:cs="Arial"/>
                <w:color w:val="000000"/>
                <w:sz w:val="18"/>
                <w:szCs w:val="18"/>
                <w:lang w:eastAsia="en-AU"/>
              </w:rPr>
              <w:t>Group 3</w:t>
            </w:r>
          </w:p>
        </w:tc>
        <w:tc>
          <w:tcPr>
            <w:tcW w:w="534" w:type="pct"/>
            <w:hideMark/>
          </w:tcPr>
          <w:p w14:paraId="77120271"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-0.225</w:t>
            </w:r>
          </w:p>
        </w:tc>
        <w:tc>
          <w:tcPr>
            <w:tcW w:w="1150" w:type="pct"/>
            <w:gridSpan w:val="2"/>
            <w:hideMark/>
          </w:tcPr>
          <w:p w14:paraId="08F4AB48"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-4.294</w:t>
            </w:r>
          </w:p>
        </w:tc>
        <w:tc>
          <w:tcPr>
            <w:tcW w:w="1183" w:type="pct"/>
            <w:hideMark/>
          </w:tcPr>
          <w:p w14:paraId="2D5B90F2"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3.845</w:t>
            </w:r>
          </w:p>
        </w:tc>
      </w:tr>
      <w:tr w:rsidR="008E0678" w:rsidRPr="00911E01" w14:paraId="0090BBD8"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3" w:type="pct"/>
            <w:hideMark/>
          </w:tcPr>
          <w:p w14:paraId="695B9B20" w14:textId="77777777"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Education (Year 11 or less)</w:t>
            </w:r>
          </w:p>
        </w:tc>
        <w:tc>
          <w:tcPr>
            <w:tcW w:w="534" w:type="pct"/>
            <w:hideMark/>
          </w:tcPr>
          <w:p w14:paraId="7A5AFB21" w14:textId="77777777" w:rsidR="00F57386" w:rsidRPr="00911E01" w:rsidRDefault="00F57386" w:rsidP="00C24C7F">
            <w:pPr>
              <w:keepNext/>
              <w:keepLine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911E01">
              <w:rPr>
                <w:rFonts w:ascii="Calibri" w:eastAsia="Times New Roman" w:hAnsi="Calibri" w:cs="Calibri"/>
                <w:color w:val="000000"/>
                <w:sz w:val="18"/>
                <w:szCs w:val="18"/>
                <w:lang w:eastAsia="en-AU"/>
              </w:rPr>
              <w:t> </w:t>
            </w:r>
          </w:p>
        </w:tc>
        <w:tc>
          <w:tcPr>
            <w:tcW w:w="1150" w:type="pct"/>
            <w:gridSpan w:val="2"/>
            <w:hideMark/>
          </w:tcPr>
          <w:p w14:paraId="0F611F65" w14:textId="77777777" w:rsidR="00F57386" w:rsidRPr="00911E01" w:rsidRDefault="00F57386" w:rsidP="00C24C7F">
            <w:pPr>
              <w:keepNext/>
              <w:keepLine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911E01">
              <w:rPr>
                <w:rFonts w:ascii="Calibri" w:eastAsia="Times New Roman" w:hAnsi="Calibri" w:cs="Calibri"/>
                <w:color w:val="000000"/>
                <w:sz w:val="18"/>
                <w:szCs w:val="18"/>
                <w:lang w:eastAsia="en-AU"/>
              </w:rPr>
              <w:t> </w:t>
            </w:r>
          </w:p>
        </w:tc>
        <w:tc>
          <w:tcPr>
            <w:tcW w:w="1183" w:type="pct"/>
            <w:hideMark/>
          </w:tcPr>
          <w:p w14:paraId="1BFE29A7" w14:textId="77777777" w:rsidR="00F57386" w:rsidRPr="00911E01" w:rsidRDefault="00F57386" w:rsidP="00C24C7F">
            <w:pPr>
              <w:keepNext/>
              <w:keepLine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911E01">
              <w:rPr>
                <w:rFonts w:ascii="Calibri" w:eastAsia="Times New Roman" w:hAnsi="Calibri" w:cs="Calibri"/>
                <w:color w:val="000000"/>
                <w:sz w:val="18"/>
                <w:szCs w:val="18"/>
                <w:lang w:eastAsia="en-AU"/>
              </w:rPr>
              <w:t> </w:t>
            </w:r>
          </w:p>
        </w:tc>
      </w:tr>
      <w:tr w:rsidR="008E0678" w:rsidRPr="00911E01" w14:paraId="6157D8B2"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pct"/>
            <w:hideMark/>
          </w:tcPr>
          <w:p w14:paraId="4B830E95" w14:textId="587CA715" w:rsidR="00F57386" w:rsidRPr="00911E01" w:rsidRDefault="00F57386" w:rsidP="00C24C7F">
            <w:pPr>
              <w:keepNext/>
              <w:keepLines/>
              <w:rPr>
                <w:rFonts w:eastAsia="Times New Roman" w:cs="Arial"/>
                <w:color w:val="000000"/>
                <w:sz w:val="18"/>
                <w:szCs w:val="18"/>
                <w:lang w:eastAsia="en-AU"/>
              </w:rPr>
            </w:pPr>
            <w:r w:rsidRPr="00911E01">
              <w:rPr>
                <w:rFonts w:eastAsia="Times New Roman" w:cs="Arial"/>
                <w:color w:val="000000"/>
                <w:sz w:val="18"/>
                <w:szCs w:val="18"/>
                <w:lang w:eastAsia="en-AU"/>
              </w:rPr>
              <w:t>Year 12 or higher</w:t>
            </w:r>
          </w:p>
        </w:tc>
        <w:tc>
          <w:tcPr>
            <w:tcW w:w="534" w:type="pct"/>
            <w:hideMark/>
          </w:tcPr>
          <w:p w14:paraId="7DD33E0C"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0.687</w:t>
            </w:r>
          </w:p>
        </w:tc>
        <w:tc>
          <w:tcPr>
            <w:tcW w:w="1150" w:type="pct"/>
            <w:gridSpan w:val="2"/>
            <w:hideMark/>
          </w:tcPr>
          <w:p w14:paraId="2C004873"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-0.275</w:t>
            </w:r>
          </w:p>
        </w:tc>
        <w:tc>
          <w:tcPr>
            <w:tcW w:w="1183" w:type="pct"/>
            <w:hideMark/>
          </w:tcPr>
          <w:p w14:paraId="21E82172"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1.649</w:t>
            </w:r>
          </w:p>
        </w:tc>
      </w:tr>
      <w:tr w:rsidR="008E0678" w:rsidRPr="00911E01" w14:paraId="559FAAE5"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3" w:type="pct"/>
            <w:hideMark/>
          </w:tcPr>
          <w:p w14:paraId="02210D0B" w14:textId="77777777"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Current JSCI score (26+)</w:t>
            </w:r>
          </w:p>
        </w:tc>
        <w:tc>
          <w:tcPr>
            <w:tcW w:w="534" w:type="pct"/>
            <w:hideMark/>
          </w:tcPr>
          <w:p w14:paraId="48FE1372"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 </w:t>
            </w:r>
          </w:p>
        </w:tc>
        <w:tc>
          <w:tcPr>
            <w:tcW w:w="1150" w:type="pct"/>
            <w:gridSpan w:val="2"/>
            <w:hideMark/>
          </w:tcPr>
          <w:p w14:paraId="563CDBF3"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c>
          <w:tcPr>
            <w:tcW w:w="1183" w:type="pct"/>
            <w:hideMark/>
          </w:tcPr>
          <w:p w14:paraId="77CEDA75"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 </w:t>
            </w:r>
          </w:p>
        </w:tc>
      </w:tr>
      <w:tr w:rsidR="008E0678" w:rsidRPr="00911E01" w14:paraId="1F187543"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pct"/>
            <w:hideMark/>
          </w:tcPr>
          <w:p w14:paraId="696BFEB6" w14:textId="6E08E030" w:rsidR="00F57386" w:rsidRPr="00911E01" w:rsidRDefault="00F57386" w:rsidP="00C24C7F">
            <w:pPr>
              <w:keepNext/>
              <w:keepLines/>
              <w:rPr>
                <w:rFonts w:eastAsia="Times New Roman" w:cs="Arial"/>
                <w:color w:val="000000"/>
                <w:sz w:val="18"/>
                <w:szCs w:val="18"/>
                <w:lang w:eastAsia="en-AU"/>
              </w:rPr>
            </w:pPr>
            <w:r w:rsidRPr="00911E01">
              <w:rPr>
                <w:rFonts w:eastAsia="Times New Roman" w:cs="Arial"/>
                <w:color w:val="000000"/>
                <w:sz w:val="18"/>
                <w:szCs w:val="18"/>
                <w:lang w:eastAsia="en-AU"/>
              </w:rPr>
              <w:t>0</w:t>
            </w:r>
            <w:r w:rsidR="00AD74F5">
              <w:rPr>
                <w:rFonts w:eastAsia="Times New Roman" w:cs="Arial"/>
                <w:color w:val="000000"/>
                <w:sz w:val="18"/>
                <w:szCs w:val="18"/>
                <w:lang w:eastAsia="en-AU"/>
              </w:rPr>
              <w:t>–</w:t>
            </w:r>
            <w:r w:rsidRPr="00911E01">
              <w:rPr>
                <w:rFonts w:eastAsia="Times New Roman" w:cs="Arial"/>
                <w:color w:val="000000"/>
                <w:sz w:val="18"/>
                <w:szCs w:val="18"/>
                <w:lang w:eastAsia="en-AU"/>
              </w:rPr>
              <w:t>25</w:t>
            </w:r>
          </w:p>
        </w:tc>
        <w:tc>
          <w:tcPr>
            <w:tcW w:w="534" w:type="pct"/>
            <w:hideMark/>
          </w:tcPr>
          <w:p w14:paraId="6F177F0E"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1.622</w:t>
            </w:r>
            <w:r>
              <w:rPr>
                <w:rFonts w:eastAsia="Times New Roman" w:cs="Arial"/>
                <w:color w:val="000000"/>
                <w:sz w:val="18"/>
                <w:szCs w:val="18"/>
                <w:lang w:eastAsia="en-AU"/>
              </w:rPr>
              <w:t>*</w:t>
            </w:r>
          </w:p>
        </w:tc>
        <w:tc>
          <w:tcPr>
            <w:tcW w:w="1150" w:type="pct"/>
            <w:gridSpan w:val="2"/>
            <w:hideMark/>
          </w:tcPr>
          <w:p w14:paraId="73722E59"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0.538</w:t>
            </w:r>
          </w:p>
        </w:tc>
        <w:tc>
          <w:tcPr>
            <w:tcW w:w="1183" w:type="pct"/>
            <w:hideMark/>
          </w:tcPr>
          <w:p w14:paraId="7E690CAE"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2.706</w:t>
            </w:r>
          </w:p>
        </w:tc>
      </w:tr>
      <w:tr w:rsidR="008E0678" w:rsidRPr="00911E01" w14:paraId="52A22C35" w14:textId="77777777" w:rsidTr="004A08F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133" w:type="pct"/>
            <w:hideMark/>
          </w:tcPr>
          <w:p w14:paraId="08573D2C" w14:textId="77ECDCD9"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 xml:space="preserve">Remoteness area (Major </w:t>
            </w:r>
            <w:r w:rsidR="001159FE">
              <w:rPr>
                <w:rFonts w:eastAsia="Times New Roman" w:cs="Arial"/>
                <w:bCs/>
                <w:color w:val="000000"/>
                <w:sz w:val="18"/>
                <w:szCs w:val="18"/>
                <w:lang w:eastAsia="en-AU"/>
              </w:rPr>
              <w:t>C</w:t>
            </w:r>
            <w:r w:rsidRPr="00911E01">
              <w:rPr>
                <w:rFonts w:eastAsia="Times New Roman" w:cs="Arial"/>
                <w:bCs/>
                <w:color w:val="000000"/>
                <w:sz w:val="18"/>
                <w:szCs w:val="18"/>
                <w:lang w:eastAsia="en-AU"/>
              </w:rPr>
              <w:t xml:space="preserve">ity or </w:t>
            </w:r>
            <w:r w:rsidR="001159FE">
              <w:rPr>
                <w:rFonts w:eastAsia="Times New Roman" w:cs="Arial"/>
                <w:bCs/>
                <w:color w:val="000000"/>
                <w:sz w:val="18"/>
                <w:szCs w:val="18"/>
                <w:lang w:eastAsia="en-AU"/>
              </w:rPr>
              <w:t>I</w:t>
            </w:r>
            <w:r w:rsidRPr="00911E01">
              <w:rPr>
                <w:rFonts w:eastAsia="Times New Roman" w:cs="Arial"/>
                <w:bCs/>
                <w:color w:val="000000"/>
                <w:sz w:val="18"/>
                <w:szCs w:val="18"/>
                <w:lang w:eastAsia="en-AU"/>
              </w:rPr>
              <w:t xml:space="preserve">nner </w:t>
            </w:r>
            <w:r w:rsidR="001159FE">
              <w:rPr>
                <w:rFonts w:eastAsia="Times New Roman" w:cs="Arial"/>
                <w:bCs/>
                <w:color w:val="000000"/>
                <w:sz w:val="18"/>
                <w:szCs w:val="18"/>
                <w:lang w:eastAsia="en-AU"/>
              </w:rPr>
              <w:t>R</w:t>
            </w:r>
            <w:r w:rsidRPr="00911E01">
              <w:rPr>
                <w:rFonts w:eastAsia="Times New Roman" w:cs="Arial"/>
                <w:bCs/>
                <w:color w:val="000000"/>
                <w:sz w:val="18"/>
                <w:szCs w:val="18"/>
                <w:lang w:eastAsia="en-AU"/>
              </w:rPr>
              <w:t>egional)</w:t>
            </w:r>
          </w:p>
        </w:tc>
        <w:tc>
          <w:tcPr>
            <w:tcW w:w="534" w:type="pct"/>
            <w:hideMark/>
          </w:tcPr>
          <w:p w14:paraId="15D26C72" w14:textId="77777777" w:rsidR="00F57386" w:rsidRPr="00911E01" w:rsidRDefault="00F57386" w:rsidP="00C24C7F">
            <w:pPr>
              <w:keepNext/>
              <w:keepLine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911E01">
              <w:rPr>
                <w:rFonts w:ascii="Calibri" w:eastAsia="Times New Roman" w:hAnsi="Calibri" w:cs="Calibri"/>
                <w:color w:val="000000"/>
                <w:sz w:val="18"/>
                <w:szCs w:val="18"/>
                <w:lang w:eastAsia="en-AU"/>
              </w:rPr>
              <w:t> </w:t>
            </w:r>
          </w:p>
        </w:tc>
        <w:tc>
          <w:tcPr>
            <w:tcW w:w="1150" w:type="pct"/>
            <w:gridSpan w:val="2"/>
            <w:hideMark/>
          </w:tcPr>
          <w:p w14:paraId="44971260" w14:textId="77777777" w:rsidR="00F57386" w:rsidRPr="00911E01" w:rsidRDefault="00F57386" w:rsidP="00C24C7F">
            <w:pPr>
              <w:keepNext/>
              <w:keepLine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911E01">
              <w:rPr>
                <w:rFonts w:ascii="Calibri" w:eastAsia="Times New Roman" w:hAnsi="Calibri" w:cs="Calibri"/>
                <w:color w:val="000000"/>
                <w:sz w:val="18"/>
                <w:szCs w:val="18"/>
                <w:lang w:eastAsia="en-AU"/>
              </w:rPr>
              <w:t> </w:t>
            </w:r>
          </w:p>
        </w:tc>
        <w:tc>
          <w:tcPr>
            <w:tcW w:w="1183" w:type="pct"/>
            <w:hideMark/>
          </w:tcPr>
          <w:p w14:paraId="72A8D938" w14:textId="77777777" w:rsidR="00F57386" w:rsidRPr="00911E01" w:rsidRDefault="00F57386" w:rsidP="00C24C7F">
            <w:pPr>
              <w:keepNext/>
              <w:keepLine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911E01">
              <w:rPr>
                <w:rFonts w:ascii="Calibri" w:eastAsia="Times New Roman" w:hAnsi="Calibri" w:cs="Calibri"/>
                <w:color w:val="000000"/>
                <w:sz w:val="18"/>
                <w:szCs w:val="18"/>
                <w:lang w:eastAsia="en-AU"/>
              </w:rPr>
              <w:t> </w:t>
            </w:r>
          </w:p>
        </w:tc>
      </w:tr>
      <w:tr w:rsidR="008E0678" w:rsidRPr="00911E01" w14:paraId="587F3D82"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pct"/>
            <w:hideMark/>
          </w:tcPr>
          <w:p w14:paraId="3286D8A1" w14:textId="67DCCD64" w:rsidR="00F57386" w:rsidRPr="00911E01" w:rsidRDefault="00F57386" w:rsidP="00C24C7F">
            <w:pPr>
              <w:keepNext/>
              <w:keepLines/>
              <w:rPr>
                <w:rFonts w:eastAsia="Times New Roman" w:cs="Arial"/>
                <w:color w:val="000000"/>
                <w:sz w:val="18"/>
                <w:szCs w:val="18"/>
                <w:lang w:eastAsia="en-AU"/>
              </w:rPr>
            </w:pPr>
            <w:r w:rsidRPr="00911E01">
              <w:rPr>
                <w:rFonts w:eastAsia="Times New Roman" w:cs="Arial"/>
                <w:color w:val="000000"/>
                <w:sz w:val="18"/>
                <w:szCs w:val="18"/>
                <w:lang w:eastAsia="en-AU"/>
              </w:rPr>
              <w:t xml:space="preserve">Regional or </w:t>
            </w:r>
            <w:r w:rsidR="00AD74F5">
              <w:rPr>
                <w:rFonts w:eastAsia="Times New Roman" w:cs="Arial"/>
                <w:color w:val="000000"/>
                <w:sz w:val="18"/>
                <w:szCs w:val="18"/>
                <w:lang w:eastAsia="en-AU"/>
              </w:rPr>
              <w:t>R</w:t>
            </w:r>
            <w:r w:rsidRPr="00911E01">
              <w:rPr>
                <w:rFonts w:eastAsia="Times New Roman" w:cs="Arial"/>
                <w:color w:val="000000"/>
                <w:sz w:val="18"/>
                <w:szCs w:val="18"/>
                <w:lang w:eastAsia="en-AU"/>
              </w:rPr>
              <w:t xml:space="preserve">emote </w:t>
            </w:r>
          </w:p>
        </w:tc>
        <w:tc>
          <w:tcPr>
            <w:tcW w:w="534" w:type="pct"/>
            <w:hideMark/>
          </w:tcPr>
          <w:p w14:paraId="7A315720"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0.397</w:t>
            </w:r>
          </w:p>
        </w:tc>
        <w:tc>
          <w:tcPr>
            <w:tcW w:w="1150" w:type="pct"/>
            <w:gridSpan w:val="2"/>
            <w:hideMark/>
          </w:tcPr>
          <w:p w14:paraId="51E86122"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-0.679</w:t>
            </w:r>
          </w:p>
        </w:tc>
        <w:tc>
          <w:tcPr>
            <w:tcW w:w="1183" w:type="pct"/>
            <w:hideMark/>
          </w:tcPr>
          <w:p w14:paraId="5AE32E97" w14:textId="77777777" w:rsidR="00F57386" w:rsidRPr="00911E01" w:rsidRDefault="00F57386" w:rsidP="00C24C7F">
            <w:pPr>
              <w:keepNext/>
              <w:keepLines/>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1E01">
              <w:rPr>
                <w:rFonts w:eastAsia="Times New Roman" w:cs="Arial"/>
                <w:color w:val="000000"/>
                <w:sz w:val="18"/>
                <w:szCs w:val="18"/>
                <w:lang w:eastAsia="en-AU"/>
              </w:rPr>
              <w:t>1.472</w:t>
            </w:r>
          </w:p>
        </w:tc>
      </w:tr>
      <w:tr w:rsidR="008E0678" w:rsidRPr="00911E01" w14:paraId="5A2972CB"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33" w:type="pct"/>
            <w:hideMark/>
          </w:tcPr>
          <w:p w14:paraId="24677839" w14:textId="77777777" w:rsidR="00F57386" w:rsidRPr="00911E01" w:rsidRDefault="00F57386" w:rsidP="00C24C7F">
            <w:pPr>
              <w:keepNext/>
              <w:keepLines/>
              <w:rPr>
                <w:rFonts w:eastAsia="Times New Roman" w:cs="Arial"/>
                <w:b w:val="0"/>
                <w:bCs/>
                <w:color w:val="000000"/>
                <w:sz w:val="18"/>
                <w:szCs w:val="18"/>
                <w:lang w:eastAsia="en-AU"/>
              </w:rPr>
            </w:pPr>
            <w:r w:rsidRPr="00911E01">
              <w:rPr>
                <w:rFonts w:eastAsia="Times New Roman" w:cs="Arial"/>
                <w:bCs/>
                <w:color w:val="000000"/>
                <w:sz w:val="18"/>
                <w:szCs w:val="18"/>
                <w:lang w:eastAsia="en-AU"/>
              </w:rPr>
              <w:t>Number of service months (continuous)</w:t>
            </w:r>
          </w:p>
        </w:tc>
        <w:tc>
          <w:tcPr>
            <w:tcW w:w="534" w:type="pct"/>
            <w:hideMark/>
          </w:tcPr>
          <w:p w14:paraId="307BEDF0"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0.456</w:t>
            </w:r>
          </w:p>
        </w:tc>
        <w:tc>
          <w:tcPr>
            <w:tcW w:w="1150" w:type="pct"/>
            <w:gridSpan w:val="2"/>
            <w:hideMark/>
          </w:tcPr>
          <w:p w14:paraId="1D63D1C1"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-0.392</w:t>
            </w:r>
          </w:p>
        </w:tc>
        <w:tc>
          <w:tcPr>
            <w:tcW w:w="1183" w:type="pct"/>
            <w:hideMark/>
          </w:tcPr>
          <w:p w14:paraId="19728A1E" w14:textId="77777777" w:rsidR="00F57386" w:rsidRPr="00911E01" w:rsidRDefault="00F57386" w:rsidP="00C24C7F">
            <w:pPr>
              <w:keepNext/>
              <w:keepLines/>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1E01">
              <w:rPr>
                <w:rFonts w:eastAsia="Times New Roman" w:cs="Arial"/>
                <w:b/>
                <w:bCs/>
                <w:color w:val="000000"/>
                <w:sz w:val="18"/>
                <w:szCs w:val="18"/>
                <w:lang w:eastAsia="en-AU"/>
              </w:rPr>
              <w:t>1.305</w:t>
            </w:r>
          </w:p>
        </w:tc>
      </w:tr>
    </w:tbl>
    <w:p w14:paraId="0325C40B" w14:textId="1B5337A5"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5ADE9BDB" w14:textId="6E4AEF6C" w:rsidR="00F57386" w:rsidRDefault="00F57386" w:rsidP="00CD7319">
      <w:pPr>
        <w:pStyle w:val="Caption"/>
        <w:keepNext/>
      </w:pPr>
      <w:bookmarkStart w:id="4201" w:name="_Toc132647837"/>
      <w:bookmarkStart w:id="4202" w:name="_Toc145877351"/>
      <w:r>
        <w:t xml:space="preserve">Table </w:t>
      </w:r>
      <w:r>
        <w:fldChar w:fldCharType="begin"/>
      </w:r>
      <w:r>
        <w:instrText>SEQ Table \* ARABIC</w:instrText>
      </w:r>
      <w:r>
        <w:fldChar w:fldCharType="separate"/>
      </w:r>
      <w:r w:rsidR="00180E14">
        <w:rPr>
          <w:noProof/>
        </w:rPr>
        <w:t>62</w:t>
      </w:r>
      <w:r>
        <w:fldChar w:fldCharType="end"/>
      </w:r>
      <w:r>
        <w:t xml:space="preserve">: Regression </w:t>
      </w:r>
      <w:r w:rsidRPr="00730E05">
        <w:t>results</w:t>
      </w:r>
      <w:r>
        <w:t xml:space="preserve"> for TtW program elements and </w:t>
      </w:r>
      <w:r w:rsidR="000F5A37">
        <w:t>F</w:t>
      </w:r>
      <w:r>
        <w:t xml:space="preserve">lourishing </w:t>
      </w:r>
      <w:r w:rsidR="000F5A37">
        <w:t>S</w:t>
      </w:r>
      <w:r>
        <w:t>cale (psychological wellbeing)</w:t>
      </w:r>
      <w:bookmarkEnd w:id="4201"/>
      <w:bookmarkEnd w:id="4202"/>
    </w:p>
    <w:tbl>
      <w:tblPr>
        <w:tblStyle w:val="TtWReportTableTemplate2"/>
        <w:tblW w:w="4942" w:type="pct"/>
        <w:tblLayout w:type="fixed"/>
        <w:tblLook w:val="04A0" w:firstRow="1" w:lastRow="0" w:firstColumn="1" w:lastColumn="0" w:noHBand="0" w:noVBand="1"/>
      </w:tblPr>
      <w:tblGrid>
        <w:gridCol w:w="3969"/>
        <w:gridCol w:w="947"/>
        <w:gridCol w:w="2041"/>
        <w:gridCol w:w="1964"/>
      </w:tblGrid>
      <w:tr w:rsidR="00F57386" w:rsidRPr="00490C21" w14:paraId="0FBE2650" w14:textId="77777777" w:rsidTr="00C239F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hideMark/>
          </w:tcPr>
          <w:p w14:paraId="290E13CD" w14:textId="77777777" w:rsidR="00F57386" w:rsidRPr="00490C21"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0" w:type="pct"/>
            <w:shd w:val="clear" w:color="auto" w:fill="5D7A38"/>
            <w:hideMark/>
          </w:tcPr>
          <w:p w14:paraId="1C1A77E4" w14:textId="77777777" w:rsidR="00F57386" w:rsidRPr="00490C21" w:rsidRDefault="00F57386" w:rsidP="004E6757">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0" w:type="pct"/>
            <w:shd w:val="clear" w:color="auto" w:fill="5D7A38"/>
            <w:hideMark/>
          </w:tcPr>
          <w:p w14:paraId="3E762631"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Lower 95% confidence limit</w:t>
            </w:r>
          </w:p>
        </w:tc>
        <w:tc>
          <w:tcPr>
            <w:tcW w:w="0" w:type="pct"/>
            <w:shd w:val="clear" w:color="auto" w:fill="5D7A38"/>
            <w:hideMark/>
          </w:tcPr>
          <w:p w14:paraId="55A400C3" w14:textId="77777777" w:rsidR="00F57386" w:rsidRPr="00AD74F5" w:rsidRDefault="00F57386" w:rsidP="004E675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bCs/>
                <w:sz w:val="18"/>
                <w:szCs w:val="18"/>
              </w:rPr>
              <w:t>Upper 95% confidence limit</w:t>
            </w:r>
          </w:p>
        </w:tc>
      </w:tr>
      <w:tr w:rsidR="00F57386" w:rsidRPr="00490C21" w14:paraId="7EF78193"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24" w:type="pct"/>
            <w:hideMark/>
          </w:tcPr>
          <w:p w14:paraId="0CD08D01" w14:textId="77777777" w:rsidR="00F57386" w:rsidRPr="00490C21" w:rsidRDefault="00F57386" w:rsidP="004E6757">
            <w:pPr>
              <w:rPr>
                <w:rFonts w:eastAsia="Times New Roman" w:cs="Arial"/>
                <w:b w:val="0"/>
                <w:bCs/>
                <w:color w:val="000000"/>
                <w:sz w:val="18"/>
                <w:szCs w:val="18"/>
                <w:lang w:eastAsia="en-AU"/>
              </w:rPr>
            </w:pPr>
            <w:r w:rsidRPr="00490C21">
              <w:rPr>
                <w:rFonts w:eastAsia="Times New Roman" w:cs="Arial"/>
                <w:bCs/>
                <w:color w:val="000000"/>
                <w:sz w:val="18"/>
                <w:szCs w:val="18"/>
                <w:lang w:eastAsia="en-AU"/>
              </w:rPr>
              <w:t>(Intercept)</w:t>
            </w:r>
          </w:p>
        </w:tc>
        <w:tc>
          <w:tcPr>
            <w:tcW w:w="531" w:type="pct"/>
            <w:hideMark/>
          </w:tcPr>
          <w:p w14:paraId="37BE0CD8"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38.572</w:t>
            </w:r>
            <w:r>
              <w:rPr>
                <w:rFonts w:eastAsia="Times New Roman" w:cs="Arial"/>
                <w:b/>
                <w:bCs/>
                <w:color w:val="000000"/>
                <w:sz w:val="18"/>
                <w:szCs w:val="18"/>
                <w:lang w:eastAsia="en-AU"/>
              </w:rPr>
              <w:t>*</w:t>
            </w:r>
          </w:p>
        </w:tc>
        <w:tc>
          <w:tcPr>
            <w:tcW w:w="1144" w:type="pct"/>
            <w:hideMark/>
          </w:tcPr>
          <w:p w14:paraId="10FF9E20"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37.186</w:t>
            </w:r>
          </w:p>
        </w:tc>
        <w:tc>
          <w:tcPr>
            <w:tcW w:w="1101" w:type="pct"/>
            <w:hideMark/>
          </w:tcPr>
          <w:p w14:paraId="3961FB6E"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39.958</w:t>
            </w:r>
          </w:p>
        </w:tc>
      </w:tr>
      <w:tr w:rsidR="008E0678" w:rsidRPr="00490C21" w14:paraId="46C3EFE8"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24" w:type="pct"/>
            <w:noWrap/>
            <w:hideMark/>
          </w:tcPr>
          <w:p w14:paraId="7832E3B4" w14:textId="77777777" w:rsidR="00F57386" w:rsidRPr="00490C21" w:rsidRDefault="00F57386" w:rsidP="004E6757">
            <w:pPr>
              <w:rPr>
                <w:rFonts w:eastAsia="Times New Roman" w:cs="Arial"/>
                <w:b w:val="0"/>
                <w:bCs/>
                <w:color w:val="000000"/>
                <w:sz w:val="18"/>
                <w:szCs w:val="18"/>
                <w:lang w:eastAsia="en-AU"/>
              </w:rPr>
            </w:pPr>
            <w:r w:rsidRPr="00490C21">
              <w:rPr>
                <w:rFonts w:eastAsia="Times New Roman" w:cs="Arial"/>
                <w:bCs/>
                <w:color w:val="000000"/>
                <w:sz w:val="18"/>
                <w:szCs w:val="18"/>
                <w:lang w:eastAsia="en-AU"/>
              </w:rPr>
              <w:t>Satisfaction with caseworker (other)</w:t>
            </w:r>
          </w:p>
        </w:tc>
        <w:tc>
          <w:tcPr>
            <w:tcW w:w="531" w:type="pct"/>
            <w:noWrap/>
            <w:hideMark/>
          </w:tcPr>
          <w:p w14:paraId="5356619B"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 </w:t>
            </w:r>
          </w:p>
        </w:tc>
        <w:tc>
          <w:tcPr>
            <w:tcW w:w="1144" w:type="pct"/>
            <w:noWrap/>
            <w:hideMark/>
          </w:tcPr>
          <w:p w14:paraId="33EB62D5"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 </w:t>
            </w:r>
          </w:p>
        </w:tc>
        <w:tc>
          <w:tcPr>
            <w:tcW w:w="1101" w:type="pct"/>
            <w:noWrap/>
            <w:hideMark/>
          </w:tcPr>
          <w:p w14:paraId="683B51F4"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 </w:t>
            </w:r>
          </w:p>
        </w:tc>
      </w:tr>
      <w:tr w:rsidR="00F57386" w:rsidRPr="00490C21" w14:paraId="15BBF961"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4" w:type="pct"/>
            <w:hideMark/>
          </w:tcPr>
          <w:p w14:paraId="65D77131" w14:textId="085D20AF" w:rsidR="00F57386" w:rsidRPr="00490C21" w:rsidRDefault="00F57386" w:rsidP="004E6757">
            <w:pPr>
              <w:rPr>
                <w:rFonts w:eastAsia="Times New Roman" w:cs="Arial"/>
                <w:color w:val="000000"/>
                <w:sz w:val="18"/>
                <w:szCs w:val="18"/>
                <w:lang w:eastAsia="en-AU"/>
              </w:rPr>
            </w:pPr>
            <w:r w:rsidRPr="00490C21">
              <w:rPr>
                <w:rFonts w:eastAsia="Times New Roman" w:cs="Arial"/>
                <w:color w:val="000000"/>
                <w:sz w:val="18"/>
                <w:szCs w:val="18"/>
                <w:lang w:eastAsia="en-AU"/>
              </w:rPr>
              <w:t xml:space="preserve">Satisfied / very satisfied </w:t>
            </w:r>
          </w:p>
        </w:tc>
        <w:tc>
          <w:tcPr>
            <w:tcW w:w="531" w:type="pct"/>
            <w:hideMark/>
          </w:tcPr>
          <w:p w14:paraId="151E63CF"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2.525</w:t>
            </w:r>
            <w:r>
              <w:rPr>
                <w:rFonts w:eastAsia="Times New Roman" w:cs="Arial"/>
                <w:color w:val="000000"/>
                <w:sz w:val="18"/>
                <w:szCs w:val="18"/>
                <w:lang w:eastAsia="en-AU"/>
              </w:rPr>
              <w:t>*</w:t>
            </w:r>
          </w:p>
        </w:tc>
        <w:tc>
          <w:tcPr>
            <w:tcW w:w="1144" w:type="pct"/>
            <w:hideMark/>
          </w:tcPr>
          <w:p w14:paraId="49E7AB1B"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1.081</w:t>
            </w:r>
          </w:p>
        </w:tc>
        <w:tc>
          <w:tcPr>
            <w:tcW w:w="1101" w:type="pct"/>
            <w:hideMark/>
          </w:tcPr>
          <w:p w14:paraId="579BF968"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3.969</w:t>
            </w:r>
          </w:p>
        </w:tc>
      </w:tr>
      <w:tr w:rsidR="00F57386" w:rsidRPr="00490C21" w14:paraId="11EBC54B"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24" w:type="pct"/>
            <w:hideMark/>
          </w:tcPr>
          <w:p w14:paraId="675AB59C" w14:textId="77777777" w:rsidR="00F57386" w:rsidRPr="00490C21" w:rsidRDefault="00F57386" w:rsidP="004E6757">
            <w:pPr>
              <w:rPr>
                <w:rFonts w:eastAsia="Times New Roman" w:cs="Arial"/>
                <w:b w:val="0"/>
                <w:bCs/>
                <w:color w:val="000000"/>
                <w:sz w:val="18"/>
                <w:szCs w:val="18"/>
                <w:lang w:eastAsia="en-AU"/>
              </w:rPr>
            </w:pPr>
            <w:r w:rsidRPr="00490C21">
              <w:rPr>
                <w:rFonts w:eastAsia="Times New Roman" w:cs="Arial"/>
                <w:bCs/>
                <w:color w:val="000000"/>
                <w:sz w:val="18"/>
                <w:szCs w:val="18"/>
                <w:lang w:eastAsia="en-AU"/>
              </w:rPr>
              <w:t>Attitude when joined (other)</w:t>
            </w:r>
          </w:p>
        </w:tc>
        <w:tc>
          <w:tcPr>
            <w:tcW w:w="531" w:type="pct"/>
            <w:hideMark/>
          </w:tcPr>
          <w:p w14:paraId="1DF6046E"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490C21">
              <w:rPr>
                <w:rFonts w:ascii="Calibri" w:eastAsia="Times New Roman" w:hAnsi="Calibri" w:cs="Calibri"/>
                <w:color w:val="000000"/>
                <w:sz w:val="18"/>
                <w:szCs w:val="18"/>
                <w:lang w:eastAsia="en-AU"/>
              </w:rPr>
              <w:t> </w:t>
            </w:r>
          </w:p>
        </w:tc>
        <w:tc>
          <w:tcPr>
            <w:tcW w:w="1144" w:type="pct"/>
            <w:hideMark/>
          </w:tcPr>
          <w:p w14:paraId="0214B2E0"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490C21">
              <w:rPr>
                <w:rFonts w:ascii="Calibri" w:eastAsia="Times New Roman" w:hAnsi="Calibri" w:cs="Calibri"/>
                <w:color w:val="000000"/>
                <w:sz w:val="18"/>
                <w:szCs w:val="18"/>
                <w:lang w:eastAsia="en-AU"/>
              </w:rPr>
              <w:t> </w:t>
            </w:r>
          </w:p>
        </w:tc>
        <w:tc>
          <w:tcPr>
            <w:tcW w:w="1101" w:type="pct"/>
            <w:hideMark/>
          </w:tcPr>
          <w:p w14:paraId="6F1EF6B7"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490C21">
              <w:rPr>
                <w:rFonts w:ascii="Calibri" w:eastAsia="Times New Roman" w:hAnsi="Calibri" w:cs="Calibri"/>
                <w:color w:val="000000"/>
                <w:sz w:val="18"/>
                <w:szCs w:val="18"/>
                <w:lang w:eastAsia="en-AU"/>
              </w:rPr>
              <w:t> </w:t>
            </w:r>
          </w:p>
        </w:tc>
      </w:tr>
      <w:tr w:rsidR="00F57386" w:rsidRPr="00490C21" w14:paraId="6590922F"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4" w:type="pct"/>
            <w:hideMark/>
          </w:tcPr>
          <w:p w14:paraId="1CFC8D90" w14:textId="77BB80C2" w:rsidR="00F57386" w:rsidRPr="00490C21" w:rsidRDefault="00F57386" w:rsidP="004E6757">
            <w:pPr>
              <w:rPr>
                <w:rFonts w:eastAsia="Times New Roman" w:cs="Arial"/>
                <w:color w:val="000000"/>
                <w:sz w:val="18"/>
                <w:szCs w:val="18"/>
                <w:lang w:eastAsia="en-AU"/>
              </w:rPr>
            </w:pPr>
            <w:r w:rsidRPr="00490C21">
              <w:rPr>
                <w:rFonts w:eastAsia="Times New Roman" w:cs="Arial"/>
                <w:color w:val="000000"/>
                <w:sz w:val="18"/>
                <w:szCs w:val="18"/>
                <w:lang w:eastAsia="en-AU"/>
              </w:rPr>
              <w:t xml:space="preserve">Positive / very positive </w:t>
            </w:r>
          </w:p>
        </w:tc>
        <w:tc>
          <w:tcPr>
            <w:tcW w:w="531" w:type="pct"/>
            <w:hideMark/>
          </w:tcPr>
          <w:p w14:paraId="1FCF9373"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2.684</w:t>
            </w:r>
            <w:r>
              <w:rPr>
                <w:rFonts w:eastAsia="Times New Roman" w:cs="Arial"/>
                <w:color w:val="000000"/>
                <w:sz w:val="18"/>
                <w:szCs w:val="18"/>
                <w:lang w:eastAsia="en-AU"/>
              </w:rPr>
              <w:t>*</w:t>
            </w:r>
          </w:p>
        </w:tc>
        <w:tc>
          <w:tcPr>
            <w:tcW w:w="1144" w:type="pct"/>
            <w:hideMark/>
          </w:tcPr>
          <w:p w14:paraId="795856D9"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1.721</w:t>
            </w:r>
          </w:p>
        </w:tc>
        <w:tc>
          <w:tcPr>
            <w:tcW w:w="1101" w:type="pct"/>
            <w:hideMark/>
          </w:tcPr>
          <w:p w14:paraId="4D08CC40"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3.648</w:t>
            </w:r>
          </w:p>
        </w:tc>
      </w:tr>
      <w:tr w:rsidR="00F57386" w:rsidRPr="00490C21" w14:paraId="71DDA6D3" w14:textId="77777777" w:rsidTr="004A08F9">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24" w:type="pct"/>
            <w:hideMark/>
          </w:tcPr>
          <w:p w14:paraId="7644F43B" w14:textId="6F47929A" w:rsidR="00F57386" w:rsidRPr="00490C21" w:rsidRDefault="00F57386" w:rsidP="004E6757">
            <w:pPr>
              <w:rPr>
                <w:rFonts w:eastAsia="Times New Roman" w:cs="Arial"/>
                <w:b w:val="0"/>
                <w:bCs/>
                <w:color w:val="000000"/>
                <w:sz w:val="18"/>
                <w:szCs w:val="18"/>
                <w:lang w:eastAsia="en-AU"/>
              </w:rPr>
            </w:pPr>
            <w:r w:rsidRPr="00490C21">
              <w:rPr>
                <w:rFonts w:eastAsia="Times New Roman" w:cs="Arial"/>
                <w:bCs/>
                <w:color w:val="000000"/>
                <w:sz w:val="18"/>
                <w:szCs w:val="18"/>
                <w:lang w:eastAsia="en-AU"/>
              </w:rPr>
              <w:lastRenderedPageBreak/>
              <w:t>Frequency of contact with case</w:t>
            </w:r>
            <w:r w:rsidR="00ED248D">
              <w:rPr>
                <w:rFonts w:eastAsia="Times New Roman" w:cs="Arial"/>
                <w:bCs/>
                <w:color w:val="000000"/>
                <w:sz w:val="18"/>
                <w:szCs w:val="18"/>
                <w:lang w:eastAsia="en-AU"/>
              </w:rPr>
              <w:t>w</w:t>
            </w:r>
            <w:r w:rsidRPr="00490C21">
              <w:rPr>
                <w:rFonts w:eastAsia="Times New Roman" w:cs="Arial"/>
                <w:bCs/>
                <w:color w:val="000000"/>
                <w:sz w:val="18"/>
                <w:szCs w:val="18"/>
                <w:lang w:eastAsia="en-AU"/>
              </w:rPr>
              <w:t xml:space="preserve">orker (Less than </w:t>
            </w:r>
            <w:r>
              <w:rPr>
                <w:rFonts w:eastAsia="Times New Roman" w:cs="Arial"/>
                <w:bCs/>
                <w:color w:val="000000"/>
                <w:sz w:val="18"/>
                <w:szCs w:val="18"/>
                <w:lang w:eastAsia="en-AU"/>
              </w:rPr>
              <w:t>w</w:t>
            </w:r>
            <w:r w:rsidRPr="00490C21">
              <w:rPr>
                <w:rFonts w:eastAsia="Times New Roman" w:cs="Arial"/>
                <w:bCs/>
                <w:color w:val="000000"/>
                <w:sz w:val="18"/>
                <w:szCs w:val="18"/>
                <w:lang w:eastAsia="en-AU"/>
              </w:rPr>
              <w:t>eekly)</w:t>
            </w:r>
          </w:p>
        </w:tc>
        <w:tc>
          <w:tcPr>
            <w:tcW w:w="531" w:type="pct"/>
            <w:hideMark/>
          </w:tcPr>
          <w:p w14:paraId="4E5A6F7F"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490C21">
              <w:rPr>
                <w:rFonts w:ascii="Calibri" w:eastAsia="Times New Roman" w:hAnsi="Calibri" w:cs="Calibri"/>
                <w:color w:val="000000"/>
                <w:sz w:val="18"/>
                <w:szCs w:val="18"/>
                <w:lang w:eastAsia="en-AU"/>
              </w:rPr>
              <w:t> </w:t>
            </w:r>
          </w:p>
        </w:tc>
        <w:tc>
          <w:tcPr>
            <w:tcW w:w="1144" w:type="pct"/>
            <w:hideMark/>
          </w:tcPr>
          <w:p w14:paraId="7E7442E9"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490C21">
              <w:rPr>
                <w:rFonts w:ascii="Calibri" w:eastAsia="Times New Roman" w:hAnsi="Calibri" w:cs="Calibri"/>
                <w:color w:val="000000"/>
                <w:sz w:val="18"/>
                <w:szCs w:val="18"/>
                <w:lang w:eastAsia="en-AU"/>
              </w:rPr>
              <w:t> </w:t>
            </w:r>
          </w:p>
        </w:tc>
        <w:tc>
          <w:tcPr>
            <w:tcW w:w="1101" w:type="pct"/>
            <w:hideMark/>
          </w:tcPr>
          <w:p w14:paraId="4D37D470" w14:textId="77777777" w:rsidR="00F57386" w:rsidRPr="00490C21"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490C21">
              <w:rPr>
                <w:rFonts w:ascii="Calibri" w:eastAsia="Times New Roman" w:hAnsi="Calibri" w:cs="Calibri"/>
                <w:color w:val="000000"/>
                <w:sz w:val="18"/>
                <w:szCs w:val="18"/>
                <w:lang w:eastAsia="en-AU"/>
              </w:rPr>
              <w:t> </w:t>
            </w:r>
          </w:p>
        </w:tc>
      </w:tr>
      <w:tr w:rsidR="00F57386" w:rsidRPr="00490C21" w14:paraId="2CD3AFC2" w14:textId="77777777" w:rsidTr="004A08F9">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224" w:type="pct"/>
            <w:hideMark/>
          </w:tcPr>
          <w:p w14:paraId="5F55DA32" w14:textId="27D00F2A" w:rsidR="00F57386" w:rsidRPr="00490C21" w:rsidRDefault="00F57386" w:rsidP="004E6757">
            <w:pPr>
              <w:rPr>
                <w:rFonts w:eastAsia="Times New Roman" w:cs="Arial"/>
                <w:color w:val="000000"/>
                <w:sz w:val="18"/>
                <w:szCs w:val="18"/>
                <w:lang w:eastAsia="en-AU"/>
              </w:rPr>
            </w:pPr>
            <w:r w:rsidRPr="00490C21">
              <w:rPr>
                <w:rFonts w:eastAsia="Times New Roman" w:cs="Arial"/>
                <w:color w:val="000000"/>
                <w:sz w:val="18"/>
                <w:szCs w:val="18"/>
                <w:lang w:eastAsia="en-AU"/>
              </w:rPr>
              <w:t xml:space="preserve">At least weekly </w:t>
            </w:r>
          </w:p>
        </w:tc>
        <w:tc>
          <w:tcPr>
            <w:tcW w:w="531" w:type="pct"/>
            <w:hideMark/>
          </w:tcPr>
          <w:p w14:paraId="7BA09F94"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-0.535</w:t>
            </w:r>
            <w:r>
              <w:rPr>
                <w:rFonts w:eastAsia="Times New Roman" w:cs="Arial"/>
                <w:color w:val="000000"/>
                <w:sz w:val="18"/>
                <w:szCs w:val="18"/>
                <w:lang w:eastAsia="en-AU"/>
              </w:rPr>
              <w:t>*</w:t>
            </w:r>
          </w:p>
        </w:tc>
        <w:tc>
          <w:tcPr>
            <w:tcW w:w="1144" w:type="pct"/>
            <w:hideMark/>
          </w:tcPr>
          <w:p w14:paraId="5C16F4CA"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-1.368</w:t>
            </w:r>
          </w:p>
        </w:tc>
        <w:tc>
          <w:tcPr>
            <w:tcW w:w="1101" w:type="pct"/>
            <w:hideMark/>
          </w:tcPr>
          <w:p w14:paraId="77B9C551"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90C21">
              <w:rPr>
                <w:rFonts w:eastAsia="Times New Roman" w:cs="Arial"/>
                <w:color w:val="000000"/>
                <w:sz w:val="18"/>
                <w:szCs w:val="18"/>
                <w:lang w:eastAsia="en-AU"/>
              </w:rPr>
              <w:t>0.299</w:t>
            </w:r>
          </w:p>
        </w:tc>
      </w:tr>
      <w:tr w:rsidR="00F57386" w:rsidRPr="00490C21" w14:paraId="27B91BE0" w14:textId="77777777" w:rsidTr="004A08F9">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224" w:type="pct"/>
            <w:hideMark/>
          </w:tcPr>
          <w:p w14:paraId="500A7EB7" w14:textId="77777777" w:rsidR="00F57386" w:rsidRPr="00490C21" w:rsidRDefault="00F57386" w:rsidP="004E6757">
            <w:pPr>
              <w:rPr>
                <w:rFonts w:eastAsia="Times New Roman" w:cs="Arial"/>
                <w:b w:val="0"/>
                <w:bCs/>
                <w:color w:val="000000"/>
                <w:sz w:val="18"/>
                <w:szCs w:val="18"/>
                <w:lang w:eastAsia="en-AU"/>
              </w:rPr>
            </w:pPr>
            <w:r w:rsidRPr="00490C21">
              <w:rPr>
                <w:rFonts w:eastAsia="Times New Roman" w:cs="Arial"/>
                <w:bCs/>
                <w:color w:val="000000"/>
                <w:sz w:val="18"/>
                <w:szCs w:val="18"/>
                <w:lang w:eastAsia="en-AU"/>
              </w:rPr>
              <w:t>Number of vocational supports (continuous)</w:t>
            </w:r>
          </w:p>
        </w:tc>
        <w:tc>
          <w:tcPr>
            <w:tcW w:w="531" w:type="pct"/>
            <w:hideMark/>
          </w:tcPr>
          <w:p w14:paraId="3DAC1922" w14:textId="77777777" w:rsidR="00F57386" w:rsidRPr="00490C21"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0.643</w:t>
            </w:r>
            <w:r>
              <w:rPr>
                <w:rFonts w:eastAsia="Times New Roman" w:cs="Arial"/>
                <w:b/>
                <w:bCs/>
                <w:color w:val="000000"/>
                <w:sz w:val="18"/>
                <w:szCs w:val="18"/>
                <w:lang w:eastAsia="en-AU"/>
              </w:rPr>
              <w:t>*</w:t>
            </w:r>
          </w:p>
        </w:tc>
        <w:tc>
          <w:tcPr>
            <w:tcW w:w="1144" w:type="pct"/>
            <w:hideMark/>
          </w:tcPr>
          <w:p w14:paraId="0E4D0159" w14:textId="77777777" w:rsidR="00F57386" w:rsidRPr="00490C21"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0.341</w:t>
            </w:r>
          </w:p>
        </w:tc>
        <w:tc>
          <w:tcPr>
            <w:tcW w:w="1101" w:type="pct"/>
            <w:hideMark/>
          </w:tcPr>
          <w:p w14:paraId="3B397E90" w14:textId="77777777" w:rsidR="00F57386" w:rsidRPr="00490C21"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0.944</w:t>
            </w:r>
          </w:p>
        </w:tc>
      </w:tr>
      <w:tr w:rsidR="00F57386" w:rsidRPr="00490C21" w14:paraId="5E33337F" w14:textId="77777777" w:rsidTr="004A08F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24" w:type="pct"/>
            <w:hideMark/>
          </w:tcPr>
          <w:p w14:paraId="036F37BF" w14:textId="77777777" w:rsidR="00F57386" w:rsidRPr="00490C21" w:rsidRDefault="00F57386" w:rsidP="004E6757">
            <w:pPr>
              <w:rPr>
                <w:rFonts w:eastAsia="Times New Roman" w:cs="Arial"/>
                <w:b w:val="0"/>
                <w:bCs/>
                <w:color w:val="000000"/>
                <w:sz w:val="18"/>
                <w:szCs w:val="18"/>
                <w:lang w:eastAsia="en-AU"/>
              </w:rPr>
            </w:pPr>
            <w:r w:rsidRPr="00490C21">
              <w:rPr>
                <w:rFonts w:eastAsia="Times New Roman" w:cs="Arial"/>
                <w:bCs/>
                <w:color w:val="000000"/>
                <w:sz w:val="18"/>
                <w:szCs w:val="18"/>
                <w:lang w:eastAsia="en-AU"/>
              </w:rPr>
              <w:t>Number of non-vocational supports (continuous)</w:t>
            </w:r>
          </w:p>
        </w:tc>
        <w:tc>
          <w:tcPr>
            <w:tcW w:w="531" w:type="pct"/>
            <w:hideMark/>
          </w:tcPr>
          <w:p w14:paraId="5CBA45EB"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-0.114</w:t>
            </w:r>
          </w:p>
        </w:tc>
        <w:tc>
          <w:tcPr>
            <w:tcW w:w="1144" w:type="pct"/>
            <w:hideMark/>
          </w:tcPr>
          <w:p w14:paraId="711936AA"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-0.288</w:t>
            </w:r>
          </w:p>
        </w:tc>
        <w:tc>
          <w:tcPr>
            <w:tcW w:w="1101" w:type="pct"/>
            <w:hideMark/>
          </w:tcPr>
          <w:p w14:paraId="6F52FFFB" w14:textId="77777777" w:rsidR="00F57386" w:rsidRPr="00490C21"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490C21">
              <w:rPr>
                <w:rFonts w:eastAsia="Times New Roman" w:cs="Arial"/>
                <w:b/>
                <w:bCs/>
                <w:color w:val="000000"/>
                <w:sz w:val="18"/>
                <w:szCs w:val="18"/>
                <w:lang w:eastAsia="en-AU"/>
              </w:rPr>
              <w:t>0.06</w:t>
            </w:r>
          </w:p>
        </w:tc>
      </w:tr>
    </w:tbl>
    <w:p w14:paraId="6D4B7DF4" w14:textId="53D86C72"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 xml:space="preserve">p </w:t>
      </w:r>
      <w:r w:rsidRPr="00CE7617">
        <w:rPr>
          <w:sz w:val="16"/>
        </w:rPr>
        <w:t>&lt; 0.05</w:t>
      </w:r>
    </w:p>
    <w:p w14:paraId="042BEC49" w14:textId="6E571DD0" w:rsidR="00F57386" w:rsidRDefault="00F57386" w:rsidP="00F57386">
      <w:pPr>
        <w:pStyle w:val="Caption"/>
      </w:pPr>
      <w:bookmarkStart w:id="4203" w:name="_Toc132647838"/>
      <w:bookmarkStart w:id="4204" w:name="_Toc145877352"/>
      <w:r>
        <w:t xml:space="preserve">Table </w:t>
      </w:r>
      <w:r>
        <w:fldChar w:fldCharType="begin"/>
      </w:r>
      <w:r>
        <w:instrText>SEQ Table \* ARABIC</w:instrText>
      </w:r>
      <w:r>
        <w:fldChar w:fldCharType="separate"/>
      </w:r>
      <w:r w:rsidR="00180E14">
        <w:rPr>
          <w:noProof/>
        </w:rPr>
        <w:t>63</w:t>
      </w:r>
      <w:r>
        <w:fldChar w:fldCharType="end"/>
      </w:r>
      <w:r>
        <w:t>: Regression results for program type and resilience (brief resilience scale)</w:t>
      </w:r>
      <w:bookmarkEnd w:id="4203"/>
      <w:bookmarkEnd w:id="4204"/>
    </w:p>
    <w:tbl>
      <w:tblPr>
        <w:tblStyle w:val="TtWReportTableTemplate2"/>
        <w:tblW w:w="4927" w:type="pct"/>
        <w:tblLook w:val="04A0" w:firstRow="1" w:lastRow="0" w:firstColumn="1" w:lastColumn="0" w:noHBand="0" w:noVBand="1"/>
      </w:tblPr>
      <w:tblGrid>
        <w:gridCol w:w="3119"/>
        <w:gridCol w:w="958"/>
        <w:gridCol w:w="2407"/>
        <w:gridCol w:w="2410"/>
      </w:tblGrid>
      <w:tr w:rsidR="00F57386" w:rsidRPr="006F2ECF" w14:paraId="0B5142A6" w14:textId="77777777" w:rsidTr="00C24C7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53" w:type="pct"/>
            <w:shd w:val="clear" w:color="auto" w:fill="5D7A38"/>
            <w:hideMark/>
          </w:tcPr>
          <w:p w14:paraId="24145CB3" w14:textId="77777777" w:rsidR="00F57386" w:rsidRPr="006F2ECF"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538" w:type="pct"/>
            <w:shd w:val="clear" w:color="auto" w:fill="5D7A38"/>
            <w:hideMark/>
          </w:tcPr>
          <w:p w14:paraId="3C351100" w14:textId="77777777" w:rsidR="00F57386" w:rsidRPr="006F2ECF" w:rsidRDefault="00F57386" w:rsidP="004E6757">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1353" w:type="pct"/>
            <w:shd w:val="clear" w:color="auto" w:fill="5D7A38"/>
            <w:hideMark/>
          </w:tcPr>
          <w:p w14:paraId="5AD9FBE6" w14:textId="77777777" w:rsidR="00F57386" w:rsidRPr="00C239FD" w:rsidRDefault="00F57386" w:rsidP="00C239FD">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18"/>
                <w:szCs w:val="18"/>
                <w:lang w:eastAsia="en-AU"/>
              </w:rPr>
            </w:pPr>
            <w:r w:rsidRPr="00C239FD">
              <w:rPr>
                <w:rFonts w:eastAsia="Times New Roman" w:cs="Arial"/>
                <w:bCs/>
                <w:color w:val="FFFFFF"/>
                <w:sz w:val="18"/>
                <w:szCs w:val="18"/>
                <w:lang w:eastAsia="en-AU"/>
              </w:rPr>
              <w:t>Lower 95% confidence limit</w:t>
            </w:r>
          </w:p>
        </w:tc>
        <w:tc>
          <w:tcPr>
            <w:tcW w:w="1355" w:type="pct"/>
            <w:shd w:val="clear" w:color="auto" w:fill="5D7A38"/>
            <w:hideMark/>
          </w:tcPr>
          <w:p w14:paraId="77A18AA8" w14:textId="77777777" w:rsidR="00F57386" w:rsidRPr="00C239FD" w:rsidRDefault="00F57386" w:rsidP="00C239FD">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18"/>
                <w:szCs w:val="18"/>
                <w:lang w:eastAsia="en-AU"/>
              </w:rPr>
            </w:pPr>
            <w:r w:rsidRPr="00C239FD">
              <w:rPr>
                <w:rFonts w:eastAsia="Times New Roman" w:cs="Arial"/>
                <w:bCs/>
                <w:color w:val="FFFFFF"/>
                <w:sz w:val="18"/>
                <w:szCs w:val="18"/>
                <w:lang w:eastAsia="en-AU"/>
              </w:rPr>
              <w:t>Upper 95% confidence limit</w:t>
            </w:r>
          </w:p>
        </w:tc>
      </w:tr>
      <w:tr w:rsidR="00F57386" w:rsidRPr="006F2ECF" w14:paraId="281F4EA4"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47769845"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(Intercept)</w:t>
            </w:r>
          </w:p>
        </w:tc>
        <w:tc>
          <w:tcPr>
            <w:tcW w:w="538" w:type="pct"/>
            <w:hideMark/>
          </w:tcPr>
          <w:p w14:paraId="2BBC7139"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3.289</w:t>
            </w:r>
            <w:r>
              <w:rPr>
                <w:rFonts w:eastAsia="Times New Roman" w:cs="Arial"/>
                <w:b/>
                <w:bCs/>
                <w:color w:val="000000"/>
                <w:sz w:val="18"/>
                <w:szCs w:val="18"/>
                <w:lang w:eastAsia="en-AU"/>
              </w:rPr>
              <w:t>*</w:t>
            </w:r>
          </w:p>
        </w:tc>
        <w:tc>
          <w:tcPr>
            <w:tcW w:w="1353" w:type="pct"/>
            <w:hideMark/>
          </w:tcPr>
          <w:p w14:paraId="77506F98"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3.171</w:t>
            </w:r>
          </w:p>
        </w:tc>
        <w:tc>
          <w:tcPr>
            <w:tcW w:w="1355" w:type="pct"/>
            <w:hideMark/>
          </w:tcPr>
          <w:p w14:paraId="63D61CE4"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3.408</w:t>
            </w:r>
          </w:p>
        </w:tc>
      </w:tr>
      <w:tr w:rsidR="00F57386" w:rsidRPr="006F2ECF" w14:paraId="08FC21E5"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noWrap/>
            <w:hideMark/>
          </w:tcPr>
          <w:p w14:paraId="5418AE10"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Program (jobactive)</w:t>
            </w:r>
          </w:p>
        </w:tc>
        <w:tc>
          <w:tcPr>
            <w:tcW w:w="538" w:type="pct"/>
            <w:noWrap/>
            <w:hideMark/>
          </w:tcPr>
          <w:p w14:paraId="51DA7666"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3" w:type="pct"/>
            <w:noWrap/>
            <w:hideMark/>
          </w:tcPr>
          <w:p w14:paraId="44FD180C"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5" w:type="pct"/>
            <w:noWrap/>
            <w:hideMark/>
          </w:tcPr>
          <w:p w14:paraId="3C905AE7"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r>
      <w:tr w:rsidR="00F57386" w:rsidRPr="006F2ECF" w14:paraId="4F63A46E"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4BACF6BA" w14:textId="30C543D5"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TtW</w:t>
            </w:r>
          </w:p>
        </w:tc>
        <w:tc>
          <w:tcPr>
            <w:tcW w:w="538" w:type="pct"/>
            <w:hideMark/>
          </w:tcPr>
          <w:p w14:paraId="458221AD"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0.117</w:t>
            </w:r>
            <w:r>
              <w:rPr>
                <w:rFonts w:eastAsia="Times New Roman" w:cs="Arial"/>
                <w:color w:val="000000"/>
                <w:sz w:val="18"/>
                <w:szCs w:val="18"/>
                <w:lang w:eastAsia="en-AU"/>
              </w:rPr>
              <w:t>*</w:t>
            </w:r>
          </w:p>
        </w:tc>
        <w:tc>
          <w:tcPr>
            <w:tcW w:w="1353" w:type="pct"/>
            <w:hideMark/>
          </w:tcPr>
          <w:p w14:paraId="2C52B71A"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0.035</w:t>
            </w:r>
          </w:p>
        </w:tc>
        <w:tc>
          <w:tcPr>
            <w:tcW w:w="1355" w:type="pct"/>
            <w:hideMark/>
          </w:tcPr>
          <w:p w14:paraId="7C471E55"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0.199</w:t>
            </w:r>
          </w:p>
        </w:tc>
      </w:tr>
      <w:tr w:rsidR="00F57386" w:rsidRPr="006F2ECF" w14:paraId="5374E721"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3CA7EC0C"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Number of life events (continuous)</w:t>
            </w:r>
          </w:p>
        </w:tc>
        <w:tc>
          <w:tcPr>
            <w:tcW w:w="538" w:type="pct"/>
            <w:hideMark/>
          </w:tcPr>
          <w:p w14:paraId="11176B45"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-0.077</w:t>
            </w:r>
            <w:r>
              <w:rPr>
                <w:rFonts w:eastAsia="Times New Roman" w:cs="Arial"/>
                <w:b/>
                <w:bCs/>
                <w:color w:val="000000"/>
                <w:sz w:val="18"/>
                <w:szCs w:val="18"/>
                <w:lang w:eastAsia="en-AU"/>
              </w:rPr>
              <w:t>*</w:t>
            </w:r>
          </w:p>
        </w:tc>
        <w:tc>
          <w:tcPr>
            <w:tcW w:w="1353" w:type="pct"/>
            <w:hideMark/>
          </w:tcPr>
          <w:p w14:paraId="4A7AE08D"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-0.098</w:t>
            </w:r>
          </w:p>
        </w:tc>
        <w:tc>
          <w:tcPr>
            <w:tcW w:w="1355" w:type="pct"/>
            <w:hideMark/>
          </w:tcPr>
          <w:p w14:paraId="67055AAF"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-0.056</w:t>
            </w:r>
          </w:p>
        </w:tc>
      </w:tr>
      <w:tr w:rsidR="00F57386" w:rsidRPr="006F2ECF" w14:paraId="3D3E2C09"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46D3CAFC"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 xml:space="preserve">Number of service months (continuous) </w:t>
            </w:r>
          </w:p>
        </w:tc>
        <w:tc>
          <w:tcPr>
            <w:tcW w:w="538" w:type="pct"/>
            <w:hideMark/>
          </w:tcPr>
          <w:p w14:paraId="461EF1E6"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0.001</w:t>
            </w:r>
            <w:r>
              <w:rPr>
                <w:rFonts w:eastAsia="Times New Roman" w:cs="Arial"/>
                <w:b/>
                <w:bCs/>
                <w:color w:val="000000"/>
                <w:sz w:val="18"/>
                <w:szCs w:val="18"/>
                <w:lang w:eastAsia="en-AU"/>
              </w:rPr>
              <w:t>*</w:t>
            </w:r>
          </w:p>
        </w:tc>
        <w:tc>
          <w:tcPr>
            <w:tcW w:w="1353" w:type="pct"/>
            <w:hideMark/>
          </w:tcPr>
          <w:p w14:paraId="2C32E1EB"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-0.004</w:t>
            </w:r>
          </w:p>
        </w:tc>
        <w:tc>
          <w:tcPr>
            <w:tcW w:w="1355" w:type="pct"/>
            <w:hideMark/>
          </w:tcPr>
          <w:p w14:paraId="3711B449"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0.006</w:t>
            </w:r>
          </w:p>
        </w:tc>
      </w:tr>
    </w:tbl>
    <w:p w14:paraId="152C351B" w14:textId="06492C0D"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5BFE0C7F" w14:textId="13896E86" w:rsidR="00F57386" w:rsidRDefault="00F57386" w:rsidP="00F57386">
      <w:pPr>
        <w:pStyle w:val="Caption"/>
      </w:pPr>
      <w:bookmarkStart w:id="4205" w:name="_Toc132647839"/>
      <w:bookmarkStart w:id="4206" w:name="_Toc145877353"/>
      <w:r>
        <w:t xml:space="preserve">Table </w:t>
      </w:r>
      <w:r>
        <w:fldChar w:fldCharType="begin"/>
      </w:r>
      <w:r>
        <w:instrText>SEQ Table \* ARABIC</w:instrText>
      </w:r>
      <w:r>
        <w:fldChar w:fldCharType="separate"/>
      </w:r>
      <w:r w:rsidR="00180E14">
        <w:rPr>
          <w:noProof/>
        </w:rPr>
        <w:t>64</w:t>
      </w:r>
      <w:r>
        <w:fldChar w:fldCharType="end"/>
      </w:r>
      <w:r>
        <w:t>: Regression results for TtW characteristic and resilience (brief resilience scale)</w:t>
      </w:r>
      <w:bookmarkEnd w:id="4205"/>
      <w:bookmarkEnd w:id="4206"/>
    </w:p>
    <w:tbl>
      <w:tblPr>
        <w:tblStyle w:val="TtWReportTableTemplate2"/>
        <w:tblW w:w="4927" w:type="pct"/>
        <w:tblLook w:val="04A0" w:firstRow="1" w:lastRow="0" w:firstColumn="1" w:lastColumn="0" w:noHBand="0" w:noVBand="1"/>
      </w:tblPr>
      <w:tblGrid>
        <w:gridCol w:w="3119"/>
        <w:gridCol w:w="958"/>
        <w:gridCol w:w="2407"/>
        <w:gridCol w:w="2410"/>
      </w:tblGrid>
      <w:tr w:rsidR="00F57386" w:rsidRPr="006F2ECF" w14:paraId="63754E35" w14:textId="77777777" w:rsidTr="00C239F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5D7A38"/>
            <w:hideMark/>
          </w:tcPr>
          <w:p w14:paraId="3C324D1D" w14:textId="77777777" w:rsidR="00F57386" w:rsidRPr="006F2ECF"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0" w:type="pct"/>
            <w:shd w:val="clear" w:color="auto" w:fill="5D7A38"/>
            <w:hideMark/>
          </w:tcPr>
          <w:p w14:paraId="70C5175E" w14:textId="77777777" w:rsidR="00F57386" w:rsidRPr="006F2ECF" w:rsidRDefault="00F57386" w:rsidP="004E6757">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0" w:type="pct"/>
            <w:shd w:val="clear" w:color="auto" w:fill="5D7A38"/>
            <w:hideMark/>
          </w:tcPr>
          <w:p w14:paraId="541E5613" w14:textId="77777777" w:rsidR="00F57386" w:rsidRPr="00AD74F5" w:rsidRDefault="00F57386" w:rsidP="00C239FD">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rFonts w:eastAsia="Times New Roman" w:cs="Arial"/>
                <w:bCs/>
                <w:color w:val="FFFFFF"/>
                <w:sz w:val="18"/>
                <w:szCs w:val="18"/>
                <w:lang w:eastAsia="en-AU"/>
              </w:rPr>
              <w:t>Lower 95% confidence limit</w:t>
            </w:r>
          </w:p>
        </w:tc>
        <w:tc>
          <w:tcPr>
            <w:tcW w:w="0" w:type="pct"/>
            <w:shd w:val="clear" w:color="auto" w:fill="5D7A38"/>
            <w:hideMark/>
          </w:tcPr>
          <w:p w14:paraId="2AD90A85" w14:textId="77777777" w:rsidR="00F57386" w:rsidRPr="00AD74F5" w:rsidRDefault="00F57386" w:rsidP="00C239FD">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rFonts w:eastAsia="Times New Roman" w:cs="Arial"/>
                <w:bCs/>
                <w:color w:val="FFFFFF"/>
                <w:sz w:val="18"/>
                <w:szCs w:val="18"/>
                <w:lang w:eastAsia="en-AU"/>
              </w:rPr>
              <w:t>Upper 95% confidence limit</w:t>
            </w:r>
          </w:p>
        </w:tc>
      </w:tr>
      <w:tr w:rsidR="00F57386" w:rsidRPr="006F2ECF" w14:paraId="7D37FFCD"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26462272"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(Intercept)</w:t>
            </w:r>
          </w:p>
        </w:tc>
        <w:tc>
          <w:tcPr>
            <w:tcW w:w="538" w:type="pct"/>
            <w:hideMark/>
          </w:tcPr>
          <w:p w14:paraId="6BA4250F"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2.977</w:t>
            </w:r>
            <w:r>
              <w:rPr>
                <w:rFonts w:eastAsia="Times New Roman" w:cs="Arial"/>
                <w:b/>
                <w:bCs/>
                <w:color w:val="000000"/>
                <w:sz w:val="18"/>
                <w:szCs w:val="18"/>
                <w:lang w:eastAsia="en-AU"/>
              </w:rPr>
              <w:t>*</w:t>
            </w:r>
          </w:p>
        </w:tc>
        <w:tc>
          <w:tcPr>
            <w:tcW w:w="1353" w:type="pct"/>
            <w:hideMark/>
          </w:tcPr>
          <w:p w14:paraId="132EB2C1"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2.838</w:t>
            </w:r>
          </w:p>
        </w:tc>
        <w:tc>
          <w:tcPr>
            <w:tcW w:w="1355" w:type="pct"/>
            <w:hideMark/>
          </w:tcPr>
          <w:p w14:paraId="018C44CC"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3.115</w:t>
            </w:r>
          </w:p>
        </w:tc>
      </w:tr>
      <w:tr w:rsidR="008E0678" w:rsidRPr="006F2ECF" w14:paraId="17C86D8A"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noWrap/>
            <w:hideMark/>
          </w:tcPr>
          <w:p w14:paraId="685D566E"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Age as of May 2021 (16 to 21 years)</w:t>
            </w:r>
          </w:p>
        </w:tc>
        <w:tc>
          <w:tcPr>
            <w:tcW w:w="538" w:type="pct"/>
            <w:noWrap/>
            <w:hideMark/>
          </w:tcPr>
          <w:p w14:paraId="5FC9A22F"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3" w:type="pct"/>
            <w:noWrap/>
            <w:hideMark/>
          </w:tcPr>
          <w:p w14:paraId="555FD850"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5" w:type="pct"/>
            <w:noWrap/>
            <w:hideMark/>
          </w:tcPr>
          <w:p w14:paraId="58FA5CD6"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r>
      <w:tr w:rsidR="00F57386" w:rsidRPr="006F2ECF" w14:paraId="1803DD51"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7F1EFAE8" w14:textId="6467B6CB"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22</w:t>
            </w:r>
            <w:r w:rsidR="00AD74F5">
              <w:rPr>
                <w:rFonts w:eastAsia="Times New Roman" w:cs="Arial"/>
                <w:color w:val="000000"/>
                <w:sz w:val="18"/>
                <w:szCs w:val="18"/>
                <w:lang w:eastAsia="en-AU"/>
              </w:rPr>
              <w:t>–</w:t>
            </w:r>
            <w:r w:rsidRPr="006F2ECF">
              <w:rPr>
                <w:rFonts w:eastAsia="Times New Roman" w:cs="Arial"/>
                <w:color w:val="000000"/>
                <w:sz w:val="18"/>
                <w:szCs w:val="18"/>
                <w:lang w:eastAsia="en-AU"/>
              </w:rPr>
              <w:t>25 years</w:t>
            </w:r>
          </w:p>
        </w:tc>
        <w:tc>
          <w:tcPr>
            <w:tcW w:w="538" w:type="pct"/>
            <w:hideMark/>
          </w:tcPr>
          <w:p w14:paraId="628C83D3"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0.016</w:t>
            </w:r>
          </w:p>
        </w:tc>
        <w:tc>
          <w:tcPr>
            <w:tcW w:w="1353" w:type="pct"/>
            <w:hideMark/>
          </w:tcPr>
          <w:p w14:paraId="43AA2512"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-0.128</w:t>
            </w:r>
          </w:p>
        </w:tc>
        <w:tc>
          <w:tcPr>
            <w:tcW w:w="1355" w:type="pct"/>
            <w:hideMark/>
          </w:tcPr>
          <w:p w14:paraId="715D0132"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0.16</w:t>
            </w:r>
          </w:p>
        </w:tc>
      </w:tr>
      <w:tr w:rsidR="00F57386" w:rsidRPr="006F2ECF" w14:paraId="46EEB5F7"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674E3388"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Gender (Female)</w:t>
            </w:r>
          </w:p>
        </w:tc>
        <w:tc>
          <w:tcPr>
            <w:tcW w:w="538" w:type="pct"/>
            <w:hideMark/>
          </w:tcPr>
          <w:p w14:paraId="3E1BD0B5"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3" w:type="pct"/>
            <w:hideMark/>
          </w:tcPr>
          <w:p w14:paraId="4C228399"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5" w:type="pct"/>
            <w:hideMark/>
          </w:tcPr>
          <w:p w14:paraId="631F683C"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r>
      <w:tr w:rsidR="00F57386" w:rsidRPr="006F2ECF" w14:paraId="70555506"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4EC79B59" w14:textId="79DC757D"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Male</w:t>
            </w:r>
          </w:p>
        </w:tc>
        <w:tc>
          <w:tcPr>
            <w:tcW w:w="538" w:type="pct"/>
            <w:hideMark/>
          </w:tcPr>
          <w:p w14:paraId="5A9F7E45"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0.244</w:t>
            </w:r>
            <w:r>
              <w:rPr>
                <w:rFonts w:eastAsia="Times New Roman" w:cs="Arial"/>
                <w:color w:val="000000"/>
                <w:sz w:val="18"/>
                <w:szCs w:val="18"/>
                <w:lang w:eastAsia="en-AU"/>
              </w:rPr>
              <w:t>*</w:t>
            </w:r>
          </w:p>
        </w:tc>
        <w:tc>
          <w:tcPr>
            <w:tcW w:w="1353" w:type="pct"/>
            <w:hideMark/>
          </w:tcPr>
          <w:p w14:paraId="33BC0E36"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0.159</w:t>
            </w:r>
          </w:p>
        </w:tc>
        <w:tc>
          <w:tcPr>
            <w:tcW w:w="1355" w:type="pct"/>
            <w:hideMark/>
          </w:tcPr>
          <w:p w14:paraId="5079EBBB"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0.33</w:t>
            </w:r>
            <w:r>
              <w:rPr>
                <w:rFonts w:eastAsia="Times New Roman" w:cs="Arial"/>
                <w:color w:val="000000"/>
                <w:sz w:val="18"/>
                <w:szCs w:val="18"/>
                <w:lang w:eastAsia="en-AU"/>
              </w:rPr>
              <w:t>0</w:t>
            </w:r>
          </w:p>
        </w:tc>
      </w:tr>
      <w:tr w:rsidR="00F57386" w:rsidRPr="006F2ECF" w14:paraId="68E469CC" w14:textId="77777777" w:rsidTr="004A08F9">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53" w:type="pct"/>
            <w:hideMark/>
          </w:tcPr>
          <w:p w14:paraId="14ABBD32" w14:textId="19944442"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 xml:space="preserve">Aboriginal </w:t>
            </w:r>
            <w:r w:rsidR="00AD74F5">
              <w:rPr>
                <w:rFonts w:eastAsia="Times New Roman" w:cs="Arial"/>
                <w:bCs/>
                <w:color w:val="000000"/>
                <w:sz w:val="18"/>
                <w:szCs w:val="18"/>
                <w:lang w:eastAsia="en-AU"/>
              </w:rPr>
              <w:t>and/or</w:t>
            </w:r>
            <w:r w:rsidRPr="006F2ECF">
              <w:rPr>
                <w:rFonts w:eastAsia="Times New Roman" w:cs="Arial"/>
                <w:bCs/>
                <w:color w:val="000000"/>
                <w:sz w:val="18"/>
                <w:szCs w:val="18"/>
                <w:lang w:eastAsia="en-AU"/>
              </w:rPr>
              <w:t xml:space="preserve"> Torres Strait Islander person </w:t>
            </w:r>
            <w:r>
              <w:rPr>
                <w:rFonts w:eastAsia="Times New Roman" w:cs="Arial"/>
                <w:bCs/>
                <w:color w:val="000000"/>
                <w:sz w:val="18"/>
                <w:szCs w:val="18"/>
                <w:lang w:eastAsia="en-AU"/>
              </w:rPr>
              <w:t>(</w:t>
            </w:r>
            <w:r w:rsidRPr="006F2ECF">
              <w:rPr>
                <w:rFonts w:eastAsia="Times New Roman" w:cs="Arial"/>
                <w:bCs/>
                <w:color w:val="000000"/>
                <w:sz w:val="18"/>
                <w:szCs w:val="18"/>
                <w:lang w:eastAsia="en-AU"/>
              </w:rPr>
              <w:t>No)</w:t>
            </w:r>
          </w:p>
        </w:tc>
        <w:tc>
          <w:tcPr>
            <w:tcW w:w="538" w:type="pct"/>
            <w:hideMark/>
          </w:tcPr>
          <w:p w14:paraId="1B85DDF0"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3" w:type="pct"/>
            <w:hideMark/>
          </w:tcPr>
          <w:p w14:paraId="79A0118E"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5" w:type="pct"/>
            <w:hideMark/>
          </w:tcPr>
          <w:p w14:paraId="0CCE7ED5"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r>
      <w:tr w:rsidR="00F57386" w:rsidRPr="006F2ECF" w14:paraId="05156794"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1DBBAEB3" w14:textId="680B5797"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Yes</w:t>
            </w:r>
          </w:p>
        </w:tc>
        <w:tc>
          <w:tcPr>
            <w:tcW w:w="538" w:type="pct"/>
            <w:hideMark/>
          </w:tcPr>
          <w:p w14:paraId="4429B89B"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0.152</w:t>
            </w:r>
            <w:r>
              <w:rPr>
                <w:rFonts w:eastAsia="Times New Roman" w:cs="Arial"/>
                <w:color w:val="000000"/>
                <w:sz w:val="18"/>
                <w:szCs w:val="18"/>
                <w:lang w:eastAsia="en-AU"/>
              </w:rPr>
              <w:t>*</w:t>
            </w:r>
          </w:p>
        </w:tc>
        <w:tc>
          <w:tcPr>
            <w:tcW w:w="1353" w:type="pct"/>
            <w:hideMark/>
          </w:tcPr>
          <w:p w14:paraId="0F9BF943"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0.054</w:t>
            </w:r>
          </w:p>
        </w:tc>
        <w:tc>
          <w:tcPr>
            <w:tcW w:w="1355" w:type="pct"/>
            <w:hideMark/>
          </w:tcPr>
          <w:p w14:paraId="6DB648D8"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0.251</w:t>
            </w:r>
          </w:p>
        </w:tc>
      </w:tr>
      <w:tr w:rsidR="00F57386" w:rsidRPr="006F2ECF" w14:paraId="38517C11"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21335BD4"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TtW group (Group 1)</w:t>
            </w:r>
          </w:p>
        </w:tc>
        <w:tc>
          <w:tcPr>
            <w:tcW w:w="538" w:type="pct"/>
            <w:hideMark/>
          </w:tcPr>
          <w:p w14:paraId="4A569D4C"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3" w:type="pct"/>
            <w:hideMark/>
          </w:tcPr>
          <w:p w14:paraId="77DD38CF"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5" w:type="pct"/>
            <w:hideMark/>
          </w:tcPr>
          <w:p w14:paraId="7CD952FC"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r>
      <w:tr w:rsidR="00F57386" w:rsidRPr="006F2ECF" w14:paraId="45D05934"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29116F05" w14:textId="162C1DDD"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Group 2</w:t>
            </w:r>
          </w:p>
        </w:tc>
        <w:tc>
          <w:tcPr>
            <w:tcW w:w="538" w:type="pct"/>
            <w:hideMark/>
          </w:tcPr>
          <w:p w14:paraId="1CDCDA4D"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-0.035</w:t>
            </w:r>
          </w:p>
        </w:tc>
        <w:tc>
          <w:tcPr>
            <w:tcW w:w="1353" w:type="pct"/>
            <w:hideMark/>
          </w:tcPr>
          <w:p w14:paraId="5FAF7A63"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-0.131</w:t>
            </w:r>
          </w:p>
        </w:tc>
        <w:tc>
          <w:tcPr>
            <w:tcW w:w="1355" w:type="pct"/>
            <w:hideMark/>
          </w:tcPr>
          <w:p w14:paraId="69F70D91"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0.062</w:t>
            </w:r>
          </w:p>
        </w:tc>
      </w:tr>
      <w:tr w:rsidR="00F57386" w:rsidRPr="006F2ECF" w14:paraId="4A296D9D"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64FAFE73" w14:textId="3582713E"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Group 3</w:t>
            </w:r>
          </w:p>
        </w:tc>
        <w:tc>
          <w:tcPr>
            <w:tcW w:w="538" w:type="pct"/>
            <w:hideMark/>
          </w:tcPr>
          <w:p w14:paraId="0C006476"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0.026</w:t>
            </w:r>
          </w:p>
        </w:tc>
        <w:tc>
          <w:tcPr>
            <w:tcW w:w="1353" w:type="pct"/>
            <w:hideMark/>
          </w:tcPr>
          <w:p w14:paraId="061ABED0"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-0.227</w:t>
            </w:r>
          </w:p>
        </w:tc>
        <w:tc>
          <w:tcPr>
            <w:tcW w:w="1355" w:type="pct"/>
            <w:hideMark/>
          </w:tcPr>
          <w:p w14:paraId="4B16F107"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0.278</w:t>
            </w:r>
          </w:p>
        </w:tc>
      </w:tr>
      <w:tr w:rsidR="00F57386" w:rsidRPr="006F2ECF" w14:paraId="7E547ECD"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325EF23C"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lastRenderedPageBreak/>
              <w:t>Education (Year 11 or less)</w:t>
            </w:r>
          </w:p>
        </w:tc>
        <w:tc>
          <w:tcPr>
            <w:tcW w:w="538" w:type="pct"/>
            <w:hideMark/>
          </w:tcPr>
          <w:p w14:paraId="7F7FA53C" w14:textId="77777777" w:rsidR="00F57386" w:rsidRPr="006F2ECF"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3" w:type="pct"/>
            <w:hideMark/>
          </w:tcPr>
          <w:p w14:paraId="5EF2ECE6" w14:textId="77777777" w:rsidR="00F57386" w:rsidRPr="006F2ECF"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5" w:type="pct"/>
            <w:hideMark/>
          </w:tcPr>
          <w:p w14:paraId="2877285F" w14:textId="77777777" w:rsidR="00F57386" w:rsidRPr="006F2ECF"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r>
      <w:tr w:rsidR="00F57386" w:rsidRPr="006F2ECF" w14:paraId="6448EEEA"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0A918AD1" w14:textId="683F15B6"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Year 12 or higher</w:t>
            </w:r>
          </w:p>
        </w:tc>
        <w:tc>
          <w:tcPr>
            <w:tcW w:w="538" w:type="pct"/>
            <w:hideMark/>
          </w:tcPr>
          <w:p w14:paraId="0C872FA6"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0.052</w:t>
            </w:r>
          </w:p>
        </w:tc>
        <w:tc>
          <w:tcPr>
            <w:tcW w:w="1353" w:type="pct"/>
            <w:hideMark/>
          </w:tcPr>
          <w:p w14:paraId="393B9DDD"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-0.046</w:t>
            </w:r>
          </w:p>
        </w:tc>
        <w:tc>
          <w:tcPr>
            <w:tcW w:w="1355" w:type="pct"/>
            <w:hideMark/>
          </w:tcPr>
          <w:p w14:paraId="3F2407B8"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0.15</w:t>
            </w:r>
          </w:p>
        </w:tc>
      </w:tr>
      <w:tr w:rsidR="00F57386" w:rsidRPr="006F2ECF" w14:paraId="7C0331F6"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5D027560"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Current JSCI score (26+)</w:t>
            </w:r>
          </w:p>
        </w:tc>
        <w:tc>
          <w:tcPr>
            <w:tcW w:w="538" w:type="pct"/>
            <w:hideMark/>
          </w:tcPr>
          <w:p w14:paraId="425DD312"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 </w:t>
            </w:r>
          </w:p>
        </w:tc>
        <w:tc>
          <w:tcPr>
            <w:tcW w:w="1353" w:type="pct"/>
            <w:hideMark/>
          </w:tcPr>
          <w:p w14:paraId="2477224C"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5" w:type="pct"/>
            <w:hideMark/>
          </w:tcPr>
          <w:p w14:paraId="096B7F66"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r>
      <w:tr w:rsidR="00F57386" w:rsidRPr="006F2ECF" w14:paraId="001C50E6"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21A09644" w14:textId="08C8563E"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0</w:t>
            </w:r>
            <w:r w:rsidR="00AD74F5">
              <w:rPr>
                <w:rFonts w:eastAsia="Times New Roman" w:cs="Arial"/>
                <w:color w:val="000000"/>
                <w:sz w:val="18"/>
                <w:szCs w:val="18"/>
                <w:lang w:eastAsia="en-AU"/>
              </w:rPr>
              <w:t>–</w:t>
            </w:r>
            <w:r w:rsidRPr="006F2ECF">
              <w:rPr>
                <w:rFonts w:eastAsia="Times New Roman" w:cs="Arial"/>
                <w:color w:val="000000"/>
                <w:sz w:val="18"/>
                <w:szCs w:val="18"/>
                <w:lang w:eastAsia="en-AU"/>
              </w:rPr>
              <w:t>25</w:t>
            </w:r>
          </w:p>
        </w:tc>
        <w:tc>
          <w:tcPr>
            <w:tcW w:w="538" w:type="pct"/>
            <w:hideMark/>
          </w:tcPr>
          <w:p w14:paraId="28B177C3"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0.16</w:t>
            </w:r>
            <w:r>
              <w:rPr>
                <w:rFonts w:eastAsia="Times New Roman" w:cs="Arial"/>
                <w:color w:val="000000"/>
                <w:sz w:val="18"/>
                <w:szCs w:val="18"/>
                <w:lang w:eastAsia="en-AU"/>
              </w:rPr>
              <w:t>0*</w:t>
            </w:r>
          </w:p>
        </w:tc>
        <w:tc>
          <w:tcPr>
            <w:tcW w:w="1353" w:type="pct"/>
            <w:hideMark/>
          </w:tcPr>
          <w:p w14:paraId="3B4C2B23"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0.063</w:t>
            </w:r>
          </w:p>
        </w:tc>
        <w:tc>
          <w:tcPr>
            <w:tcW w:w="1355" w:type="pct"/>
            <w:hideMark/>
          </w:tcPr>
          <w:p w14:paraId="741FB980"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0.256</w:t>
            </w:r>
          </w:p>
        </w:tc>
      </w:tr>
      <w:tr w:rsidR="00F57386" w:rsidRPr="006F2ECF" w14:paraId="01C04424" w14:textId="77777777" w:rsidTr="004A08F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53" w:type="pct"/>
            <w:hideMark/>
          </w:tcPr>
          <w:p w14:paraId="59584286" w14:textId="16EC83A1"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 xml:space="preserve">Remoteness area (Major </w:t>
            </w:r>
            <w:r w:rsidR="001159FE">
              <w:rPr>
                <w:rFonts w:eastAsia="Times New Roman" w:cs="Arial"/>
                <w:bCs/>
                <w:color w:val="000000"/>
                <w:sz w:val="18"/>
                <w:szCs w:val="18"/>
                <w:lang w:eastAsia="en-AU"/>
              </w:rPr>
              <w:t>C</w:t>
            </w:r>
            <w:r w:rsidRPr="006F2ECF">
              <w:rPr>
                <w:rFonts w:eastAsia="Times New Roman" w:cs="Arial"/>
                <w:bCs/>
                <w:color w:val="000000"/>
                <w:sz w:val="18"/>
                <w:szCs w:val="18"/>
                <w:lang w:eastAsia="en-AU"/>
              </w:rPr>
              <w:t xml:space="preserve">ity or </w:t>
            </w:r>
            <w:r w:rsidR="001159FE">
              <w:rPr>
                <w:rFonts w:eastAsia="Times New Roman" w:cs="Arial"/>
                <w:bCs/>
                <w:color w:val="000000"/>
                <w:sz w:val="18"/>
                <w:szCs w:val="18"/>
                <w:lang w:eastAsia="en-AU"/>
              </w:rPr>
              <w:t>I</w:t>
            </w:r>
            <w:r w:rsidRPr="006F2ECF">
              <w:rPr>
                <w:rFonts w:eastAsia="Times New Roman" w:cs="Arial"/>
                <w:bCs/>
                <w:color w:val="000000"/>
                <w:sz w:val="18"/>
                <w:szCs w:val="18"/>
                <w:lang w:eastAsia="en-AU"/>
              </w:rPr>
              <w:t xml:space="preserve">nner </w:t>
            </w:r>
            <w:r w:rsidR="001159FE">
              <w:rPr>
                <w:rFonts w:eastAsia="Times New Roman" w:cs="Arial"/>
                <w:bCs/>
                <w:color w:val="000000"/>
                <w:sz w:val="18"/>
                <w:szCs w:val="18"/>
                <w:lang w:eastAsia="en-AU"/>
              </w:rPr>
              <w:t>R</w:t>
            </w:r>
            <w:r w:rsidRPr="006F2ECF">
              <w:rPr>
                <w:rFonts w:eastAsia="Times New Roman" w:cs="Arial"/>
                <w:bCs/>
                <w:color w:val="000000"/>
                <w:sz w:val="18"/>
                <w:szCs w:val="18"/>
                <w:lang w:eastAsia="en-AU"/>
              </w:rPr>
              <w:t>egional)</w:t>
            </w:r>
          </w:p>
        </w:tc>
        <w:tc>
          <w:tcPr>
            <w:tcW w:w="538" w:type="pct"/>
            <w:hideMark/>
          </w:tcPr>
          <w:p w14:paraId="29FCE6A6" w14:textId="77777777" w:rsidR="00F57386" w:rsidRPr="006F2ECF"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3" w:type="pct"/>
            <w:hideMark/>
          </w:tcPr>
          <w:p w14:paraId="6629399B" w14:textId="77777777" w:rsidR="00F57386" w:rsidRPr="006F2ECF"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5" w:type="pct"/>
            <w:hideMark/>
          </w:tcPr>
          <w:p w14:paraId="5693DE34" w14:textId="77777777" w:rsidR="00F57386" w:rsidRPr="006F2ECF" w:rsidRDefault="00F57386" w:rsidP="004E675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r>
      <w:tr w:rsidR="00F57386" w:rsidRPr="006F2ECF" w14:paraId="54A674CB" w14:textId="77777777" w:rsidTr="004A08F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4802C4FC" w14:textId="4942AC69"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 xml:space="preserve">Regional or </w:t>
            </w:r>
            <w:r w:rsidR="00AD74F5">
              <w:rPr>
                <w:rFonts w:eastAsia="Times New Roman" w:cs="Arial"/>
                <w:color w:val="000000"/>
                <w:sz w:val="18"/>
                <w:szCs w:val="18"/>
                <w:lang w:eastAsia="en-AU"/>
              </w:rPr>
              <w:t>R</w:t>
            </w:r>
            <w:r w:rsidRPr="006F2ECF">
              <w:rPr>
                <w:rFonts w:eastAsia="Times New Roman" w:cs="Arial"/>
                <w:color w:val="000000"/>
                <w:sz w:val="18"/>
                <w:szCs w:val="18"/>
                <w:lang w:eastAsia="en-AU"/>
              </w:rPr>
              <w:t xml:space="preserve">emote </w:t>
            </w:r>
          </w:p>
        </w:tc>
        <w:tc>
          <w:tcPr>
            <w:tcW w:w="538" w:type="pct"/>
            <w:hideMark/>
          </w:tcPr>
          <w:p w14:paraId="2D4BE253"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-0.035</w:t>
            </w:r>
          </w:p>
        </w:tc>
        <w:tc>
          <w:tcPr>
            <w:tcW w:w="1353" w:type="pct"/>
            <w:hideMark/>
          </w:tcPr>
          <w:p w14:paraId="53364E69"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-0.146</w:t>
            </w:r>
          </w:p>
        </w:tc>
        <w:tc>
          <w:tcPr>
            <w:tcW w:w="1355" w:type="pct"/>
            <w:hideMark/>
          </w:tcPr>
          <w:p w14:paraId="656AFE30"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0.076</w:t>
            </w:r>
          </w:p>
        </w:tc>
      </w:tr>
      <w:tr w:rsidR="00F57386" w:rsidRPr="006F2ECF" w14:paraId="319F3964"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10DB652B"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Number of service months (continuous)</w:t>
            </w:r>
          </w:p>
        </w:tc>
        <w:tc>
          <w:tcPr>
            <w:tcW w:w="538" w:type="pct"/>
            <w:hideMark/>
          </w:tcPr>
          <w:p w14:paraId="4BC4D8CB"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0.003</w:t>
            </w:r>
          </w:p>
        </w:tc>
        <w:tc>
          <w:tcPr>
            <w:tcW w:w="1353" w:type="pct"/>
            <w:hideMark/>
          </w:tcPr>
          <w:p w14:paraId="59BDCA19"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-0.076</w:t>
            </w:r>
          </w:p>
        </w:tc>
        <w:tc>
          <w:tcPr>
            <w:tcW w:w="1355" w:type="pct"/>
            <w:hideMark/>
          </w:tcPr>
          <w:p w14:paraId="60FEFF91"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0.083</w:t>
            </w:r>
          </w:p>
        </w:tc>
      </w:tr>
    </w:tbl>
    <w:p w14:paraId="44697164" w14:textId="4435EBA9" w:rsidR="00F57386" w:rsidRDefault="00F57386" w:rsidP="00F57386">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1C2FEEC9" w14:textId="48246621" w:rsidR="00F57386" w:rsidRDefault="00F57386" w:rsidP="00F57386">
      <w:pPr>
        <w:pStyle w:val="Caption"/>
      </w:pPr>
      <w:bookmarkStart w:id="4207" w:name="_Toc132647840"/>
      <w:bookmarkStart w:id="4208" w:name="_Toc145877354"/>
      <w:r>
        <w:t xml:space="preserve">Table </w:t>
      </w:r>
      <w:r>
        <w:fldChar w:fldCharType="begin"/>
      </w:r>
      <w:r>
        <w:instrText>SEQ Table \* ARABIC</w:instrText>
      </w:r>
      <w:r>
        <w:fldChar w:fldCharType="separate"/>
      </w:r>
      <w:r w:rsidR="00180E14">
        <w:rPr>
          <w:noProof/>
        </w:rPr>
        <w:t>65</w:t>
      </w:r>
      <w:r>
        <w:fldChar w:fldCharType="end"/>
      </w:r>
      <w:r>
        <w:t>: Regression results for TtW program elements and resilience (brief resilience scale)</w:t>
      </w:r>
      <w:bookmarkEnd w:id="4207"/>
      <w:bookmarkEnd w:id="4208"/>
    </w:p>
    <w:tbl>
      <w:tblPr>
        <w:tblStyle w:val="TtWReportTableTemplate2"/>
        <w:tblW w:w="4927" w:type="pct"/>
        <w:tblLook w:val="04A0" w:firstRow="1" w:lastRow="0" w:firstColumn="1" w:lastColumn="0" w:noHBand="0" w:noVBand="1"/>
      </w:tblPr>
      <w:tblGrid>
        <w:gridCol w:w="3119"/>
        <w:gridCol w:w="958"/>
        <w:gridCol w:w="2407"/>
        <w:gridCol w:w="2410"/>
      </w:tblGrid>
      <w:tr w:rsidR="00F57386" w:rsidRPr="006F2ECF" w14:paraId="48AC3A2F" w14:textId="77777777" w:rsidTr="00C24C7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53" w:type="pct"/>
            <w:shd w:val="clear" w:color="auto" w:fill="5D7A38"/>
            <w:hideMark/>
          </w:tcPr>
          <w:p w14:paraId="75E8463F" w14:textId="77777777" w:rsidR="00F57386" w:rsidRPr="006F2ECF" w:rsidRDefault="00F57386" w:rsidP="004E6757">
            <w:pPr>
              <w:spacing w:before="120"/>
              <w:rPr>
                <w:rFonts w:eastAsia="Times New Roman" w:cs="Arial"/>
                <w:b w:val="0"/>
                <w:bCs/>
                <w:color w:val="FFFFFF"/>
                <w:sz w:val="18"/>
                <w:szCs w:val="18"/>
                <w:lang w:eastAsia="en-AU"/>
              </w:rPr>
            </w:pPr>
            <w:r w:rsidRPr="0038479F">
              <w:rPr>
                <w:rFonts w:eastAsia="Times New Roman" w:cs="Arial"/>
                <w:bCs/>
                <w:color w:val="FFFFFF"/>
                <w:sz w:val="18"/>
                <w:szCs w:val="18"/>
                <w:lang w:eastAsia="en-AU"/>
              </w:rPr>
              <w:t>Co-variate</w:t>
            </w:r>
            <w:r w:rsidRPr="0038479F">
              <w:rPr>
                <w:rFonts w:eastAsia="Times New Roman" w:cs="Calibri"/>
                <w:color w:val="000000"/>
                <w:sz w:val="18"/>
                <w:szCs w:val="18"/>
                <w:lang w:eastAsia="en-AU"/>
              </w:rPr>
              <w:t> </w:t>
            </w:r>
          </w:p>
        </w:tc>
        <w:tc>
          <w:tcPr>
            <w:tcW w:w="538" w:type="pct"/>
            <w:shd w:val="clear" w:color="auto" w:fill="5D7A38"/>
            <w:hideMark/>
          </w:tcPr>
          <w:p w14:paraId="6ADBC5B0" w14:textId="77777777" w:rsidR="00F57386" w:rsidRPr="006F2ECF" w:rsidRDefault="00F57386" w:rsidP="004E6757">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38479F">
              <w:rPr>
                <w:rFonts w:eastAsia="Times New Roman" w:cs="Arial"/>
                <w:bCs/>
                <w:color w:val="FFFFFF"/>
                <w:sz w:val="18"/>
                <w:szCs w:val="18"/>
                <w:lang w:eastAsia="en-AU"/>
              </w:rPr>
              <w:t>Coef</w:t>
            </w:r>
            <w:r w:rsidRPr="00E90043">
              <w:rPr>
                <w:rFonts w:eastAsia="Times New Roman" w:cs="Arial"/>
                <w:bCs/>
                <w:color w:val="FFFFFF"/>
                <w:sz w:val="18"/>
                <w:szCs w:val="18"/>
                <w:vertAlign w:val="superscript"/>
                <w:lang w:eastAsia="en-AU"/>
              </w:rPr>
              <w:t>1</w:t>
            </w:r>
          </w:p>
        </w:tc>
        <w:tc>
          <w:tcPr>
            <w:tcW w:w="1353" w:type="pct"/>
            <w:shd w:val="clear" w:color="auto" w:fill="5D7A38"/>
            <w:hideMark/>
          </w:tcPr>
          <w:p w14:paraId="0C3BD2DF" w14:textId="77777777" w:rsidR="00F57386" w:rsidRPr="006F2ECF" w:rsidRDefault="00F57386" w:rsidP="00C239FD">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rFonts w:eastAsia="Times New Roman" w:cs="Arial"/>
                <w:bCs/>
                <w:color w:val="FFFFFF"/>
                <w:sz w:val="18"/>
                <w:szCs w:val="18"/>
                <w:lang w:eastAsia="en-AU"/>
              </w:rPr>
              <w:t>Lower 95% confidence limit</w:t>
            </w:r>
          </w:p>
        </w:tc>
        <w:tc>
          <w:tcPr>
            <w:tcW w:w="1355" w:type="pct"/>
            <w:shd w:val="clear" w:color="auto" w:fill="5D7A38"/>
            <w:hideMark/>
          </w:tcPr>
          <w:p w14:paraId="6E157812" w14:textId="77777777" w:rsidR="00F57386" w:rsidRPr="006F2ECF" w:rsidRDefault="00F57386" w:rsidP="00C239FD">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sz w:val="18"/>
                <w:szCs w:val="18"/>
                <w:lang w:eastAsia="en-AU"/>
              </w:rPr>
            </w:pPr>
            <w:r w:rsidRPr="00C239FD">
              <w:rPr>
                <w:rFonts w:eastAsia="Times New Roman" w:cs="Arial"/>
                <w:bCs/>
                <w:color w:val="FFFFFF"/>
                <w:sz w:val="18"/>
                <w:szCs w:val="18"/>
                <w:lang w:eastAsia="en-AU"/>
              </w:rPr>
              <w:t>Upper 95% confidence limit</w:t>
            </w:r>
          </w:p>
        </w:tc>
      </w:tr>
      <w:tr w:rsidR="00F57386" w:rsidRPr="006F2ECF" w14:paraId="43DE9B51" w14:textId="77777777" w:rsidTr="004A08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1240E96E"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(Intercept)</w:t>
            </w:r>
          </w:p>
        </w:tc>
        <w:tc>
          <w:tcPr>
            <w:tcW w:w="538" w:type="pct"/>
            <w:hideMark/>
          </w:tcPr>
          <w:p w14:paraId="5F47D7F5"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2.964</w:t>
            </w:r>
            <w:r>
              <w:rPr>
                <w:rFonts w:eastAsia="Times New Roman" w:cs="Arial"/>
                <w:b/>
                <w:bCs/>
                <w:color w:val="000000"/>
                <w:sz w:val="18"/>
                <w:szCs w:val="18"/>
                <w:lang w:eastAsia="en-AU"/>
              </w:rPr>
              <w:t>*</w:t>
            </w:r>
          </w:p>
        </w:tc>
        <w:tc>
          <w:tcPr>
            <w:tcW w:w="1353" w:type="pct"/>
            <w:hideMark/>
          </w:tcPr>
          <w:p w14:paraId="6234B847"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2.843</w:t>
            </w:r>
          </w:p>
        </w:tc>
        <w:tc>
          <w:tcPr>
            <w:tcW w:w="1355" w:type="pct"/>
            <w:hideMark/>
          </w:tcPr>
          <w:p w14:paraId="1B8E79AD"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3.086</w:t>
            </w:r>
          </w:p>
        </w:tc>
      </w:tr>
      <w:tr w:rsidR="008E0678" w:rsidRPr="006F2ECF" w14:paraId="59740F5C"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noWrap/>
            <w:hideMark/>
          </w:tcPr>
          <w:p w14:paraId="4DF9587A"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Satisfaction with caseworker (other)</w:t>
            </w:r>
          </w:p>
        </w:tc>
        <w:tc>
          <w:tcPr>
            <w:tcW w:w="538" w:type="pct"/>
            <w:noWrap/>
            <w:hideMark/>
          </w:tcPr>
          <w:p w14:paraId="71C4294B"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3" w:type="pct"/>
            <w:noWrap/>
            <w:hideMark/>
          </w:tcPr>
          <w:p w14:paraId="0D710E72"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c>
          <w:tcPr>
            <w:tcW w:w="1355" w:type="pct"/>
            <w:noWrap/>
            <w:hideMark/>
          </w:tcPr>
          <w:p w14:paraId="4543E9FB"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 </w:t>
            </w:r>
          </w:p>
        </w:tc>
      </w:tr>
      <w:tr w:rsidR="00F57386" w:rsidRPr="006F2ECF" w14:paraId="39002385"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547E19B5" w14:textId="639E85B7"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 xml:space="preserve">Satisfied / very satisfied </w:t>
            </w:r>
          </w:p>
        </w:tc>
        <w:tc>
          <w:tcPr>
            <w:tcW w:w="538" w:type="pct"/>
            <w:hideMark/>
          </w:tcPr>
          <w:p w14:paraId="04AD1411"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0.162</w:t>
            </w:r>
            <w:r>
              <w:rPr>
                <w:rFonts w:eastAsia="Times New Roman" w:cs="Arial"/>
                <w:color w:val="000000"/>
                <w:sz w:val="18"/>
                <w:szCs w:val="18"/>
                <w:lang w:eastAsia="en-AU"/>
              </w:rPr>
              <w:t>*</w:t>
            </w:r>
          </w:p>
        </w:tc>
        <w:tc>
          <w:tcPr>
            <w:tcW w:w="1353" w:type="pct"/>
            <w:hideMark/>
          </w:tcPr>
          <w:p w14:paraId="7EE78572"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0.036</w:t>
            </w:r>
          </w:p>
        </w:tc>
        <w:tc>
          <w:tcPr>
            <w:tcW w:w="1355" w:type="pct"/>
            <w:hideMark/>
          </w:tcPr>
          <w:p w14:paraId="12F76C3D"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0.288</w:t>
            </w:r>
          </w:p>
        </w:tc>
      </w:tr>
      <w:tr w:rsidR="00F57386" w:rsidRPr="006F2ECF" w14:paraId="61533F12" w14:textId="77777777" w:rsidTr="004A08F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53" w:type="pct"/>
            <w:hideMark/>
          </w:tcPr>
          <w:p w14:paraId="555F8A78"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Attitude when joined (other)</w:t>
            </w:r>
          </w:p>
        </w:tc>
        <w:tc>
          <w:tcPr>
            <w:tcW w:w="538" w:type="pct"/>
            <w:hideMark/>
          </w:tcPr>
          <w:p w14:paraId="4D4FFFAD"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3" w:type="pct"/>
            <w:hideMark/>
          </w:tcPr>
          <w:p w14:paraId="111060C6"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5" w:type="pct"/>
            <w:hideMark/>
          </w:tcPr>
          <w:p w14:paraId="3C5D4600"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r>
      <w:tr w:rsidR="00F57386" w:rsidRPr="006F2ECF" w14:paraId="749CC6FE" w14:textId="77777777" w:rsidTr="004A08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3" w:type="pct"/>
            <w:hideMark/>
          </w:tcPr>
          <w:p w14:paraId="51A783E8" w14:textId="537C96B8"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 xml:space="preserve">Positive / very positive </w:t>
            </w:r>
          </w:p>
        </w:tc>
        <w:tc>
          <w:tcPr>
            <w:tcW w:w="538" w:type="pct"/>
            <w:hideMark/>
          </w:tcPr>
          <w:p w14:paraId="227C4A7A"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0.203</w:t>
            </w:r>
            <w:r>
              <w:rPr>
                <w:rFonts w:eastAsia="Times New Roman" w:cs="Arial"/>
                <w:color w:val="000000"/>
                <w:sz w:val="18"/>
                <w:szCs w:val="18"/>
                <w:lang w:eastAsia="en-AU"/>
              </w:rPr>
              <w:t>*</w:t>
            </w:r>
          </w:p>
        </w:tc>
        <w:tc>
          <w:tcPr>
            <w:tcW w:w="1353" w:type="pct"/>
            <w:hideMark/>
          </w:tcPr>
          <w:p w14:paraId="1541F314"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0.114</w:t>
            </w:r>
          </w:p>
        </w:tc>
        <w:tc>
          <w:tcPr>
            <w:tcW w:w="1355" w:type="pct"/>
            <w:hideMark/>
          </w:tcPr>
          <w:p w14:paraId="1E17080E"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0.293</w:t>
            </w:r>
          </w:p>
        </w:tc>
      </w:tr>
      <w:tr w:rsidR="00F57386" w:rsidRPr="006F2ECF" w14:paraId="432D294D" w14:textId="77777777" w:rsidTr="004A08F9">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53" w:type="pct"/>
            <w:hideMark/>
          </w:tcPr>
          <w:p w14:paraId="3D8AEA2C"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Frequency of contact with caseworker (Less than weekly)</w:t>
            </w:r>
          </w:p>
        </w:tc>
        <w:tc>
          <w:tcPr>
            <w:tcW w:w="538" w:type="pct"/>
            <w:hideMark/>
          </w:tcPr>
          <w:p w14:paraId="1546630B"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3" w:type="pct"/>
            <w:hideMark/>
          </w:tcPr>
          <w:p w14:paraId="4852544B"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c>
          <w:tcPr>
            <w:tcW w:w="1355" w:type="pct"/>
            <w:hideMark/>
          </w:tcPr>
          <w:p w14:paraId="19789D09" w14:textId="77777777" w:rsidR="00F57386" w:rsidRPr="006F2ECF" w:rsidRDefault="00F57386" w:rsidP="004E6757">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18"/>
                <w:szCs w:val="18"/>
                <w:lang w:eastAsia="en-AU"/>
              </w:rPr>
            </w:pPr>
            <w:r w:rsidRPr="006F2ECF">
              <w:rPr>
                <w:rFonts w:ascii="Calibri" w:eastAsia="Times New Roman" w:hAnsi="Calibri" w:cs="Calibri"/>
                <w:color w:val="000000"/>
                <w:sz w:val="18"/>
                <w:szCs w:val="18"/>
                <w:lang w:eastAsia="en-AU"/>
              </w:rPr>
              <w:t> </w:t>
            </w:r>
          </w:p>
        </w:tc>
      </w:tr>
      <w:tr w:rsidR="00F57386" w:rsidRPr="006F2ECF" w14:paraId="41259169" w14:textId="77777777" w:rsidTr="004A08F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753" w:type="pct"/>
            <w:hideMark/>
          </w:tcPr>
          <w:p w14:paraId="3696504E" w14:textId="6DAEF77E" w:rsidR="00F57386" w:rsidRPr="006F2ECF" w:rsidRDefault="00F57386" w:rsidP="004E6757">
            <w:pPr>
              <w:rPr>
                <w:rFonts w:eastAsia="Times New Roman" w:cs="Arial"/>
                <w:color w:val="000000"/>
                <w:sz w:val="18"/>
                <w:szCs w:val="18"/>
                <w:lang w:eastAsia="en-AU"/>
              </w:rPr>
            </w:pPr>
            <w:r w:rsidRPr="006F2ECF">
              <w:rPr>
                <w:rFonts w:eastAsia="Times New Roman" w:cs="Arial"/>
                <w:color w:val="000000"/>
                <w:sz w:val="18"/>
                <w:szCs w:val="18"/>
                <w:lang w:eastAsia="en-AU"/>
              </w:rPr>
              <w:t xml:space="preserve">At least weekly </w:t>
            </w:r>
          </w:p>
        </w:tc>
        <w:tc>
          <w:tcPr>
            <w:tcW w:w="538" w:type="pct"/>
            <w:hideMark/>
          </w:tcPr>
          <w:p w14:paraId="3F93984D"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0.012</w:t>
            </w:r>
            <w:r>
              <w:rPr>
                <w:rFonts w:eastAsia="Times New Roman" w:cs="Arial"/>
                <w:color w:val="000000"/>
                <w:sz w:val="18"/>
                <w:szCs w:val="18"/>
                <w:lang w:eastAsia="en-AU"/>
              </w:rPr>
              <w:t>*</w:t>
            </w:r>
          </w:p>
        </w:tc>
        <w:tc>
          <w:tcPr>
            <w:tcW w:w="1353" w:type="pct"/>
            <w:hideMark/>
          </w:tcPr>
          <w:p w14:paraId="1C46A541"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-0.066</w:t>
            </w:r>
          </w:p>
        </w:tc>
        <w:tc>
          <w:tcPr>
            <w:tcW w:w="1355" w:type="pct"/>
            <w:hideMark/>
          </w:tcPr>
          <w:p w14:paraId="5D3E7BF0"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F2ECF">
              <w:rPr>
                <w:rFonts w:eastAsia="Times New Roman" w:cs="Arial"/>
                <w:color w:val="000000"/>
                <w:sz w:val="18"/>
                <w:szCs w:val="18"/>
                <w:lang w:eastAsia="en-AU"/>
              </w:rPr>
              <w:t>0.089</w:t>
            </w:r>
          </w:p>
        </w:tc>
      </w:tr>
      <w:tr w:rsidR="00F57386" w:rsidRPr="006F2ECF" w14:paraId="1F8741C8" w14:textId="77777777" w:rsidTr="004A08F9">
        <w:trPr>
          <w:cnfStyle w:val="000000010000" w:firstRow="0" w:lastRow="0" w:firstColumn="0" w:lastColumn="0" w:oddVBand="0" w:evenVBand="0" w:oddHBand="0" w:evenHBand="1"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753" w:type="pct"/>
            <w:hideMark/>
          </w:tcPr>
          <w:p w14:paraId="59484036"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Number of vocational supports (continuous)</w:t>
            </w:r>
          </w:p>
        </w:tc>
        <w:tc>
          <w:tcPr>
            <w:tcW w:w="538" w:type="pct"/>
            <w:hideMark/>
          </w:tcPr>
          <w:p w14:paraId="43D43401"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0.023</w:t>
            </w:r>
            <w:r>
              <w:rPr>
                <w:rFonts w:eastAsia="Times New Roman" w:cs="Arial"/>
                <w:b/>
                <w:bCs/>
                <w:color w:val="000000"/>
                <w:sz w:val="18"/>
                <w:szCs w:val="18"/>
                <w:lang w:eastAsia="en-AU"/>
              </w:rPr>
              <w:t>*</w:t>
            </w:r>
          </w:p>
        </w:tc>
        <w:tc>
          <w:tcPr>
            <w:tcW w:w="1353" w:type="pct"/>
            <w:hideMark/>
          </w:tcPr>
          <w:p w14:paraId="3EDBE2C7"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-0.007</w:t>
            </w:r>
          </w:p>
        </w:tc>
        <w:tc>
          <w:tcPr>
            <w:tcW w:w="1355" w:type="pct"/>
            <w:hideMark/>
          </w:tcPr>
          <w:p w14:paraId="1497D306" w14:textId="77777777" w:rsidR="00F57386" w:rsidRPr="006F2ECF" w:rsidRDefault="00F57386" w:rsidP="004E6757">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0.052</w:t>
            </w:r>
          </w:p>
        </w:tc>
      </w:tr>
      <w:tr w:rsidR="00F57386" w:rsidRPr="006F2ECF" w14:paraId="393EFC14" w14:textId="77777777" w:rsidTr="004A08F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53" w:type="pct"/>
            <w:hideMark/>
          </w:tcPr>
          <w:p w14:paraId="22F35CC4" w14:textId="77777777" w:rsidR="00F57386" w:rsidRPr="006F2ECF" w:rsidRDefault="00F57386" w:rsidP="004E6757">
            <w:pPr>
              <w:rPr>
                <w:rFonts w:eastAsia="Times New Roman" w:cs="Arial"/>
                <w:b w:val="0"/>
                <w:bCs/>
                <w:color w:val="000000"/>
                <w:sz w:val="18"/>
                <w:szCs w:val="18"/>
                <w:lang w:eastAsia="en-AU"/>
              </w:rPr>
            </w:pPr>
            <w:r w:rsidRPr="006F2ECF">
              <w:rPr>
                <w:rFonts w:eastAsia="Times New Roman" w:cs="Arial"/>
                <w:bCs/>
                <w:color w:val="000000"/>
                <w:sz w:val="18"/>
                <w:szCs w:val="18"/>
                <w:lang w:eastAsia="en-AU"/>
              </w:rPr>
              <w:t>Number of non-vocational supports (continuous)</w:t>
            </w:r>
          </w:p>
        </w:tc>
        <w:tc>
          <w:tcPr>
            <w:tcW w:w="538" w:type="pct"/>
            <w:hideMark/>
          </w:tcPr>
          <w:p w14:paraId="6D3A8D23"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-0.02</w:t>
            </w:r>
            <w:r>
              <w:rPr>
                <w:rFonts w:eastAsia="Times New Roman" w:cs="Arial"/>
                <w:b/>
                <w:bCs/>
                <w:color w:val="000000"/>
                <w:sz w:val="18"/>
                <w:szCs w:val="18"/>
                <w:lang w:eastAsia="en-AU"/>
              </w:rPr>
              <w:t>0*</w:t>
            </w:r>
          </w:p>
        </w:tc>
        <w:tc>
          <w:tcPr>
            <w:tcW w:w="1353" w:type="pct"/>
            <w:hideMark/>
          </w:tcPr>
          <w:p w14:paraId="7A4571EB"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-0.037</w:t>
            </w:r>
          </w:p>
        </w:tc>
        <w:tc>
          <w:tcPr>
            <w:tcW w:w="1355" w:type="pct"/>
            <w:hideMark/>
          </w:tcPr>
          <w:p w14:paraId="55304E77" w14:textId="77777777" w:rsidR="00F57386" w:rsidRPr="006F2ECF" w:rsidRDefault="00F57386" w:rsidP="004E6757">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6F2ECF">
              <w:rPr>
                <w:rFonts w:eastAsia="Times New Roman" w:cs="Arial"/>
                <w:b/>
                <w:bCs/>
                <w:color w:val="000000"/>
                <w:sz w:val="18"/>
                <w:szCs w:val="18"/>
                <w:lang w:eastAsia="en-AU"/>
              </w:rPr>
              <w:t>-0.003</w:t>
            </w:r>
          </w:p>
        </w:tc>
      </w:tr>
    </w:tbl>
    <w:p w14:paraId="405964BB" w14:textId="4407BEA8" w:rsidR="00F57386" w:rsidRPr="009251AF" w:rsidRDefault="00F57386" w:rsidP="00F57386">
      <w:pPr>
        <w:rPr>
          <w:sz w:val="16"/>
        </w:rPr>
      </w:pPr>
      <w:r w:rsidRPr="00CE7617">
        <w:rPr>
          <w:sz w:val="16"/>
        </w:rPr>
        <w:t>1. *</w:t>
      </w:r>
      <w:r w:rsidR="004657A9">
        <w:rPr>
          <w:sz w:val="16"/>
        </w:rPr>
        <w:t>V</w:t>
      </w:r>
      <w:r w:rsidRPr="00CE7617">
        <w:rPr>
          <w:sz w:val="16"/>
        </w:rPr>
        <w:t xml:space="preserve">ariable has statistically significant coefficient: </w:t>
      </w:r>
      <w:r w:rsidRPr="00C239FD">
        <w:rPr>
          <w:i/>
          <w:iCs/>
          <w:sz w:val="16"/>
        </w:rPr>
        <w:t>p</w:t>
      </w:r>
      <w:r w:rsidRPr="00CE7617">
        <w:rPr>
          <w:sz w:val="16"/>
        </w:rPr>
        <w:t xml:space="preserve"> &lt; 0.05</w:t>
      </w:r>
    </w:p>
    <w:p w14:paraId="5F7F989D" w14:textId="53D316E7" w:rsidR="00501268" w:rsidRDefault="00501268">
      <w:pPr>
        <w:spacing w:after="160" w:line="259" w:lineRule="auto"/>
      </w:pPr>
      <w:r>
        <w:br w:type="page"/>
      </w:r>
    </w:p>
    <w:p w14:paraId="7CFCD48A" w14:textId="1FD3BA60" w:rsidR="00BE0845" w:rsidRPr="00BE0845" w:rsidRDefault="00BE0845" w:rsidP="00F975E8">
      <w:pPr>
        <w:pStyle w:val="Heading1a"/>
      </w:pPr>
      <w:bookmarkStart w:id="4209" w:name="_Toc132209687"/>
      <w:bookmarkStart w:id="4210" w:name="_Toc132209852"/>
      <w:bookmarkStart w:id="4211" w:name="_Toc132210017"/>
      <w:bookmarkStart w:id="4212" w:name="_Toc132647774"/>
      <w:bookmarkStart w:id="4213" w:name="_Toc106711939"/>
      <w:bookmarkStart w:id="4214" w:name="_Toc132650569"/>
      <w:bookmarkStart w:id="4215" w:name="_Toc146033598"/>
      <w:bookmarkEnd w:id="4209"/>
      <w:bookmarkEnd w:id="4210"/>
      <w:bookmarkEnd w:id="4211"/>
      <w:bookmarkEnd w:id="4212"/>
      <w:r w:rsidRPr="00BE0845">
        <w:lastRenderedPageBreak/>
        <w:t>Impact of COVID</w:t>
      </w:r>
      <w:bookmarkEnd w:id="4213"/>
      <w:bookmarkEnd w:id="4214"/>
      <w:r w:rsidR="0095346C">
        <w:t>-19</w:t>
      </w:r>
      <w:bookmarkEnd w:id="4215"/>
    </w:p>
    <w:p w14:paraId="0A72BDA7" w14:textId="2DF98567" w:rsidR="00BE0845" w:rsidRDefault="00BE0845" w:rsidP="009251AF">
      <w:pPr>
        <w:pStyle w:val="Body"/>
      </w:pPr>
      <w:bookmarkStart w:id="4216" w:name="_Hlk106711377"/>
      <w:r>
        <w:t xml:space="preserve">This </w:t>
      </w:r>
      <w:r w:rsidR="00273DBA">
        <w:t>appendix</w:t>
      </w:r>
      <w:r>
        <w:t xml:space="preserve"> outlines the general impacts of COVID-19 on participants and the impacts that COVID-19 had on the delivery of the TtW program as reported during this research</w:t>
      </w:r>
      <w:bookmarkEnd w:id="4216"/>
      <w:r w:rsidR="00843BEB">
        <w:t>.</w:t>
      </w:r>
      <w:r>
        <w:rPr>
          <w:rStyle w:val="FootnoteReference"/>
        </w:rPr>
        <w:footnoteReference w:id="136"/>
      </w:r>
      <w:r>
        <w:t xml:space="preserve"> </w:t>
      </w:r>
      <w:r w:rsidR="009C1324">
        <w:t>Data for this analysis was collected through interviews with TtW participants</w:t>
      </w:r>
      <w:r w:rsidR="005068C1">
        <w:t>, TtW</w:t>
      </w:r>
      <w:r w:rsidR="009C1324">
        <w:t xml:space="preserve"> providers</w:t>
      </w:r>
      <w:r w:rsidR="005068C1">
        <w:t xml:space="preserve"> and peak bodies undertaken in 2021, the 2021 </w:t>
      </w:r>
      <w:r w:rsidR="00AD74F5">
        <w:t>p</w:t>
      </w:r>
      <w:r w:rsidR="005068C1">
        <w:t xml:space="preserve">rovider </w:t>
      </w:r>
      <w:r w:rsidR="00AD74F5">
        <w:t>s</w:t>
      </w:r>
      <w:r w:rsidR="005068C1">
        <w:t>urvey and the 2021 participant survey.</w:t>
      </w:r>
    </w:p>
    <w:p w14:paraId="6EE26B88" w14:textId="26F74BF5" w:rsidR="00BE0845" w:rsidRDefault="00BE0845" w:rsidP="009251AF">
      <w:pPr>
        <w:pStyle w:val="Heading2a"/>
      </w:pPr>
      <w:bookmarkStart w:id="4217" w:name="_Toc75945717"/>
      <w:bookmarkStart w:id="4218" w:name="_Toc106711940"/>
      <w:bookmarkStart w:id="4219" w:name="_Toc132650570"/>
      <w:bookmarkStart w:id="4220" w:name="_Toc146033599"/>
      <w:r>
        <w:t>General COVID-19 impacts</w:t>
      </w:r>
      <w:bookmarkEnd w:id="4217"/>
      <w:bookmarkEnd w:id="4218"/>
      <w:bookmarkEnd w:id="4219"/>
      <w:bookmarkEnd w:id="4220"/>
    </w:p>
    <w:p w14:paraId="7F4445A0" w14:textId="03369ACD" w:rsidR="00BE0845" w:rsidRDefault="00BE0845" w:rsidP="00C239FD">
      <w:r>
        <w:t xml:space="preserve">Overall, COVID-19 had a significant impact on employment opportunities for young people. </w:t>
      </w:r>
      <w:r w:rsidR="008B20D7">
        <w:t>In interviews, representatives from p</w:t>
      </w:r>
      <w:r>
        <w:t>eak bodies identified young people as most vulnerable in terms of job loss during the COVID-19 pandemic.</w:t>
      </w:r>
    </w:p>
    <w:p w14:paraId="793009D3" w14:textId="5EA8EA79" w:rsidR="00BE0845" w:rsidRPr="00B86341" w:rsidRDefault="00BE0845" w:rsidP="00BE0845">
      <w:pPr>
        <w:pStyle w:val="Quote"/>
      </w:pPr>
      <w:r>
        <w:t>I guess with COVID, when there are shocks to the economy, they are proven to be the most vulnerable in terms of being the first people laid off. It</w:t>
      </w:r>
      <w:r w:rsidR="00F8391B">
        <w:t>’</w:t>
      </w:r>
      <w:r>
        <w:t>s very difficult to get a foothold in life when you don</w:t>
      </w:r>
      <w:r w:rsidR="00F8391B">
        <w:t>’</w:t>
      </w:r>
      <w:r>
        <w:t>t have certainty. (Peak body 1)</w:t>
      </w:r>
    </w:p>
    <w:p w14:paraId="6F190FF5" w14:textId="6B20B57A" w:rsidR="00BE0845" w:rsidRPr="00D33E72" w:rsidRDefault="00641FAF" w:rsidP="00C239FD">
      <w:r>
        <w:t>Participants</w:t>
      </w:r>
      <w:r w:rsidR="00BE0845">
        <w:t xml:space="preserve"> </w:t>
      </w:r>
      <w:r w:rsidR="008B20D7">
        <w:t xml:space="preserve">noted in interviews that </w:t>
      </w:r>
      <w:r>
        <w:t xml:space="preserve">while they </w:t>
      </w:r>
      <w:r w:rsidR="00BE0845">
        <w:t>were seeking greater independence through employment</w:t>
      </w:r>
      <w:r>
        <w:t>,</w:t>
      </w:r>
      <w:r w:rsidR="00BE0845">
        <w:t xml:space="preserve"> a lack of opportunities meant that they were often having to depend on their families or Centrelink </w:t>
      </w:r>
      <w:r>
        <w:t xml:space="preserve">for </w:t>
      </w:r>
      <w:r w:rsidR="00BE0845">
        <w:t>support. A few participants reported that they lost their jobs or did not get many shifts at work. Many participants, who were unemployed at the time, reported there being few jobs available in the labour market.</w:t>
      </w:r>
    </w:p>
    <w:p w14:paraId="2F8619F3" w14:textId="587F9A8E" w:rsidR="00BE0845" w:rsidRPr="008F60E6" w:rsidRDefault="00BE0845" w:rsidP="00C239FD">
      <w:r>
        <w:t xml:space="preserve">Another impact of COVID-19 on participants was on their education and training. Many participants reported that they did not get the most out of their courses due to </w:t>
      </w:r>
      <w:r w:rsidRPr="000F5A37">
        <w:t>distan</w:t>
      </w:r>
      <w:r w:rsidR="000F5A37">
        <w:t>ce</w:t>
      </w:r>
      <w:r w:rsidRPr="000F5A37">
        <w:t xml:space="preserve"> learning</w:t>
      </w:r>
      <w:r>
        <w:t xml:space="preserve">. A few participants said they had to defer or drop out of their courses during this time. </w:t>
      </w:r>
    </w:p>
    <w:p w14:paraId="469E4124" w14:textId="6D6BBC25" w:rsidR="00BE0845" w:rsidRPr="00DD2783" w:rsidRDefault="00D21E33" w:rsidP="00C239FD">
      <w:r>
        <w:t>Decreased mental health</w:t>
      </w:r>
      <w:r w:rsidR="00200FCE">
        <w:t xml:space="preserve"> due to changes in the</w:t>
      </w:r>
      <w:r w:rsidR="00BE0845">
        <w:t xml:space="preserve"> COVID-19 period </w:t>
      </w:r>
      <w:r w:rsidR="00200FCE">
        <w:t xml:space="preserve">also </w:t>
      </w:r>
      <w:r w:rsidR="00BE0845">
        <w:t xml:space="preserve">had significant impacts on study and work motivation for several participants. </w:t>
      </w:r>
    </w:p>
    <w:p w14:paraId="4035CEF4" w14:textId="3D3B47BC" w:rsidR="00BE0845" w:rsidRPr="002426DD" w:rsidRDefault="000E08EE" w:rsidP="00C239FD">
      <w:r>
        <w:t xml:space="preserve">A </w:t>
      </w:r>
      <w:r w:rsidR="00BE0845">
        <w:t xml:space="preserve">few participants </w:t>
      </w:r>
      <w:r w:rsidR="00200FCE">
        <w:t>noted in interviews that</w:t>
      </w:r>
      <w:r w:rsidRPr="000E08EE">
        <w:t xml:space="preserve"> </w:t>
      </w:r>
      <w:r>
        <w:t>due to COVID-19 restrictions</w:t>
      </w:r>
      <w:r w:rsidR="00200FCE">
        <w:t xml:space="preserve"> they </w:t>
      </w:r>
      <w:r w:rsidR="00BE0845">
        <w:t>were unable to gain the required hours of driving to get their driv</w:t>
      </w:r>
      <w:r>
        <w:t>er’s</w:t>
      </w:r>
      <w:r w:rsidR="00BE0845">
        <w:t xml:space="preserve"> licen</w:t>
      </w:r>
      <w:r>
        <w:t>c</w:t>
      </w:r>
      <w:r w:rsidR="00BE0845">
        <w:t>e, which had a negative impact on their ability to find employment and gain independence.</w:t>
      </w:r>
    </w:p>
    <w:p w14:paraId="6B514E6A" w14:textId="263BB976" w:rsidR="00BE0845" w:rsidRPr="00C61366" w:rsidRDefault="00BE0845" w:rsidP="00C239FD">
      <w:r>
        <w:t>COVID-19 also had significant non-vocational impacts. A few participants reported having to move back in with their family, or delay leaving home. They also reported feeling a strain on their relationships with their famil</w:t>
      </w:r>
      <w:r w:rsidR="000E08EE">
        <w:t>y</w:t>
      </w:r>
      <w:r>
        <w:t xml:space="preserve">, especially when they were feeling the pressure from family for not being able to find a job during the COVID-19 pandemic. The strain in their relationships was also amplified after being stuck in lockdown for too long. </w:t>
      </w:r>
    </w:p>
    <w:p w14:paraId="293A284D" w14:textId="77777777" w:rsidR="00BE0845" w:rsidRPr="006E5CE3" w:rsidRDefault="00BE0845" w:rsidP="00C239FD">
      <w:r>
        <w:t xml:space="preserve">A few participants reported feeling socially isolated, especially those who were unable to visit their families due to COVID-19 restrictions and border closures. Some participants were suffering from mental health issues or having mental health issues exacerbated due to the social isolation of being in lockdown. </w:t>
      </w:r>
    </w:p>
    <w:p w14:paraId="3728EC1D" w14:textId="5F07CC48" w:rsidR="00BE0845" w:rsidRDefault="00BE0845" w:rsidP="009251AF">
      <w:pPr>
        <w:pStyle w:val="Heading2a"/>
      </w:pPr>
      <w:bookmarkStart w:id="4221" w:name="_Toc75945718"/>
      <w:bookmarkStart w:id="4222" w:name="_Toc106711941"/>
      <w:bookmarkStart w:id="4223" w:name="_Toc132650571"/>
      <w:bookmarkStart w:id="4224" w:name="_Toc146033600"/>
      <w:r>
        <w:lastRenderedPageBreak/>
        <w:t>Impact on TtW support</w:t>
      </w:r>
      <w:bookmarkEnd w:id="4221"/>
      <w:bookmarkEnd w:id="4222"/>
      <w:bookmarkEnd w:id="4223"/>
      <w:bookmarkEnd w:id="4224"/>
    </w:p>
    <w:p w14:paraId="37F6DBB8" w14:textId="20BFF17E" w:rsidR="00BE0845" w:rsidRPr="00C24756" w:rsidRDefault="008C3FF1" w:rsidP="00C239FD">
      <w:r>
        <w:t>Participants noted in interviews that d</w:t>
      </w:r>
      <w:r w:rsidR="00BE0845">
        <w:t xml:space="preserve">uring the </w:t>
      </w:r>
      <w:r w:rsidR="00BE0845" w:rsidRPr="00C24756">
        <w:t>COVID-19 restrictions, participants</w:t>
      </w:r>
      <w:r w:rsidR="00F8391B">
        <w:t>’</w:t>
      </w:r>
      <w:r w:rsidR="00BE0845" w:rsidRPr="00C24756">
        <w:t xml:space="preserve"> appointments shifted from face-to-face engagement to telephone contact. The lack of face-to-face contact with caseworkers meant that there was less rapport with their caseworkers for some participants. However, there was a general acceptance</w:t>
      </w:r>
      <w:r w:rsidR="000E08EE">
        <w:t xml:space="preserve"> of</w:t>
      </w:r>
      <w:r w:rsidR="00BE0845" w:rsidRPr="00C24756">
        <w:t>, or even preference for</w:t>
      </w:r>
      <w:r w:rsidR="000E08EE">
        <w:t>,</w:t>
      </w:r>
      <w:r w:rsidR="00BE0845" w:rsidRPr="00C24756">
        <w:t xml:space="preserve"> telephone contact, particularly where transport was a barrier to accessing the service </w:t>
      </w:r>
      <w:r w:rsidR="00BE0845" w:rsidRPr="000F5A37">
        <w:t>face</w:t>
      </w:r>
      <w:r w:rsidR="000F5A37">
        <w:t xml:space="preserve"> </w:t>
      </w:r>
      <w:r w:rsidR="00BE0845" w:rsidRPr="000F5A37">
        <w:t>to</w:t>
      </w:r>
      <w:r w:rsidR="000F5A37">
        <w:t xml:space="preserve"> </w:t>
      </w:r>
      <w:r w:rsidR="00BE0845" w:rsidRPr="000F5A37">
        <w:t>face</w:t>
      </w:r>
      <w:r w:rsidR="00BE0845" w:rsidRPr="00C24756">
        <w:t>.</w:t>
      </w:r>
    </w:p>
    <w:p w14:paraId="0BD5977A" w14:textId="56879F35" w:rsidR="00BE0845" w:rsidRPr="00C24756" w:rsidRDefault="00BE0845" w:rsidP="00C239FD">
      <w:r w:rsidRPr="00C24756">
        <w:t>Some participants reported that with the lack of face-to-face appointments, the frequency of contact with their caseworkers decreased during COVID-19. Being limited to phone contact restricted the types of activities that providers could offer participants. There were no longer opportunities for group activities, mock interviews, and résumé workshops to help build participant engagement and morale. Some participants reported not receiving the full range of support that they had hoped for.</w:t>
      </w:r>
    </w:p>
    <w:p w14:paraId="1C20E0FD" w14:textId="4D258F45" w:rsidR="00BE0845" w:rsidRDefault="00BE0845" w:rsidP="00C239FD">
      <w:r w:rsidRPr="00C24756">
        <w:t>A few participants reported that they did not receive any help or support from their caseworkers during the COVID-19 pandemic. This suggests that some providers struggled to manage the transition to COVID-19 restrictions, with little communication or support to participants. Some of these participants explained that there was not much more that their provider could have done for them during COVID-19. However</w:t>
      </w:r>
      <w:r w:rsidR="000E08EE">
        <w:t>,</w:t>
      </w:r>
      <w:r w:rsidRPr="00C24756">
        <w:t xml:space="preserve"> others reported feeling let down by lack of support, and in a few cases this exacerbated an already strained relationship with their caseworker</w:t>
      </w:r>
      <w:r>
        <w:t>.</w:t>
      </w:r>
    </w:p>
    <w:p w14:paraId="7F5A61FA" w14:textId="2BF39536" w:rsidR="00D74F0F" w:rsidRDefault="00D74F0F" w:rsidP="000E08EE">
      <w:r w:rsidRPr="004A440A">
        <w:t>It is worth noting in the context of this supplementary evaluation that COVID-19</w:t>
      </w:r>
      <w:r w:rsidR="00F04FF0">
        <w:t xml:space="preserve"> also</w:t>
      </w:r>
      <w:r w:rsidRPr="004A440A">
        <w:t xml:space="preserve"> impacted the delivery of TtW. Providers in the qualitative interviews reported a substantial increase in their caseload from mid-2020, as more young people were referred to the program. There were also operational changes as TtW providers shifted consultations to phone/video calls, and most providers interviewed said that they stopped conducting group sessions due to lockdown restrictions.</w:t>
      </w:r>
    </w:p>
    <w:p w14:paraId="34641032" w14:textId="09939D84" w:rsidR="00BE0845" w:rsidRDefault="00AD74F5" w:rsidP="009251AF">
      <w:pPr>
        <w:pStyle w:val="Heading2a"/>
      </w:pPr>
      <w:bookmarkStart w:id="4225" w:name="_Toc88815157"/>
      <w:bookmarkStart w:id="4226" w:name="_Toc106711942"/>
      <w:bookmarkStart w:id="4227" w:name="_Toc132650572"/>
      <w:bookmarkStart w:id="4228" w:name="_Toc146033601"/>
      <w:r>
        <w:t>I</w:t>
      </w:r>
      <w:r w:rsidR="00BE0845">
        <w:t>mpact on participants</w:t>
      </w:r>
      <w:r w:rsidR="00AC74AE">
        <w:t>’</w:t>
      </w:r>
      <w:r w:rsidR="00BE0845">
        <w:t xml:space="preserve"> human capabilities</w:t>
      </w:r>
      <w:bookmarkEnd w:id="4225"/>
      <w:bookmarkEnd w:id="4226"/>
      <w:bookmarkEnd w:id="4227"/>
      <w:bookmarkEnd w:id="4228"/>
    </w:p>
    <w:p w14:paraId="7DCE102C" w14:textId="7EA02DC9" w:rsidR="00BE0845" w:rsidRDefault="00BE0845" w:rsidP="00C239FD">
      <w:r>
        <w:t xml:space="preserve">The </w:t>
      </w:r>
      <w:r w:rsidR="00A86EEA">
        <w:t>p</w:t>
      </w:r>
      <w:r w:rsidR="00D7492D">
        <w:t xml:space="preserve">articipant </w:t>
      </w:r>
      <w:r w:rsidR="00A86EEA">
        <w:t>s</w:t>
      </w:r>
      <w:r>
        <w:t>urvey took place during July and August 2021. COVID-19 restrictions were common during large portions of 2020 and were reintroduced in parts of Australia while the survey was being conducted. Participants were asked about the impact COVID-19 ha</w:t>
      </w:r>
      <w:r w:rsidR="000E08EE">
        <w:t>d</w:t>
      </w:r>
      <w:r>
        <w:t xml:space="preserve"> had on various human capabilities.</w:t>
      </w:r>
    </w:p>
    <w:p w14:paraId="654F6929" w14:textId="62096F01" w:rsidR="00BE0845" w:rsidRDefault="00BE0845" w:rsidP="00C239FD">
      <w:r>
        <w:t xml:space="preserve">The proportion who said the impact had been negative or very negative in each area is displayed in </w:t>
      </w:r>
      <w:r w:rsidRPr="004A440A">
        <w:rPr>
          <w:b/>
          <w:bCs/>
        </w:rPr>
        <w:t xml:space="preserve">Figure </w:t>
      </w:r>
      <w:r w:rsidR="006C12A3" w:rsidRPr="006C12A3">
        <w:rPr>
          <w:b/>
          <w:bCs/>
        </w:rPr>
        <w:t>5</w:t>
      </w:r>
      <w:r w:rsidR="00B80C93">
        <w:rPr>
          <w:b/>
          <w:bCs/>
        </w:rPr>
        <w:t>3</w:t>
      </w:r>
      <w:r w:rsidRPr="006C12A3">
        <w:t>. The</w:t>
      </w:r>
      <w:r>
        <w:t xml:space="preserve"> areas with the greatest negative impact </w:t>
      </w:r>
      <w:r w:rsidR="000E08EE">
        <w:t xml:space="preserve">were </w:t>
      </w:r>
      <w:r>
        <w:t xml:space="preserve">mental health (TtW 46%, jobactive 57%), followed by finances/income (TtW 46%, jobactive 54%) and feeling connected with others (TtW 43%, jobactive 51%). One in </w:t>
      </w:r>
      <w:r w:rsidR="00F8391B">
        <w:t>3</w:t>
      </w:r>
      <w:r>
        <w:t xml:space="preserve"> (30%) TtW participants said COVID-19 had a negative impact on their ability to access TtW services.</w:t>
      </w:r>
    </w:p>
    <w:p w14:paraId="467C2B24" w14:textId="5EBFED68" w:rsidR="00BE0845" w:rsidRDefault="00BE0845" w:rsidP="00C239FD">
      <w:r w:rsidRPr="00CD6543">
        <w:t xml:space="preserve">On average, TtW participants reported </w:t>
      </w:r>
      <w:r>
        <w:t xml:space="preserve">that </w:t>
      </w:r>
      <w:r w:rsidRPr="00CD6543">
        <w:t xml:space="preserve">fewer areas of their life had been negatively impacted by </w:t>
      </w:r>
      <w:r w:rsidRPr="000E08EE">
        <w:t>COVID</w:t>
      </w:r>
      <w:r w:rsidRPr="00CD6543">
        <w:t xml:space="preserve">-19 </w:t>
      </w:r>
      <w:r>
        <w:t>compared with</w:t>
      </w:r>
      <w:r w:rsidRPr="00CD6543">
        <w:t xml:space="preserve"> jobactive participants (average 3.6 areas for TtW participants </w:t>
      </w:r>
      <w:r w:rsidR="00B55045">
        <w:t>versus</w:t>
      </w:r>
      <w:r w:rsidRPr="00CD6543">
        <w:t xml:space="preserve"> </w:t>
      </w:r>
      <w:r w:rsidR="000E08EE">
        <w:t xml:space="preserve">average </w:t>
      </w:r>
      <w:r w:rsidRPr="00CD6543">
        <w:t xml:space="preserve">4.5 areas for jobactive participants). </w:t>
      </w:r>
      <w:r>
        <w:t xml:space="preserve">TtW subgroups more likely to be negatively impacted by COVID-19 </w:t>
      </w:r>
      <w:r w:rsidR="000E08EE">
        <w:t>were</w:t>
      </w:r>
      <w:r>
        <w:t>:</w:t>
      </w:r>
    </w:p>
    <w:p w14:paraId="248FD72D" w14:textId="7CD8E2D2" w:rsidR="00BE0845" w:rsidRDefault="003A0923" w:rsidP="006A7F40">
      <w:pPr>
        <w:pStyle w:val="ListBullet"/>
      </w:pPr>
      <w:r>
        <w:lastRenderedPageBreak/>
        <w:t>women</w:t>
      </w:r>
      <w:r w:rsidR="000E08EE">
        <w:t xml:space="preserve"> –</w:t>
      </w:r>
      <w:r w:rsidR="00BE0845">
        <w:t xml:space="preserve"> more likely than </w:t>
      </w:r>
      <w:r>
        <w:t>men</w:t>
      </w:r>
      <w:r w:rsidR="00BE0845">
        <w:t xml:space="preserve"> to report a negative impact on mental health (53% </w:t>
      </w:r>
      <w:r w:rsidR="00B55045">
        <w:t>versus</w:t>
      </w:r>
      <w:r w:rsidR="00BE0845">
        <w:t xml:space="preserve"> 40%), physical health (41% </w:t>
      </w:r>
      <w:r w:rsidR="00B55045">
        <w:t>versus</w:t>
      </w:r>
      <w:r w:rsidR="00BE0845">
        <w:t xml:space="preserve"> 34%) and </w:t>
      </w:r>
      <w:r w:rsidR="00F8391B">
        <w:t>‘</w:t>
      </w:r>
      <w:r w:rsidR="00BE0845">
        <w:t>motivation to work towards your goals</w:t>
      </w:r>
      <w:r w:rsidR="00F8391B">
        <w:t>’</w:t>
      </w:r>
      <w:r w:rsidR="00BE0845">
        <w:t xml:space="preserve"> (42% </w:t>
      </w:r>
      <w:r w:rsidR="00B55045">
        <w:t>versus</w:t>
      </w:r>
      <w:r w:rsidR="00BE0845">
        <w:t xml:space="preserve"> 33%)</w:t>
      </w:r>
    </w:p>
    <w:p w14:paraId="3D3E9DAF" w14:textId="05AA95F5" w:rsidR="00BE0845" w:rsidRDefault="00D621B9" w:rsidP="006A7F40">
      <w:pPr>
        <w:pStyle w:val="ListBullet"/>
      </w:pPr>
      <w:bookmarkStart w:id="4229" w:name="_Hlk85718239"/>
      <w:r>
        <w:t>t</w:t>
      </w:r>
      <w:r w:rsidR="00BE0845">
        <w:t xml:space="preserve">hose with a higher JSCI score </w:t>
      </w:r>
      <w:r w:rsidR="000E08EE">
        <w:t xml:space="preserve">– </w:t>
      </w:r>
      <w:r w:rsidR="00BE0845">
        <w:t xml:space="preserve">more likely than those with a lower JSCI score to report a negative impact on </w:t>
      </w:r>
      <w:r w:rsidR="00F8391B">
        <w:t>‘</w:t>
      </w:r>
      <w:r w:rsidR="00BE0845">
        <w:t>ability to deal with difficulties in life</w:t>
      </w:r>
      <w:r w:rsidR="00F8391B">
        <w:t>’</w:t>
      </w:r>
      <w:r w:rsidR="00BE0845">
        <w:t xml:space="preserve"> (39% </w:t>
      </w:r>
      <w:r w:rsidR="00B55045">
        <w:t>versus</w:t>
      </w:r>
      <w:r w:rsidR="00BE0845">
        <w:t xml:space="preserve"> 29%), </w:t>
      </w:r>
      <w:r w:rsidR="00F8391B">
        <w:t>‘</w:t>
      </w:r>
      <w:r w:rsidR="00BE0845">
        <w:t>ability to access TtW services</w:t>
      </w:r>
      <w:r w:rsidR="00F8391B">
        <w:t>’</w:t>
      </w:r>
      <w:r w:rsidR="00BE0845">
        <w:t xml:space="preserve"> (35% </w:t>
      </w:r>
      <w:r w:rsidR="00B55045">
        <w:t>versus</w:t>
      </w:r>
      <w:r w:rsidR="00BE0845">
        <w:t xml:space="preserve"> 27%) and </w:t>
      </w:r>
      <w:r w:rsidR="00F8391B">
        <w:t>‘</w:t>
      </w:r>
      <w:r w:rsidR="00BE0845">
        <w:t>outlook on life</w:t>
      </w:r>
      <w:r w:rsidR="00F8391B">
        <w:t>’</w:t>
      </w:r>
      <w:r w:rsidR="00BE0845">
        <w:t xml:space="preserve"> (39% </w:t>
      </w:r>
      <w:r w:rsidR="00B55045">
        <w:t>versus</w:t>
      </w:r>
      <w:r w:rsidR="00BE0845">
        <w:t xml:space="preserve"> 29%).</w:t>
      </w:r>
    </w:p>
    <w:bookmarkEnd w:id="4229"/>
    <w:p w14:paraId="26340F3A" w14:textId="01DF8D22" w:rsidR="00BE0845" w:rsidRDefault="00D7492D" w:rsidP="00BE0845">
      <w:pPr>
        <w:pStyle w:val="Body"/>
      </w:pPr>
      <w:r>
        <w:t>Despite</w:t>
      </w:r>
      <w:r w:rsidR="00BE0845">
        <w:t xml:space="preserve"> the negative impact on a variety of human capabilities, COVID-19 was not seen </w:t>
      </w:r>
      <w:r>
        <w:t xml:space="preserve">by participants </w:t>
      </w:r>
      <w:r w:rsidR="00BE0845">
        <w:t>as a barrier to work or study</w:t>
      </w:r>
      <w:r w:rsidR="000E08EE">
        <w:t>,</w:t>
      </w:r>
      <w:r w:rsidR="00BE0845">
        <w:t xml:space="preserve"> with only </w:t>
      </w:r>
      <w:r w:rsidR="000E08EE">
        <w:t>1%</w:t>
      </w:r>
      <w:r w:rsidR="00BE0845">
        <w:t xml:space="preserve"> of TtW participants reporting that COVID-19 made it difficult for them to work or study.</w:t>
      </w:r>
    </w:p>
    <w:p w14:paraId="3638F6F1" w14:textId="3D23E2AA" w:rsidR="00BE0845" w:rsidRDefault="00BE0845" w:rsidP="00BE0845">
      <w:pPr>
        <w:pStyle w:val="Caption"/>
        <w:keepNext/>
      </w:pPr>
      <w:bookmarkStart w:id="4230" w:name="_Toc88815188"/>
      <w:bookmarkStart w:id="4231" w:name="_Toc132647894"/>
      <w:bookmarkStart w:id="4232" w:name="_Toc145883363"/>
      <w:bookmarkStart w:id="4233" w:name="_Hlk124856422"/>
      <w:r>
        <w:t xml:space="preserve">Figure </w:t>
      </w:r>
      <w:r w:rsidR="00BE71D4">
        <w:fldChar w:fldCharType="begin"/>
      </w:r>
      <w:r w:rsidR="00BE71D4">
        <w:instrText xml:space="preserve"> SEQ Figure \* ARABIC </w:instrText>
      </w:r>
      <w:r w:rsidR="00BE71D4">
        <w:fldChar w:fldCharType="separate"/>
      </w:r>
      <w:r w:rsidR="00180E14">
        <w:rPr>
          <w:noProof/>
        </w:rPr>
        <w:t>53</w:t>
      </w:r>
      <w:r w:rsidR="00BE71D4">
        <w:rPr>
          <w:noProof/>
        </w:rPr>
        <w:fldChar w:fldCharType="end"/>
      </w:r>
      <w:r>
        <w:t>: Participant views on impacts of COVID-19 (% negative / very negative)</w:t>
      </w:r>
      <w:bookmarkEnd w:id="4230"/>
      <w:bookmarkEnd w:id="4231"/>
      <w:bookmarkEnd w:id="4232"/>
    </w:p>
    <w:p w14:paraId="42665158" w14:textId="21A3C1BB" w:rsidR="00BE0845" w:rsidRDefault="008E1868" w:rsidP="00BE0845">
      <w:pPr>
        <w:pStyle w:val="FigureNote"/>
      </w:pPr>
      <w:r>
        <w:rPr>
          <w:noProof/>
        </w:rPr>
        <w:drawing>
          <wp:inline distT="0" distB="0" distL="0" distR="0" wp14:anchorId="5D9B0B39" wp14:editId="2EFB8339">
            <wp:extent cx="5761355" cy="5968365"/>
            <wp:effectExtent l="0" t="0" r="0" b="0"/>
            <wp:docPr id="114" name="Picture 114" descr="Graph presenting participant views the impact that Covid-19 had had on various factors, as discussed in the paragraph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Graph presenting participant views the impact that Covid-19 had had on various factors, as discussed in the paragraphs abov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61355" cy="5968365"/>
                    </a:xfrm>
                    <a:prstGeom prst="rect">
                      <a:avLst/>
                    </a:prstGeom>
                    <a:noFill/>
                  </pic:spPr>
                </pic:pic>
              </a:graphicData>
            </a:graphic>
          </wp:inline>
        </w:drawing>
      </w:r>
    </w:p>
    <w:p w14:paraId="149D2106" w14:textId="77777777" w:rsidR="00A646E1" w:rsidRDefault="00A646E1" w:rsidP="00BE0845">
      <w:pPr>
        <w:pStyle w:val="SourceandNotes"/>
      </w:pPr>
      <w:r>
        <w:lastRenderedPageBreak/>
        <w:t>Source: Participant survey 2021</w:t>
      </w:r>
    </w:p>
    <w:p w14:paraId="6A4B75FB" w14:textId="495EA1F8" w:rsidR="00BE0845" w:rsidRDefault="00BE0845" w:rsidP="00BE0845">
      <w:pPr>
        <w:pStyle w:val="SourceandNotes"/>
      </w:pPr>
      <w:r>
        <w:t>QCV2. In your opinion, what impact has COVID-19 had on your…?</w:t>
      </w:r>
    </w:p>
    <w:p w14:paraId="6BFA164B" w14:textId="7F89E768" w:rsidR="00BE0845" w:rsidRDefault="00BE0845" w:rsidP="00BE0845">
      <w:pPr>
        <w:pStyle w:val="SourceandNotes"/>
      </w:pPr>
      <w:r>
        <w:t>Base: All respondents</w:t>
      </w:r>
      <w:r w:rsidR="00F8391B">
        <w:t xml:space="preserve"> – </w:t>
      </w:r>
      <w:r>
        <w:t>TtW participants (n=1,502), jobactive participants (n=580)</w:t>
      </w:r>
    </w:p>
    <w:p w14:paraId="74361B9A" w14:textId="7EEB90A2" w:rsidR="00BE0845" w:rsidRDefault="00BE0845" w:rsidP="00BE0845">
      <w:pPr>
        <w:pStyle w:val="SourceandNotes"/>
      </w:pPr>
      <w:r w:rsidRPr="003E199D">
        <w:rPr>
          <w:color w:val="FF0000"/>
        </w:rPr>
        <w:t>*</w:t>
      </w:r>
      <w:r>
        <w:t xml:space="preserve">Indicates result is significantly different </w:t>
      </w:r>
      <w:r w:rsidR="000E08EE">
        <w:t>for</w:t>
      </w:r>
      <w:r>
        <w:t xml:space="preserve"> TtW participants (</w:t>
      </w:r>
      <w:r w:rsidRPr="00C239FD">
        <w:rPr>
          <w:i/>
          <w:iCs/>
        </w:rPr>
        <w:t>p</w:t>
      </w:r>
      <w:r>
        <w:t>&lt;0.05)</w:t>
      </w:r>
    </w:p>
    <w:p w14:paraId="5ACDD390" w14:textId="45CF5A36" w:rsidR="006A7F40" w:rsidRDefault="00BE0845" w:rsidP="00BE0845">
      <w:pPr>
        <w:pStyle w:val="SourceandNotes"/>
      </w:pPr>
      <w:r>
        <w:t>% Very negative / negative shown</w:t>
      </w:r>
      <w:bookmarkEnd w:id="4233"/>
    </w:p>
    <w:p w14:paraId="3EC4B417" w14:textId="77777777" w:rsidR="006A7F40" w:rsidRDefault="006A7F40">
      <w:pPr>
        <w:spacing w:after="160" w:line="259" w:lineRule="auto"/>
        <w:rPr>
          <w:rFonts w:ascii="Calibri" w:eastAsia="Times New Roman" w:hAnsi="Calibri" w:cs="Calibri"/>
          <w:color w:val="000000"/>
          <w:sz w:val="16"/>
          <w:szCs w:val="20"/>
          <w:lang w:eastAsia="en-AU"/>
        </w:rPr>
      </w:pPr>
      <w:r>
        <w:br w:type="page"/>
      </w:r>
    </w:p>
    <w:p w14:paraId="023330F7" w14:textId="5D3C9822" w:rsidR="00BE0845" w:rsidRDefault="00EE102E" w:rsidP="00EE102E">
      <w:pPr>
        <w:pStyle w:val="Heading1a"/>
      </w:pPr>
      <w:bookmarkStart w:id="4234" w:name="_Toc146033602"/>
      <w:r>
        <w:lastRenderedPageBreak/>
        <w:t xml:space="preserve">Data from 2021 </w:t>
      </w:r>
      <w:r w:rsidR="0095346C">
        <w:t>p</w:t>
      </w:r>
      <w:r>
        <w:t xml:space="preserve">rovider and </w:t>
      </w:r>
      <w:r w:rsidR="0095346C">
        <w:t>p</w:t>
      </w:r>
      <w:r>
        <w:t xml:space="preserve">articipant </w:t>
      </w:r>
      <w:r w:rsidR="0095346C">
        <w:t>s</w:t>
      </w:r>
      <w:r>
        <w:t>urveys</w:t>
      </w:r>
      <w:bookmarkEnd w:id="4234"/>
    </w:p>
    <w:p w14:paraId="09807E9E" w14:textId="25837874" w:rsidR="004809EB" w:rsidRDefault="004809EB" w:rsidP="004809EB">
      <w:pPr>
        <w:pStyle w:val="Heading2a"/>
      </w:pPr>
      <w:bookmarkStart w:id="4235" w:name="_Toc146033603"/>
      <w:r>
        <w:t xml:space="preserve">2021 </w:t>
      </w:r>
      <w:r w:rsidR="00AD74F5">
        <w:t>p</w:t>
      </w:r>
      <w:r>
        <w:t xml:space="preserve">articipant </w:t>
      </w:r>
      <w:r w:rsidR="00AD74F5">
        <w:t>s</w:t>
      </w:r>
      <w:r>
        <w:t xml:space="preserve">urvey </w:t>
      </w:r>
      <w:r w:rsidR="0095346C">
        <w:t>r</w:t>
      </w:r>
      <w:r>
        <w:t>esults</w:t>
      </w:r>
      <w:bookmarkEnd w:id="4235"/>
    </w:p>
    <w:p w14:paraId="2186284D" w14:textId="2EB8459D" w:rsidR="004809EB" w:rsidRDefault="004809EB" w:rsidP="004809EB">
      <w:pPr>
        <w:pStyle w:val="Caption"/>
      </w:pPr>
      <w:bookmarkStart w:id="4236" w:name="_Toc145883364"/>
      <w:r>
        <w:t xml:space="preserve">Figure </w:t>
      </w:r>
      <w:r w:rsidR="00BE71D4">
        <w:fldChar w:fldCharType="begin"/>
      </w:r>
      <w:r w:rsidR="00BE71D4">
        <w:instrText xml:space="preserve"> SEQ Figure \* ARABIC </w:instrText>
      </w:r>
      <w:r w:rsidR="00BE71D4">
        <w:fldChar w:fldCharType="separate"/>
      </w:r>
      <w:r w:rsidR="00180E14">
        <w:rPr>
          <w:noProof/>
        </w:rPr>
        <w:t>54</w:t>
      </w:r>
      <w:r w:rsidR="00BE71D4">
        <w:rPr>
          <w:noProof/>
        </w:rPr>
        <w:fldChar w:fldCharType="end"/>
      </w:r>
      <w:r w:rsidR="0064195A">
        <w:t xml:space="preserve">: </w:t>
      </w:r>
      <w:r>
        <w:t>Caseworker impacts on development of human capabilities (% of participants rating caseworker impact as positive / very positive)</w:t>
      </w:r>
      <w:bookmarkEnd w:id="4236"/>
    </w:p>
    <w:p w14:paraId="32C4CE97" w14:textId="062492AD" w:rsidR="004809EB" w:rsidRDefault="0064195A" w:rsidP="004809EB">
      <w:r>
        <w:rPr>
          <w:noProof/>
        </w:rPr>
        <w:drawing>
          <wp:inline distT="0" distB="0" distL="0" distR="0" wp14:anchorId="6D5B68CC" wp14:editId="18295744">
            <wp:extent cx="5840730" cy="6389370"/>
            <wp:effectExtent l="0" t="0" r="0" b="0"/>
            <wp:docPr id="4" name="Picture 4" descr="Graph presenting summation of data from throughout the report relating to  participant survey results on caseworker impact on the development of certain human capabilities, for example 'Motivation to work towards your goal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 presenting summation of data from throughout the report relating to  participant survey results on caseworker impact on the development of certain human capabilities, for example 'Motivation to work towards your goals' etc"/>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840730" cy="6389370"/>
                    </a:xfrm>
                    <a:prstGeom prst="rect">
                      <a:avLst/>
                    </a:prstGeom>
                    <a:noFill/>
                  </pic:spPr>
                </pic:pic>
              </a:graphicData>
            </a:graphic>
          </wp:inline>
        </w:drawing>
      </w:r>
    </w:p>
    <w:p w14:paraId="43364EAC" w14:textId="4E425971" w:rsidR="004809EB" w:rsidRPr="00D14A39" w:rsidRDefault="004809EB" w:rsidP="004809EB">
      <w:pPr>
        <w:pStyle w:val="SourceandNotes"/>
      </w:pPr>
      <w:r w:rsidRPr="00D14A39">
        <w:t xml:space="preserve">QTTB4 In your opinion, has your &lt;TtW / jobactive&gt; caseworker(s) had a positive or negative impact on your… </w:t>
      </w:r>
    </w:p>
    <w:p w14:paraId="1574F1D5" w14:textId="626E3018" w:rsidR="004809EB" w:rsidRPr="00D14A39" w:rsidRDefault="004809EB" w:rsidP="004809EB">
      <w:pPr>
        <w:pStyle w:val="SourceandNotes"/>
      </w:pPr>
      <w:r w:rsidRPr="00D14A39">
        <w:t>Base: TtW participants who had contact with their provider (n=1,494), jobactive participants who had contact with their provider (n=578)</w:t>
      </w:r>
    </w:p>
    <w:p w14:paraId="426E2795" w14:textId="38380613" w:rsidR="004809EB" w:rsidRPr="00D14A39" w:rsidRDefault="004809EB" w:rsidP="004809EB">
      <w:pPr>
        <w:pStyle w:val="SourceandNotes"/>
      </w:pPr>
      <w:r w:rsidRPr="00115DFE">
        <w:t>*</w:t>
      </w:r>
      <w:r w:rsidRPr="00D14A39">
        <w:t>Indicates result is significantly different to TtW participants (</w:t>
      </w:r>
      <w:r w:rsidRPr="00C239FD">
        <w:rPr>
          <w:i/>
          <w:iCs/>
        </w:rPr>
        <w:t>p</w:t>
      </w:r>
      <w:r w:rsidRPr="00D14A39">
        <w:t>&lt;0.05)</w:t>
      </w:r>
    </w:p>
    <w:p w14:paraId="16F1699B" w14:textId="584DDC52" w:rsidR="004809EB" w:rsidRDefault="004809EB" w:rsidP="004809EB">
      <w:pPr>
        <w:pStyle w:val="SourceandNotes"/>
      </w:pPr>
      <w:r w:rsidRPr="00D14A39">
        <w:t>% Very positive / Positive shown</w:t>
      </w:r>
    </w:p>
    <w:p w14:paraId="5BEB7AEB" w14:textId="2A27CDF5" w:rsidR="0064195A" w:rsidRDefault="0064195A" w:rsidP="0064195A">
      <w:pPr>
        <w:pStyle w:val="Caption"/>
      </w:pPr>
      <w:bookmarkStart w:id="4237" w:name="_Toc94872794"/>
      <w:bookmarkStart w:id="4238" w:name="_Toc145883365"/>
      <w:r>
        <w:lastRenderedPageBreak/>
        <w:t xml:space="preserve">Figure </w:t>
      </w:r>
      <w:r w:rsidR="00BE71D4">
        <w:fldChar w:fldCharType="begin"/>
      </w:r>
      <w:r w:rsidR="00BE71D4">
        <w:instrText xml:space="preserve"> SEQ Figure \* ARABIC </w:instrText>
      </w:r>
      <w:r w:rsidR="00BE71D4">
        <w:fldChar w:fldCharType="separate"/>
      </w:r>
      <w:r w:rsidR="00180E14">
        <w:rPr>
          <w:noProof/>
        </w:rPr>
        <w:t>55</w:t>
      </w:r>
      <w:r w:rsidR="00BE71D4">
        <w:rPr>
          <w:noProof/>
        </w:rPr>
        <w:fldChar w:fldCharType="end"/>
      </w:r>
      <w:r>
        <w:t>: Current barriers to work and study (% of participants identifying barrier)</w:t>
      </w:r>
      <w:bookmarkEnd w:id="4237"/>
      <w:bookmarkEnd w:id="4238"/>
    </w:p>
    <w:p w14:paraId="73D77CFC" w14:textId="1976A9FF" w:rsidR="0064195A" w:rsidRDefault="0064195A" w:rsidP="0064195A">
      <w:r>
        <w:rPr>
          <w:noProof/>
        </w:rPr>
        <w:drawing>
          <wp:inline distT="0" distB="0" distL="0" distR="0" wp14:anchorId="7B462B1D" wp14:editId="4DA6E88F">
            <wp:extent cx="5657850" cy="7522845"/>
            <wp:effectExtent l="0" t="0" r="0" b="0"/>
            <wp:docPr id="11" name="Picture 11" descr="Graph presenting summation of data from throughout the report relating to  participant survey results on current barriers to work for participants, for example 'no driver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 presenting summation of data from throughout the report relating to  participant survey results on current barriers to work for participants, for example 'no drivers licenc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657850" cy="7522845"/>
                    </a:xfrm>
                    <a:prstGeom prst="rect">
                      <a:avLst/>
                    </a:prstGeom>
                    <a:noFill/>
                  </pic:spPr>
                </pic:pic>
              </a:graphicData>
            </a:graphic>
          </wp:inline>
        </w:drawing>
      </w:r>
    </w:p>
    <w:p w14:paraId="2CE2B3CD" w14:textId="236DE082" w:rsidR="0064195A" w:rsidRPr="00115DFE" w:rsidRDefault="0064195A" w:rsidP="0064195A">
      <w:pPr>
        <w:pStyle w:val="SourceandNotes"/>
      </w:pPr>
      <w:r w:rsidRPr="00115DFE">
        <w:t>QTTE8 Thinking about your current circumstances, do any of the following make it difficult for you to work or study?</w:t>
      </w:r>
    </w:p>
    <w:p w14:paraId="10189AD0" w14:textId="4D03990B" w:rsidR="0064195A" w:rsidRPr="00115DFE" w:rsidRDefault="0064195A" w:rsidP="0064195A">
      <w:pPr>
        <w:pStyle w:val="SourceandNotes"/>
      </w:pPr>
      <w:r w:rsidRPr="00115DFE">
        <w:t>Base: All respondents</w:t>
      </w:r>
      <w:r w:rsidR="00F8391B">
        <w:t xml:space="preserve"> – </w:t>
      </w:r>
      <w:r w:rsidRPr="00115DFE">
        <w:t>TtW participants (n=1,502), jobactive participants (n=580)</w:t>
      </w:r>
    </w:p>
    <w:p w14:paraId="1AF7E127" w14:textId="1E13216D" w:rsidR="0064195A" w:rsidRPr="00115DFE" w:rsidRDefault="0064195A" w:rsidP="0064195A">
      <w:pPr>
        <w:pStyle w:val="SourceandNotes"/>
      </w:pPr>
      <w:r w:rsidRPr="00115DFE">
        <w:t>*Indicates result is significantly different to TtW participants (</w:t>
      </w:r>
      <w:r w:rsidRPr="00C239FD">
        <w:rPr>
          <w:i/>
          <w:iCs/>
        </w:rPr>
        <w:t>p</w:t>
      </w:r>
      <w:r w:rsidRPr="00115DFE">
        <w:t>&lt;0.05)</w:t>
      </w:r>
    </w:p>
    <w:p w14:paraId="60643B92" w14:textId="6F0002A6" w:rsidR="0064195A" w:rsidRDefault="0064195A" w:rsidP="0064195A">
      <w:pPr>
        <w:pStyle w:val="Caption"/>
      </w:pPr>
      <w:bookmarkStart w:id="4239" w:name="_Toc94872789"/>
      <w:bookmarkStart w:id="4240" w:name="_Toc145883366"/>
      <w:r>
        <w:lastRenderedPageBreak/>
        <w:t xml:space="preserve">Figure </w:t>
      </w:r>
      <w:r w:rsidR="00BE71D4">
        <w:fldChar w:fldCharType="begin"/>
      </w:r>
      <w:r w:rsidR="00BE71D4">
        <w:instrText xml:space="preserve"> SEQ Figure \* ARABIC </w:instrText>
      </w:r>
      <w:r w:rsidR="00BE71D4">
        <w:fldChar w:fldCharType="separate"/>
      </w:r>
      <w:r w:rsidR="00180E14">
        <w:rPr>
          <w:noProof/>
        </w:rPr>
        <w:t>56</w:t>
      </w:r>
      <w:r w:rsidR="00BE71D4">
        <w:rPr>
          <w:noProof/>
        </w:rPr>
        <w:fldChar w:fldCharType="end"/>
      </w:r>
      <w:r>
        <w:t>: Vocational support provided by caseworker (% of participants identifying support)</w:t>
      </w:r>
      <w:bookmarkEnd w:id="4239"/>
      <w:bookmarkEnd w:id="4240"/>
    </w:p>
    <w:p w14:paraId="514A9ADE" w14:textId="6FA873AD" w:rsidR="005D7D67" w:rsidRDefault="005D7D67" w:rsidP="000129F0">
      <w:r w:rsidRPr="005D7D67">
        <w:rPr>
          <w:noProof/>
        </w:rPr>
        <w:drawing>
          <wp:inline distT="0" distB="0" distL="0" distR="0" wp14:anchorId="75CEBF25" wp14:editId="5FEDC1A6">
            <wp:extent cx="5486400" cy="3443190"/>
            <wp:effectExtent l="0" t="0" r="0" b="5080"/>
            <wp:docPr id="46" name="Picture 46" descr="Graph presenting summation of data from throughout the report relating to  participant survey results on vocational support provided by caseworkers, for example 'looking for work, including writing resumes and preparing inter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 presenting summation of data from throughout the report relating to  participant survey results on vocational support provided by caseworkers, for example 'looking for work, including writing resumes and preparing interviews'."/>
                    <pic:cNvPicPr/>
                  </pic:nvPicPr>
                  <pic:blipFill>
                    <a:blip r:embed="rId131"/>
                    <a:stretch>
                      <a:fillRect/>
                    </a:stretch>
                  </pic:blipFill>
                  <pic:spPr>
                    <a:xfrm>
                      <a:off x="0" y="0"/>
                      <a:ext cx="5497982" cy="3450458"/>
                    </a:xfrm>
                    <a:prstGeom prst="rect">
                      <a:avLst/>
                    </a:prstGeom>
                  </pic:spPr>
                </pic:pic>
              </a:graphicData>
            </a:graphic>
          </wp:inline>
        </w:drawing>
      </w:r>
    </w:p>
    <w:p w14:paraId="4C0CC75A" w14:textId="2C9ACEC4" w:rsidR="0064195A" w:rsidRDefault="0064195A" w:rsidP="0064195A">
      <w:pPr>
        <w:pStyle w:val="SourceandNotes"/>
      </w:pPr>
      <w:r>
        <w:t>QTTB3. And since you started seeing your &lt;TtW / jobactive&gt; caseworker(s), did they provide you with any support in the following areas…?</w:t>
      </w:r>
    </w:p>
    <w:p w14:paraId="7D9A31B6" w14:textId="5EF611B0" w:rsidR="0064195A" w:rsidRDefault="0064195A" w:rsidP="0064195A">
      <w:pPr>
        <w:pStyle w:val="SourceandNotes"/>
      </w:pPr>
      <w:r>
        <w:t>Base: TtW participants who had contact with their provider (n=1,494), jobactive participants who had contact with their provider (n=578)</w:t>
      </w:r>
    </w:p>
    <w:p w14:paraId="1F71FF64" w14:textId="21116488" w:rsidR="0064195A" w:rsidRDefault="0064195A" w:rsidP="0064195A">
      <w:pPr>
        <w:pStyle w:val="SourceandNotes"/>
      </w:pPr>
      <w:r w:rsidRPr="00196839">
        <w:rPr>
          <w:color w:val="FF0000"/>
        </w:rPr>
        <w:t>*</w:t>
      </w:r>
      <w:r>
        <w:t>Indicates result is significantly different to TtW participants (</w:t>
      </w:r>
      <w:r w:rsidRPr="00C239FD">
        <w:rPr>
          <w:i/>
          <w:iCs/>
        </w:rPr>
        <w:t>p</w:t>
      </w:r>
      <w:r>
        <w:t>&lt;0.05)</w:t>
      </w:r>
    </w:p>
    <w:p w14:paraId="605F10B2" w14:textId="3164ABC7" w:rsidR="0064195A" w:rsidRPr="007C2494" w:rsidRDefault="0064195A" w:rsidP="0064195A">
      <w:pPr>
        <w:pStyle w:val="Caption"/>
        <w:keepNext/>
      </w:pPr>
      <w:bookmarkStart w:id="4241" w:name="_Toc145883367"/>
      <w:r>
        <w:lastRenderedPageBreak/>
        <w:t xml:space="preserve">Figure </w:t>
      </w:r>
      <w:r w:rsidR="00BE71D4">
        <w:fldChar w:fldCharType="begin"/>
      </w:r>
      <w:r w:rsidR="00BE71D4">
        <w:instrText xml:space="preserve"> SEQ Figure \* ARABIC </w:instrText>
      </w:r>
      <w:r w:rsidR="00BE71D4">
        <w:fldChar w:fldCharType="separate"/>
      </w:r>
      <w:r w:rsidR="00180E14">
        <w:rPr>
          <w:noProof/>
        </w:rPr>
        <w:t>57</w:t>
      </w:r>
      <w:r w:rsidR="00BE71D4">
        <w:rPr>
          <w:noProof/>
        </w:rPr>
        <w:fldChar w:fldCharType="end"/>
      </w:r>
      <w:r>
        <w:t>: Non-vocational support provided by caseworker (% of participants identifying support)</w:t>
      </w:r>
      <w:bookmarkEnd w:id="4241"/>
    </w:p>
    <w:p w14:paraId="4F94A3AF" w14:textId="69367552" w:rsidR="0064195A" w:rsidRDefault="0064195A" w:rsidP="000129F0">
      <w:r>
        <w:rPr>
          <w:noProof/>
        </w:rPr>
        <w:drawing>
          <wp:inline distT="0" distB="0" distL="0" distR="0" wp14:anchorId="5E363FAA" wp14:editId="7BFD50D9">
            <wp:extent cx="5599120" cy="4981575"/>
            <wp:effectExtent l="0" t="0" r="0" b="0"/>
            <wp:docPr id="16" name="Picture 16" descr="Graph presenting summation of data from throughout the report relating to participant survey results on non-vocational support provided by caseworkers, for example 'financial and material assistance of any k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 presenting summation of data from throughout the report relating to participant survey results on non-vocational support provided by caseworkers, for example 'financial and material assistance of any kind'."/>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616390" cy="4996940"/>
                    </a:xfrm>
                    <a:prstGeom prst="rect">
                      <a:avLst/>
                    </a:prstGeom>
                    <a:noFill/>
                  </pic:spPr>
                </pic:pic>
              </a:graphicData>
            </a:graphic>
          </wp:inline>
        </w:drawing>
      </w:r>
    </w:p>
    <w:p w14:paraId="5939074B" w14:textId="334A75D8" w:rsidR="0064195A" w:rsidRDefault="0064195A" w:rsidP="0064195A">
      <w:pPr>
        <w:pStyle w:val="SourceandNotes"/>
      </w:pPr>
      <w:r>
        <w:t>QTTB3. And since you started seeing your &lt;TtW / jobactive&gt; caseworker(s), did they provide you with any support in the following areas…?</w:t>
      </w:r>
    </w:p>
    <w:p w14:paraId="7BD9BCD5" w14:textId="4A97C166" w:rsidR="0064195A" w:rsidRDefault="0064195A" w:rsidP="0064195A">
      <w:pPr>
        <w:pStyle w:val="SourceandNotes"/>
      </w:pPr>
      <w:r>
        <w:t>Base: TtW participants who had contact with their provider (n=1,494), jobactive participants who had contact with their provider (n=578)</w:t>
      </w:r>
    </w:p>
    <w:p w14:paraId="6B2E297E" w14:textId="3AE34F68" w:rsidR="0064195A" w:rsidRDefault="0064195A" w:rsidP="0064195A">
      <w:pPr>
        <w:pStyle w:val="SourceandNotes"/>
      </w:pPr>
      <w:r w:rsidRPr="00196839">
        <w:rPr>
          <w:color w:val="FF0000"/>
        </w:rPr>
        <w:t>*</w:t>
      </w:r>
      <w:r>
        <w:t>Indicates result is significantly different to TtW participants (</w:t>
      </w:r>
      <w:r w:rsidRPr="00C239FD">
        <w:rPr>
          <w:i/>
          <w:iCs/>
        </w:rPr>
        <w:t>p</w:t>
      </w:r>
      <w:r>
        <w:t>&lt;0.05)</w:t>
      </w:r>
    </w:p>
    <w:p w14:paraId="34D13708" w14:textId="16FC3D0C" w:rsidR="0064195A" w:rsidRDefault="0064195A" w:rsidP="0064195A">
      <w:pPr>
        <w:pStyle w:val="Heading2a"/>
      </w:pPr>
      <w:r>
        <w:br w:type="column"/>
      </w:r>
      <w:bookmarkStart w:id="4242" w:name="_Toc146033604"/>
      <w:r>
        <w:rPr>
          <w:lang w:eastAsia="en-AU"/>
        </w:rPr>
        <w:lastRenderedPageBreak/>
        <w:t xml:space="preserve">2021 </w:t>
      </w:r>
      <w:r w:rsidR="00AD74F5">
        <w:rPr>
          <w:lang w:eastAsia="en-AU"/>
        </w:rPr>
        <w:t>p</w:t>
      </w:r>
      <w:r>
        <w:rPr>
          <w:lang w:eastAsia="en-AU"/>
        </w:rPr>
        <w:t xml:space="preserve">rovider </w:t>
      </w:r>
      <w:r w:rsidR="00AD74F5">
        <w:rPr>
          <w:lang w:eastAsia="en-AU"/>
        </w:rPr>
        <w:t>s</w:t>
      </w:r>
      <w:r>
        <w:rPr>
          <w:lang w:eastAsia="en-AU"/>
        </w:rPr>
        <w:t xml:space="preserve">urvey </w:t>
      </w:r>
      <w:r w:rsidR="0095346C">
        <w:rPr>
          <w:lang w:eastAsia="en-AU"/>
        </w:rPr>
        <w:t>r</w:t>
      </w:r>
      <w:r>
        <w:rPr>
          <w:lang w:eastAsia="en-AU"/>
        </w:rPr>
        <w:t>esults</w:t>
      </w:r>
      <w:bookmarkEnd w:id="4242"/>
    </w:p>
    <w:p w14:paraId="5CC066F4" w14:textId="55F4D891" w:rsidR="0064195A" w:rsidRDefault="0064195A" w:rsidP="0064195A">
      <w:pPr>
        <w:pStyle w:val="Caption"/>
        <w:keepNext/>
      </w:pPr>
      <w:bookmarkStart w:id="4243" w:name="_Toc145883368"/>
      <w:r>
        <w:t xml:space="preserve">Figure </w:t>
      </w:r>
      <w:r w:rsidR="00BE71D4">
        <w:fldChar w:fldCharType="begin"/>
      </w:r>
      <w:r w:rsidR="00BE71D4">
        <w:instrText xml:space="preserve"> SEQ Figure \* ARABIC </w:instrText>
      </w:r>
      <w:r w:rsidR="00BE71D4">
        <w:fldChar w:fldCharType="separate"/>
      </w:r>
      <w:r w:rsidR="00180E14">
        <w:rPr>
          <w:noProof/>
        </w:rPr>
        <w:t>58</w:t>
      </w:r>
      <w:r w:rsidR="00BE71D4">
        <w:rPr>
          <w:noProof/>
        </w:rPr>
        <w:fldChar w:fldCharType="end"/>
      </w:r>
      <w:r>
        <w:t>: Effect of TtW program on participant attributes (% of provider respondents identifying that TtW had a very good, good or moderate effect on participant attributes)</w:t>
      </w:r>
      <w:bookmarkEnd w:id="4243"/>
    </w:p>
    <w:p w14:paraId="44B8207D" w14:textId="77777777" w:rsidR="0064195A" w:rsidRDefault="0064195A" w:rsidP="0064195A">
      <w:pPr>
        <w:pStyle w:val="SourceandNotes"/>
      </w:pPr>
      <w:r>
        <w:rPr>
          <w:noProof/>
        </w:rPr>
        <w:drawing>
          <wp:inline distT="0" distB="0" distL="0" distR="0" wp14:anchorId="79A63297" wp14:editId="21EFEBDF">
            <wp:extent cx="5238750" cy="6608381"/>
            <wp:effectExtent l="0" t="0" r="0" b="0"/>
            <wp:docPr id="17" name="Picture 17" descr="Graph presenting summation of data from throughout the report relating to provider survey results on the development of certain human capabilities, for example 'Motivation to work towards their goal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 presenting summation of data from throughout the report relating to provider survey results on the development of certain human capabilities, for example 'Motivation to work towards their goals' etc"/>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53322" cy="6626763"/>
                    </a:xfrm>
                    <a:prstGeom prst="rect">
                      <a:avLst/>
                    </a:prstGeom>
                    <a:noFill/>
                  </pic:spPr>
                </pic:pic>
              </a:graphicData>
            </a:graphic>
          </wp:inline>
        </w:drawing>
      </w:r>
    </w:p>
    <w:p w14:paraId="045E92C7" w14:textId="77777777" w:rsidR="00F8391B" w:rsidRDefault="0064195A" w:rsidP="0064195A">
      <w:pPr>
        <w:pStyle w:val="SourceandNotes"/>
      </w:pPr>
      <w:r>
        <w:t xml:space="preserve">Base: All </w:t>
      </w:r>
      <w:r w:rsidRPr="00BC4A6A">
        <w:t>respondents (n=</w:t>
      </w:r>
      <w:r>
        <w:t>278)</w:t>
      </w:r>
    </w:p>
    <w:p w14:paraId="77DF8507" w14:textId="5F989969" w:rsidR="0064195A" w:rsidRDefault="0064195A" w:rsidP="0064195A">
      <w:pPr>
        <w:pStyle w:val="SourceandNotes"/>
      </w:pPr>
      <w:r w:rsidRPr="00BC4A6A">
        <w:t>Q</w:t>
      </w:r>
      <w:r>
        <w:t xml:space="preserve">7.2 Thinking about </w:t>
      </w:r>
      <w:r w:rsidRPr="007D12B3">
        <w:t xml:space="preserve">the [site name] </w:t>
      </w:r>
      <w:r>
        <w:t>site</w:t>
      </w:r>
      <w:r w:rsidR="00F8391B">
        <w:t>’</w:t>
      </w:r>
      <w:r>
        <w:t>s involvement with Transition to Work … Overall, what effect has engagement in the TtW program had on participant</w:t>
      </w:r>
      <w:r w:rsidR="00F8391B">
        <w:t>’</w:t>
      </w:r>
      <w:r>
        <w:t>s …?</w:t>
      </w:r>
    </w:p>
    <w:p w14:paraId="05ED0252" w14:textId="0F7579ED" w:rsidR="0064195A" w:rsidRDefault="0064195A" w:rsidP="0064195A">
      <w:pPr>
        <w:pStyle w:val="Caption"/>
        <w:keepNext/>
      </w:pPr>
      <w:bookmarkStart w:id="4244" w:name="_Toc145883369"/>
      <w:r>
        <w:lastRenderedPageBreak/>
        <w:t xml:space="preserve">Figure </w:t>
      </w:r>
      <w:r w:rsidR="00BE71D4">
        <w:fldChar w:fldCharType="begin"/>
      </w:r>
      <w:r w:rsidR="00BE71D4">
        <w:instrText xml:space="preserve"> SEQ Figure \* ARABIC </w:instrText>
      </w:r>
      <w:r w:rsidR="00BE71D4">
        <w:fldChar w:fldCharType="separate"/>
      </w:r>
      <w:r w:rsidR="00180E14">
        <w:rPr>
          <w:noProof/>
        </w:rPr>
        <w:t>59</w:t>
      </w:r>
      <w:r w:rsidR="00BE71D4">
        <w:rPr>
          <w:noProof/>
        </w:rPr>
        <w:fldChar w:fldCharType="end"/>
      </w:r>
      <w:r>
        <w:t xml:space="preserve">: </w:t>
      </w:r>
      <w:r>
        <w:rPr>
          <w:lang w:eastAsia="en-AU"/>
        </w:rPr>
        <w:t>Most common v</w:t>
      </w:r>
      <w:r w:rsidRPr="008C0598">
        <w:rPr>
          <w:lang w:eastAsia="en-AU"/>
        </w:rPr>
        <w:t>ocational barriers</w:t>
      </w:r>
      <w:r>
        <w:rPr>
          <w:lang w:eastAsia="en-AU"/>
        </w:rPr>
        <w:t xml:space="preserve"> for participants at provider sites (%</w:t>
      </w:r>
      <w:r>
        <w:t xml:space="preserve"> of provider respondents identifying each barrier)</w:t>
      </w:r>
      <w:bookmarkEnd w:id="4244"/>
    </w:p>
    <w:p w14:paraId="7AC5982D" w14:textId="040BE2D5" w:rsidR="0064195A" w:rsidRDefault="0064195A" w:rsidP="0064195A">
      <w:pPr>
        <w:pStyle w:val="Caption"/>
      </w:pPr>
      <w:r>
        <w:rPr>
          <w:noProof/>
        </w:rPr>
        <w:drawing>
          <wp:inline distT="0" distB="0" distL="0" distR="0" wp14:anchorId="0B15D945" wp14:editId="7F5EC845">
            <wp:extent cx="5712460" cy="5322570"/>
            <wp:effectExtent l="0" t="0" r="0" b="0"/>
            <wp:docPr id="18" name="Picture 18" descr="Graph presenting summation of data from throughout the report relating to provider survey results on most common vocational barriers, for example 'Limited work history/experience'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 presenting summation of data from throughout the report relating to provider survey results on most common vocational barriers, for example 'Limited work history/experience' etc"/>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12460" cy="5322570"/>
                    </a:xfrm>
                    <a:prstGeom prst="rect">
                      <a:avLst/>
                    </a:prstGeom>
                    <a:noFill/>
                  </pic:spPr>
                </pic:pic>
              </a:graphicData>
            </a:graphic>
          </wp:inline>
        </w:drawing>
      </w:r>
    </w:p>
    <w:p w14:paraId="6307ECE5" w14:textId="77777777" w:rsidR="0064195A" w:rsidRPr="006A195E" w:rsidRDefault="0064195A" w:rsidP="0064195A">
      <w:pPr>
        <w:pStyle w:val="SourceandNotes"/>
      </w:pPr>
      <w:r w:rsidRPr="006A195E">
        <w:t>Base: All respondents (</w:t>
      </w:r>
      <w:r>
        <w:t>n=279</w:t>
      </w:r>
      <w:r w:rsidRPr="006A195E">
        <w:t>)</w:t>
      </w:r>
    </w:p>
    <w:p w14:paraId="4217F052" w14:textId="77777777" w:rsidR="0064195A" w:rsidRDefault="0064195A" w:rsidP="0064195A">
      <w:pPr>
        <w:pStyle w:val="SourceandNotes"/>
      </w:pPr>
      <w:r w:rsidRPr="00115DFE">
        <w:t xml:space="preserve">Q3.2 </w:t>
      </w:r>
      <w:r>
        <w:t xml:space="preserve">What are the most common BARRIERS that participants at </w:t>
      </w:r>
      <w:r w:rsidRPr="003B1937">
        <w:t xml:space="preserve">the [site name] site </w:t>
      </w:r>
      <w:r>
        <w:t>face in moving toward their employment and education goals? Select all that apply.</w:t>
      </w:r>
    </w:p>
    <w:p w14:paraId="7E35E6AC" w14:textId="0D4CEC31" w:rsidR="0064195A" w:rsidRDefault="0064195A" w:rsidP="0064195A">
      <w:pPr>
        <w:pStyle w:val="Caption"/>
        <w:keepNext/>
      </w:pPr>
      <w:bookmarkStart w:id="4245" w:name="_Toc145883370"/>
      <w:r>
        <w:lastRenderedPageBreak/>
        <w:t xml:space="preserve">Figure </w:t>
      </w:r>
      <w:r w:rsidR="00BE71D4">
        <w:fldChar w:fldCharType="begin"/>
      </w:r>
      <w:r w:rsidR="00BE71D4">
        <w:instrText xml:space="preserve"> SEQ Figure \* ARABIC </w:instrText>
      </w:r>
      <w:r w:rsidR="00BE71D4">
        <w:fldChar w:fldCharType="separate"/>
      </w:r>
      <w:r w:rsidR="00180E14">
        <w:rPr>
          <w:noProof/>
        </w:rPr>
        <w:t>60</w:t>
      </w:r>
      <w:r w:rsidR="00BE71D4">
        <w:rPr>
          <w:noProof/>
        </w:rPr>
        <w:fldChar w:fldCharType="end"/>
      </w:r>
      <w:r>
        <w:t xml:space="preserve">: </w:t>
      </w:r>
      <w:r>
        <w:rPr>
          <w:lang w:eastAsia="en-AU"/>
        </w:rPr>
        <w:t>Most common non-v</w:t>
      </w:r>
      <w:r w:rsidRPr="008C0598">
        <w:rPr>
          <w:lang w:eastAsia="en-AU"/>
        </w:rPr>
        <w:t>ocational barriers</w:t>
      </w:r>
      <w:r>
        <w:rPr>
          <w:lang w:eastAsia="en-AU"/>
        </w:rPr>
        <w:t xml:space="preserve"> for participants at provider sites (%</w:t>
      </w:r>
      <w:r>
        <w:t xml:space="preserve"> of provider respondents identifying each barrier)</w:t>
      </w:r>
      <w:bookmarkEnd w:id="4245"/>
    </w:p>
    <w:p w14:paraId="6D369BE7" w14:textId="089640D3" w:rsidR="0064195A" w:rsidRDefault="0064195A" w:rsidP="0064195A">
      <w:r>
        <w:rPr>
          <w:noProof/>
        </w:rPr>
        <w:drawing>
          <wp:inline distT="0" distB="0" distL="0" distR="0" wp14:anchorId="3759C5DD" wp14:editId="20D15884">
            <wp:extent cx="5584190" cy="5102860"/>
            <wp:effectExtent l="0" t="0" r="0" b="0"/>
            <wp:docPr id="19" name="Picture 19" descr="Graph presenting summation of data from throughout the report relating to provider survey results on most common non-vocational barriers, for example 'Mental health issue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 presenting summation of data from throughout the report relating to provider survey results on most common non-vocational barriers, for example 'Mental health issues' etc"/>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584190" cy="5102860"/>
                    </a:xfrm>
                    <a:prstGeom prst="rect">
                      <a:avLst/>
                    </a:prstGeom>
                    <a:noFill/>
                  </pic:spPr>
                </pic:pic>
              </a:graphicData>
            </a:graphic>
          </wp:inline>
        </w:drawing>
      </w:r>
    </w:p>
    <w:p w14:paraId="537AF804" w14:textId="77777777" w:rsidR="0064195A" w:rsidRPr="006A195E" w:rsidRDefault="0064195A" w:rsidP="0064195A">
      <w:pPr>
        <w:pStyle w:val="SourceandNotes"/>
      </w:pPr>
      <w:r w:rsidRPr="006A195E">
        <w:t>Base: All respondents (</w:t>
      </w:r>
      <w:r>
        <w:t>n=279</w:t>
      </w:r>
      <w:r w:rsidRPr="006A195E">
        <w:t>)</w:t>
      </w:r>
    </w:p>
    <w:p w14:paraId="2F898A65" w14:textId="77777777" w:rsidR="0064195A" w:rsidRDefault="0064195A" w:rsidP="0064195A">
      <w:pPr>
        <w:pStyle w:val="SourceandNotes"/>
      </w:pPr>
      <w:r w:rsidRPr="00115DFE">
        <w:t xml:space="preserve">Q3.2 </w:t>
      </w:r>
      <w:r>
        <w:t xml:space="preserve">What are the most common BARRIERS that participants at </w:t>
      </w:r>
      <w:r w:rsidRPr="003B1937">
        <w:t xml:space="preserve">the [site name] site </w:t>
      </w:r>
      <w:r>
        <w:t>face in moving toward their employment and education goals? Select all that apply.</w:t>
      </w:r>
    </w:p>
    <w:p w14:paraId="23B9EB14" w14:textId="417E0F42" w:rsidR="0064195A" w:rsidRDefault="0064195A" w:rsidP="0064195A">
      <w:pPr>
        <w:pStyle w:val="Caption"/>
        <w:keepNext/>
      </w:pPr>
      <w:bookmarkStart w:id="4246" w:name="_Toc145883371"/>
      <w:r>
        <w:lastRenderedPageBreak/>
        <w:t xml:space="preserve">Figure </w:t>
      </w:r>
      <w:r w:rsidR="00BE71D4">
        <w:fldChar w:fldCharType="begin"/>
      </w:r>
      <w:r w:rsidR="00BE71D4">
        <w:instrText xml:space="preserve"> SEQ Figure \* ARABIC </w:instrText>
      </w:r>
      <w:r w:rsidR="00BE71D4">
        <w:fldChar w:fldCharType="separate"/>
      </w:r>
      <w:r w:rsidR="00180E14">
        <w:rPr>
          <w:noProof/>
        </w:rPr>
        <w:t>61</w:t>
      </w:r>
      <w:r w:rsidR="00BE71D4">
        <w:rPr>
          <w:noProof/>
        </w:rPr>
        <w:fldChar w:fldCharType="end"/>
      </w:r>
      <w:r>
        <w:t xml:space="preserve">: </w:t>
      </w:r>
      <w:r w:rsidRPr="00107297">
        <w:t>Types of referred services</w:t>
      </w:r>
      <w:r>
        <w:t xml:space="preserve"> – </w:t>
      </w:r>
      <w:r w:rsidRPr="00107297">
        <w:t>non-vocational</w:t>
      </w:r>
      <w:r>
        <w:t xml:space="preserve"> (% of provider respondents identifying services that participants are referred to at their site)</w:t>
      </w:r>
      <w:bookmarkEnd w:id="4246"/>
    </w:p>
    <w:p w14:paraId="00E1049F" w14:textId="7D49FE9B" w:rsidR="0064195A" w:rsidRDefault="0064195A" w:rsidP="0064195A">
      <w:r>
        <w:rPr>
          <w:noProof/>
        </w:rPr>
        <w:drawing>
          <wp:inline distT="0" distB="0" distL="0" distR="0" wp14:anchorId="25EE7119" wp14:editId="36C18163">
            <wp:extent cx="5730875" cy="4102735"/>
            <wp:effectExtent l="0" t="0" r="0" b="0"/>
            <wp:docPr id="20" name="Picture 20" descr="Graph presenting summation of data from throughout the report relating to provider survey results on types of referral services used, for example 'mental health service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 presenting summation of data from throughout the report relating to provider survey results on types of referral services used, for example 'mental health services' etc"/>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30875" cy="4102735"/>
                    </a:xfrm>
                    <a:prstGeom prst="rect">
                      <a:avLst/>
                    </a:prstGeom>
                    <a:noFill/>
                  </pic:spPr>
                </pic:pic>
              </a:graphicData>
            </a:graphic>
          </wp:inline>
        </w:drawing>
      </w:r>
    </w:p>
    <w:p w14:paraId="7701D31E" w14:textId="77777777" w:rsidR="0064195A" w:rsidRPr="00F71EF9" w:rsidRDefault="0064195A" w:rsidP="0064195A">
      <w:pPr>
        <w:pStyle w:val="SourceandNotes"/>
      </w:pPr>
      <w:r>
        <w:t>Base: All</w:t>
      </w:r>
      <w:r w:rsidRPr="00F71EF9">
        <w:t xml:space="preserve"> respondents (</w:t>
      </w:r>
      <w:r>
        <w:t>n=278</w:t>
      </w:r>
      <w:r w:rsidRPr="00F71EF9">
        <w:t>)</w:t>
      </w:r>
    </w:p>
    <w:p w14:paraId="1C0D2FC5" w14:textId="77777777" w:rsidR="0064195A" w:rsidRDefault="0064195A" w:rsidP="0064195A">
      <w:pPr>
        <w:pStyle w:val="SourceandNotes"/>
      </w:pPr>
      <w:r>
        <w:t>Q3.7</w:t>
      </w:r>
      <w:r w:rsidRPr="00F71EF9">
        <w:t xml:space="preserve"> What are the most common</w:t>
      </w:r>
      <w:r>
        <w:t xml:space="preserve"> SERVICES</w:t>
      </w:r>
      <w:r w:rsidRPr="00F71EF9">
        <w:t xml:space="preserve"> that staff at the site refer participants to? Select all that apply.</w:t>
      </w:r>
    </w:p>
    <w:p w14:paraId="006EDC84" w14:textId="12A4B931" w:rsidR="0064195A" w:rsidRDefault="0064195A" w:rsidP="0064195A">
      <w:pPr>
        <w:pStyle w:val="Caption"/>
        <w:keepNext/>
      </w:pPr>
      <w:bookmarkStart w:id="4247" w:name="_Toc145883372"/>
      <w:r>
        <w:lastRenderedPageBreak/>
        <w:t xml:space="preserve">Figure </w:t>
      </w:r>
      <w:r w:rsidR="00BE71D4">
        <w:fldChar w:fldCharType="begin"/>
      </w:r>
      <w:r w:rsidR="00BE71D4">
        <w:instrText xml:space="preserve"> SEQ Figure \* ARABIC </w:instrText>
      </w:r>
      <w:r w:rsidR="00BE71D4">
        <w:fldChar w:fldCharType="separate"/>
      </w:r>
      <w:r w:rsidR="00180E14">
        <w:rPr>
          <w:noProof/>
        </w:rPr>
        <w:t>62</w:t>
      </w:r>
      <w:r w:rsidR="00BE71D4">
        <w:rPr>
          <w:noProof/>
        </w:rPr>
        <w:fldChar w:fldCharType="end"/>
      </w:r>
      <w:r>
        <w:t>: Types of services or assistance not available for referrals – non-vocational (% of provider respondents identifying services they had been unable to refer participants at their site)</w:t>
      </w:r>
      <w:bookmarkEnd w:id="4247"/>
    </w:p>
    <w:p w14:paraId="1DEBB816" w14:textId="5041D014" w:rsidR="0064195A" w:rsidRDefault="0064195A" w:rsidP="0064195A">
      <w:r>
        <w:rPr>
          <w:noProof/>
        </w:rPr>
        <w:drawing>
          <wp:inline distT="0" distB="0" distL="0" distR="0" wp14:anchorId="6DD1D2A0" wp14:editId="09AA36F5">
            <wp:extent cx="5688330" cy="5218430"/>
            <wp:effectExtent l="0" t="0" r="0" b="0"/>
            <wp:docPr id="22" name="Picture 22" descr="Graph presenting summation of data from throughout the report relating to provider survey results on types of referral services needed but not available for referral, for example 'mental health service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 presenting summation of data from throughout the report relating to provider survey results on types of referral services needed but not available for referral, for example 'mental health services' etc"/>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688330" cy="5218430"/>
                    </a:xfrm>
                    <a:prstGeom prst="rect">
                      <a:avLst/>
                    </a:prstGeom>
                    <a:noFill/>
                  </pic:spPr>
                </pic:pic>
              </a:graphicData>
            </a:graphic>
          </wp:inline>
        </w:drawing>
      </w:r>
    </w:p>
    <w:p w14:paraId="666BB584" w14:textId="77777777" w:rsidR="0064195A" w:rsidRDefault="0064195A" w:rsidP="0064195A">
      <w:pPr>
        <w:pStyle w:val="SourceandNotes"/>
      </w:pPr>
      <w:r w:rsidRPr="00580AF4">
        <w:t>Base: Selected respondents (n=</w:t>
      </w:r>
      <w:r>
        <w:t>163</w:t>
      </w:r>
      <w:r w:rsidRPr="00580AF4">
        <w:t>)</w:t>
      </w:r>
    </w:p>
    <w:p w14:paraId="4D1F7094" w14:textId="1BBF9B55" w:rsidR="0064195A" w:rsidRDefault="0064195A" w:rsidP="0064195A">
      <w:pPr>
        <w:pStyle w:val="SourceandNotes"/>
      </w:pPr>
      <w:r w:rsidRPr="00580AF4">
        <w:t xml:space="preserve">Respondents who </w:t>
      </w:r>
      <w:r>
        <w:t>answered</w:t>
      </w:r>
      <w:r w:rsidRPr="00580AF4">
        <w:t xml:space="preserve"> </w:t>
      </w:r>
      <w:r w:rsidR="00F8391B">
        <w:t>‘</w:t>
      </w:r>
      <w:r w:rsidRPr="00580AF4">
        <w:t>Yes</w:t>
      </w:r>
      <w:r w:rsidR="00F8391B">
        <w:t>’</w:t>
      </w:r>
      <w:r w:rsidRPr="00580AF4">
        <w:t xml:space="preserve"> to </w:t>
      </w:r>
      <w:r w:rsidR="00EA2C93">
        <w:t>Q</w:t>
      </w:r>
      <w:r>
        <w:t>3.8</w:t>
      </w:r>
      <w:r w:rsidRPr="00580AF4">
        <w:t xml:space="preserve"> </w:t>
      </w:r>
      <w:r w:rsidR="00EA2C93">
        <w:t>(</w:t>
      </w:r>
      <w:r>
        <w:t>In the last 12 months</w:t>
      </w:r>
      <w:r w:rsidRPr="00F71EF9">
        <w:t>, have staff at the site tried and been unable to refer participants to services or assistance that they needed?</w:t>
      </w:r>
      <w:r w:rsidR="00EA2C93">
        <w:t>) a</w:t>
      </w:r>
      <w:r>
        <w:t xml:space="preserve">nd provided a response to </w:t>
      </w:r>
      <w:r w:rsidR="00EA2C93">
        <w:t>Q</w:t>
      </w:r>
      <w:r>
        <w:t>3.9.</w:t>
      </w:r>
    </w:p>
    <w:p w14:paraId="4A2EBF9F" w14:textId="77777777" w:rsidR="0064195A" w:rsidRPr="00115DFE" w:rsidRDefault="0064195A" w:rsidP="0064195A">
      <w:pPr>
        <w:pStyle w:val="SourceandNotes"/>
      </w:pPr>
      <w:r w:rsidRPr="00115DFE">
        <w:t>Q3.9 Which services or assistance were you UNABLE to refer participants to? Select all that apply.</w:t>
      </w:r>
    </w:p>
    <w:p w14:paraId="36327229" w14:textId="77D17262" w:rsidR="0064195A" w:rsidRDefault="0064195A" w:rsidP="0064195A">
      <w:pPr>
        <w:pStyle w:val="Figureheadercaption"/>
      </w:pPr>
      <w:bookmarkStart w:id="4248" w:name="_Toc145883373"/>
      <w:r>
        <w:lastRenderedPageBreak/>
        <w:t xml:space="preserve">Figure </w:t>
      </w:r>
      <w:r w:rsidR="00BE71D4">
        <w:fldChar w:fldCharType="begin"/>
      </w:r>
      <w:r w:rsidR="00BE71D4">
        <w:instrText xml:space="preserve"> SEQ Figure \* ARABIC </w:instrText>
      </w:r>
      <w:r w:rsidR="00BE71D4">
        <w:fldChar w:fldCharType="separate"/>
      </w:r>
      <w:r w:rsidR="00180E14">
        <w:rPr>
          <w:noProof/>
        </w:rPr>
        <w:t>63</w:t>
      </w:r>
      <w:r w:rsidR="00BE71D4">
        <w:rPr>
          <w:noProof/>
        </w:rPr>
        <w:fldChar w:fldCharType="end"/>
      </w:r>
      <w:r>
        <w:t>: Reasons why unable to refer participants to services or assistance (% of provider respondents identifying reasons they were unable to refer participants at their site)</w:t>
      </w:r>
      <w:bookmarkEnd w:id="4248"/>
    </w:p>
    <w:p w14:paraId="6E7A5715" w14:textId="5517983A" w:rsidR="0064195A" w:rsidRDefault="0064195A" w:rsidP="0064195A">
      <w:r>
        <w:rPr>
          <w:noProof/>
        </w:rPr>
        <w:drawing>
          <wp:inline distT="0" distB="0" distL="0" distR="0" wp14:anchorId="12A66E8D" wp14:editId="457B0475">
            <wp:extent cx="4627245" cy="4048125"/>
            <wp:effectExtent l="0" t="0" r="0" b="0"/>
            <wp:docPr id="23" name="Picture 23" descr="Graph presenting summation of data from throughout the report relating to provider survey results on reasons referrals not available, for example 'not available in local area'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 presenting summation of data from throughout the report relating to provider survey results on reasons referrals not available, for example 'not available in local area' etc"/>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627245" cy="4048125"/>
                    </a:xfrm>
                    <a:prstGeom prst="rect">
                      <a:avLst/>
                    </a:prstGeom>
                    <a:noFill/>
                  </pic:spPr>
                </pic:pic>
              </a:graphicData>
            </a:graphic>
          </wp:inline>
        </w:drawing>
      </w:r>
    </w:p>
    <w:p w14:paraId="2DFBC5BA" w14:textId="77777777" w:rsidR="0064195A" w:rsidRPr="00F71EF9" w:rsidRDefault="0064195A" w:rsidP="0064195A">
      <w:pPr>
        <w:pStyle w:val="SourceandNotes"/>
      </w:pPr>
      <w:r>
        <w:t>Base: Selected respondents (n=163</w:t>
      </w:r>
      <w:r w:rsidRPr="00F71EF9">
        <w:t>)</w:t>
      </w:r>
    </w:p>
    <w:p w14:paraId="2EDD483D" w14:textId="45F5536A" w:rsidR="0064195A" w:rsidRPr="00115DFE" w:rsidRDefault="0064195A" w:rsidP="0064195A">
      <w:pPr>
        <w:pStyle w:val="SourceandNotes"/>
      </w:pPr>
      <w:r w:rsidRPr="00F71EF9">
        <w:t xml:space="preserve">Respondents who </w:t>
      </w:r>
      <w:r>
        <w:t xml:space="preserve">answered </w:t>
      </w:r>
      <w:r w:rsidR="00F8391B">
        <w:t>‘</w:t>
      </w:r>
      <w:r>
        <w:t>Yes</w:t>
      </w:r>
      <w:r w:rsidR="00F8391B">
        <w:t>’</w:t>
      </w:r>
      <w:r>
        <w:t xml:space="preserve"> to </w:t>
      </w:r>
      <w:r w:rsidR="00EA2C93">
        <w:t>Q</w:t>
      </w:r>
      <w:r>
        <w:t>3.8</w:t>
      </w:r>
      <w:r w:rsidRPr="00F71EF9">
        <w:t xml:space="preserve">: </w:t>
      </w:r>
      <w:r>
        <w:t>In the last 12 months</w:t>
      </w:r>
      <w:r w:rsidRPr="00F71EF9">
        <w:t xml:space="preserve">, have staff at the </w:t>
      </w:r>
      <w:r>
        <w:t>[</w:t>
      </w:r>
      <w:r w:rsidRPr="00F71EF9">
        <w:t>site</w:t>
      </w:r>
      <w:r>
        <w:t xml:space="preserve"> name] site</w:t>
      </w:r>
      <w:r w:rsidRPr="00F71EF9">
        <w:t xml:space="preserve"> tried and been unable to refer participants to services or assistance that they needed?</w:t>
      </w:r>
    </w:p>
    <w:p w14:paraId="48E901ED" w14:textId="1EF4644A" w:rsidR="0064195A" w:rsidRPr="0064195A" w:rsidRDefault="0064195A" w:rsidP="001E4ACB">
      <w:pPr>
        <w:pStyle w:val="SourceandNotes"/>
      </w:pPr>
      <w:r w:rsidRPr="00115DFE">
        <w:t>Q3.10 What were the MAIN reasons you were NOT able to refer participants to services or assistance that they needed? Select all that apply.</w:t>
      </w:r>
    </w:p>
    <w:sectPr w:rsidR="0064195A" w:rsidRPr="0064195A" w:rsidSect="000A7998">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EE79E" w14:textId="77777777" w:rsidR="00FD2822" w:rsidRDefault="00FD2822" w:rsidP="0051352E">
      <w:pPr>
        <w:spacing w:after="0" w:line="240" w:lineRule="auto"/>
      </w:pPr>
      <w:r>
        <w:separator/>
      </w:r>
    </w:p>
  </w:endnote>
  <w:endnote w:type="continuationSeparator" w:id="0">
    <w:p w14:paraId="7A5645DA" w14:textId="77777777" w:rsidR="00FD2822" w:rsidRDefault="00FD2822" w:rsidP="0051352E">
      <w:pPr>
        <w:spacing w:after="0" w:line="240" w:lineRule="auto"/>
      </w:pPr>
      <w:r>
        <w:continuationSeparator/>
      </w:r>
    </w:p>
  </w:endnote>
  <w:endnote w:type="continuationNotice" w:id="1">
    <w:p w14:paraId="794A0340" w14:textId="77777777" w:rsidR="00FD2822" w:rsidRDefault="00FD28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1A6C7" w14:textId="53379978" w:rsidR="003F32F8" w:rsidRDefault="003F32F8" w:rsidP="003F3CFA">
    <w:pPr>
      <w:pStyle w:val="Footer"/>
      <w:jc w:val="right"/>
    </w:pPr>
    <w:r>
      <w:t>Transition to Work, Supplementary Evaluation</w:t>
    </w:r>
    <w:r w:rsidR="00FC0265">
      <w:t xml:space="preserve"> Report</w:t>
    </w:r>
    <w:r w:rsidR="008C165C">
      <w:tab/>
    </w:r>
    <w:sdt>
      <w:sdtPr>
        <w:id w:val="7021316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23</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25532" w14:textId="77EF7D63" w:rsidR="00182791" w:rsidRDefault="00DE1C46" w:rsidP="003F3CFA">
    <w:pPr>
      <w:pStyle w:val="Footer"/>
      <w:jc w:val="right"/>
    </w:pPr>
    <w:r>
      <w:t>Transition to Work, Supplementary Evaluation Report</w:t>
    </w:r>
    <w:r w:rsidR="00FA6409">
      <w:tab/>
    </w:r>
    <w:sdt>
      <w:sdtPr>
        <w:id w:val="1408034087"/>
        <w:docPartObj>
          <w:docPartGallery w:val="Page Numbers (Bottom of Page)"/>
          <w:docPartUnique/>
        </w:docPartObj>
      </w:sdtPr>
      <w:sdtEndPr>
        <w:rPr>
          <w:noProof/>
        </w:rPr>
      </w:sdtEndPr>
      <w:sdtContent>
        <w:r w:rsidR="00182791">
          <w:fldChar w:fldCharType="begin"/>
        </w:r>
        <w:r w:rsidR="00182791">
          <w:instrText xml:space="preserve"> PAGE   \* MERGEFORMAT </w:instrText>
        </w:r>
        <w:r w:rsidR="00182791">
          <w:fldChar w:fldCharType="separate"/>
        </w:r>
        <w:r w:rsidR="00182791">
          <w:rPr>
            <w:noProof/>
          </w:rPr>
          <w:t>23</w:t>
        </w:r>
        <w:r w:rsidR="0018279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D6BD9" w14:textId="77777777" w:rsidR="00FD2822" w:rsidRDefault="00FD2822" w:rsidP="0051352E">
      <w:pPr>
        <w:spacing w:after="0" w:line="240" w:lineRule="auto"/>
      </w:pPr>
      <w:r>
        <w:separator/>
      </w:r>
    </w:p>
  </w:footnote>
  <w:footnote w:type="continuationSeparator" w:id="0">
    <w:p w14:paraId="2C5C5046" w14:textId="77777777" w:rsidR="00FD2822" w:rsidRDefault="00FD2822" w:rsidP="0051352E">
      <w:pPr>
        <w:spacing w:after="0" w:line="240" w:lineRule="auto"/>
      </w:pPr>
      <w:r>
        <w:continuationSeparator/>
      </w:r>
    </w:p>
  </w:footnote>
  <w:footnote w:type="continuationNotice" w:id="1">
    <w:p w14:paraId="117A3C9C" w14:textId="77777777" w:rsidR="00FD2822" w:rsidRDefault="00FD2822">
      <w:pPr>
        <w:spacing w:after="0" w:line="240" w:lineRule="auto"/>
      </w:pPr>
    </w:p>
  </w:footnote>
  <w:footnote w:id="2">
    <w:p w14:paraId="49A1D56C" w14:textId="3F6991DF" w:rsidR="00311C16" w:rsidRPr="00C750F4" w:rsidRDefault="00311C16" w:rsidP="00C750F4">
      <w:pPr>
        <w:pStyle w:val="Footnote0"/>
      </w:pPr>
      <w:r>
        <w:rPr>
          <w:rStyle w:val="FootnoteReference"/>
        </w:rPr>
        <w:footnoteRef/>
      </w:r>
      <w:r>
        <w:t xml:space="preserve"> </w:t>
      </w:r>
      <w:r w:rsidRPr="00C750F4">
        <w:t>From 1 January 2020 eligibility age was expanded from 15–21 years to 15–24 years</w:t>
      </w:r>
    </w:p>
  </w:footnote>
  <w:footnote w:id="3">
    <w:p w14:paraId="73DD5DE0" w14:textId="5E5C4470" w:rsidR="00311C16" w:rsidRPr="00C750F4" w:rsidRDefault="00311C16" w:rsidP="00C750F4">
      <w:pPr>
        <w:pStyle w:val="Footnote0"/>
      </w:pPr>
      <w:r w:rsidRPr="00C750F4">
        <w:rPr>
          <w:rStyle w:val="FootnoteReference"/>
        </w:rPr>
        <w:footnoteRef/>
      </w:r>
      <w:r w:rsidRPr="00C750F4">
        <w:rPr>
          <w:vertAlign w:val="superscript"/>
        </w:rPr>
        <w:t xml:space="preserve"> </w:t>
      </w:r>
      <w:r w:rsidRPr="00C750F4">
        <w:t>From 1 January 2018, under the Closing the Gap Agreement, eligibility requirements were expanded to include Aboriginal or Torres Strait Islander young people, irrespective of whether they have completed Year 12 or a Certificate III or higher</w:t>
      </w:r>
      <w:r w:rsidR="00C750F4" w:rsidRPr="00C750F4">
        <w:t>, for both Group 1 and Group 2</w:t>
      </w:r>
      <w:r w:rsidRPr="00C750F4">
        <w:t>.</w:t>
      </w:r>
    </w:p>
  </w:footnote>
  <w:footnote w:id="4">
    <w:p w14:paraId="6523880C" w14:textId="42D22064" w:rsidR="00C750F4" w:rsidRDefault="00C750F4" w:rsidP="00C750F4">
      <w:pPr>
        <w:pStyle w:val="Footnote0"/>
      </w:pPr>
      <w:r w:rsidRPr="00C750F4">
        <w:rPr>
          <w:rStyle w:val="FootnoteReference"/>
        </w:rPr>
        <w:footnoteRef/>
      </w:r>
      <w:r w:rsidRPr="00C750F4">
        <w:rPr>
          <w:vertAlign w:val="superscript"/>
        </w:rPr>
        <w:t xml:space="preserve"> </w:t>
      </w:r>
      <w:r w:rsidRPr="00C750F4">
        <w:t>From 1 January 2021, young people not on income support, and without Year 12 or equivalent qualification, only need to have been disengaged from work or education for 4 weeks</w:t>
      </w:r>
      <w:r w:rsidR="006501F0">
        <w:t>.</w:t>
      </w:r>
    </w:p>
  </w:footnote>
  <w:footnote w:id="5">
    <w:p w14:paraId="2283CE39" w14:textId="0990AAE6" w:rsidR="005B4FD6" w:rsidRDefault="005B4FD6" w:rsidP="00C239FD">
      <w:pPr>
        <w:pStyle w:val="Footnote0"/>
      </w:pPr>
      <w:r>
        <w:rPr>
          <w:rStyle w:val="FootnoteReference"/>
        </w:rPr>
        <w:footnoteRef/>
      </w:r>
      <w:r>
        <w:t xml:space="preserve"> Human capabilities examined in this research include</w:t>
      </w:r>
      <w:r w:rsidRPr="00E03C8E">
        <w:t xml:space="preserve"> personal psycho</w:t>
      </w:r>
      <w:r>
        <w:t>social</w:t>
      </w:r>
      <w:r w:rsidRPr="00E03C8E">
        <w:t xml:space="preserve"> capabilities such as</w:t>
      </w:r>
      <w:r w:rsidR="00A02B89">
        <w:t xml:space="preserve"> participants’</w:t>
      </w:r>
      <w:r>
        <w:t xml:space="preserve"> self-confidence, </w:t>
      </w:r>
      <w:r w:rsidRPr="00E03C8E">
        <w:t>resilience and ability to cope with setbacks, physical and mental health, motivation and sense of control over their lives; and capability influencers including social connections and ability to access social supports and services</w:t>
      </w:r>
      <w:r>
        <w:t>.</w:t>
      </w:r>
    </w:p>
  </w:footnote>
  <w:footnote w:id="6">
    <w:p w14:paraId="5CA0BBCD" w14:textId="0EE27D8C" w:rsidR="00B14CDC" w:rsidRDefault="00B14CDC" w:rsidP="00C239FD">
      <w:pPr>
        <w:pStyle w:val="Footnote0"/>
      </w:pPr>
      <w:r>
        <w:rPr>
          <w:rStyle w:val="FootnoteReference"/>
        </w:rPr>
        <w:footnoteRef/>
      </w:r>
      <w:r>
        <w:t xml:space="preserve"> Administrative data includes caseload information from the department’s Employment Services System (ESS Web) and </w:t>
      </w:r>
      <w:r w:rsidR="00251FF8">
        <w:t>i</w:t>
      </w:r>
      <w:r w:rsidRPr="4C222A30">
        <w:t xml:space="preserve">ncome </w:t>
      </w:r>
      <w:r w:rsidR="00251FF8">
        <w:t>s</w:t>
      </w:r>
      <w:r w:rsidRPr="4C222A30">
        <w:t>upport data collected by Services Australia</w:t>
      </w:r>
      <w:r>
        <w:t>.</w:t>
      </w:r>
    </w:p>
  </w:footnote>
  <w:footnote w:id="7">
    <w:p w14:paraId="58453B72" w14:textId="21F71278" w:rsidR="00CB4AC4" w:rsidRDefault="00CB4AC4" w:rsidP="00C239FD">
      <w:pPr>
        <w:pStyle w:val="Footnote0"/>
      </w:pPr>
      <w:r>
        <w:rPr>
          <w:rStyle w:val="FootnoteReference"/>
        </w:rPr>
        <w:footnoteRef/>
      </w:r>
      <w:r>
        <w:t xml:space="preserve"> The term ‘caseworker’ is used as an overarching term for the provider staff who engage with and support participants. It should be noted that the TtW model does not specifically use a ‘case-management’ approach.</w:t>
      </w:r>
    </w:p>
  </w:footnote>
  <w:footnote w:id="8">
    <w:p w14:paraId="36826F69" w14:textId="08DB7DA6" w:rsidR="00E32E69" w:rsidRDefault="00E32E69" w:rsidP="00C239FD">
      <w:pPr>
        <w:pStyle w:val="Footnote0"/>
      </w:pPr>
      <w:r>
        <w:rPr>
          <w:rStyle w:val="FootnoteReference"/>
        </w:rPr>
        <w:footnoteRef/>
      </w:r>
      <w:r>
        <w:t xml:space="preserve"> For example, </w:t>
      </w:r>
      <w:r w:rsidRPr="00FB03B0">
        <w:t>almost two</w:t>
      </w:r>
      <w:r w:rsidR="00631648">
        <w:t>-</w:t>
      </w:r>
      <w:r w:rsidRPr="00FB03B0">
        <w:t xml:space="preserve">thirds of the </w:t>
      </w:r>
      <w:r>
        <w:t>providers</w:t>
      </w:r>
      <w:r w:rsidRPr="00FB03B0">
        <w:t xml:space="preserve"> (65%) </w:t>
      </w:r>
      <w:r>
        <w:t>reported that m</w:t>
      </w:r>
      <w:r w:rsidRPr="00FB03B0">
        <w:t xml:space="preserve">ental health services </w:t>
      </w:r>
      <w:r>
        <w:t>were</w:t>
      </w:r>
      <w:r w:rsidRPr="00FB03B0">
        <w:t xml:space="preserve"> </w:t>
      </w:r>
      <w:r>
        <w:t>‘</w:t>
      </w:r>
      <w:r w:rsidRPr="00FB03B0">
        <w:t>unavailable for participant referral</w:t>
      </w:r>
      <w:r>
        <w:t>’</w:t>
      </w:r>
      <w:r w:rsidRPr="00FB03B0">
        <w:t>.</w:t>
      </w:r>
    </w:p>
  </w:footnote>
  <w:footnote w:id="9">
    <w:p w14:paraId="7F08DE02" w14:textId="47F56B86" w:rsidR="005B1DB0" w:rsidRDefault="005B1DB0" w:rsidP="00C239FD">
      <w:pPr>
        <w:pStyle w:val="Footnote0"/>
      </w:pPr>
      <w:r>
        <w:rPr>
          <w:rStyle w:val="FootnoteReference"/>
        </w:rPr>
        <w:footnoteRef/>
      </w:r>
      <w:r>
        <w:t xml:space="preserve"> As no direct measure of </w:t>
      </w:r>
      <w:r w:rsidR="00171E3C">
        <w:rPr>
          <w:b/>
          <w:bCs/>
        </w:rPr>
        <w:t>e</w:t>
      </w:r>
      <w:r w:rsidRPr="00C239FD">
        <w:rPr>
          <w:b/>
          <w:bCs/>
        </w:rPr>
        <w:t>mployment</w:t>
      </w:r>
      <w:r w:rsidRPr="001646AB">
        <w:t xml:space="preserve"> </w:t>
      </w:r>
      <w:r w:rsidRPr="00C72C66">
        <w:t>status</w:t>
      </w:r>
      <w:r>
        <w:t xml:space="preserve"> is available once a participant exits </w:t>
      </w:r>
      <w:r w:rsidR="00171E3C">
        <w:t>e</w:t>
      </w:r>
      <w:r>
        <w:t xml:space="preserve">mployment </w:t>
      </w:r>
      <w:r w:rsidR="00171E3C">
        <w:t>s</w:t>
      </w:r>
      <w:r>
        <w:t xml:space="preserve">ervices, data on exits from income support were used as an indicator of a participant taking up employment, where this exit was identified as a likely exit to employment (see Appendix 4.5 for a detailed description of this indicator). </w:t>
      </w:r>
      <w:r w:rsidRPr="00C239FD">
        <w:rPr>
          <w:b/>
          <w:bCs/>
        </w:rPr>
        <w:t xml:space="preserve">Labour </w:t>
      </w:r>
      <w:r w:rsidR="00A34633">
        <w:rPr>
          <w:b/>
          <w:bCs/>
        </w:rPr>
        <w:t>m</w:t>
      </w:r>
      <w:r w:rsidRPr="00C239FD">
        <w:rPr>
          <w:b/>
          <w:bCs/>
        </w:rPr>
        <w:t xml:space="preserve">arket </w:t>
      </w:r>
      <w:r w:rsidR="00A34633">
        <w:rPr>
          <w:b/>
          <w:bCs/>
        </w:rPr>
        <w:t>a</w:t>
      </w:r>
      <w:r w:rsidRPr="00C239FD">
        <w:rPr>
          <w:b/>
          <w:bCs/>
        </w:rPr>
        <w:t>ttachment</w:t>
      </w:r>
      <w:r>
        <w:t xml:space="preserve"> includes where a participant</w:t>
      </w:r>
      <w:r w:rsidRPr="00927B1C">
        <w:t xml:space="preserve"> </w:t>
      </w:r>
      <w:r>
        <w:t xml:space="preserve">recorded a </w:t>
      </w:r>
      <w:r w:rsidRPr="00927B1C">
        <w:t xml:space="preserve">reduction in income support </w:t>
      </w:r>
      <w:r>
        <w:t xml:space="preserve">rate from their initial base rate </w:t>
      </w:r>
      <w:r w:rsidRPr="00927B1C">
        <w:t>(as a proxy for increased employment)</w:t>
      </w:r>
      <w:r>
        <w:t>,</w:t>
      </w:r>
      <w:r w:rsidRPr="00927B1C">
        <w:t xml:space="preserve"> </w:t>
      </w:r>
      <w:r>
        <w:t xml:space="preserve">any </w:t>
      </w:r>
      <w:r w:rsidRPr="00927B1C">
        <w:t xml:space="preserve">reported earnings (as evidence of engagement in the labour market) </w:t>
      </w:r>
      <w:r>
        <w:t xml:space="preserve">and/or an employment-related </w:t>
      </w:r>
      <w:r w:rsidR="00A609E1">
        <w:t>income support</w:t>
      </w:r>
      <w:r>
        <w:t xml:space="preserve"> exit</w:t>
      </w:r>
      <w:r w:rsidR="00E44B3B">
        <w:t xml:space="preserve"> as</w:t>
      </w:r>
      <w:r>
        <w:t xml:space="preserve"> outlined above.</w:t>
      </w:r>
    </w:p>
  </w:footnote>
  <w:footnote w:id="10">
    <w:p w14:paraId="50C82D36" w14:textId="088CDC76" w:rsidR="005B1DB0" w:rsidRDefault="005B1DB0" w:rsidP="00C239FD">
      <w:pPr>
        <w:pStyle w:val="Footnote0"/>
      </w:pPr>
      <w:r>
        <w:rPr>
          <w:rStyle w:val="FootnoteReference"/>
        </w:rPr>
        <w:footnoteRef/>
      </w:r>
      <w:r>
        <w:t xml:space="preserve"> </w:t>
      </w:r>
      <w:r w:rsidRPr="005B1DB0">
        <w:t>The TtW study population included participants referred to TtW between 1 April 2016 and 31 March 2017 who</w:t>
      </w:r>
      <w:r w:rsidR="00E44B3B">
        <w:t xml:space="preserve"> </w:t>
      </w:r>
      <w:r w:rsidRPr="005B1DB0">
        <w:t>commenced in the program within 90 days from their initial referral date; had participated in the program for at least 28</w:t>
      </w:r>
      <w:r w:rsidR="00E44B3B">
        <w:t> </w:t>
      </w:r>
      <w:r w:rsidRPr="005B1DB0">
        <w:t>days;</w:t>
      </w:r>
      <w:r w:rsidR="00E44B3B">
        <w:t xml:space="preserve"> and</w:t>
      </w:r>
      <w:r w:rsidRPr="005B1DB0">
        <w:t xml:space="preserve"> were receiving income support at day 28 from their commencement date. A comparison group was constructed from jobactive Stream B participants who met the same criteria. Matched samples from these </w:t>
      </w:r>
      <w:r w:rsidR="00E44B3B">
        <w:t>2</w:t>
      </w:r>
      <w:r w:rsidRPr="005B1DB0">
        <w:t xml:space="preserve"> populations were selected for the analysis, based on education attainment (under Year 12 or Year 12 and above) and level of employment disadvantage, identified through participant’s Job Seeker Classification Instrument (JSCI) score. Further regression analysis was undertaken to control for other differences between these populations. It should be noted</w:t>
      </w:r>
      <w:r w:rsidR="005422D6">
        <w:t xml:space="preserve"> that</w:t>
      </w:r>
      <w:r w:rsidRPr="005B1DB0">
        <w:t xml:space="preserve">, given the differences in program objectives, the comparison group participants may </w:t>
      </w:r>
      <w:r>
        <w:t>have been</w:t>
      </w:r>
      <w:r w:rsidRPr="005B1DB0">
        <w:t xml:space="preserve"> more motivated to work than the TtW group.</w:t>
      </w:r>
    </w:p>
  </w:footnote>
  <w:footnote w:id="11">
    <w:p w14:paraId="4486E5C9" w14:textId="034F5EEC" w:rsidR="002E57E8" w:rsidRDefault="002E57E8" w:rsidP="002E57E8">
      <w:pPr>
        <w:pStyle w:val="Footnote0"/>
      </w:pPr>
      <w:r>
        <w:rPr>
          <w:rStyle w:val="FootnoteReference"/>
        </w:rPr>
        <w:footnoteRef/>
      </w:r>
      <w:r>
        <w:t xml:space="preserve"> Equity groups examined included Aboriginal and/or Torres Strait Islander young people, </w:t>
      </w:r>
      <w:r w:rsidR="003A0923">
        <w:t>women</w:t>
      </w:r>
      <w:r>
        <w:t>, early school leavers, people living with disability</w:t>
      </w:r>
      <w:r w:rsidR="00A02B89">
        <w:t>,</w:t>
      </w:r>
      <w:r>
        <w:t xml:space="preserve"> and </w:t>
      </w:r>
      <w:r w:rsidR="00A02B89">
        <w:t>people</w:t>
      </w:r>
      <w:r>
        <w:t xml:space="preserve"> with poor or mixed English.</w:t>
      </w:r>
    </w:p>
  </w:footnote>
  <w:footnote w:id="12">
    <w:p w14:paraId="40C4AA24" w14:textId="7B0D73AE" w:rsidR="00E93444" w:rsidRPr="00966A87" w:rsidRDefault="00E93444" w:rsidP="00E93444">
      <w:pPr>
        <w:pStyle w:val="FootnoteText"/>
        <w:rPr>
          <w:sz w:val="18"/>
          <w:szCs w:val="18"/>
        </w:rPr>
      </w:pPr>
      <w:r w:rsidRPr="00966A87">
        <w:rPr>
          <w:rStyle w:val="FootnoteReference"/>
          <w:sz w:val="18"/>
          <w:szCs w:val="18"/>
        </w:rPr>
        <w:footnoteRef/>
      </w:r>
      <w:r w:rsidRPr="00966A87">
        <w:rPr>
          <w:sz w:val="18"/>
          <w:szCs w:val="18"/>
        </w:rPr>
        <w:t xml:space="preserve"> There is no direct measure of participants moving to higher degree/longer-term accredited study or apprenticeships. Data on the income support payment types that participants were accessing (namely Youth Allowance (Student), Youth </w:t>
      </w:r>
      <w:r w:rsidR="00A02B89">
        <w:rPr>
          <w:sz w:val="18"/>
          <w:szCs w:val="18"/>
        </w:rPr>
        <w:t>A</w:t>
      </w:r>
      <w:r w:rsidRPr="00966A87">
        <w:rPr>
          <w:sz w:val="18"/>
          <w:szCs w:val="18"/>
        </w:rPr>
        <w:t xml:space="preserve">llowance (Apprenticeship), ABSTUDY or Austudy) was used as an indicator of a participant taking up </w:t>
      </w:r>
      <w:r w:rsidRPr="009F1529">
        <w:rPr>
          <w:sz w:val="18"/>
          <w:szCs w:val="18"/>
        </w:rPr>
        <w:t>longer</w:t>
      </w:r>
      <w:r w:rsidR="009F1529">
        <w:rPr>
          <w:sz w:val="18"/>
          <w:szCs w:val="18"/>
        </w:rPr>
        <w:t>-</w:t>
      </w:r>
      <w:r w:rsidRPr="009F1529">
        <w:rPr>
          <w:sz w:val="18"/>
          <w:szCs w:val="18"/>
        </w:rPr>
        <w:t>term</w:t>
      </w:r>
      <w:r w:rsidRPr="00966A87">
        <w:rPr>
          <w:sz w:val="18"/>
          <w:szCs w:val="18"/>
        </w:rPr>
        <w:t xml:space="preserve"> full-time study or a full-time apprenticeship.</w:t>
      </w:r>
    </w:p>
  </w:footnote>
  <w:footnote w:id="13">
    <w:p w14:paraId="3FD2B235" w14:textId="77777777" w:rsidR="001A38C9" w:rsidRDefault="001A38C9" w:rsidP="001A38C9">
      <w:pPr>
        <w:pStyle w:val="Footnote0"/>
      </w:pPr>
      <w:r>
        <w:rPr>
          <w:rStyle w:val="FootnoteReference"/>
        </w:rPr>
        <w:footnoteRef/>
      </w:r>
      <w:r>
        <w:t xml:space="preserve"> Participants can remain in the TtW program for longer than their maximum duration of service if they are tracking for an outcome.</w:t>
      </w:r>
    </w:p>
  </w:footnote>
  <w:footnote w:id="14">
    <w:p w14:paraId="47A1A1AB" w14:textId="5CD05A1D" w:rsidR="00C313D2" w:rsidRDefault="00C313D2" w:rsidP="001E13B6">
      <w:pPr>
        <w:pStyle w:val="Footnote0"/>
      </w:pPr>
      <w:r>
        <w:rPr>
          <w:rStyle w:val="FootnoteReference"/>
        </w:rPr>
        <w:footnoteRef/>
      </w:r>
      <w:r>
        <w:t xml:space="preserve"> Labour market disadvantage </w:t>
      </w:r>
      <w:r w:rsidR="00885B00">
        <w:t xml:space="preserve">was </w:t>
      </w:r>
      <w:r>
        <w:t>determined by a participant’s JSCI score at commencement.</w:t>
      </w:r>
    </w:p>
  </w:footnote>
  <w:footnote w:id="15">
    <w:p w14:paraId="3079962C" w14:textId="02EB77CF" w:rsidR="00C313D2" w:rsidRDefault="00C313D2" w:rsidP="001E13B6">
      <w:pPr>
        <w:pStyle w:val="Footnote0"/>
      </w:pPr>
      <w:r>
        <w:rPr>
          <w:rStyle w:val="FootnoteReference"/>
        </w:rPr>
        <w:footnoteRef/>
      </w:r>
      <w:r>
        <w:t xml:space="preserve"> There were 30,045 participants in each of the matched MD12 and MD18 cohorts. Increasing the duration of service was associated with an extra 7,928 people continuing for 12 or more months, </w:t>
      </w:r>
      <w:r w:rsidR="001A38C9">
        <w:t xml:space="preserve">543 more people achieving at least one outcome, and </w:t>
      </w:r>
      <w:r>
        <w:t xml:space="preserve">2,490 more outcomes being achieved overall. </w:t>
      </w:r>
    </w:p>
  </w:footnote>
  <w:footnote w:id="16">
    <w:p w14:paraId="6B08D218" w14:textId="77777777" w:rsidR="001E13B6" w:rsidRDefault="001E13B6" w:rsidP="001E13B6">
      <w:pPr>
        <w:pStyle w:val="Footnote0"/>
      </w:pPr>
      <w:r>
        <w:rPr>
          <w:rStyle w:val="FootnoteReference"/>
        </w:rPr>
        <w:footnoteRef/>
      </w:r>
      <w:r>
        <w:t xml:space="preserve"> </w:t>
      </w:r>
      <w:r w:rsidRPr="001E13B6">
        <w:t xml:space="preserve">The proportion of participants who achieved any outcome rose from 35.5% (MD12) to 37.3% (MD18) (i.e. </w:t>
      </w:r>
      <w:bookmarkStart w:id="41" w:name="_Hlk146185793"/>
      <w:r w:rsidRPr="001E13B6">
        <w:t>extending the maximum duration of service by 6 months was associated with 1.8 percentage points more participants achieving at least one outcome</w:t>
      </w:r>
      <w:bookmarkEnd w:id="41"/>
      <w:r w:rsidRPr="001E13B6">
        <w:t>).</w:t>
      </w:r>
      <w:r>
        <w:t xml:space="preserve"> </w:t>
      </w:r>
    </w:p>
    <w:p w14:paraId="620AA518" w14:textId="4C70C506" w:rsidR="001E13B6" w:rsidRDefault="001E13B6">
      <w:pPr>
        <w:pStyle w:val="FootnoteText"/>
      </w:pPr>
    </w:p>
  </w:footnote>
  <w:footnote w:id="17">
    <w:p w14:paraId="00C61B9C" w14:textId="2D2FB9B9" w:rsidR="00CF0078" w:rsidRDefault="00CF0078" w:rsidP="00956075">
      <w:pPr>
        <w:pStyle w:val="Footnote0"/>
      </w:pPr>
      <w:r w:rsidRPr="00956075">
        <w:rPr>
          <w:rStyle w:val="FootnoteReference"/>
        </w:rPr>
        <w:footnoteRef/>
      </w:r>
      <w:r w:rsidRPr="00956075">
        <w:t xml:space="preserve"> </w:t>
      </w:r>
      <w:r w:rsidR="00F00066" w:rsidRPr="00956075">
        <w:t>jobactive was the Australian Government’s employment service</w:t>
      </w:r>
      <w:r w:rsidR="0091011B">
        <w:t>s</w:t>
      </w:r>
      <w:r w:rsidR="00F00066" w:rsidRPr="00956075">
        <w:t xml:space="preserve"> model that </w:t>
      </w:r>
      <w:r w:rsidR="00ED56F4">
        <w:t>replaced Job Services Australia</w:t>
      </w:r>
      <w:r w:rsidR="00ED56F4" w:rsidRPr="00956075">
        <w:t xml:space="preserve"> </w:t>
      </w:r>
      <w:r w:rsidR="00F00066" w:rsidRPr="00956075">
        <w:t>on 1 July 2015 and was replaced by</w:t>
      </w:r>
      <w:r w:rsidRPr="00956075">
        <w:t xml:space="preserve"> Workforce Australia Employment Services on 4 July 2022.</w:t>
      </w:r>
      <w:r w:rsidR="00F00066" w:rsidRPr="00956075">
        <w:t xml:space="preserve"> This evaluation of TtW was undertaken </w:t>
      </w:r>
      <w:r w:rsidR="003B705A">
        <w:t>before</w:t>
      </w:r>
      <w:r w:rsidR="00F00066" w:rsidRPr="00956075">
        <w:t xml:space="preserve"> this change, and hence refers to jobactive as the alternative employment service that young people could choose to access</w:t>
      </w:r>
      <w:r w:rsidR="00AD47CE" w:rsidRPr="00AD47CE">
        <w:t xml:space="preserve"> </w:t>
      </w:r>
      <w:r w:rsidR="00AD47CE" w:rsidRPr="00956075">
        <w:t>at that time</w:t>
      </w:r>
      <w:r w:rsidR="00F00066" w:rsidRPr="00956075">
        <w:t>.</w:t>
      </w:r>
      <w:r w:rsidRPr="00956075">
        <w:t xml:space="preserve"> </w:t>
      </w:r>
      <w:r w:rsidR="00F00066" w:rsidRPr="00956075">
        <w:t xml:space="preserve">Under Workforce Australia, there are </w:t>
      </w:r>
      <w:r w:rsidR="0091011B">
        <w:t>2</w:t>
      </w:r>
      <w:r w:rsidR="00F00066" w:rsidRPr="00956075">
        <w:t xml:space="preserve"> mainstream employment services – online services (Workforce Australia Online) and provider-led services (Workforce Australia Services). Workforce Australia Online </w:t>
      </w:r>
      <w:r w:rsidR="00043AE3">
        <w:t>allows</w:t>
      </w:r>
      <w:r w:rsidR="00F00066" w:rsidRPr="00956075">
        <w:t xml:space="preserve"> individuals to self-manage and connect with businesses through </w:t>
      </w:r>
      <w:r w:rsidR="00043AE3">
        <w:t xml:space="preserve">the </w:t>
      </w:r>
      <w:r w:rsidR="00F00066" w:rsidRPr="00956075">
        <w:t>online platform. Workforce Australia Services comprise a network of providers who are engaged to deliver personalised support for those with more complex needs. TtW is the youth specialist service in Workforce Australia.</w:t>
      </w:r>
    </w:p>
  </w:footnote>
  <w:footnote w:id="18">
    <w:p w14:paraId="654812D7" w14:textId="77777777" w:rsidR="00BC4934" w:rsidRDefault="00BC4934" w:rsidP="00956075">
      <w:pPr>
        <w:pStyle w:val="Footnote0"/>
      </w:pPr>
      <w:r w:rsidRPr="00DB3ED1">
        <w:rPr>
          <w:rStyle w:val="FootnoteReference"/>
        </w:rPr>
        <w:footnoteRef/>
      </w:r>
      <w:r w:rsidRPr="00DB3ED1">
        <w:t xml:space="preserve"> From 1 July 2020, the length of time that young job seekers can access TtW services was extended to 18 months (from 12 months). If participants are </w:t>
      </w:r>
      <w:r w:rsidRPr="00956075">
        <w:t>tracking</w:t>
      </w:r>
      <w:r w:rsidRPr="00DB3ED1">
        <w:t xml:space="preserve"> for an outcome they are permitted to remain in TtW until the completion of that outcome (max</w:t>
      </w:r>
      <w:r>
        <w:t>imum</w:t>
      </w:r>
      <w:r w:rsidRPr="00DB3ED1">
        <w:t xml:space="preserve"> 3 months).</w:t>
      </w:r>
    </w:p>
  </w:footnote>
  <w:footnote w:id="19">
    <w:p w14:paraId="1907BB0B" w14:textId="28E2705F" w:rsidR="00BC4934" w:rsidRDefault="00BC4934" w:rsidP="00956075">
      <w:pPr>
        <w:pStyle w:val="Footnote0"/>
      </w:pPr>
      <w:r>
        <w:rPr>
          <w:rStyle w:val="FootnoteReference"/>
        </w:rPr>
        <w:footnoteRef/>
      </w:r>
      <w:r>
        <w:t xml:space="preserve"> This data relates to the young people referred to TtW (the inflow population) between April 2016 and March 2017, as this is the </w:t>
      </w:r>
      <w:r w:rsidRPr="00956075">
        <w:t>population</w:t>
      </w:r>
      <w:r>
        <w:t xml:space="preserve"> used in the long</w:t>
      </w:r>
      <w:r w:rsidR="00160A58">
        <w:t>-</w:t>
      </w:r>
      <w:r>
        <w:t>term impact analysis. This data is</w:t>
      </w:r>
      <w:r w:rsidR="00745CD0">
        <w:t>,</w:t>
      </w:r>
      <w:r>
        <w:t xml:space="preserve"> however</w:t>
      </w:r>
      <w:r w:rsidR="00745CD0">
        <w:t>,</w:t>
      </w:r>
      <w:r>
        <w:t xml:space="preserve"> </w:t>
      </w:r>
      <w:r w:rsidR="007D02AB">
        <w:t xml:space="preserve">largely </w:t>
      </w:r>
      <w:r>
        <w:t xml:space="preserve">representative of TtW </w:t>
      </w:r>
      <w:r w:rsidR="007D02AB">
        <w:t>across</w:t>
      </w:r>
      <w:r>
        <w:t xml:space="preserve"> the whole study period.</w:t>
      </w:r>
    </w:p>
  </w:footnote>
  <w:footnote w:id="20">
    <w:p w14:paraId="2EAADA47" w14:textId="09A3B463" w:rsidR="007D02AB" w:rsidRPr="00745CD0" w:rsidRDefault="007D02AB" w:rsidP="007D02AB">
      <w:pPr>
        <w:pStyle w:val="Footnote0"/>
      </w:pPr>
      <w:r>
        <w:rPr>
          <w:rStyle w:val="FootnoteReference"/>
        </w:rPr>
        <w:footnoteRef/>
      </w:r>
      <w:r>
        <w:t xml:space="preserve"> Homelessness rate for people 19</w:t>
      </w:r>
      <w:r w:rsidR="00935D44">
        <w:t xml:space="preserve"> to </w:t>
      </w:r>
      <w:r>
        <w:t>24</w:t>
      </w:r>
      <w:r w:rsidR="00745CD0">
        <w:t xml:space="preserve"> years old</w:t>
      </w:r>
      <w:r>
        <w:t xml:space="preserve"> was 0.95%</w:t>
      </w:r>
      <w:r w:rsidR="00745CD0">
        <w:t>;</w:t>
      </w:r>
      <w:r>
        <w:t xml:space="preserve"> </w:t>
      </w:r>
      <w:r w:rsidR="00745CD0">
        <w:t>h</w:t>
      </w:r>
      <w:r>
        <w:t>omelessness rate for</w:t>
      </w:r>
      <w:r w:rsidR="00745CD0">
        <w:t xml:space="preserve"> people</w:t>
      </w:r>
      <w:r>
        <w:t xml:space="preserve"> 12</w:t>
      </w:r>
      <w:r w:rsidR="00935D44">
        <w:t xml:space="preserve"> to </w:t>
      </w:r>
      <w:r>
        <w:t>18</w:t>
      </w:r>
      <w:r w:rsidR="00745CD0">
        <w:t xml:space="preserve"> years old</w:t>
      </w:r>
      <w:r>
        <w:t xml:space="preserve"> was 0.5%. ‘Homeless’ includes improvised dwellings, tents, sleeping out, supported accommodation, temporary arrangements with other households, boarding houses, other temp</w:t>
      </w:r>
      <w:r w:rsidR="00745CD0">
        <w:t>orary</w:t>
      </w:r>
      <w:r>
        <w:t xml:space="preserve"> lodgings,</w:t>
      </w:r>
      <w:r w:rsidR="00745CD0">
        <w:t xml:space="preserve"> and</w:t>
      </w:r>
      <w:r>
        <w:t xml:space="preserve"> severely crowded dwellings. Source: </w:t>
      </w:r>
      <w:r w:rsidRPr="004A440A">
        <w:rPr>
          <w:b/>
          <w:bCs/>
        </w:rPr>
        <w:t>ABS 2016</w:t>
      </w:r>
      <w:r w:rsidR="00745CD0">
        <w:t>.</w:t>
      </w:r>
    </w:p>
  </w:footnote>
  <w:footnote w:id="21">
    <w:p w14:paraId="207517B0" w14:textId="5D6ABA07" w:rsidR="007D02AB" w:rsidRDefault="007D02AB" w:rsidP="007D02AB">
      <w:pPr>
        <w:pStyle w:val="Footnote0"/>
      </w:pPr>
      <w:r>
        <w:rPr>
          <w:rStyle w:val="FootnoteReference"/>
        </w:rPr>
        <w:footnoteRef/>
      </w:r>
      <w:r>
        <w:t xml:space="preserve"> TtW ‘ex offender’ includes participants who self-disclosed in their initial JSCI assessment that they ha</w:t>
      </w:r>
      <w:r w:rsidR="00745CD0">
        <w:t>d</w:t>
      </w:r>
      <w:r>
        <w:t xml:space="preserve"> any criminal conviction that </w:t>
      </w:r>
      <w:r w:rsidR="00745CD0">
        <w:t>was</w:t>
      </w:r>
      <w:r>
        <w:t xml:space="preserve"> either</w:t>
      </w:r>
      <w:r w:rsidR="00745CD0">
        <w:t xml:space="preserve"> a</w:t>
      </w:r>
      <w:r>
        <w:t xml:space="preserve"> non-custodial sentence or any length of custodial sentence. There is no equivalent data for the broader population but</w:t>
      </w:r>
      <w:r w:rsidR="00745CD0">
        <w:t>,</w:t>
      </w:r>
      <w:r>
        <w:t xml:space="preserve"> as an indication</w:t>
      </w:r>
      <w:bookmarkStart w:id="451" w:name="_Hlk110594800"/>
      <w:r>
        <w:t>, imprisonment rate for 18</w:t>
      </w:r>
      <w:r w:rsidR="00745CD0">
        <w:t xml:space="preserve"> year olds</w:t>
      </w:r>
      <w:r>
        <w:t xml:space="preserve"> was 0.</w:t>
      </w:r>
      <w:r w:rsidR="00E42526">
        <w:t>0</w:t>
      </w:r>
      <w:r>
        <w:t>7%, 19</w:t>
      </w:r>
      <w:r w:rsidR="00745CD0">
        <w:t xml:space="preserve"> year olds</w:t>
      </w:r>
      <w:r>
        <w:t xml:space="preserve"> </w:t>
      </w:r>
      <w:r w:rsidR="00E42526">
        <w:t>0.</w:t>
      </w:r>
      <w:r>
        <w:t>15% and 20</w:t>
      </w:r>
      <w:r w:rsidR="00745CD0">
        <w:t>–</w:t>
      </w:r>
      <w:r>
        <w:t xml:space="preserve">24 </w:t>
      </w:r>
      <w:r w:rsidR="00745CD0">
        <w:t>year olds</w:t>
      </w:r>
      <w:r>
        <w:t xml:space="preserve"> </w:t>
      </w:r>
      <w:r w:rsidR="00E42526">
        <w:t>0.</w:t>
      </w:r>
      <w:r>
        <w:t>23% in 2020</w:t>
      </w:r>
      <w:r w:rsidR="00745CD0">
        <w:t>.</w:t>
      </w:r>
      <w:r>
        <w:t xml:space="preserve"> </w:t>
      </w:r>
      <w:bookmarkEnd w:id="451"/>
      <w:r w:rsidR="00745CD0">
        <w:t>S</w:t>
      </w:r>
      <w:r>
        <w:t xml:space="preserve">ource: </w:t>
      </w:r>
      <w:bookmarkStart w:id="452" w:name="_Hlk110594819"/>
      <w:r w:rsidR="00CF455B" w:rsidRPr="004A440A">
        <w:rPr>
          <w:b/>
          <w:bCs/>
        </w:rPr>
        <w:t>ABS 2021c</w:t>
      </w:r>
      <w:r w:rsidR="00745CD0">
        <w:t>.</w:t>
      </w:r>
      <w:r w:rsidR="00CF455B">
        <w:t xml:space="preserve"> </w:t>
      </w:r>
      <w:bookmarkEnd w:id="452"/>
    </w:p>
  </w:footnote>
  <w:footnote w:id="22">
    <w:p w14:paraId="3314B8A3" w14:textId="61A777CA" w:rsidR="00C84D14" w:rsidRDefault="00C84D14" w:rsidP="00956075">
      <w:pPr>
        <w:pStyle w:val="Footnote0"/>
      </w:pPr>
      <w:r>
        <w:rPr>
          <w:rStyle w:val="FootnoteReference"/>
        </w:rPr>
        <w:footnoteRef/>
      </w:r>
      <w:r>
        <w:t xml:space="preserve"> </w:t>
      </w:r>
      <w:r w:rsidRPr="00943455">
        <w:t>The 2019</w:t>
      </w:r>
      <w:r w:rsidR="00DC3738">
        <w:t>–</w:t>
      </w:r>
      <w:r w:rsidRPr="00943455">
        <w:t>20 bushfires primarily affected the east coast of Australia (</w:t>
      </w:r>
      <w:r w:rsidR="009F1529" w:rsidRPr="00C239FD">
        <w:t>Q</w:t>
      </w:r>
      <w:r w:rsidR="009F1529">
        <w:t>ueensland</w:t>
      </w:r>
      <w:r w:rsidR="00C54D12">
        <w:t>,</w:t>
      </w:r>
      <w:r w:rsidRPr="00943455">
        <w:t xml:space="preserve"> </w:t>
      </w:r>
      <w:r w:rsidR="009F1529">
        <w:t>New South Wales</w:t>
      </w:r>
      <w:r w:rsidR="009F1529" w:rsidRPr="00943455">
        <w:t xml:space="preserve"> </w:t>
      </w:r>
      <w:r w:rsidRPr="00943455">
        <w:t xml:space="preserve">and </w:t>
      </w:r>
      <w:r w:rsidRPr="009F1529">
        <w:t>Victoria</w:t>
      </w:r>
      <w:r w:rsidR="009F1529">
        <w:t>)</w:t>
      </w:r>
      <w:r w:rsidR="00C54D12" w:rsidRPr="009F1529">
        <w:t>,</w:t>
      </w:r>
      <w:r w:rsidRPr="009F1529">
        <w:t xml:space="preserve"> southern parts of Victoria</w:t>
      </w:r>
      <w:r w:rsidRPr="00943455">
        <w:t xml:space="preserve"> and South A</w:t>
      </w:r>
      <w:r>
        <w:t>u</w:t>
      </w:r>
      <w:r w:rsidRPr="00943455">
        <w:t>stralia</w:t>
      </w:r>
      <w:r w:rsidR="00C54D12">
        <w:t>,</w:t>
      </w:r>
      <w:r w:rsidRPr="00943455">
        <w:t xml:space="preserve"> and central east Tasmania</w:t>
      </w:r>
      <w:r>
        <w:t>, and flooding had</w:t>
      </w:r>
      <w:r w:rsidR="00C54D12">
        <w:t xml:space="preserve"> the</w:t>
      </w:r>
      <w:r>
        <w:t xml:space="preserve"> most significant impact in northern </w:t>
      </w:r>
      <w:r w:rsidR="009F1529">
        <w:t>New South Wales</w:t>
      </w:r>
      <w:r>
        <w:t>. While COVID-19 had an impact Australia</w:t>
      </w:r>
      <w:r w:rsidR="00C54D12">
        <w:t xml:space="preserve"> </w:t>
      </w:r>
      <w:r>
        <w:t>wide, with a shutdown of all non-essential services and additional restrictions nationwide between March and May 2020, restrictions remained in place or resumed in different states at different times depending on the severity of the outbreak throughout 2020 and 2021.</w:t>
      </w:r>
    </w:p>
  </w:footnote>
  <w:footnote w:id="23">
    <w:p w14:paraId="6CA60634" w14:textId="69607A46" w:rsidR="002E060D" w:rsidRDefault="002E060D" w:rsidP="00956075">
      <w:pPr>
        <w:pStyle w:val="Footnote0"/>
      </w:pPr>
      <w:r w:rsidRPr="00956075">
        <w:rPr>
          <w:rStyle w:val="FootnoteReference"/>
        </w:rPr>
        <w:footnoteRef/>
      </w:r>
      <w:r w:rsidRPr="00956075">
        <w:t xml:space="preserve"> TtW has been continued as the youth specialist service in Workforce Australia, with new contracts signed for 2022 </w:t>
      </w:r>
      <w:r w:rsidR="008008BD">
        <w:t>to</w:t>
      </w:r>
      <w:r w:rsidRPr="00956075">
        <w:t xml:space="preserve"> 2027.</w:t>
      </w:r>
    </w:p>
  </w:footnote>
  <w:footnote w:id="24">
    <w:p w14:paraId="45502668" w14:textId="353FB449" w:rsidR="00646D6A" w:rsidRDefault="00646D6A" w:rsidP="001431BC">
      <w:pPr>
        <w:pStyle w:val="Footnote0"/>
      </w:pPr>
      <w:r>
        <w:rPr>
          <w:rStyle w:val="FootnoteReference"/>
        </w:rPr>
        <w:footnoteRef/>
      </w:r>
      <w:r>
        <w:t xml:space="preserve"> Youth Jobs PATH was a</w:t>
      </w:r>
      <w:r w:rsidR="00E50154">
        <w:t>n Australian</w:t>
      </w:r>
      <w:r>
        <w:t xml:space="preserve"> Government service that aimed to help young people gain the skills and work experience needed to get a job</w:t>
      </w:r>
      <w:r w:rsidR="00E50154">
        <w:t>. It included employability skills training for a participant that could be tailored to a specific employer, supported businesses to trial young people in the workplace and provided a financial incentive to businesses to hire young people into ongoing work.</w:t>
      </w:r>
    </w:p>
  </w:footnote>
  <w:footnote w:id="25">
    <w:p w14:paraId="62EC0E8A" w14:textId="77777777" w:rsidR="00053E96" w:rsidRDefault="00053E96" w:rsidP="00956075">
      <w:pPr>
        <w:pStyle w:val="Footnote0"/>
      </w:pPr>
      <w:r>
        <w:rPr>
          <w:rStyle w:val="FootnoteReference"/>
        </w:rPr>
        <w:footnoteRef/>
      </w:r>
      <w:r>
        <w:t xml:space="preserve"> </w:t>
      </w:r>
      <w:r w:rsidRPr="00A3175A">
        <w:t xml:space="preserve">Closing the Gap Agreement, Outcome 7: Aboriginal and Torres Strait Islander young people are engaged in employment or education. Target 7: By 2031, increase the proportion of Aboriginal and Torres Strait Islander youth (15 </w:t>
      </w:r>
      <w:r w:rsidR="008008BD">
        <w:t xml:space="preserve">to </w:t>
      </w:r>
      <w:r w:rsidRPr="00A3175A">
        <w:t xml:space="preserve">24 years) who are in employment, education or </w:t>
      </w:r>
      <w:r w:rsidRPr="00956075">
        <w:t>training</w:t>
      </w:r>
      <w:r w:rsidRPr="00A3175A">
        <w:t xml:space="preserve"> to 67%.</w:t>
      </w:r>
      <w:r>
        <w:t xml:space="preserve"> </w:t>
      </w:r>
      <w:r w:rsidRPr="00631C09">
        <w:t>From 1 January 2018, under the Closing the Gap Agreement, eligibility requirements were expanded to include Aboriginal or Torres Strait Islander young people, irrespective of whether they have completed Year 12 or a Certificate III or higher.</w:t>
      </w:r>
    </w:p>
  </w:footnote>
  <w:footnote w:id="26">
    <w:p w14:paraId="7B86E339" w14:textId="4C1674DB" w:rsidR="003F32F8" w:rsidRDefault="003F32F8" w:rsidP="00956075">
      <w:pPr>
        <w:pStyle w:val="Footnote0"/>
      </w:pPr>
      <w:r>
        <w:rPr>
          <w:rStyle w:val="FootnoteReference"/>
        </w:rPr>
        <w:footnoteRef/>
      </w:r>
      <w:r>
        <w:t xml:space="preserve"> </w:t>
      </w:r>
      <w:r w:rsidRPr="00D71CC8">
        <w:rPr>
          <w:lang w:val="en-US"/>
        </w:rPr>
        <w:t xml:space="preserve">Examples include Perales et al (2018), </w:t>
      </w:r>
      <w:r>
        <w:rPr>
          <w:lang w:val="en-US"/>
        </w:rPr>
        <w:t>Bond et al (2020)</w:t>
      </w:r>
      <w:r w:rsidR="00494CA0">
        <w:rPr>
          <w:lang w:val="en-US"/>
        </w:rPr>
        <w:t>,</w:t>
      </w:r>
      <w:r w:rsidRPr="00D71CC8">
        <w:rPr>
          <w:lang w:val="en-US"/>
        </w:rPr>
        <w:t xml:space="preserve"> Egdell and Graham (2016), </w:t>
      </w:r>
      <w:r w:rsidR="00494CA0">
        <w:rPr>
          <w:lang w:val="en-US"/>
        </w:rPr>
        <w:t xml:space="preserve">Busi </w:t>
      </w:r>
      <w:r w:rsidR="00B505DC">
        <w:rPr>
          <w:lang w:val="en-US"/>
        </w:rPr>
        <w:t xml:space="preserve">(2011), Carlisle et al (2019) and </w:t>
      </w:r>
      <w:r w:rsidRPr="00D71CC8">
        <w:rPr>
          <w:lang w:val="en-US"/>
        </w:rPr>
        <w:t xml:space="preserve">Mission </w:t>
      </w:r>
      <w:r w:rsidRPr="00956075">
        <w:t>Australia</w:t>
      </w:r>
      <w:r w:rsidRPr="00D71CC8">
        <w:rPr>
          <w:lang w:val="en-US"/>
        </w:rPr>
        <w:t xml:space="preserve"> (various years).</w:t>
      </w:r>
    </w:p>
  </w:footnote>
  <w:footnote w:id="27">
    <w:p w14:paraId="26307FDB" w14:textId="1AB232FB" w:rsidR="005446AD" w:rsidRDefault="005446AD" w:rsidP="00956075">
      <w:pPr>
        <w:pStyle w:val="Footnote0"/>
      </w:pPr>
      <w:r>
        <w:rPr>
          <w:rStyle w:val="FootnoteReference"/>
        </w:rPr>
        <w:footnoteRef/>
      </w:r>
      <w:r>
        <w:t xml:space="preserve"> </w:t>
      </w:r>
      <w:r w:rsidRPr="00D0172A">
        <w:t xml:space="preserve">In order to be able </w:t>
      </w:r>
      <w:r w:rsidR="00E13AC9">
        <w:t>to</w:t>
      </w:r>
      <w:r w:rsidRPr="00D0172A">
        <w:t xml:space="preserve"> </w:t>
      </w:r>
      <w:r w:rsidRPr="00956075">
        <w:t>attribute</w:t>
      </w:r>
      <w:r w:rsidRPr="00D0172A">
        <w:t xml:space="preserve"> participant outcomes to engagement with TtW, a group of matched participants from jobactive was identified to use as a comparison group (</w:t>
      </w:r>
      <w:r w:rsidR="001E123F">
        <w:t>that is,</w:t>
      </w:r>
      <w:r w:rsidRPr="00D0172A">
        <w:t xml:space="preserve"> the ‘without TtW service’</w:t>
      </w:r>
      <w:r>
        <w:t xml:space="preserve"> comparison</w:t>
      </w:r>
      <w:r w:rsidRPr="00D0172A">
        <w:t>).</w:t>
      </w:r>
    </w:p>
  </w:footnote>
  <w:footnote w:id="28">
    <w:p w14:paraId="06DA3CF6" w14:textId="70AB653C" w:rsidR="00820CFF" w:rsidRDefault="00820CFF" w:rsidP="00956075">
      <w:pPr>
        <w:pStyle w:val="Footnote0"/>
      </w:pPr>
      <w:r>
        <w:rPr>
          <w:rStyle w:val="FootnoteReference"/>
        </w:rPr>
        <w:footnoteRef/>
      </w:r>
      <w:r>
        <w:t xml:space="preserve"> A participant was identified as experiencing LMA if they demonstrated any of the following factors in any fortnight of the study period: reported earnings to </w:t>
      </w:r>
      <w:r w:rsidR="009F1529">
        <w:t>the Department of Human Services</w:t>
      </w:r>
      <w:r>
        <w:t>, received no income support payment, received an income support payment below their initial base rate, or recorded part-time or casual employment as an activity or had a confirmed job placement recorded in the department</w:t>
      </w:r>
      <w:r w:rsidR="0094404A">
        <w:t>’</w:t>
      </w:r>
      <w:r>
        <w:t>s IT system.</w:t>
      </w:r>
    </w:p>
  </w:footnote>
  <w:footnote w:id="29">
    <w:p w14:paraId="47209848" w14:textId="31DB4DD2" w:rsidR="005E200A" w:rsidRPr="00FE52A5" w:rsidRDefault="005E200A" w:rsidP="000D458D">
      <w:pPr>
        <w:pStyle w:val="Footnote0"/>
      </w:pPr>
      <w:r>
        <w:rPr>
          <w:rStyle w:val="FootnoteReference"/>
        </w:rPr>
        <w:footnoteRef/>
      </w:r>
      <w:r>
        <w:t xml:space="preserve"> </w:t>
      </w:r>
      <w:r w:rsidRPr="001431BC">
        <w:t>Unemployment has been found to be detrimental to wellbeing, linked to psychological distress, shame, depression and life dissatisfaction. This has been another driver in the focus on programs that ‘activate’ welfare to work, in the belief that ‘work builds self‐esteem, self‐</w:t>
      </w:r>
      <w:r w:rsidRPr="00956075">
        <w:t>confidence</w:t>
      </w:r>
      <w:r w:rsidRPr="001431BC">
        <w:t xml:space="preserve"> and self‐worth’ (Carter and Whitworth 2017). Further to this, there is evidence that where activation programs focus on enabling people to feel in control of their life and able to design and move towards a desired future life and support people to take part in activities that are self-directed, meaningful and relevant, they are more successful at enhancing participant wellbeing (Carter and Whitworth 2017).</w:t>
      </w:r>
    </w:p>
  </w:footnote>
  <w:footnote w:id="30">
    <w:p w14:paraId="4C344DBA" w14:textId="4AA7BD58" w:rsidR="004D2DCA" w:rsidRDefault="004D2DCA" w:rsidP="000D458D">
      <w:pPr>
        <w:pStyle w:val="Footnote0"/>
      </w:pPr>
      <w:r>
        <w:rPr>
          <w:rStyle w:val="FootnoteReference"/>
        </w:rPr>
        <w:footnoteRef/>
      </w:r>
      <w:r>
        <w:t xml:space="preserve"> As outlined </w:t>
      </w:r>
      <w:r w:rsidR="00272086">
        <w:t xml:space="preserve">in the program logic </w:t>
      </w:r>
      <w:r w:rsidR="0004297C">
        <w:t xml:space="preserve">that </w:t>
      </w:r>
      <w:r w:rsidR="00B06FC2">
        <w:t>was developed to underpin</w:t>
      </w:r>
      <w:r w:rsidR="000170E6">
        <w:t xml:space="preserve"> the TtW Supplementary Evaluation</w:t>
      </w:r>
      <w:r w:rsidR="0004297C">
        <w:t>.</w:t>
      </w:r>
    </w:p>
  </w:footnote>
  <w:footnote w:id="31">
    <w:p w14:paraId="7E545E54" w14:textId="169CD263" w:rsidR="0005306A" w:rsidRDefault="0005306A" w:rsidP="000D458D">
      <w:pPr>
        <w:pStyle w:val="Footnote0"/>
      </w:pPr>
      <w:r>
        <w:rPr>
          <w:rStyle w:val="FootnoteReference"/>
        </w:rPr>
        <w:footnoteRef/>
      </w:r>
      <w:r>
        <w:t xml:space="preserve"> Human capabilities include</w:t>
      </w:r>
      <w:r w:rsidRPr="00E03C8E">
        <w:t xml:space="preserve"> personal psycho</w:t>
      </w:r>
      <w:r>
        <w:t>social</w:t>
      </w:r>
      <w:r w:rsidRPr="00E03C8E">
        <w:t xml:space="preserve"> capabilities such as</w:t>
      </w:r>
      <w:r>
        <w:t xml:space="preserve"> self-confidence, </w:t>
      </w:r>
      <w:r w:rsidRPr="00E03C8E">
        <w:t xml:space="preserve">resilience and ability to cope with setbacks, physical and mental </w:t>
      </w:r>
      <w:r w:rsidRPr="00956075">
        <w:t>health</w:t>
      </w:r>
      <w:r w:rsidRPr="00E03C8E">
        <w:t>, motivation and sense of control over their lives; and capability influencers including social connections and ability to access social supports and services</w:t>
      </w:r>
      <w:r w:rsidR="00287C1E">
        <w:t>.</w:t>
      </w:r>
    </w:p>
  </w:footnote>
  <w:footnote w:id="32">
    <w:p w14:paraId="2A5F901E" w14:textId="415A7FC1" w:rsidR="005E7D76" w:rsidRDefault="005E7D76" w:rsidP="00BA3315">
      <w:pPr>
        <w:pStyle w:val="Footnote0"/>
      </w:pPr>
      <w:r>
        <w:rPr>
          <w:rStyle w:val="FootnoteReference"/>
        </w:rPr>
        <w:footnoteRef/>
      </w:r>
      <w:r>
        <w:t xml:space="preserve"> Acknowledging that there are many independent factors that influence longer</w:t>
      </w:r>
      <w:r w:rsidR="006347BA">
        <w:t>-</w:t>
      </w:r>
      <w:r>
        <w:t>term outcomes. Specifically, COVID</w:t>
      </w:r>
      <w:r w:rsidR="0023490A">
        <w:t>-</w:t>
      </w:r>
      <w:r>
        <w:t xml:space="preserve">19 had a significant impact on the lives of many participants in the later 18 months of this period (from March 2020), requiring this ‘COVID period’ to be delineated and specifically discussed. </w:t>
      </w:r>
    </w:p>
  </w:footnote>
  <w:footnote w:id="33">
    <w:p w14:paraId="335AA4AA" w14:textId="77777777" w:rsidR="005B4FD6" w:rsidRDefault="005B4FD6" w:rsidP="00956075">
      <w:pPr>
        <w:pStyle w:val="Footnote0"/>
      </w:pPr>
      <w:r>
        <w:rPr>
          <w:rStyle w:val="FootnoteReference"/>
        </w:rPr>
        <w:footnoteRef/>
      </w:r>
      <w:r>
        <w:t xml:space="preserve"> Qualitative research adds context and explores the how and why of impacts. It both provides a check and deepens our understanding of the meaning of findings that are arrived at through more qualitative data collection methods. Participants in </w:t>
      </w:r>
      <w:r w:rsidRPr="00956075">
        <w:t>qualitative</w:t>
      </w:r>
      <w:r>
        <w:t xml:space="preserve"> research were not selected to be representative of all participants. Therefore, qualitative findings cannot be extrapolated to all participants.</w:t>
      </w:r>
    </w:p>
  </w:footnote>
  <w:footnote w:id="34">
    <w:p w14:paraId="376BE44D" w14:textId="77777777" w:rsidR="005B4FD6" w:rsidRDefault="005B4FD6" w:rsidP="005B4FD6">
      <w:pPr>
        <w:pStyle w:val="Footnote0"/>
      </w:pPr>
      <w:r>
        <w:rPr>
          <w:rStyle w:val="FootnoteReference"/>
        </w:rPr>
        <w:footnoteRef/>
      </w:r>
      <w:r>
        <w:t xml:space="preserve"> This was the date on which fieldwork began.</w:t>
      </w:r>
    </w:p>
  </w:footnote>
  <w:footnote w:id="35">
    <w:p w14:paraId="41222FF2" w14:textId="77777777" w:rsidR="005B4FD6" w:rsidRDefault="005B4FD6" w:rsidP="00956075">
      <w:pPr>
        <w:pStyle w:val="Footnote0"/>
      </w:pPr>
      <w:r>
        <w:rPr>
          <w:rStyle w:val="FootnoteReference"/>
        </w:rPr>
        <w:footnoteRef/>
      </w:r>
      <w:r>
        <w:t xml:space="preserve"> To be </w:t>
      </w:r>
      <w:r w:rsidRPr="00956075">
        <w:t>included</w:t>
      </w:r>
      <w:r>
        <w:t xml:space="preserve"> in the study population, participants also needed to have a contact phone number or email, not be excluded from research, and be 16 years or over at the time of the research.</w:t>
      </w:r>
    </w:p>
  </w:footnote>
  <w:footnote w:id="36">
    <w:p w14:paraId="2D707799" w14:textId="0DF046A2" w:rsidR="00F66A3E" w:rsidRDefault="00F66A3E" w:rsidP="00F66A3E">
      <w:pPr>
        <w:pStyle w:val="Footnote0"/>
      </w:pPr>
      <w:r>
        <w:rPr>
          <w:rStyle w:val="FootnoteReference"/>
        </w:rPr>
        <w:footnoteRef/>
      </w:r>
      <w:r>
        <w:t xml:space="preserve"> </w:t>
      </w:r>
      <w:r w:rsidRPr="00474AC3">
        <w:t>In the past 12 months have you personally experienced any of the following?</w:t>
      </w:r>
      <w:r w:rsidR="008B2565">
        <w:t xml:space="preserve"> …</w:t>
      </w:r>
      <w:r w:rsidRPr="00454CDF">
        <w:t xml:space="preserve"> </w:t>
      </w:r>
      <w:r>
        <w:t>a) Family / domestic violence, b) Moving house, c) You were robbed or your home burgled, d) The death of someone close to you, e) A marriage/relationship breakdown, f) A serious injury, g) Serious illness, h) Financial hardship [yes, no, unsure, refused</w:t>
      </w:r>
      <w:r w:rsidR="00311E4F">
        <w:t>].</w:t>
      </w:r>
    </w:p>
  </w:footnote>
  <w:footnote w:id="37">
    <w:p w14:paraId="69991E52" w14:textId="55D27477" w:rsidR="002113EA" w:rsidRDefault="002113EA" w:rsidP="00956075">
      <w:pPr>
        <w:pStyle w:val="Footnote0"/>
      </w:pPr>
      <w:r>
        <w:rPr>
          <w:rStyle w:val="FootnoteReference"/>
        </w:rPr>
        <w:footnoteRef/>
      </w:r>
      <w:r>
        <w:t xml:space="preserve"> </w:t>
      </w:r>
      <w:r w:rsidRPr="002113EA">
        <w:t>jobactive was the Australian Government’s previous employment service</w:t>
      </w:r>
      <w:r w:rsidR="009E4B68">
        <w:t>s</w:t>
      </w:r>
      <w:r w:rsidRPr="002113EA">
        <w:t xml:space="preserve"> model that commenced on 1 July 2015 and was replaced by Workforce Australia Employment Services on 4 July 2022. This evaluation of TtW was undertaken </w:t>
      </w:r>
      <w:r w:rsidR="003B705A">
        <w:t>before</w:t>
      </w:r>
      <w:r w:rsidRPr="002113EA">
        <w:t xml:space="preserve"> this change, and hence refers to jobactive as the alternative employment service that young people could, at that time, choose to access.</w:t>
      </w:r>
    </w:p>
  </w:footnote>
  <w:footnote w:id="38">
    <w:p w14:paraId="310D3C62" w14:textId="52497D1D" w:rsidR="00E62103" w:rsidRDefault="00E62103" w:rsidP="00956075">
      <w:pPr>
        <w:pStyle w:val="Footnote0"/>
      </w:pPr>
      <w:r>
        <w:rPr>
          <w:rStyle w:val="FootnoteReference"/>
        </w:rPr>
        <w:footnoteRef/>
      </w:r>
      <w:r>
        <w:t xml:space="preserve"> </w:t>
      </w:r>
      <w:r w:rsidR="00597F34">
        <w:t xml:space="preserve">This filter was necessary as the </w:t>
      </w:r>
      <w:r w:rsidR="00460C2F">
        <w:t>analysis used exits f</w:t>
      </w:r>
      <w:r w:rsidR="009408C6">
        <w:t>ro</w:t>
      </w:r>
      <w:r w:rsidR="00460C2F">
        <w:t>m income support as an indicator of a participant gaining employment</w:t>
      </w:r>
      <w:r w:rsidR="009E4B68">
        <w:t>;</w:t>
      </w:r>
      <w:r w:rsidR="006F5A86">
        <w:t xml:space="preserve"> however</w:t>
      </w:r>
      <w:r w:rsidR="009E4B68">
        <w:t>,</w:t>
      </w:r>
      <w:r w:rsidR="006F5A86">
        <w:t xml:space="preserve"> it should be noted that this filtered out almost all TtW Group 2 participants from the </w:t>
      </w:r>
      <w:r w:rsidR="003B3001">
        <w:t>study population</w:t>
      </w:r>
      <w:r w:rsidR="00316F77">
        <w:t xml:space="preserve"> (</w:t>
      </w:r>
      <w:r w:rsidR="000322C3">
        <w:t xml:space="preserve">Group 2 participants made up </w:t>
      </w:r>
      <w:r w:rsidR="00316F77">
        <w:t>less than 5% of the overall TtW population)</w:t>
      </w:r>
      <w:r w:rsidR="003B3001">
        <w:t>. This analysis should not therefor be used to draw explicit conclusions about the impact of TtW on volunteers in the longer</w:t>
      </w:r>
      <w:r w:rsidR="009E4B68">
        <w:t xml:space="preserve"> </w:t>
      </w:r>
      <w:r w:rsidR="003B3001">
        <w:t>term.</w:t>
      </w:r>
    </w:p>
  </w:footnote>
  <w:footnote w:id="39">
    <w:p w14:paraId="6CB65B75" w14:textId="6851A616" w:rsidR="008C2F3A" w:rsidRDefault="008C2F3A" w:rsidP="00956075">
      <w:pPr>
        <w:pStyle w:val="Footnote0"/>
      </w:pPr>
      <w:r>
        <w:rPr>
          <w:rStyle w:val="FootnoteReference"/>
        </w:rPr>
        <w:footnoteRef/>
      </w:r>
      <w:r>
        <w:t xml:space="preserve"> </w:t>
      </w:r>
      <w:r w:rsidR="00BD7031">
        <w:t>A very small proportion of participants moved off inc</w:t>
      </w:r>
      <w:r w:rsidR="00312254">
        <w:t>o</w:t>
      </w:r>
      <w:r w:rsidR="00BD7031">
        <w:t xml:space="preserve">me support for a </w:t>
      </w:r>
      <w:r w:rsidR="00312254">
        <w:t>study</w:t>
      </w:r>
      <w:r w:rsidR="00C01C3D">
        <w:t>-</w:t>
      </w:r>
      <w:r w:rsidR="00312254">
        <w:t xml:space="preserve">related reason. This has been included here as this is seen to be a </w:t>
      </w:r>
      <w:r w:rsidR="00991A00">
        <w:t>positive reason for exiting</w:t>
      </w:r>
      <w:r w:rsidR="00312254">
        <w:t xml:space="preserve"> </w:t>
      </w:r>
      <w:r w:rsidR="00991A00">
        <w:t xml:space="preserve">IS. For simplicity this </w:t>
      </w:r>
      <w:r w:rsidR="0090678D">
        <w:t>measure is named ‘employment’</w:t>
      </w:r>
      <w:r w:rsidR="00C01C3D">
        <w:t>.</w:t>
      </w:r>
    </w:p>
  </w:footnote>
  <w:footnote w:id="40">
    <w:p w14:paraId="34FB810E" w14:textId="1F5D910E" w:rsidR="00F016F8" w:rsidRDefault="00F016F8" w:rsidP="00956075">
      <w:pPr>
        <w:pStyle w:val="Footnote0"/>
      </w:pPr>
      <w:r>
        <w:rPr>
          <w:rStyle w:val="FootnoteReference"/>
        </w:rPr>
        <w:footnoteRef/>
      </w:r>
      <w:r>
        <w:t xml:space="preserve"> Exits from IS are only recorded when a participant has been off IS for 13 weeks when they have been on IS for a continuous period of at least 12 months, or 6 weeks when they have been on IS for a continuous period of less than 12</w:t>
      </w:r>
      <w:r w:rsidR="00C01C3D">
        <w:t> </w:t>
      </w:r>
      <w:r>
        <w:t xml:space="preserve">months. </w:t>
      </w:r>
    </w:p>
  </w:footnote>
  <w:footnote w:id="41">
    <w:p w14:paraId="2B2213DA" w14:textId="6392919D" w:rsidR="00681433" w:rsidRDefault="00681433" w:rsidP="00956075">
      <w:pPr>
        <w:pStyle w:val="Footnote0"/>
      </w:pPr>
      <w:r>
        <w:rPr>
          <w:rStyle w:val="FootnoteReference"/>
        </w:rPr>
        <w:footnoteRef/>
      </w:r>
      <w:r>
        <w:t xml:space="preserve"> These apprentices should be included in the above </w:t>
      </w:r>
      <w:r w:rsidR="00C01C3D">
        <w:t>‘e</w:t>
      </w:r>
      <w:r>
        <w:t xml:space="preserve">mployment’ </w:t>
      </w:r>
      <w:r w:rsidR="00191978">
        <w:t>indicator</w:t>
      </w:r>
      <w:r w:rsidR="00C01C3D">
        <w:t>.</w:t>
      </w:r>
    </w:p>
  </w:footnote>
  <w:footnote w:id="42">
    <w:p w14:paraId="07FB8B70" w14:textId="77777777" w:rsidR="005B4FD6" w:rsidRDefault="005B4FD6" w:rsidP="00956075">
      <w:pPr>
        <w:pStyle w:val="Footnote0"/>
      </w:pPr>
      <w:r>
        <w:rPr>
          <w:rStyle w:val="FootnoteReference"/>
        </w:rPr>
        <w:footnoteRef/>
      </w:r>
      <w:r>
        <w:t xml:space="preserve"> The policy change affected the eligibility of participants who commenced in TtW from 1 July 2019, as they were now able to remain in the program for over 12 months even if they were not tracking for an outcome. </w:t>
      </w:r>
    </w:p>
  </w:footnote>
  <w:footnote w:id="43">
    <w:p w14:paraId="5820FF95" w14:textId="705015D6" w:rsidR="005B4FD6" w:rsidRDefault="005B4FD6" w:rsidP="00956075">
      <w:pPr>
        <w:pStyle w:val="Footnote0"/>
      </w:pPr>
      <w:r>
        <w:rPr>
          <w:rStyle w:val="FootnoteReference"/>
        </w:rPr>
        <w:footnoteRef/>
      </w:r>
      <w:r>
        <w:t xml:space="preserve"> In order to enable the analysis to examine outcomes for 18 months post policy change, the end dat</w:t>
      </w:r>
      <w:r w:rsidR="002D0DEC">
        <w:t>e</w:t>
      </w:r>
      <w:r>
        <w:t xml:space="preserve"> for the ‘max</w:t>
      </w:r>
      <w:r w:rsidR="00C01C3D">
        <w:t>imum</w:t>
      </w:r>
      <w:r>
        <w:t xml:space="preserve"> 18</w:t>
      </w:r>
      <w:r w:rsidR="00C01C3D">
        <w:t> </w:t>
      </w:r>
      <w:r>
        <w:t>month’ population was set at 30 June 2020.</w:t>
      </w:r>
    </w:p>
  </w:footnote>
  <w:footnote w:id="44">
    <w:p w14:paraId="04F9E44E" w14:textId="4B62AC80" w:rsidR="005B4FD6" w:rsidRDefault="005B4FD6" w:rsidP="00956075">
      <w:pPr>
        <w:pStyle w:val="Footnote0"/>
      </w:pPr>
      <w:r>
        <w:rPr>
          <w:rStyle w:val="FootnoteReference"/>
        </w:rPr>
        <w:footnoteRef/>
      </w:r>
      <w:r>
        <w:t xml:space="preserve"> This start</w:t>
      </w:r>
      <w:r w:rsidR="00C01C3D">
        <w:t xml:space="preserve"> </w:t>
      </w:r>
      <w:r>
        <w:t>date was chosen to ensure the size of the ‘max</w:t>
      </w:r>
      <w:r w:rsidR="00C01C3D">
        <w:t>imum</w:t>
      </w:r>
      <w:r>
        <w:t xml:space="preserve"> 12 month’ inflow population (counted as 34,749) matched the size of the ‘max</w:t>
      </w:r>
      <w:r w:rsidR="00C01C3D">
        <w:t>imum</w:t>
      </w:r>
      <w:r>
        <w:t xml:space="preserve"> 18 month’ inflow population (counted as 34,679) as closely as possible.</w:t>
      </w:r>
    </w:p>
  </w:footnote>
  <w:footnote w:id="45">
    <w:p w14:paraId="01B82A67" w14:textId="50CA79AF" w:rsidR="005B4FD6" w:rsidRDefault="005B4FD6" w:rsidP="00956075">
      <w:pPr>
        <w:pStyle w:val="Footnote0"/>
      </w:pPr>
      <w:r>
        <w:rPr>
          <w:rStyle w:val="FootnoteReference"/>
        </w:rPr>
        <w:footnoteRef/>
      </w:r>
      <w:r>
        <w:t xml:space="preserve"> </w:t>
      </w:r>
      <w:r w:rsidRPr="00071A4D">
        <w:t>Data on outcomes achieved by participants from both cohorts was collected for a minimum of 27 months from participant commencement to allow time for providers to record participant outcomes</w:t>
      </w:r>
      <w:r>
        <w:t xml:space="preserve">. </w:t>
      </w:r>
    </w:p>
  </w:footnote>
  <w:footnote w:id="46">
    <w:p w14:paraId="113F6F63" w14:textId="7D123206" w:rsidR="005B4FD6" w:rsidRDefault="005B4FD6" w:rsidP="00956075">
      <w:pPr>
        <w:pStyle w:val="Footnote0"/>
      </w:pPr>
      <w:r>
        <w:rPr>
          <w:rStyle w:val="FootnoteReference"/>
        </w:rPr>
        <w:footnoteRef/>
      </w:r>
      <w:r>
        <w:t xml:space="preserve"> JSCI scores were distributed into </w:t>
      </w:r>
      <w:r w:rsidR="00C01C3D">
        <w:t>4</w:t>
      </w:r>
      <w:r>
        <w:t xml:space="preserve"> groups</w:t>
      </w:r>
      <w:r w:rsidR="00C01C3D">
        <w:t xml:space="preserve">: </w:t>
      </w:r>
      <w:r>
        <w:t>very high, high, low and very low</w:t>
      </w:r>
      <w:r w:rsidR="00C01C3D">
        <w:t>.</w:t>
      </w:r>
      <w:r>
        <w:t xml:space="preserve"> </w:t>
      </w:r>
      <w:r w:rsidR="00C01C3D">
        <w:t>A</w:t>
      </w:r>
      <w:r>
        <w:t xml:space="preserve"> higher score identifies a higher level of risk of becoming </w:t>
      </w:r>
      <w:r w:rsidR="006150C6">
        <w:t>long-term</w:t>
      </w:r>
      <w:r>
        <w:t xml:space="preserve"> unemployed</w:t>
      </w:r>
      <w:r w:rsidR="00402040">
        <w:t>.</w:t>
      </w:r>
    </w:p>
  </w:footnote>
  <w:footnote w:id="47">
    <w:p w14:paraId="49A0E4C2" w14:textId="6ABC677E" w:rsidR="005B4FD6" w:rsidRDefault="005B4FD6" w:rsidP="00956075">
      <w:pPr>
        <w:pStyle w:val="Footnote0"/>
      </w:pPr>
      <w:r>
        <w:rPr>
          <w:rStyle w:val="FootnoteReference"/>
        </w:rPr>
        <w:footnoteRef/>
      </w:r>
      <w:r>
        <w:t xml:space="preserve"> This analysis did not look at other possible impacts of the program such as changes in human capabilities and wellbeing</w:t>
      </w:r>
      <w:r w:rsidR="00F27E77">
        <w:t>,</w:t>
      </w:r>
      <w:r>
        <w:t xml:space="preserve"> as this data was not available and could not be collected for the sample cohorts.</w:t>
      </w:r>
    </w:p>
  </w:footnote>
  <w:footnote w:id="48">
    <w:p w14:paraId="3C74D55F" w14:textId="77777777" w:rsidR="005B4FD6" w:rsidRDefault="005B4FD6" w:rsidP="00956075">
      <w:pPr>
        <w:pStyle w:val="Footnote0"/>
      </w:pPr>
      <w:r>
        <w:rPr>
          <w:rStyle w:val="FootnoteReference"/>
        </w:rPr>
        <w:footnoteRef/>
      </w:r>
      <w:r>
        <w:t xml:space="preserve"> </w:t>
      </w:r>
      <w:r w:rsidRPr="00A32C73">
        <w:t xml:space="preserve">Participants may have had more than one period of assistance; however, since a significant amount of time elapsed between participants ending a period of assistance and starting a new one, a participant’s labour market situation and personal characteristics may have differed significantly from one period of assistance to the next. The evaluation therefore treated each of a </w:t>
      </w:r>
      <w:r w:rsidRPr="00956075">
        <w:t>participant’s</w:t>
      </w:r>
      <w:r w:rsidRPr="00A32C73">
        <w:t xml:space="preserve"> periods of assistance as separate cases, rather than combining them and treating each participant as a single case. For ease of reporting, reference is made to ‘participants’ when referring to these ‘periods of assistance’ throughout the report.</w:t>
      </w:r>
    </w:p>
  </w:footnote>
  <w:footnote w:id="49">
    <w:p w14:paraId="12CA596F" w14:textId="7F100302" w:rsidR="00AD6879" w:rsidRDefault="00AD6879" w:rsidP="00956075">
      <w:pPr>
        <w:pStyle w:val="Footnote0"/>
      </w:pPr>
      <w:r>
        <w:rPr>
          <w:rStyle w:val="FootnoteReference"/>
        </w:rPr>
        <w:footnoteRef/>
      </w:r>
      <w:r>
        <w:t xml:space="preserve"> Costs and benefits were </w:t>
      </w:r>
      <w:r w:rsidRPr="00C7240E">
        <w:t>identi</w:t>
      </w:r>
      <w:r w:rsidRPr="00824049">
        <w:t>fied</w:t>
      </w:r>
      <w:r w:rsidRPr="00AD6879">
        <w:t xml:space="preserve"> </w:t>
      </w:r>
      <w:r w:rsidRPr="00CD7319">
        <w:t>using information from literature review, previous evaluation research undertaken for TtW, and the analysis of long-term impact and impact on participants</w:t>
      </w:r>
      <w:r w:rsidR="00F27E77">
        <w:t>’</w:t>
      </w:r>
      <w:r w:rsidRPr="00CD7319">
        <w:t xml:space="preserve"> human capabilities</w:t>
      </w:r>
      <w:r w:rsidRPr="00C7240E">
        <w:t xml:space="preserve"> undertaken as part of this </w:t>
      </w:r>
      <w:r w:rsidRPr="00824049">
        <w:t>s</w:t>
      </w:r>
      <w:r w:rsidRPr="00AD6879">
        <w:t>upplementary evaluatio</w:t>
      </w:r>
      <w:r w:rsidR="004C14C0">
        <w:t xml:space="preserve">n. The costs and benefits associated with TtW are discussed in </w:t>
      </w:r>
      <w:r w:rsidR="004C14C0" w:rsidRPr="00CD7319">
        <w:rPr>
          <w:b/>
          <w:bCs/>
        </w:rPr>
        <w:t>Section 7.2</w:t>
      </w:r>
      <w:r w:rsidRPr="00C7240E">
        <w:t>.</w:t>
      </w:r>
    </w:p>
  </w:footnote>
  <w:footnote w:id="50">
    <w:p w14:paraId="43ADA3A5" w14:textId="0E38C122" w:rsidR="006150C6" w:rsidRDefault="006150C6" w:rsidP="00956075">
      <w:pPr>
        <w:pStyle w:val="Footnote0"/>
      </w:pPr>
      <w:r>
        <w:rPr>
          <w:rStyle w:val="FootnoteReference"/>
        </w:rPr>
        <w:footnoteRef/>
      </w:r>
      <w:r>
        <w:t xml:space="preserve"> Participants were asked if their caseworker(s) had a positive or negative impact on a series of human capability measures. It is important to note these questions referred to the caseworker(s) rather than the TtW program. The qualitative component of the evaluation and cognitive testing of the questionnaire found participants tended to associate the services they had received with their caseworker or provider, rather than the </w:t>
      </w:r>
      <w:r w:rsidR="00CF1890">
        <w:t>TtW</w:t>
      </w:r>
      <w:r>
        <w:t xml:space="preserve"> program. Participants therefore found it easier to reflect on the impact of their caseworker on the human capability measures. </w:t>
      </w:r>
    </w:p>
  </w:footnote>
  <w:footnote w:id="51">
    <w:p w14:paraId="7AC0D4F6" w14:textId="1C8F95CE" w:rsidR="00EE102E" w:rsidRDefault="00EE102E" w:rsidP="00EE102E">
      <w:pPr>
        <w:pStyle w:val="Footnote0"/>
      </w:pPr>
      <w:r>
        <w:rPr>
          <w:rStyle w:val="FootnoteReference"/>
        </w:rPr>
        <w:footnoteRef/>
      </w:r>
      <w:r>
        <w:t xml:space="preserve"> </w:t>
      </w:r>
      <w:r w:rsidR="00A41057">
        <w:t xml:space="preserve">2021 </w:t>
      </w:r>
      <w:r w:rsidR="00AD74F5">
        <w:t>p</w:t>
      </w:r>
      <w:r w:rsidR="00A41057">
        <w:t xml:space="preserve">articipant </w:t>
      </w:r>
      <w:r w:rsidR="00AD74F5">
        <w:t>s</w:t>
      </w:r>
      <w:r w:rsidR="00A41057">
        <w:t>urvey Q</w:t>
      </w:r>
      <w:r w:rsidRPr="00D14A39">
        <w:t>TTB4</w:t>
      </w:r>
      <w:r w:rsidR="00A86EEA">
        <w:t>.</w:t>
      </w:r>
      <w:r w:rsidRPr="00D14A39">
        <w:t xml:space="preserve"> In your opinion, has your &lt;TtW / jobactive&gt; caseworker(s) had a positive or negative impact on your</w:t>
      </w:r>
      <w:r w:rsidR="00F27E77">
        <w:t xml:space="preserve"> </w:t>
      </w:r>
      <w:r w:rsidRPr="00D14A39">
        <w:t>…</w:t>
      </w:r>
      <w:r>
        <w:t xml:space="preserve">? See </w:t>
      </w:r>
      <w:r w:rsidRPr="00A41057">
        <w:rPr>
          <w:b/>
          <w:bCs/>
        </w:rPr>
        <w:t>Appendix 8</w:t>
      </w:r>
      <w:r w:rsidR="00A41057" w:rsidRPr="00C239FD">
        <w:t>,</w:t>
      </w:r>
      <w:r w:rsidR="00A41057">
        <w:rPr>
          <w:b/>
          <w:bCs/>
        </w:rPr>
        <w:t xml:space="preserve"> Figure 54</w:t>
      </w:r>
      <w:r w:rsidR="00A41057" w:rsidRPr="00C239FD">
        <w:t>.</w:t>
      </w:r>
    </w:p>
  </w:footnote>
  <w:footnote w:id="52">
    <w:p w14:paraId="390A7275" w14:textId="11E8F4F1" w:rsidR="00EE102E" w:rsidRDefault="00EE102E" w:rsidP="00EE102E">
      <w:pPr>
        <w:pStyle w:val="Footnote0"/>
      </w:pPr>
      <w:r>
        <w:rPr>
          <w:rStyle w:val="FootnoteReference"/>
        </w:rPr>
        <w:footnoteRef/>
      </w:r>
      <w:r>
        <w:t xml:space="preserve"> </w:t>
      </w:r>
      <w:r w:rsidR="00A41057">
        <w:t xml:space="preserve">2021 </w:t>
      </w:r>
      <w:r w:rsidR="00AD74F5">
        <w:t>p</w:t>
      </w:r>
      <w:r w:rsidR="00A41057">
        <w:t xml:space="preserve">rovider </w:t>
      </w:r>
      <w:r w:rsidR="00AD74F5">
        <w:t>s</w:t>
      </w:r>
      <w:r w:rsidR="00A41057">
        <w:t xml:space="preserve">urvey </w:t>
      </w:r>
      <w:r w:rsidRPr="00EE102E">
        <w:t>Q7.2</w:t>
      </w:r>
      <w:r w:rsidR="00A86EEA">
        <w:t>.</w:t>
      </w:r>
      <w:r w:rsidRPr="00EE102E">
        <w:t xml:space="preserve"> Thinking about the [site name] site</w:t>
      </w:r>
      <w:r w:rsidR="00F27E77">
        <w:t>’</w:t>
      </w:r>
      <w:r w:rsidRPr="00EE102E">
        <w:t>s involvement with Transition to Work …</w:t>
      </w:r>
      <w:r w:rsidR="00F27E77">
        <w:t xml:space="preserve"> </w:t>
      </w:r>
      <w:r w:rsidRPr="00EE102E">
        <w:t xml:space="preserve">Overall, what effect has engagement in the TtW program had on participant’s …? See </w:t>
      </w:r>
      <w:r w:rsidRPr="00A41057">
        <w:rPr>
          <w:b/>
          <w:bCs/>
        </w:rPr>
        <w:t>Appendix 8</w:t>
      </w:r>
      <w:r w:rsidR="00A41057" w:rsidRPr="00C239FD">
        <w:t>,</w:t>
      </w:r>
      <w:r w:rsidR="00A41057">
        <w:rPr>
          <w:b/>
          <w:bCs/>
        </w:rPr>
        <w:t xml:space="preserve"> Figure 58</w:t>
      </w:r>
      <w:r w:rsidR="00A41057" w:rsidRPr="00C239FD">
        <w:t>.</w:t>
      </w:r>
    </w:p>
  </w:footnote>
  <w:footnote w:id="53">
    <w:p w14:paraId="3BB63824" w14:textId="42F9B64E" w:rsidR="00974261" w:rsidRDefault="00974261" w:rsidP="00C239FD">
      <w:pPr>
        <w:pStyle w:val="Footnote0"/>
      </w:pPr>
      <w:r>
        <w:rPr>
          <w:rStyle w:val="FootnoteReference"/>
        </w:rPr>
        <w:footnoteRef/>
      </w:r>
      <w:r>
        <w:t xml:space="preserve"> 2021 </w:t>
      </w:r>
      <w:r w:rsidR="00A86EEA">
        <w:t>p</w:t>
      </w:r>
      <w:r>
        <w:t xml:space="preserve">articipant </w:t>
      </w:r>
      <w:r w:rsidR="00A86EEA">
        <w:t>s</w:t>
      </w:r>
      <w:r>
        <w:t>urvey Q</w:t>
      </w:r>
      <w:r w:rsidRPr="00D14A39">
        <w:t>TTB4</w:t>
      </w:r>
      <w:r w:rsidR="00A86EEA">
        <w:t>.</w:t>
      </w:r>
      <w:r w:rsidRPr="00D14A39">
        <w:t xml:space="preserve"> In your opinion, has your &lt;TtW / jobactive&gt; caseworker(s) had a positive or negative impact on your…</w:t>
      </w:r>
      <w:r>
        <w:t xml:space="preserve">? See </w:t>
      </w:r>
      <w:r w:rsidRPr="00A41057">
        <w:rPr>
          <w:b/>
          <w:bCs/>
        </w:rPr>
        <w:t>Appendix 8</w:t>
      </w:r>
      <w:r w:rsidRPr="00C239FD">
        <w:t>,</w:t>
      </w:r>
      <w:r>
        <w:rPr>
          <w:b/>
          <w:bCs/>
        </w:rPr>
        <w:t xml:space="preserve"> Figure 54</w:t>
      </w:r>
      <w:r w:rsidRPr="00C239FD">
        <w:t>.</w:t>
      </w:r>
    </w:p>
  </w:footnote>
  <w:footnote w:id="54">
    <w:p w14:paraId="22D4E6BB" w14:textId="586F07DA" w:rsidR="00EE102E" w:rsidRDefault="00EE102E" w:rsidP="00EE102E">
      <w:pPr>
        <w:pStyle w:val="Footnote0"/>
      </w:pPr>
      <w:r>
        <w:rPr>
          <w:rStyle w:val="FootnoteReference"/>
        </w:rPr>
        <w:footnoteRef/>
      </w:r>
      <w:r>
        <w:t xml:space="preserve"> </w:t>
      </w:r>
      <w:r w:rsidR="00A41057">
        <w:t xml:space="preserve">2021 </w:t>
      </w:r>
      <w:r w:rsidR="00AD74F5">
        <w:t>p</w:t>
      </w:r>
      <w:r w:rsidR="00A41057">
        <w:t xml:space="preserve">rovider </w:t>
      </w:r>
      <w:r w:rsidR="00AD74F5">
        <w:t>s</w:t>
      </w:r>
      <w:r w:rsidR="00A41057">
        <w:t xml:space="preserve">urvey </w:t>
      </w:r>
      <w:r w:rsidRPr="00EE102E">
        <w:t>Q7.2</w:t>
      </w:r>
      <w:r w:rsidR="00A86EEA">
        <w:t>.</w:t>
      </w:r>
      <w:r w:rsidRPr="00EE102E">
        <w:t xml:space="preserve"> Thinking about the [site name] site's involvement with Transition to Work …Overall, what effect has engagement in the TtW program had on participant’s …? See </w:t>
      </w:r>
      <w:r w:rsidRPr="00A41057">
        <w:rPr>
          <w:b/>
          <w:bCs/>
        </w:rPr>
        <w:t>Appendix 8</w:t>
      </w:r>
      <w:r w:rsidR="00A41057" w:rsidRPr="00C239FD">
        <w:t xml:space="preserve">, </w:t>
      </w:r>
      <w:r w:rsidR="00A41057">
        <w:rPr>
          <w:b/>
          <w:bCs/>
        </w:rPr>
        <w:t>Figure 58</w:t>
      </w:r>
      <w:r w:rsidR="00A41057" w:rsidRPr="00C239FD">
        <w:t>.</w:t>
      </w:r>
    </w:p>
  </w:footnote>
  <w:footnote w:id="55">
    <w:p w14:paraId="3DD222A8" w14:textId="77777777" w:rsidR="006150C6" w:rsidRDefault="006150C6" w:rsidP="00956075">
      <w:pPr>
        <w:pStyle w:val="Footnote0"/>
      </w:pPr>
      <w:r>
        <w:rPr>
          <w:rStyle w:val="FootnoteReference"/>
        </w:rPr>
        <w:footnoteRef/>
      </w:r>
      <w:r>
        <w:t xml:space="preserve"> </w:t>
      </w:r>
      <w:r w:rsidRPr="007B4B73">
        <w:t>It should be noted that during i</w:t>
      </w:r>
      <w:r>
        <w:t>n</w:t>
      </w:r>
      <w:r w:rsidRPr="007B4B73">
        <w:t>terviews many participants did not understand or identify with the term ‘empowerment’, instead understanding it to mean ‘motivation’</w:t>
      </w:r>
      <w:r>
        <w:rPr>
          <w:rFonts w:eastAsiaTheme="majorEastAsia"/>
        </w:rPr>
        <w:t>.</w:t>
      </w:r>
    </w:p>
  </w:footnote>
  <w:footnote w:id="56">
    <w:p w14:paraId="27133FFC" w14:textId="0678CF02" w:rsidR="00EE102E" w:rsidRDefault="00EE102E" w:rsidP="00EE102E">
      <w:pPr>
        <w:pStyle w:val="Footnote0"/>
      </w:pPr>
      <w:r>
        <w:rPr>
          <w:rStyle w:val="FootnoteReference"/>
        </w:rPr>
        <w:footnoteRef/>
      </w:r>
      <w:r>
        <w:t xml:space="preserve"> </w:t>
      </w:r>
      <w:r w:rsidR="00A41057">
        <w:t xml:space="preserve">2021 </w:t>
      </w:r>
      <w:r w:rsidR="00AD74F5">
        <w:t>p</w:t>
      </w:r>
      <w:r w:rsidR="00A41057">
        <w:t xml:space="preserve">rovider </w:t>
      </w:r>
      <w:r w:rsidR="00AD74F5">
        <w:t>s</w:t>
      </w:r>
      <w:r w:rsidR="00A41057">
        <w:t xml:space="preserve">urvey </w:t>
      </w:r>
      <w:r w:rsidRPr="00EE102E">
        <w:t>Q7.2</w:t>
      </w:r>
      <w:r w:rsidR="00A86EEA">
        <w:t>.</w:t>
      </w:r>
      <w:r w:rsidRPr="00EE102E">
        <w:t xml:space="preserve"> Thinking about the [site name] site</w:t>
      </w:r>
      <w:r w:rsidR="00F00C95">
        <w:t>’</w:t>
      </w:r>
      <w:r w:rsidRPr="00EE102E">
        <w:t>s involvement with Transition to Work …</w:t>
      </w:r>
      <w:r w:rsidR="00F00C95">
        <w:t xml:space="preserve"> </w:t>
      </w:r>
      <w:r w:rsidRPr="00EE102E">
        <w:t xml:space="preserve">Overall, what effect has engagement in the TtW program had on participant’s …? See </w:t>
      </w:r>
      <w:r w:rsidRPr="00A41057">
        <w:rPr>
          <w:b/>
          <w:bCs/>
        </w:rPr>
        <w:t>Appendix 8</w:t>
      </w:r>
      <w:r w:rsidR="00A41057" w:rsidRPr="00C239FD">
        <w:t>,</w:t>
      </w:r>
      <w:r w:rsidR="00A41057">
        <w:rPr>
          <w:b/>
          <w:bCs/>
        </w:rPr>
        <w:t xml:space="preserve"> Figure 58</w:t>
      </w:r>
      <w:r w:rsidR="00A41057" w:rsidRPr="00C239FD">
        <w:t>.</w:t>
      </w:r>
    </w:p>
  </w:footnote>
  <w:footnote w:id="57">
    <w:p w14:paraId="254CFB77" w14:textId="110B5FA1" w:rsidR="006150C6" w:rsidRPr="00956075" w:rsidRDefault="006150C6" w:rsidP="00956075">
      <w:pPr>
        <w:pStyle w:val="Footnote0"/>
      </w:pPr>
      <w:r>
        <w:rPr>
          <w:rStyle w:val="FootnoteReference"/>
        </w:rPr>
        <w:footnoteRef/>
      </w:r>
      <w:r>
        <w:t xml:space="preserve"> </w:t>
      </w:r>
      <w:r w:rsidRPr="00CD45F0">
        <w:t xml:space="preserve">Responses are allocated scores from </w:t>
      </w:r>
      <w:r w:rsidRPr="00956075">
        <w:t>1 to 5</w:t>
      </w:r>
      <w:r w:rsidR="00B55045">
        <w:t>,</w:t>
      </w:r>
      <w:r w:rsidRPr="00956075">
        <w:t xml:space="preserve"> with </w:t>
      </w:r>
      <w:r w:rsidR="00B55045">
        <w:t>3</w:t>
      </w:r>
      <w:r w:rsidR="00B55045" w:rsidRPr="00956075">
        <w:t xml:space="preserve"> </w:t>
      </w:r>
      <w:r w:rsidRPr="00956075">
        <w:t xml:space="preserve">items reverse scored. Responses are added together to produce a score ranging from 6 to 30. This score is then divided by the number of questions answered. </w:t>
      </w:r>
    </w:p>
  </w:footnote>
  <w:footnote w:id="58">
    <w:p w14:paraId="0A51B9BB" w14:textId="7C60626D" w:rsidR="00A77309" w:rsidRDefault="00A77309" w:rsidP="00A77309">
      <w:pPr>
        <w:pStyle w:val="Footnote0"/>
      </w:pPr>
      <w:r w:rsidRPr="00956075">
        <w:rPr>
          <w:rStyle w:val="FootnoteReference"/>
        </w:rPr>
        <w:footnoteRef/>
      </w:r>
      <w:r w:rsidRPr="00956075">
        <w:t xml:space="preserve"> Stressful life events included financial hardship, moving house, a death of someone close, a relationship breakdown, a serious injury or illness, family violence, or</w:t>
      </w:r>
      <w:r>
        <w:t xml:space="preserve"> experiencing a robbery or burglary.</w:t>
      </w:r>
    </w:p>
  </w:footnote>
  <w:footnote w:id="59">
    <w:p w14:paraId="42AC70F8" w14:textId="1A7EDA43" w:rsidR="00364310" w:rsidRDefault="00364310">
      <w:pPr>
        <w:pStyle w:val="FootnoteText"/>
      </w:pPr>
      <w:r>
        <w:rPr>
          <w:rStyle w:val="FootnoteReference"/>
        </w:rPr>
        <w:footnoteRef/>
      </w:r>
      <w:r>
        <w:t xml:space="preserve"> </w:t>
      </w:r>
      <w:r w:rsidR="0070648B" w:rsidRPr="00C239FD">
        <w:rPr>
          <w:rFonts w:ascii="Calibri" w:hAnsi="Calibri" w:cs="Times New Roman"/>
          <w:sz w:val="18"/>
          <w:lang w:eastAsia="en-AU"/>
        </w:rPr>
        <w:t xml:space="preserve">2021 participant survey, QTTB4 In your opinion, has your &lt;TtW / jobactive&gt; caseworker(s) had a positive or negative impact on your…? See </w:t>
      </w:r>
      <w:r w:rsidR="0070648B" w:rsidRPr="00C239FD">
        <w:rPr>
          <w:rFonts w:ascii="Calibri" w:hAnsi="Calibri" w:cs="Times New Roman"/>
          <w:b/>
          <w:bCs/>
          <w:sz w:val="18"/>
          <w:lang w:eastAsia="en-AU"/>
        </w:rPr>
        <w:t>Appendix 8, Figure</w:t>
      </w:r>
      <w:r w:rsidR="005C4CE4" w:rsidRPr="00C239FD">
        <w:rPr>
          <w:rFonts w:ascii="Calibri" w:hAnsi="Calibri" w:cs="Times New Roman"/>
          <w:b/>
          <w:bCs/>
          <w:sz w:val="18"/>
          <w:lang w:eastAsia="en-AU"/>
        </w:rPr>
        <w:t xml:space="preserve"> 54</w:t>
      </w:r>
    </w:p>
  </w:footnote>
  <w:footnote w:id="60">
    <w:p w14:paraId="534D93A0" w14:textId="54BFD0B2" w:rsidR="00EE102E" w:rsidRPr="00482B44" w:rsidRDefault="00EE102E" w:rsidP="00EE102E">
      <w:pPr>
        <w:pStyle w:val="Footnote0"/>
      </w:pPr>
      <w:r>
        <w:rPr>
          <w:rStyle w:val="FootnoteReference"/>
        </w:rPr>
        <w:footnoteRef/>
      </w:r>
      <w:r>
        <w:t xml:space="preserve"> </w:t>
      </w:r>
      <w:r w:rsidR="00A41057">
        <w:t xml:space="preserve">2021 </w:t>
      </w:r>
      <w:r w:rsidR="00AD74F5">
        <w:t>p</w:t>
      </w:r>
      <w:r w:rsidR="00A41057">
        <w:t xml:space="preserve">rovider </w:t>
      </w:r>
      <w:r w:rsidR="00AD74F5">
        <w:t>s</w:t>
      </w:r>
      <w:r w:rsidR="00A41057">
        <w:t xml:space="preserve">urvey </w:t>
      </w:r>
      <w:r w:rsidRPr="00715958">
        <w:t>Q7.2</w:t>
      </w:r>
      <w:r w:rsidR="00A86EEA">
        <w:t>.</w:t>
      </w:r>
      <w:r w:rsidRPr="00715958">
        <w:t xml:space="preserve"> Thinking about the [site name] site</w:t>
      </w:r>
      <w:r w:rsidR="00482B44">
        <w:t>’</w:t>
      </w:r>
      <w:r w:rsidRPr="00715958">
        <w:t>s involvement with Transition to Work …</w:t>
      </w:r>
      <w:r w:rsidR="00482B44">
        <w:t xml:space="preserve"> </w:t>
      </w:r>
      <w:r w:rsidRPr="00715958">
        <w:t xml:space="preserve">Overall, what effect has engagement in the TtW program had on participant’s …? See </w:t>
      </w:r>
      <w:r w:rsidRPr="00A41057">
        <w:rPr>
          <w:b/>
          <w:bCs/>
        </w:rPr>
        <w:t>Appendix 8</w:t>
      </w:r>
      <w:r w:rsidR="00A41057" w:rsidRPr="00C239FD">
        <w:t>,</w:t>
      </w:r>
      <w:r w:rsidR="00A41057">
        <w:rPr>
          <w:b/>
          <w:bCs/>
        </w:rPr>
        <w:t xml:space="preserve"> Figure 58</w:t>
      </w:r>
      <w:r w:rsidR="00A41057" w:rsidRPr="00C239FD">
        <w:t>.</w:t>
      </w:r>
    </w:p>
  </w:footnote>
  <w:footnote w:id="61">
    <w:p w14:paraId="6EE83CA2" w14:textId="12DA3901" w:rsidR="00E53BE2" w:rsidRDefault="00E53BE2" w:rsidP="00003463">
      <w:pPr>
        <w:pStyle w:val="Footnote0"/>
      </w:pPr>
      <w:r>
        <w:rPr>
          <w:rStyle w:val="FootnoteReference"/>
        </w:rPr>
        <w:footnoteRef/>
      </w:r>
      <w:r>
        <w:t xml:space="preserve"> </w:t>
      </w:r>
      <w:r w:rsidR="00440B4B">
        <w:t>This result should be read in the context of possible selection bias in the comparison sample</w:t>
      </w:r>
      <w:r w:rsidR="00D31FF0">
        <w:t xml:space="preserve"> discussed in </w:t>
      </w:r>
      <w:r w:rsidR="00D31FF0" w:rsidRPr="00D31FF0">
        <w:rPr>
          <w:b/>
          <w:bCs/>
        </w:rPr>
        <w:t>Section 2.5.8</w:t>
      </w:r>
      <w:r w:rsidR="00440B4B">
        <w:t>.</w:t>
      </w:r>
      <w:r w:rsidR="00B1391E">
        <w:t xml:space="preserve"> </w:t>
      </w:r>
    </w:p>
  </w:footnote>
  <w:footnote w:id="62">
    <w:p w14:paraId="574133B8" w14:textId="25B44FAE" w:rsidR="006150C6" w:rsidRDefault="006150C6" w:rsidP="006150C6">
      <w:pPr>
        <w:pStyle w:val="Footnote0"/>
      </w:pPr>
      <w:r>
        <w:rPr>
          <w:rStyle w:val="FootnoteReference"/>
        </w:rPr>
        <w:footnoteRef/>
      </w:r>
      <w:r>
        <w:t xml:space="preserve"> Mental health was the most prevalent barrier reported by the comparison group, and the second most prevalent barrier reported by TtW participants after ‘no drivers licence’ which was reported by 41% of TtW participants</w:t>
      </w:r>
      <w:r w:rsidR="00715958">
        <w:t xml:space="preserve"> (see </w:t>
      </w:r>
      <w:r w:rsidR="00715958" w:rsidRPr="00715958">
        <w:rPr>
          <w:b/>
          <w:bCs/>
        </w:rPr>
        <w:t>Appendix 8</w:t>
      </w:r>
      <w:r w:rsidR="00715958">
        <w:t>)</w:t>
      </w:r>
      <w:r>
        <w:t>.</w:t>
      </w:r>
    </w:p>
  </w:footnote>
  <w:footnote w:id="63">
    <w:p w14:paraId="7B6A0942" w14:textId="303EE55E" w:rsidR="006150C6" w:rsidRDefault="006150C6" w:rsidP="00956075">
      <w:pPr>
        <w:pStyle w:val="Footnote0"/>
      </w:pPr>
      <w:r>
        <w:rPr>
          <w:rStyle w:val="FootnoteReference"/>
        </w:rPr>
        <w:footnoteRef/>
      </w:r>
      <w:r>
        <w:t xml:space="preserve"> </w:t>
      </w:r>
      <w:r w:rsidR="00A41057">
        <w:t xml:space="preserve">2021 </w:t>
      </w:r>
      <w:r w:rsidR="00A86EEA">
        <w:t>p</w:t>
      </w:r>
      <w:r>
        <w:t xml:space="preserve">rovider </w:t>
      </w:r>
      <w:r w:rsidR="00A86EEA">
        <w:t>s</w:t>
      </w:r>
      <w:r>
        <w:t>urvey Q3.2</w:t>
      </w:r>
      <w:r w:rsidR="00A86EEA">
        <w:t>.</w:t>
      </w:r>
      <w:r>
        <w:t xml:space="preserve"> What are the most common BARRIERS that participants at the [site name] site face in moving towards their employment and education goals</w:t>
      </w:r>
      <w:r w:rsidR="00EE102E">
        <w:t xml:space="preserve">. See </w:t>
      </w:r>
      <w:r w:rsidR="00EE102E" w:rsidRPr="00EE102E">
        <w:rPr>
          <w:b/>
          <w:bCs/>
        </w:rPr>
        <w:t>Appendix 8</w:t>
      </w:r>
      <w:r w:rsidR="00A41057" w:rsidRPr="00C239FD">
        <w:t>,</w:t>
      </w:r>
      <w:r w:rsidR="00A41057">
        <w:rPr>
          <w:b/>
          <w:bCs/>
        </w:rPr>
        <w:t xml:space="preserve"> Figures 59 and 60</w:t>
      </w:r>
      <w:r w:rsidR="00A41057" w:rsidRPr="00C239FD">
        <w:t>.</w:t>
      </w:r>
    </w:p>
  </w:footnote>
  <w:footnote w:id="64">
    <w:p w14:paraId="2DF22D00" w14:textId="0EB859F6" w:rsidR="006150C6" w:rsidRDefault="006150C6" w:rsidP="00956075">
      <w:pPr>
        <w:pStyle w:val="Footnote0"/>
      </w:pPr>
      <w:r>
        <w:rPr>
          <w:rStyle w:val="FootnoteReference"/>
        </w:rPr>
        <w:footnoteRef/>
      </w:r>
      <w:r>
        <w:t xml:space="preserve"> </w:t>
      </w:r>
      <w:r w:rsidR="00A41057">
        <w:t xml:space="preserve">2021 </w:t>
      </w:r>
      <w:r w:rsidR="00A86EEA">
        <w:t>p</w:t>
      </w:r>
      <w:r>
        <w:t xml:space="preserve">rovider </w:t>
      </w:r>
      <w:r w:rsidR="00A86EEA">
        <w:t>s</w:t>
      </w:r>
      <w:r>
        <w:t>urvey Q7.2</w:t>
      </w:r>
      <w:r w:rsidR="00A86EEA">
        <w:t>.</w:t>
      </w:r>
      <w:r>
        <w:t xml:space="preserve"> Thinking about the [site name] site’s involvement in Transition to Work</w:t>
      </w:r>
      <w:r w:rsidR="00F06522">
        <w:t xml:space="preserve"> </w:t>
      </w:r>
      <w:r>
        <w:t>…</w:t>
      </w:r>
      <w:r w:rsidR="00F06522">
        <w:t xml:space="preserve"> </w:t>
      </w:r>
      <w:r>
        <w:rPr>
          <w:rFonts w:eastAsiaTheme="majorEastAsia"/>
        </w:rPr>
        <w:t>Overall, what effect has engagement in the TtW program had on participants…</w:t>
      </w:r>
      <w:r w:rsidR="00287A94">
        <w:rPr>
          <w:rFonts w:eastAsiaTheme="majorEastAsia"/>
        </w:rPr>
        <w:t xml:space="preserve">? See </w:t>
      </w:r>
      <w:r w:rsidR="00287A94" w:rsidRPr="00287A94">
        <w:rPr>
          <w:rFonts w:eastAsiaTheme="majorEastAsia"/>
          <w:b/>
          <w:bCs/>
        </w:rPr>
        <w:t>Appendix 8</w:t>
      </w:r>
      <w:r w:rsidR="00A41057" w:rsidRPr="00C239FD">
        <w:rPr>
          <w:rFonts w:eastAsiaTheme="majorEastAsia"/>
        </w:rPr>
        <w:t>,</w:t>
      </w:r>
      <w:r w:rsidR="00F06522" w:rsidRPr="00C239FD">
        <w:rPr>
          <w:rFonts w:eastAsiaTheme="majorEastAsia"/>
        </w:rPr>
        <w:t xml:space="preserve"> </w:t>
      </w:r>
      <w:r w:rsidR="00A41057">
        <w:rPr>
          <w:rFonts w:eastAsiaTheme="majorEastAsia"/>
          <w:b/>
          <w:bCs/>
        </w:rPr>
        <w:t>Figure 59</w:t>
      </w:r>
      <w:r w:rsidR="00287A94">
        <w:rPr>
          <w:rFonts w:eastAsiaTheme="majorEastAsia"/>
        </w:rPr>
        <w:t>.</w:t>
      </w:r>
    </w:p>
  </w:footnote>
  <w:footnote w:id="65">
    <w:p w14:paraId="42C3F701" w14:textId="2900AB25" w:rsidR="00287A94" w:rsidRDefault="00287A94" w:rsidP="00A41057">
      <w:pPr>
        <w:pStyle w:val="Footnote0"/>
      </w:pPr>
      <w:r>
        <w:rPr>
          <w:rStyle w:val="FootnoteReference"/>
        </w:rPr>
        <w:footnoteRef/>
      </w:r>
      <w:r w:rsidR="00A41057">
        <w:t xml:space="preserve"> 2021 </w:t>
      </w:r>
      <w:r w:rsidR="00A86EEA">
        <w:t>p</w:t>
      </w:r>
      <w:r>
        <w:t xml:space="preserve">articipant </w:t>
      </w:r>
      <w:r w:rsidR="00A86EEA">
        <w:t>s</w:t>
      </w:r>
      <w:r>
        <w:t xml:space="preserve">urvey QTTB3. And since you started seeing your &lt;TtW / jobactive&gt; caseworker(s), did they provide you with any support in the following areas? See </w:t>
      </w:r>
      <w:r w:rsidRPr="00287A94">
        <w:rPr>
          <w:b/>
          <w:bCs/>
        </w:rPr>
        <w:t>Appendix 8</w:t>
      </w:r>
      <w:r w:rsidR="00A41057">
        <w:t xml:space="preserve">, </w:t>
      </w:r>
      <w:r w:rsidR="00A41057" w:rsidRPr="00A41057">
        <w:rPr>
          <w:b/>
          <w:bCs/>
        </w:rPr>
        <w:t>Figures 57 and 58</w:t>
      </w:r>
      <w:r w:rsidR="00A41057">
        <w:t>.</w:t>
      </w:r>
    </w:p>
    <w:p w14:paraId="7CEDB97E" w14:textId="72E7A9D1" w:rsidR="00287A94" w:rsidRDefault="00287A94">
      <w:pPr>
        <w:pStyle w:val="FootnoteText"/>
      </w:pPr>
    </w:p>
  </w:footnote>
  <w:footnote w:id="66">
    <w:p w14:paraId="00052527" w14:textId="70671161" w:rsidR="00287A94" w:rsidRDefault="00287A94" w:rsidP="00287A94">
      <w:pPr>
        <w:pStyle w:val="Footnote0"/>
      </w:pPr>
      <w:r>
        <w:rPr>
          <w:rStyle w:val="FootnoteReference"/>
        </w:rPr>
        <w:footnoteRef/>
      </w:r>
      <w:r>
        <w:t xml:space="preserve"> 2021 </w:t>
      </w:r>
      <w:r w:rsidR="00A86EEA">
        <w:t>p</w:t>
      </w:r>
      <w:r>
        <w:t xml:space="preserve">rovider </w:t>
      </w:r>
      <w:r w:rsidR="00A86EEA">
        <w:t>s</w:t>
      </w:r>
      <w:r>
        <w:t>urvey Q3.7</w:t>
      </w:r>
      <w:r w:rsidR="00A86EEA">
        <w:t>.</w:t>
      </w:r>
      <w:r w:rsidRPr="00F71EF9">
        <w:t xml:space="preserve"> What are the most common</w:t>
      </w:r>
      <w:r>
        <w:t xml:space="preserve"> SERVICES</w:t>
      </w:r>
      <w:r w:rsidRPr="00F71EF9">
        <w:t xml:space="preserve"> that staff at the site refer participants to? Select all that apply</w:t>
      </w:r>
      <w:r>
        <w:t xml:space="preserve">. See </w:t>
      </w:r>
      <w:r w:rsidRPr="00287A94">
        <w:rPr>
          <w:b/>
          <w:bCs/>
        </w:rPr>
        <w:t>Appendix 8</w:t>
      </w:r>
      <w:r w:rsidR="00A41057" w:rsidRPr="00C239FD">
        <w:t xml:space="preserve">, </w:t>
      </w:r>
      <w:r w:rsidR="00A41057">
        <w:rPr>
          <w:b/>
          <w:bCs/>
        </w:rPr>
        <w:t>Figure 61</w:t>
      </w:r>
      <w:r>
        <w:t>.</w:t>
      </w:r>
    </w:p>
  </w:footnote>
  <w:footnote w:id="67">
    <w:p w14:paraId="25B9BBAA" w14:textId="0DC64EA7" w:rsidR="00287A94" w:rsidRDefault="00287A94" w:rsidP="00287A94">
      <w:pPr>
        <w:pStyle w:val="Footnote0"/>
      </w:pPr>
      <w:r>
        <w:rPr>
          <w:rStyle w:val="FootnoteReference"/>
        </w:rPr>
        <w:footnoteRef/>
      </w:r>
      <w:r>
        <w:t xml:space="preserve"> 2021 </w:t>
      </w:r>
      <w:r w:rsidR="00A86EEA">
        <w:t>p</w:t>
      </w:r>
      <w:r>
        <w:t xml:space="preserve">rovider </w:t>
      </w:r>
      <w:r w:rsidR="00A86EEA">
        <w:t>s</w:t>
      </w:r>
      <w:r>
        <w:t>urvey</w:t>
      </w:r>
      <w:r w:rsidR="0025644C">
        <w:t xml:space="preserve"> </w:t>
      </w:r>
      <w:r>
        <w:rPr>
          <w:rFonts w:eastAsia="Times New Roman" w:cs="Calibri"/>
          <w:bCs/>
          <w:color w:val="000000"/>
        </w:rPr>
        <w:t>Q3.9</w:t>
      </w:r>
      <w:r w:rsidR="00A86EEA">
        <w:rPr>
          <w:rFonts w:eastAsia="Times New Roman" w:cs="Calibri"/>
          <w:bCs/>
          <w:color w:val="000000"/>
        </w:rPr>
        <w:t>.</w:t>
      </w:r>
      <w:r w:rsidRPr="00580AF4">
        <w:rPr>
          <w:rFonts w:eastAsia="Times New Roman" w:cs="Calibri"/>
          <w:bCs/>
          <w:color w:val="000000"/>
        </w:rPr>
        <w:t xml:space="preserve"> Which services or assistance were you </w:t>
      </w:r>
      <w:r>
        <w:rPr>
          <w:rFonts w:eastAsia="Times New Roman" w:cs="Calibri"/>
          <w:bCs/>
          <w:color w:val="000000"/>
        </w:rPr>
        <w:t>UNABLE</w:t>
      </w:r>
      <w:r w:rsidRPr="00580AF4">
        <w:rPr>
          <w:rFonts w:eastAsia="Times New Roman" w:cs="Calibri"/>
          <w:bCs/>
          <w:color w:val="000000"/>
        </w:rPr>
        <w:t xml:space="preserve"> to refer partici</w:t>
      </w:r>
      <w:r>
        <w:rPr>
          <w:rFonts w:eastAsia="Times New Roman" w:cs="Calibri"/>
          <w:bCs/>
          <w:color w:val="000000"/>
        </w:rPr>
        <w:t>pants to? Select all that apply</w:t>
      </w:r>
      <w:r w:rsidRPr="00580AF4">
        <w:rPr>
          <w:rFonts w:eastAsia="Times New Roman" w:cs="Calibri"/>
          <w:bCs/>
          <w:color w:val="000000"/>
        </w:rPr>
        <w:t>.</w:t>
      </w:r>
      <w:r w:rsidR="0025644C">
        <w:rPr>
          <w:rFonts w:eastAsia="Times New Roman" w:cs="Calibri"/>
          <w:bCs/>
          <w:color w:val="000000"/>
        </w:rPr>
        <w:t xml:space="preserve"> See </w:t>
      </w:r>
      <w:r w:rsidR="0025644C" w:rsidRPr="0025644C">
        <w:rPr>
          <w:rFonts w:eastAsia="Times New Roman" w:cs="Calibri"/>
          <w:b/>
          <w:color w:val="000000"/>
        </w:rPr>
        <w:t>Appendix 8</w:t>
      </w:r>
      <w:r w:rsidR="00A41057" w:rsidRPr="00C239FD">
        <w:rPr>
          <w:rFonts w:eastAsia="Times New Roman" w:cs="Calibri"/>
          <w:bCs/>
          <w:color w:val="000000"/>
        </w:rPr>
        <w:t>,</w:t>
      </w:r>
      <w:r w:rsidR="00A41057">
        <w:rPr>
          <w:rFonts w:eastAsia="Times New Roman" w:cs="Calibri"/>
          <w:b/>
          <w:color w:val="000000"/>
        </w:rPr>
        <w:t xml:space="preserve"> Figure 62</w:t>
      </w:r>
      <w:r w:rsidR="0025644C">
        <w:rPr>
          <w:rFonts w:eastAsia="Times New Roman" w:cs="Calibri"/>
          <w:bCs/>
          <w:color w:val="000000"/>
        </w:rPr>
        <w:t>.</w:t>
      </w:r>
    </w:p>
  </w:footnote>
  <w:footnote w:id="68">
    <w:p w14:paraId="1A1AB34B" w14:textId="7B3092AC" w:rsidR="0025644C" w:rsidRDefault="0025644C" w:rsidP="00C239FD">
      <w:pPr>
        <w:pStyle w:val="Footnote0"/>
      </w:pPr>
      <w:r>
        <w:rPr>
          <w:rStyle w:val="FootnoteReference"/>
        </w:rPr>
        <w:footnoteRef/>
      </w:r>
      <w:r>
        <w:t xml:space="preserve"> </w:t>
      </w:r>
      <w:r w:rsidR="00A41057">
        <w:t xml:space="preserve">2021 </w:t>
      </w:r>
      <w:r w:rsidR="00A86EEA">
        <w:t>p</w:t>
      </w:r>
      <w:r w:rsidR="00A41057">
        <w:t xml:space="preserve">rovider </w:t>
      </w:r>
      <w:r w:rsidR="00A86EEA">
        <w:t>s</w:t>
      </w:r>
      <w:r w:rsidR="00A41057">
        <w:t xml:space="preserve">urvey </w:t>
      </w:r>
      <w:r>
        <w:t>Q3.10</w:t>
      </w:r>
      <w:r w:rsidR="00A86EEA">
        <w:t>.</w:t>
      </w:r>
      <w:r>
        <w:t xml:space="preserve"> What were the MAIN reasons you were NOT able to refer participants to services or assistance that they needed? Select all that apply. See </w:t>
      </w:r>
      <w:r w:rsidRPr="0025644C">
        <w:rPr>
          <w:b/>
          <w:bCs/>
        </w:rPr>
        <w:t>Appendix 8</w:t>
      </w:r>
      <w:r w:rsidR="00A41057" w:rsidRPr="00C239FD">
        <w:t xml:space="preserve">, </w:t>
      </w:r>
      <w:r w:rsidR="00A41057">
        <w:rPr>
          <w:b/>
          <w:bCs/>
        </w:rPr>
        <w:t>Figure 63</w:t>
      </w:r>
      <w:r>
        <w:t>.</w:t>
      </w:r>
    </w:p>
  </w:footnote>
  <w:footnote w:id="69">
    <w:p w14:paraId="3EB534F0" w14:textId="17EA6AEB" w:rsidR="006150C6" w:rsidRDefault="006150C6" w:rsidP="006150C6">
      <w:pPr>
        <w:pStyle w:val="Footnote0"/>
      </w:pPr>
      <w:r>
        <w:rPr>
          <w:rStyle w:val="FootnoteReference"/>
        </w:rPr>
        <w:footnoteRef/>
      </w:r>
      <w:r>
        <w:t xml:space="preserve"> </w:t>
      </w:r>
      <w:r w:rsidRPr="00062C12">
        <w:t xml:space="preserve">Huppert and So </w:t>
      </w:r>
      <w:r>
        <w:t>(</w:t>
      </w:r>
      <w:r w:rsidRPr="00062C12">
        <w:t>2011</w:t>
      </w:r>
      <w:r>
        <w:t>)</w:t>
      </w:r>
      <w:r w:rsidRPr="00062C12">
        <w:t xml:space="preserve"> and Steer </w:t>
      </w:r>
      <w:r>
        <w:t>(</w:t>
      </w:r>
      <w:r w:rsidRPr="00062C12">
        <w:t>2016</w:t>
      </w:r>
      <w:r>
        <w:t>)</w:t>
      </w:r>
      <w:r w:rsidRPr="00062C12">
        <w:t xml:space="preserve"> reference numerous cross-sectional, longitudinal and experimental studies across a range of countries that demonstrate this</w:t>
      </w:r>
      <w:r w:rsidR="003B0C67">
        <w:t>.</w:t>
      </w:r>
    </w:p>
  </w:footnote>
  <w:footnote w:id="70">
    <w:p w14:paraId="48BCB028" w14:textId="08BF65A5" w:rsidR="006150C6" w:rsidRDefault="006150C6" w:rsidP="006150C6">
      <w:pPr>
        <w:pStyle w:val="Footnote0"/>
      </w:pPr>
      <w:r>
        <w:rPr>
          <w:rStyle w:val="FootnoteReference"/>
        </w:rPr>
        <w:footnoteRef/>
      </w:r>
      <w:r>
        <w:t xml:space="preserve"> </w:t>
      </w:r>
      <w:r w:rsidR="00956075">
        <w:t>S</w:t>
      </w:r>
      <w:r w:rsidRPr="00926740">
        <w:t xml:space="preserve">ee Steer (2016), Witten et al (2019) or Diener et al (2010) for discussion of the various and multiple </w:t>
      </w:r>
      <w:r>
        <w:t>impacts</w:t>
      </w:r>
      <w:r w:rsidR="003B0C67">
        <w:t>.</w:t>
      </w:r>
    </w:p>
  </w:footnote>
  <w:footnote w:id="71">
    <w:p w14:paraId="08B2958F" w14:textId="7A02B4B9" w:rsidR="0041506C" w:rsidRDefault="0041506C" w:rsidP="0041506C">
      <w:pPr>
        <w:pStyle w:val="Footnote0"/>
      </w:pPr>
      <w:r>
        <w:rPr>
          <w:rStyle w:val="FootnoteReference"/>
        </w:rPr>
        <w:footnoteRef/>
      </w:r>
      <w:r>
        <w:t xml:space="preserve"> If there is selection bias in the samples that has not been accounted for through regression, the finding that TtW participants had higher life satisfaction could be associated with their initial state as well as the program influence.</w:t>
      </w:r>
    </w:p>
  </w:footnote>
  <w:footnote w:id="72">
    <w:p w14:paraId="1CCCAA82" w14:textId="68A54272" w:rsidR="002D416A" w:rsidRDefault="006150C6" w:rsidP="008332A7">
      <w:pPr>
        <w:pStyle w:val="Footnote0"/>
        <w:keepNext/>
      </w:pPr>
      <w:r>
        <w:rPr>
          <w:rStyle w:val="FootnoteReference"/>
        </w:rPr>
        <w:footnoteRef/>
      </w:r>
      <w:r>
        <w:t xml:space="preserve"> </w:t>
      </w:r>
      <w:r w:rsidRPr="00057CF2">
        <w:t xml:space="preserve">Australian Institute of Health and Welfare 2021, </w:t>
      </w:r>
      <w:hyperlink r:id="rId1" w:history="1">
        <w:r w:rsidRPr="008332A7">
          <w:rPr>
            <w:rStyle w:val="Hyperlink"/>
          </w:rPr>
          <w:t>Australia</w:t>
        </w:r>
        <w:r w:rsidR="00495379" w:rsidRPr="00395DA2">
          <w:rPr>
            <w:rStyle w:val="Hyperlink"/>
          </w:rPr>
          <w:t>’</w:t>
        </w:r>
        <w:r w:rsidRPr="008332A7">
          <w:rPr>
            <w:rStyle w:val="Hyperlink"/>
          </w:rPr>
          <w:t>s youth: Subjective wellbeing</w:t>
        </w:r>
        <w:r w:rsidR="00F8391B" w:rsidRPr="008332A7">
          <w:rPr>
            <w:rStyle w:val="Hyperlink"/>
          </w:rPr>
          <w:t xml:space="preserve"> – </w:t>
        </w:r>
        <w:r w:rsidRPr="008332A7">
          <w:rPr>
            <w:rStyle w:val="Hyperlink"/>
          </w:rPr>
          <w:t>Australian Institute of Health and Welfare (aihw.gov.au)</w:t>
        </w:r>
        <w:r w:rsidR="00495379" w:rsidRPr="008332A7">
          <w:rPr>
            <w:rFonts w:cs="Calibri"/>
          </w:rPr>
          <w:t>,</w:t>
        </w:r>
        <w:r w:rsidRPr="008332A7">
          <w:rPr>
            <w:rFonts w:cs="Calibri"/>
          </w:rPr>
          <w:t xml:space="preserve"> accessed 24/11/21 </w:t>
        </w:r>
        <w:r w:rsidRPr="008332A7">
          <w:t>AIHW, reported data</w:t>
        </w:r>
      </w:hyperlink>
      <w:r w:rsidRPr="00057CF2">
        <w:rPr>
          <w:rFonts w:cs="Calibri"/>
        </w:rPr>
        <w:t xml:space="preserve"> from </w:t>
      </w:r>
      <w:r>
        <w:rPr>
          <w:rFonts w:cs="Calibri"/>
        </w:rPr>
        <w:t xml:space="preserve">HILDA (2018), the Mission Australia Youth Survey (2020) and </w:t>
      </w:r>
      <w:r w:rsidR="005C4CE4">
        <w:rPr>
          <w:rFonts w:cs="Calibri"/>
        </w:rPr>
        <w:t>Longitudinal Survey of Australian Youth (</w:t>
      </w:r>
      <w:r w:rsidR="00C239FD">
        <w:rPr>
          <w:rFonts w:cs="Calibri"/>
        </w:rPr>
        <w:t>LSAY</w:t>
      </w:r>
      <w:r w:rsidR="005C4CE4">
        <w:rPr>
          <w:rFonts w:cs="Calibri"/>
        </w:rPr>
        <w:t>) (</w:t>
      </w:r>
      <w:r>
        <w:rPr>
          <w:rFonts w:cs="Calibri"/>
        </w:rPr>
        <w:t>2018</w:t>
      </w:r>
      <w:r w:rsidR="005C4CE4">
        <w:rPr>
          <w:rFonts w:cs="Calibri"/>
        </w:rPr>
        <w:t>)</w:t>
      </w:r>
      <w:r>
        <w:rPr>
          <w:rFonts w:cs="Calibri"/>
        </w:rPr>
        <w:t xml:space="preserve">. Additional data reported: </w:t>
      </w:r>
    </w:p>
    <w:p w14:paraId="76FCF779" w14:textId="44AF74D0" w:rsidR="006150C6" w:rsidRPr="00057CF2" w:rsidRDefault="006150C6" w:rsidP="00FF5DFD">
      <w:pPr>
        <w:pStyle w:val="Footnote0"/>
        <w:numPr>
          <w:ilvl w:val="0"/>
          <w:numId w:val="37"/>
        </w:numPr>
      </w:pPr>
      <w:r w:rsidRPr="00057CF2">
        <w:t>In 2020 (mid COVID</w:t>
      </w:r>
      <w:r w:rsidR="003B0C67">
        <w:t>-19</w:t>
      </w:r>
      <w:r w:rsidRPr="00057CF2">
        <w:t>), almost 3 in 5 (59%) young people aged 15–19 reported feeling happy or very happy with their life as a whole, similar to 2019 (61%) but declining steadily since 2012 (71%) (Mission Australia Youth Survey data collected between April and Aug</w:t>
      </w:r>
      <w:r w:rsidR="00DD2BC0">
        <w:t>ust</w:t>
      </w:r>
      <w:r w:rsidRPr="00057CF2">
        <w:t xml:space="preserve"> 2020, compared to data collected annually since 2012). </w:t>
      </w:r>
    </w:p>
    <w:p w14:paraId="61AEDF8E" w14:textId="556BB4EA" w:rsidR="006150C6" w:rsidRDefault="006150C6" w:rsidP="00FF5DFD">
      <w:pPr>
        <w:pStyle w:val="Footnote0"/>
        <w:numPr>
          <w:ilvl w:val="0"/>
          <w:numId w:val="37"/>
        </w:numPr>
        <w:tabs>
          <w:tab w:val="clear" w:pos="426"/>
        </w:tabs>
      </w:pPr>
      <w:r w:rsidRPr="008332A7">
        <w:t xml:space="preserve">2018 </w:t>
      </w:r>
      <w:r w:rsidR="00C239FD" w:rsidRPr="00C239FD">
        <w:t>L</w:t>
      </w:r>
      <w:r w:rsidR="00C239FD">
        <w:t>SAY</w:t>
      </w:r>
      <w:r w:rsidR="00C239FD" w:rsidRPr="001D461A">
        <w:t xml:space="preserve"> </w:t>
      </w:r>
      <w:r w:rsidRPr="001D461A">
        <w:t>(Y15 and Y09 cohorts</w:t>
      </w:r>
      <w:r w:rsidR="00F8391B">
        <w:t xml:space="preserve"> – </w:t>
      </w:r>
      <w:r w:rsidRPr="001D461A">
        <w:t>aged 18 and 24, respectively) asked how satisfied young people are with their lives as a whole. Very or fairly satisfied with their life as a whole (24</w:t>
      </w:r>
      <w:r w:rsidR="009F1529">
        <w:t xml:space="preserve"> year olds,</w:t>
      </w:r>
      <w:r w:rsidR="00F8391B">
        <w:t xml:space="preserve"> </w:t>
      </w:r>
      <w:r w:rsidRPr="001D461A">
        <w:t>90%</w:t>
      </w:r>
      <w:r w:rsidR="00B57D7D">
        <w:t>;</w:t>
      </w:r>
      <w:r w:rsidRPr="001D461A">
        <w:t xml:space="preserve"> 18</w:t>
      </w:r>
      <w:r w:rsidR="009F1529">
        <w:t xml:space="preserve"> year olds,</w:t>
      </w:r>
      <w:r w:rsidR="00F8391B">
        <w:t xml:space="preserve"> </w:t>
      </w:r>
      <w:r w:rsidRPr="001D461A">
        <w:t>84%).</w:t>
      </w:r>
      <w:r w:rsidRPr="00057CF2">
        <w:rPr>
          <w:sz w:val="16"/>
          <w:szCs w:val="16"/>
        </w:rPr>
        <w:t xml:space="preserve"> </w:t>
      </w:r>
    </w:p>
  </w:footnote>
  <w:footnote w:id="73">
    <w:p w14:paraId="39630C69" w14:textId="1005F2C8" w:rsidR="003A4DFA" w:rsidRDefault="003A4DFA" w:rsidP="00C239FD">
      <w:pPr>
        <w:pStyle w:val="Footnote0"/>
      </w:pPr>
      <w:r>
        <w:rPr>
          <w:rStyle w:val="FootnoteReference"/>
        </w:rPr>
        <w:footnoteRef/>
      </w:r>
      <w:r>
        <w:t xml:space="preserve"> 2021 </w:t>
      </w:r>
      <w:r w:rsidR="00A86EEA">
        <w:t>p</w:t>
      </w:r>
      <w:r>
        <w:t xml:space="preserve">rovider </w:t>
      </w:r>
      <w:r w:rsidR="00A86EEA">
        <w:t>s</w:t>
      </w:r>
      <w:r>
        <w:t xml:space="preserve">urvey </w:t>
      </w:r>
      <w:r w:rsidRPr="00BC4A6A">
        <w:t>Q</w:t>
      </w:r>
      <w:r>
        <w:t>7.2</w:t>
      </w:r>
      <w:r w:rsidR="00A86EEA">
        <w:t>.</w:t>
      </w:r>
      <w:r>
        <w:t xml:space="preserve"> Thinking about </w:t>
      </w:r>
      <w:r w:rsidRPr="007D12B3">
        <w:t xml:space="preserve">the [site name] </w:t>
      </w:r>
      <w:r>
        <w:t>site</w:t>
      </w:r>
      <w:r w:rsidR="00A54053">
        <w:t>’</w:t>
      </w:r>
      <w:r>
        <w:t xml:space="preserve">s involvement with Transition to Work … Overall, what effect has engagement in the TtW program had on participant’s …? See </w:t>
      </w:r>
      <w:r w:rsidRPr="003A4DFA">
        <w:rPr>
          <w:b/>
          <w:bCs/>
        </w:rPr>
        <w:t>Appendix 8</w:t>
      </w:r>
      <w:r w:rsidR="00A41057" w:rsidRPr="00C239FD">
        <w:t xml:space="preserve">, </w:t>
      </w:r>
      <w:r w:rsidR="00A41057">
        <w:rPr>
          <w:b/>
          <w:bCs/>
        </w:rPr>
        <w:t>Figure 58</w:t>
      </w:r>
      <w:r>
        <w:t>.</w:t>
      </w:r>
    </w:p>
  </w:footnote>
  <w:footnote w:id="74">
    <w:p w14:paraId="234BF615" w14:textId="53813A25" w:rsidR="00353F2E" w:rsidRDefault="00353F2E" w:rsidP="00353F2E">
      <w:pPr>
        <w:pStyle w:val="Footnote0"/>
      </w:pPr>
      <w:r>
        <w:rPr>
          <w:rStyle w:val="FootnoteReference"/>
        </w:rPr>
        <w:footnoteRef/>
      </w:r>
      <w:r>
        <w:t xml:space="preserve"> If there is selection bias in the samples that has not been accounted for through regression, the finding that TtW participants had higher wellbeing could be associated with their initial state as well as the program influence.</w:t>
      </w:r>
    </w:p>
  </w:footnote>
  <w:footnote w:id="75">
    <w:p w14:paraId="08D0D956" w14:textId="53071033" w:rsidR="004E08A2" w:rsidRPr="004E08A2" w:rsidRDefault="004E08A2" w:rsidP="004E08A2">
      <w:pPr>
        <w:pStyle w:val="Footnote0"/>
      </w:pPr>
      <w:r>
        <w:rPr>
          <w:rStyle w:val="FootnoteReference"/>
        </w:rPr>
        <w:footnoteRef/>
      </w:r>
      <w:r>
        <w:t xml:space="preserve"> </w:t>
      </w:r>
      <w:r w:rsidRPr="004E08A2">
        <w:t xml:space="preserve">2021 </w:t>
      </w:r>
      <w:r w:rsidR="00A86EEA">
        <w:t>p</w:t>
      </w:r>
      <w:r w:rsidRPr="004E08A2">
        <w:t xml:space="preserve">articipant </w:t>
      </w:r>
      <w:r w:rsidR="00A86EEA">
        <w:t>s</w:t>
      </w:r>
      <w:r w:rsidRPr="004E08A2">
        <w:t>urvey QTTB4</w:t>
      </w:r>
      <w:r w:rsidR="00A86EEA">
        <w:t>.</w:t>
      </w:r>
      <w:r w:rsidRPr="004E08A2">
        <w:t xml:space="preserve"> In your opinion, has your &lt;TtW / jobactive&gt; caseworker(s) had a positive or negative impact on your</w:t>
      </w:r>
      <w:r w:rsidR="004A2A6E">
        <w:t xml:space="preserve"> </w:t>
      </w:r>
      <w:r w:rsidRPr="004E08A2">
        <w:t xml:space="preserve">… See </w:t>
      </w:r>
      <w:r w:rsidRPr="004E08A2">
        <w:rPr>
          <w:b/>
          <w:bCs/>
        </w:rPr>
        <w:t>Appendix 8</w:t>
      </w:r>
      <w:r w:rsidR="00A41057" w:rsidRPr="00C239FD">
        <w:t>,</w:t>
      </w:r>
      <w:r w:rsidR="00A41057">
        <w:rPr>
          <w:b/>
          <w:bCs/>
        </w:rPr>
        <w:t xml:space="preserve"> Figure 54</w:t>
      </w:r>
      <w:r w:rsidRPr="004E08A2">
        <w:t>.</w:t>
      </w:r>
    </w:p>
  </w:footnote>
  <w:footnote w:id="76">
    <w:p w14:paraId="0CC33B82" w14:textId="54D86F98" w:rsidR="006150C6" w:rsidRDefault="006150C6" w:rsidP="004E08A2">
      <w:pPr>
        <w:pStyle w:val="Footnote0"/>
      </w:pPr>
      <w:r w:rsidRPr="004E08A2">
        <w:rPr>
          <w:rStyle w:val="FootnoteReference"/>
        </w:rPr>
        <w:footnoteRef/>
      </w:r>
      <w:r w:rsidRPr="004E08A2">
        <w:t xml:space="preserve"> </w:t>
      </w:r>
      <w:r w:rsidR="004E08A2">
        <w:t>2021</w:t>
      </w:r>
      <w:r w:rsidR="004A2A6E">
        <w:t xml:space="preserve"> </w:t>
      </w:r>
      <w:r w:rsidR="00A86EEA">
        <w:t>p</w:t>
      </w:r>
      <w:r w:rsidRPr="004E08A2">
        <w:t xml:space="preserve">rovider </w:t>
      </w:r>
      <w:r w:rsidR="00A86EEA">
        <w:t>s</w:t>
      </w:r>
      <w:r w:rsidRPr="004E08A2">
        <w:t>urvey Q7.2</w:t>
      </w:r>
      <w:r w:rsidR="00A86EEA">
        <w:t>.</w:t>
      </w:r>
      <w:r w:rsidRPr="004E08A2">
        <w:t xml:space="preserve"> Thinking about the [site name] site’s involvement in Transition to Work</w:t>
      </w:r>
      <w:r w:rsidR="004A2A6E">
        <w:t xml:space="preserve"> </w:t>
      </w:r>
      <w:r w:rsidRPr="004E08A2">
        <w:t>…</w:t>
      </w:r>
      <w:r w:rsidR="004A2A6E">
        <w:t xml:space="preserve"> </w:t>
      </w:r>
      <w:r w:rsidRPr="004E08A2">
        <w:t>Overall, what effect has engagement in the TtW program had on participants</w:t>
      </w:r>
      <w:r w:rsidR="004A2A6E">
        <w:t xml:space="preserve"> </w:t>
      </w:r>
      <w:r w:rsidRPr="004E08A2">
        <w:t>…</w:t>
      </w:r>
      <w:r w:rsidR="004E08A2" w:rsidRPr="004E08A2">
        <w:t xml:space="preserve"> See </w:t>
      </w:r>
      <w:r w:rsidR="004E08A2" w:rsidRPr="004E08A2">
        <w:rPr>
          <w:b/>
          <w:bCs/>
        </w:rPr>
        <w:t>Appendix 8</w:t>
      </w:r>
      <w:r w:rsidR="00A41057" w:rsidRPr="00C239FD">
        <w:t xml:space="preserve">, </w:t>
      </w:r>
      <w:r w:rsidR="00A41057">
        <w:rPr>
          <w:b/>
          <w:bCs/>
        </w:rPr>
        <w:t>Figure 58</w:t>
      </w:r>
      <w:r w:rsidR="004E08A2" w:rsidRPr="004E08A2">
        <w:t>.</w:t>
      </w:r>
    </w:p>
  </w:footnote>
  <w:footnote w:id="77">
    <w:p w14:paraId="38CE9370" w14:textId="0C0DA608" w:rsidR="006150C6" w:rsidRDefault="006150C6" w:rsidP="00956075">
      <w:pPr>
        <w:pStyle w:val="Footnote0"/>
      </w:pPr>
      <w:r>
        <w:rPr>
          <w:rStyle w:val="FootnoteReference"/>
        </w:rPr>
        <w:footnoteRef/>
      </w:r>
      <w:r>
        <w:t xml:space="preserve"> </w:t>
      </w:r>
      <w:r w:rsidR="004E08A2">
        <w:t xml:space="preserve">2021 </w:t>
      </w:r>
      <w:r w:rsidR="00A86EEA">
        <w:t>p</w:t>
      </w:r>
      <w:r w:rsidR="004E08A2">
        <w:t xml:space="preserve">articipant </w:t>
      </w:r>
      <w:r w:rsidR="00A86EEA">
        <w:t>s</w:t>
      </w:r>
      <w:r w:rsidR="004E08A2">
        <w:t xml:space="preserve">urvey </w:t>
      </w:r>
      <w:r>
        <w:t xml:space="preserve">QTJA4. And </w:t>
      </w:r>
      <w:r w:rsidRPr="00956075">
        <w:t>overall</w:t>
      </w:r>
      <w:r>
        <w:t>, would you say that the frequency of contact with your caseworker(s) is</w:t>
      </w:r>
      <w:r w:rsidR="008A1185">
        <w:t xml:space="preserve"> </w:t>
      </w:r>
      <w:r>
        <w:t>…</w:t>
      </w:r>
      <w:r w:rsidR="008A1185">
        <w:t xml:space="preserve"> </w:t>
      </w:r>
      <w:r>
        <w:t>(just right, too little, too much)</w:t>
      </w:r>
      <w:r w:rsidR="008A1185">
        <w:t>.</w:t>
      </w:r>
    </w:p>
  </w:footnote>
  <w:footnote w:id="78">
    <w:p w14:paraId="67FB05C7" w14:textId="77777777" w:rsidR="006150C6" w:rsidRDefault="006150C6" w:rsidP="006150C6">
      <w:pPr>
        <w:pStyle w:val="Footnote0"/>
      </w:pPr>
      <w:r>
        <w:rPr>
          <w:rStyle w:val="FootnoteReference"/>
        </w:rPr>
        <w:footnoteRef/>
      </w:r>
      <w:r>
        <w:t xml:space="preserve"> Q7.3 We can think about the confidence, motivation, resilience, health and connectedness of TtW participants as their ‘human capabilities’. To what extent do you think that TtW has a positive impact on the human capabilities of participants?</w:t>
      </w:r>
    </w:p>
  </w:footnote>
  <w:footnote w:id="79">
    <w:p w14:paraId="2419982F" w14:textId="77777777" w:rsidR="006150C6" w:rsidRDefault="006150C6" w:rsidP="006150C6">
      <w:pPr>
        <w:pStyle w:val="Footnote0"/>
      </w:pPr>
      <w:r>
        <w:rPr>
          <w:rStyle w:val="FootnoteReference"/>
        </w:rPr>
        <w:footnoteRef/>
      </w:r>
      <w:r>
        <w:t xml:space="preserve"> It should be noted that only 6% of TtW sites are </w:t>
      </w:r>
      <w:r w:rsidRPr="009F1529">
        <w:t>for-profit</w:t>
      </w:r>
      <w:r>
        <w:t xml:space="preserve"> (17 sites out of 278 sites).</w:t>
      </w:r>
    </w:p>
  </w:footnote>
  <w:footnote w:id="80">
    <w:p w14:paraId="04F00457" w14:textId="77777777" w:rsidR="006150C6" w:rsidRDefault="006150C6" w:rsidP="006150C6">
      <w:pPr>
        <w:pStyle w:val="Footnote0"/>
      </w:pPr>
      <w:r>
        <w:rPr>
          <w:rStyle w:val="FootnoteReference"/>
        </w:rPr>
        <w:footnoteRef/>
      </w:r>
      <w:r>
        <w:t xml:space="preserve"> The medial caseload of sites with specialist staff is 95, compared to 77 for sites with no specialist staff.</w:t>
      </w:r>
    </w:p>
  </w:footnote>
  <w:footnote w:id="81">
    <w:p w14:paraId="4A3FEE26" w14:textId="39EB2768" w:rsidR="003A491D" w:rsidRDefault="003A491D" w:rsidP="003A491D">
      <w:pPr>
        <w:pStyle w:val="Footnote0"/>
      </w:pPr>
      <w:r>
        <w:rPr>
          <w:rStyle w:val="FootnoteReference"/>
        </w:rPr>
        <w:footnoteRef/>
      </w:r>
      <w:r>
        <w:t xml:space="preserve"> Regression analysis included the following variables: ex-offender status, gender, </w:t>
      </w:r>
      <w:r w:rsidR="00F06DFC">
        <w:t>I</w:t>
      </w:r>
      <w:r>
        <w:t>ndigenous status, education level, ho</w:t>
      </w:r>
      <w:r w:rsidR="00F06DFC">
        <w:t>u</w:t>
      </w:r>
      <w:r>
        <w:t xml:space="preserve">sing stability, access to transport, existence of other personal factors affecting employability, whether a participant had previous work experience, disability, English competency, income support history, location (metro/regional/remote) and the availability of jobs in the employment area. Regression analysis also showed that regardless of what program they are in, participants with any of the following characteristics were also more likely to go to prison in the </w:t>
      </w:r>
      <w:r w:rsidR="00F06DFC">
        <w:t>4 </w:t>
      </w:r>
      <w:r>
        <w:t xml:space="preserve">years from commencement: ex-offender, male, </w:t>
      </w:r>
      <w:r w:rsidR="00F06DFC">
        <w:t>I</w:t>
      </w:r>
      <w:r>
        <w:t>ndigenous, early school leaver, unstable residence, lack of private transport, other personal factors.</w:t>
      </w:r>
    </w:p>
  </w:footnote>
  <w:footnote w:id="82">
    <w:p w14:paraId="119FFB6E" w14:textId="46567830" w:rsidR="003A491D" w:rsidRDefault="003A491D" w:rsidP="003A491D">
      <w:pPr>
        <w:pStyle w:val="Footnote0"/>
      </w:pPr>
      <w:r>
        <w:rPr>
          <w:rStyle w:val="FootnoteReference"/>
        </w:rPr>
        <w:footnoteRef/>
      </w:r>
      <w:r>
        <w:t xml:space="preserve"> </w:t>
      </w:r>
      <w:r w:rsidRPr="00050656">
        <w:t>‘</w:t>
      </w:r>
      <w:r w:rsidR="00F06DFC">
        <w:t>E</w:t>
      </w:r>
      <w:r w:rsidRPr="00050656">
        <w:t>x</w:t>
      </w:r>
      <w:r w:rsidR="00F06DFC">
        <w:t>-</w:t>
      </w:r>
      <w:r w:rsidRPr="00050656">
        <w:t xml:space="preserve">offender’ </w:t>
      </w:r>
      <w:r w:rsidR="00F06DFC">
        <w:t>refers to</w:t>
      </w:r>
      <w:r w:rsidR="00F06DFC" w:rsidRPr="00050656">
        <w:t xml:space="preserve"> </w:t>
      </w:r>
      <w:r w:rsidRPr="00050656">
        <w:t>participants who self-disclose in their initial JSCI assessment that they have any criminal conviction that is either</w:t>
      </w:r>
      <w:r>
        <w:t xml:space="preserve"> a</w:t>
      </w:r>
      <w:r w:rsidRPr="00050656">
        <w:t xml:space="preserve"> non-custodial sentence or any length of custodial sentence.</w:t>
      </w:r>
    </w:p>
  </w:footnote>
  <w:footnote w:id="83">
    <w:p w14:paraId="417D5359" w14:textId="77777777" w:rsidR="003A491D" w:rsidRDefault="003A491D" w:rsidP="003A491D">
      <w:pPr>
        <w:pStyle w:val="Footnote0"/>
      </w:pPr>
      <w:r>
        <w:rPr>
          <w:rStyle w:val="FootnoteReference"/>
        </w:rPr>
        <w:footnoteRef/>
      </w:r>
      <w:r>
        <w:t xml:space="preserve"> Ex-offenders made up 9.0% of the TtW cohort, and 9.1% of the comparison cohort.</w:t>
      </w:r>
    </w:p>
  </w:footnote>
  <w:footnote w:id="84">
    <w:p w14:paraId="7FF3537F" w14:textId="7E4D9D5B" w:rsidR="003A491D" w:rsidRDefault="003A491D" w:rsidP="003A491D">
      <w:pPr>
        <w:pStyle w:val="Footnote0"/>
      </w:pPr>
      <w:r>
        <w:rPr>
          <w:rStyle w:val="FootnoteReference"/>
        </w:rPr>
        <w:footnoteRef/>
      </w:r>
      <w:r>
        <w:t xml:space="preserve"> </w:t>
      </w:r>
      <w:r w:rsidRPr="00CB135A">
        <w:t>I</w:t>
      </w:r>
      <w:r w:rsidR="001A5EC7">
        <w:t>t is</w:t>
      </w:r>
      <w:r w:rsidRPr="00CB135A">
        <w:t xml:space="preserve"> worth noting that while </w:t>
      </w:r>
      <w:r w:rsidRPr="00B8300E">
        <w:t>Aboriginal and/or Torres Strait Islander participants make up only 27% of the study population, overall, they were almost as likely to be incarcerated as non-Aboriginal and/or Torres Strait Islander participants</w:t>
      </w:r>
      <w:r>
        <w:t>.</w:t>
      </w:r>
    </w:p>
  </w:footnote>
  <w:footnote w:id="85">
    <w:p w14:paraId="34D72AFF" w14:textId="7F99447E" w:rsidR="003A491D" w:rsidRDefault="003A491D" w:rsidP="00956075">
      <w:pPr>
        <w:pStyle w:val="Footnote0"/>
      </w:pPr>
      <w:bookmarkStart w:id="2394" w:name="_Hlk118816690"/>
      <w:r>
        <w:rPr>
          <w:rStyle w:val="FootnoteReference"/>
        </w:rPr>
        <w:footnoteRef/>
      </w:r>
      <w:r>
        <w:t xml:space="preserve"> The proportion of participants overall who were incarcerated over the 4</w:t>
      </w:r>
      <w:r w:rsidR="001A5EC7">
        <w:t>-</w:t>
      </w:r>
      <w:r>
        <w:t xml:space="preserve">year study period is 5.03% of TtW participants, </w:t>
      </w:r>
      <w:r w:rsidR="001A5EC7">
        <w:t xml:space="preserve">compared to </w:t>
      </w:r>
      <w:r>
        <w:t xml:space="preserve">6.17% of participants in the comparison group </w:t>
      </w:r>
      <w:bookmarkEnd w:id="2394"/>
      <w:r>
        <w:t xml:space="preserve">(see </w:t>
      </w:r>
      <w:r w:rsidR="001A5EC7">
        <w:t>S</w:t>
      </w:r>
      <w:r>
        <w:t>ection 6.2).</w:t>
      </w:r>
    </w:p>
  </w:footnote>
  <w:footnote w:id="86">
    <w:p w14:paraId="44C6411C" w14:textId="6EB1C9AD" w:rsidR="00C83E93" w:rsidRDefault="00C83E93" w:rsidP="00956075">
      <w:pPr>
        <w:pStyle w:val="Footnote0"/>
      </w:pPr>
      <w:r>
        <w:rPr>
          <w:rStyle w:val="FootnoteReference"/>
        </w:rPr>
        <w:footnoteRef/>
      </w:r>
      <w:r>
        <w:t xml:space="preserve"> </w:t>
      </w:r>
      <w:r w:rsidR="004A5769">
        <w:t>Many participants from both TtW and the comparison sample move in and out of income support (and employment) over time.</w:t>
      </w:r>
    </w:p>
  </w:footnote>
  <w:footnote w:id="87">
    <w:p w14:paraId="2F5097F5" w14:textId="35E59BAC" w:rsidR="00C9352A" w:rsidRDefault="00C9352A" w:rsidP="00956075">
      <w:pPr>
        <w:pStyle w:val="Footnote0"/>
      </w:pPr>
      <w:r>
        <w:rPr>
          <w:rStyle w:val="FootnoteReference"/>
        </w:rPr>
        <w:footnoteRef/>
      </w:r>
      <w:r>
        <w:t xml:space="preserve"> </w:t>
      </w:r>
      <w:r w:rsidRPr="004F2084">
        <w:t xml:space="preserve">see </w:t>
      </w:r>
      <w:r w:rsidR="00A75262" w:rsidRPr="001431BC">
        <w:rPr>
          <w:b/>
          <w:bCs/>
        </w:rPr>
        <w:t>Section 2.</w:t>
      </w:r>
      <w:r w:rsidR="001A5EC7">
        <w:rPr>
          <w:b/>
          <w:bCs/>
        </w:rPr>
        <w:t>4</w:t>
      </w:r>
      <w:r w:rsidR="00A75262" w:rsidRPr="001431BC">
        <w:rPr>
          <w:b/>
          <w:bCs/>
        </w:rPr>
        <w:t>.3</w:t>
      </w:r>
      <w:r w:rsidR="00A75262" w:rsidRPr="001431BC">
        <w:t xml:space="preserve"> and </w:t>
      </w:r>
      <w:r w:rsidRPr="001431BC">
        <w:rPr>
          <w:b/>
          <w:bCs/>
        </w:rPr>
        <w:t xml:space="preserve">Appendix </w:t>
      </w:r>
      <w:r w:rsidRPr="004F2084">
        <w:rPr>
          <w:b/>
          <w:bCs/>
        </w:rPr>
        <w:t>4.3</w:t>
      </w:r>
      <w:r w:rsidRPr="00AA3ADA">
        <w:t xml:space="preserve"> for details of how this indicator is defined</w:t>
      </w:r>
      <w:r>
        <w:t>.</w:t>
      </w:r>
    </w:p>
  </w:footnote>
  <w:footnote w:id="88">
    <w:p w14:paraId="2322B322" w14:textId="2B412FBA" w:rsidR="00F65CF6" w:rsidRDefault="00F65CF6" w:rsidP="00956075">
      <w:pPr>
        <w:pStyle w:val="Footnote0"/>
      </w:pPr>
      <w:r>
        <w:rPr>
          <w:rStyle w:val="FootnoteReference"/>
        </w:rPr>
        <w:footnoteRef/>
      </w:r>
      <w:r>
        <w:t xml:space="preserve"> This is in line with findings from the TtW </w:t>
      </w:r>
      <w:r w:rsidR="00380880">
        <w:t>f</w:t>
      </w:r>
      <w:r>
        <w:t xml:space="preserve">inal </w:t>
      </w:r>
      <w:r w:rsidR="00380880">
        <w:t>e</w:t>
      </w:r>
      <w:r>
        <w:t>valuation (</w:t>
      </w:r>
      <w:r w:rsidR="00CE0CBD">
        <w:rPr>
          <w:b/>
          <w:bCs/>
        </w:rPr>
        <w:t>DESE 2021</w:t>
      </w:r>
      <w:r>
        <w:t>)</w:t>
      </w:r>
      <w:r w:rsidR="001A5EC7">
        <w:t>.</w:t>
      </w:r>
    </w:p>
  </w:footnote>
  <w:footnote w:id="89">
    <w:p w14:paraId="33F86D5F" w14:textId="2767960C" w:rsidR="00131896" w:rsidRDefault="00131896" w:rsidP="00956075">
      <w:pPr>
        <w:pStyle w:val="Footnote0"/>
      </w:pPr>
      <w:r>
        <w:rPr>
          <w:rStyle w:val="FootnoteReference"/>
        </w:rPr>
        <w:footnoteRef/>
      </w:r>
      <w:r>
        <w:t xml:space="preserve"> C</w:t>
      </w:r>
      <w:r w:rsidR="001A5EC7">
        <w:t>OVID-19</w:t>
      </w:r>
      <w:r>
        <w:t xml:space="preserve"> began to impact some of the research participants at around 36 months, so any results after this point are impacted by </w:t>
      </w:r>
      <w:r w:rsidR="001A5EC7">
        <w:t>COVID-19</w:t>
      </w:r>
      <w:r>
        <w:t>.</w:t>
      </w:r>
    </w:p>
  </w:footnote>
  <w:footnote w:id="90">
    <w:p w14:paraId="58B70DE1" w14:textId="6E8B1C4D" w:rsidR="00131896" w:rsidRDefault="00131896" w:rsidP="00956075">
      <w:pPr>
        <w:pStyle w:val="Footnote0"/>
      </w:pPr>
      <w:r>
        <w:rPr>
          <w:rStyle w:val="FootnoteReference"/>
        </w:rPr>
        <w:footnoteRef/>
      </w:r>
      <w:r>
        <w:t xml:space="preserve"> </w:t>
      </w:r>
      <w:r w:rsidR="006C5F71">
        <w:t>COVID</w:t>
      </w:r>
      <w:r w:rsidR="00A245F6">
        <w:t>-19</w:t>
      </w:r>
      <w:r>
        <w:t xml:space="preserve"> began to impact some of the research participants at around 36 months, so any results after this point are impacted by </w:t>
      </w:r>
      <w:r w:rsidR="006C5F71">
        <w:t>COVID</w:t>
      </w:r>
      <w:r w:rsidR="00A245F6">
        <w:t>-19</w:t>
      </w:r>
      <w:r>
        <w:t>.</w:t>
      </w:r>
    </w:p>
  </w:footnote>
  <w:footnote w:id="91">
    <w:p w14:paraId="78FE815E" w14:textId="2523798C" w:rsidR="0091404F" w:rsidRDefault="0091404F" w:rsidP="00956075">
      <w:pPr>
        <w:pStyle w:val="Footnote0"/>
      </w:pPr>
      <w:r>
        <w:rPr>
          <w:rStyle w:val="FootnoteReference"/>
        </w:rPr>
        <w:footnoteRef/>
      </w:r>
      <w:r>
        <w:t xml:space="preserve"> It should be noted that those who have only one income support episode may have exited income support and not returned, or may never </w:t>
      </w:r>
      <w:r w:rsidR="00DF2AA1">
        <w:t xml:space="preserve">have </w:t>
      </w:r>
      <w:r>
        <w:t>exited income support</w:t>
      </w:r>
      <w:r w:rsidR="006C5F71">
        <w:t>;</w:t>
      </w:r>
      <w:r>
        <w:t xml:space="preserve"> similarly those who have </w:t>
      </w:r>
      <w:r w:rsidR="006C5F71">
        <w:t xml:space="preserve">2 </w:t>
      </w:r>
      <w:r>
        <w:t xml:space="preserve">episodes of income support may still be on income support (for the second time) or have exited and not returned after </w:t>
      </w:r>
      <w:r w:rsidR="006C5F71">
        <w:t xml:space="preserve">2 </w:t>
      </w:r>
      <w:r>
        <w:t>episodes of income support.</w:t>
      </w:r>
    </w:p>
  </w:footnote>
  <w:footnote w:id="92">
    <w:p w14:paraId="54CACA91" w14:textId="77777777" w:rsidR="00EE664E" w:rsidRDefault="00EE664E" w:rsidP="00956075">
      <w:pPr>
        <w:pStyle w:val="Footnote0"/>
      </w:pPr>
      <w:r>
        <w:rPr>
          <w:rStyle w:val="FootnoteReference"/>
        </w:rPr>
        <w:footnoteRef/>
      </w:r>
      <w:r>
        <w:t xml:space="preserve"> A ‘study outcome’ was defined as the placement (recorded in the department’s IT system) of a TtW or jobactive participant in an education or training activity that could qualify for an education outcome payment. </w:t>
      </w:r>
    </w:p>
  </w:footnote>
  <w:footnote w:id="93">
    <w:p w14:paraId="282F08A1" w14:textId="464B8F93" w:rsidR="004E0B64" w:rsidRDefault="004E0B64" w:rsidP="00C239FD">
      <w:pPr>
        <w:pStyle w:val="Footnote0"/>
      </w:pPr>
      <w:r>
        <w:rPr>
          <w:rStyle w:val="FootnoteReference"/>
        </w:rPr>
        <w:footnoteRef/>
      </w:r>
      <w:r>
        <w:t xml:space="preserve"> A 20% decrease in the number off</w:t>
      </w:r>
      <w:r w:rsidR="00006C6A">
        <w:t xml:space="preserve"> </w:t>
      </w:r>
      <w:r>
        <w:t>income support</w:t>
      </w:r>
      <w:r w:rsidR="006C5F71">
        <w:t>.</w:t>
      </w:r>
    </w:p>
  </w:footnote>
  <w:footnote w:id="94">
    <w:p w14:paraId="7B3AE182" w14:textId="2AB128BA" w:rsidR="00332E38" w:rsidRDefault="00332E38" w:rsidP="00332E38">
      <w:pPr>
        <w:pStyle w:val="Footnote0"/>
      </w:pPr>
      <w:r>
        <w:rPr>
          <w:rStyle w:val="FootnoteReference"/>
        </w:rPr>
        <w:footnoteRef/>
      </w:r>
      <w:r>
        <w:t xml:space="preserve"> Equity groups examined included Aboriginal and/or Torres Strait Islander young people, </w:t>
      </w:r>
      <w:r w:rsidR="003A0923">
        <w:t>women</w:t>
      </w:r>
      <w:r>
        <w:t>, early school leavers, people living with disability</w:t>
      </w:r>
      <w:r w:rsidR="00D72C75">
        <w:t>,</w:t>
      </w:r>
      <w:r>
        <w:t xml:space="preserve"> and those with poor or mixed English.</w:t>
      </w:r>
    </w:p>
  </w:footnote>
  <w:footnote w:id="95">
    <w:p w14:paraId="58B833C9" w14:textId="77777777" w:rsidR="0073298F" w:rsidRDefault="0073298F" w:rsidP="00956075">
      <w:pPr>
        <w:pStyle w:val="Footnote0"/>
      </w:pPr>
      <w:r>
        <w:rPr>
          <w:rStyle w:val="FootnoteReference"/>
        </w:rPr>
        <w:footnoteRef/>
      </w:r>
      <w:r>
        <w:t xml:space="preserve"> Allowing time for providers to complete their claims for outcome payments for participants.</w:t>
      </w:r>
    </w:p>
  </w:footnote>
  <w:footnote w:id="96">
    <w:p w14:paraId="2DA7967D" w14:textId="697427B5" w:rsidR="0073298F" w:rsidRDefault="0073298F" w:rsidP="00956075">
      <w:pPr>
        <w:pStyle w:val="Footnote0"/>
      </w:pPr>
      <w:r>
        <w:rPr>
          <w:rStyle w:val="FootnoteReference"/>
        </w:rPr>
        <w:footnoteRef/>
      </w:r>
      <w:r>
        <w:t xml:space="preserve"> </w:t>
      </w:r>
      <w:r w:rsidR="001254AA">
        <w:t>B</w:t>
      </w:r>
      <w:r>
        <w:t xml:space="preserve">ased on whether they had a </w:t>
      </w:r>
      <w:r w:rsidRPr="009F1529">
        <w:t>‘high’ or a ‘moderate’</w:t>
      </w:r>
      <w:r>
        <w:t xml:space="preserve"> JSCI score, a higher score indicating higher labour market disadvantage</w:t>
      </w:r>
    </w:p>
  </w:footnote>
  <w:footnote w:id="97">
    <w:p w14:paraId="1145058A" w14:textId="10658CD2" w:rsidR="0073298F" w:rsidRDefault="0073298F" w:rsidP="00956075">
      <w:pPr>
        <w:pStyle w:val="Footnote0"/>
      </w:pPr>
      <w:r>
        <w:rPr>
          <w:rStyle w:val="FootnoteReference"/>
        </w:rPr>
        <w:footnoteRef/>
      </w:r>
      <w:r>
        <w:t xml:space="preserve"> A similar analysis was undertaken examining outcomes for participants who had achieved </w:t>
      </w:r>
      <w:r w:rsidR="00D72C75">
        <w:t>Y</w:t>
      </w:r>
      <w:r>
        <w:t xml:space="preserve">ear 12 or more, compared to those who had not achieved </w:t>
      </w:r>
      <w:r w:rsidR="00D72C75">
        <w:t>Y</w:t>
      </w:r>
      <w:r>
        <w:t>ear 12, and very similar patterns were observed.</w:t>
      </w:r>
    </w:p>
  </w:footnote>
  <w:footnote w:id="98">
    <w:p w14:paraId="1FF24797" w14:textId="77777777" w:rsidR="0073298F" w:rsidRDefault="0073298F" w:rsidP="00956075">
      <w:pPr>
        <w:pStyle w:val="Footnote0"/>
      </w:pPr>
      <w:r>
        <w:rPr>
          <w:rStyle w:val="FootnoteReference"/>
        </w:rPr>
        <w:footnoteRef/>
      </w:r>
      <w:r>
        <w:t xml:space="preserve"> Data on outcomes achieved by participants from both cohorts was collected for a minimum of 27 months from participant commencement to allow time for providers to record participant outcomes.</w:t>
      </w:r>
    </w:p>
  </w:footnote>
  <w:footnote w:id="99">
    <w:p w14:paraId="2CB13822" w14:textId="22D8151B" w:rsidR="0073298F" w:rsidRDefault="0073298F" w:rsidP="00956075">
      <w:pPr>
        <w:pStyle w:val="Footnote0"/>
      </w:pPr>
      <w:r>
        <w:rPr>
          <w:rStyle w:val="FootnoteReference"/>
        </w:rPr>
        <w:footnoteRef/>
      </w:r>
      <w:r>
        <w:t xml:space="preserve"> </w:t>
      </w:r>
      <w:r w:rsidR="0035449E">
        <w:t>Five per cent</w:t>
      </w:r>
      <w:r>
        <w:t xml:space="preserve"> of </w:t>
      </w:r>
      <w:r w:rsidRPr="00956075">
        <w:t>providers</w:t>
      </w:r>
      <w:r>
        <w:t xml:space="preserve"> responded that the change in duration had</w:t>
      </w:r>
      <w:r w:rsidR="005027FD">
        <w:t xml:space="preserve"> resulted in</w:t>
      </w:r>
      <w:r>
        <w:t xml:space="preserve"> no impacts to report</w:t>
      </w:r>
      <w:r w:rsidR="00C62762">
        <w:t>,</w:t>
      </w:r>
      <w:r>
        <w:t xml:space="preserve"> and 10% did not know if changing duration had had an impact.</w:t>
      </w:r>
    </w:p>
  </w:footnote>
  <w:footnote w:id="100">
    <w:p w14:paraId="73D3DAA2" w14:textId="6D09B16C" w:rsidR="00332E38" w:rsidRDefault="00332E38" w:rsidP="00C239FD">
      <w:pPr>
        <w:pStyle w:val="Footnote0"/>
      </w:pPr>
      <w:r>
        <w:rPr>
          <w:rStyle w:val="FootnoteReference"/>
        </w:rPr>
        <w:footnoteRef/>
      </w:r>
      <w:r>
        <w:t xml:space="preserve"> This includes any outcome – employment or education.</w:t>
      </w:r>
    </w:p>
  </w:footnote>
  <w:footnote w:id="101">
    <w:p w14:paraId="25C346BF" w14:textId="52F69AB0" w:rsidR="0073298F" w:rsidRDefault="0073298F" w:rsidP="0073298F">
      <w:pPr>
        <w:pStyle w:val="Footnote0"/>
      </w:pPr>
      <w:r w:rsidRPr="00A34E6B">
        <w:rPr>
          <w:rStyle w:val="FootnoteReference"/>
        </w:rPr>
        <w:footnoteRef/>
      </w:r>
      <w:r w:rsidRPr="00A34E6B">
        <w:t xml:space="preserve"> It is worth noting that this shift may not solely be due to the change in maximum service duration but may have been influenced by other factors such as the COVID</w:t>
      </w:r>
      <w:r w:rsidR="00AD6E38">
        <w:t>-19</w:t>
      </w:r>
      <w:r w:rsidRPr="00A34E6B">
        <w:t xml:space="preserve"> pandemic and other natural disasters.</w:t>
      </w:r>
    </w:p>
  </w:footnote>
  <w:footnote w:id="102">
    <w:p w14:paraId="4F7DD16C" w14:textId="7A56A4DA" w:rsidR="0073298F" w:rsidRDefault="0073298F" w:rsidP="00C239FD">
      <w:pPr>
        <w:pStyle w:val="Footnote0"/>
      </w:pPr>
      <w:r>
        <w:rPr>
          <w:rStyle w:val="FootnoteReference"/>
        </w:rPr>
        <w:footnoteRef/>
      </w:r>
      <w:r>
        <w:t xml:space="preserve"> </w:t>
      </w:r>
      <w:bookmarkStart w:id="3675" w:name="_Hlk121493172"/>
      <w:bookmarkStart w:id="3676" w:name="_Hlk124929808"/>
      <w:r>
        <w:t>There were 30,045 participants in each of the matched MD12 and MD18 cohorts. Increasing the duration of service was associated with an extra 7,928 people continuing for 12 or more months, 2,490 more outcomes being achieved overall, and 543 more people achieving at least on</w:t>
      </w:r>
      <w:r w:rsidR="00401518">
        <w:t>e</w:t>
      </w:r>
      <w:r>
        <w:t xml:space="preserve"> outcome. </w:t>
      </w:r>
      <w:bookmarkEnd w:id="3675"/>
      <w:bookmarkEnd w:id="3676"/>
    </w:p>
  </w:footnote>
  <w:footnote w:id="103">
    <w:p w14:paraId="2104FBC6" w14:textId="56AE64DB" w:rsidR="00EB3A4E" w:rsidRDefault="00EB3A4E" w:rsidP="00C239FD">
      <w:pPr>
        <w:pStyle w:val="Footnote0"/>
      </w:pPr>
      <w:r>
        <w:rPr>
          <w:rStyle w:val="FootnoteReference"/>
        </w:rPr>
        <w:footnoteRef/>
      </w:r>
      <w:r>
        <w:t xml:space="preserve"> A</w:t>
      </w:r>
      <w:r w:rsidRPr="004D655E">
        <w:t xml:space="preserve"> participant achieves a ‘study outcome’ when they have participated in an education or study activity that qualifies for an outcome payment. Study outcome</w:t>
      </w:r>
      <w:r w:rsidR="000003EE">
        <w:t>s</w:t>
      </w:r>
      <w:r w:rsidRPr="004D655E">
        <w:t xml:space="preserve"> achieved within a month of referral were excluded as it is unlikely these are the result of TtW or jobactive servicing.</w:t>
      </w:r>
    </w:p>
  </w:footnote>
  <w:footnote w:id="104">
    <w:p w14:paraId="49816C18" w14:textId="7B5FFA4D" w:rsidR="006B4C26" w:rsidRDefault="006B4C26" w:rsidP="00C239FD">
      <w:pPr>
        <w:pStyle w:val="Footnote0"/>
      </w:pPr>
      <w:r>
        <w:rPr>
          <w:rStyle w:val="FootnoteReference"/>
        </w:rPr>
        <w:footnoteRef/>
      </w:r>
      <w:r>
        <w:t xml:space="preserve"> Additional benefits have been valued over 4 years, then divided by 4, to obtain a more reliable figure for a representative 12</w:t>
      </w:r>
      <w:r w:rsidR="000F43CD">
        <w:t>-</w:t>
      </w:r>
      <w:r>
        <w:t>month period.</w:t>
      </w:r>
    </w:p>
  </w:footnote>
  <w:footnote w:id="105">
    <w:p w14:paraId="239A7447" w14:textId="2C124686" w:rsidR="00406671" w:rsidRDefault="00406671" w:rsidP="00C239FD">
      <w:pPr>
        <w:pStyle w:val="Footnote0"/>
      </w:pPr>
      <w:r>
        <w:rPr>
          <w:rStyle w:val="FootnoteReference"/>
        </w:rPr>
        <w:footnoteRef/>
      </w:r>
      <w:r>
        <w:t xml:space="preserve"> I</w:t>
      </w:r>
      <w:r w:rsidRPr="00CA683F">
        <w:t>t is significantly more expensive to incarcerate people under 18 ($2,518/night), but only about 2% of total incarcerations were for participants under 18, so the cost for incarcerating an adult has been used.</w:t>
      </w:r>
    </w:p>
  </w:footnote>
  <w:footnote w:id="106">
    <w:p w14:paraId="535490AE" w14:textId="2E723C87" w:rsidR="00F400D0" w:rsidRDefault="00F400D0" w:rsidP="00C239FD">
      <w:pPr>
        <w:pStyle w:val="Footnote0"/>
      </w:pPr>
      <w:r>
        <w:rPr>
          <w:rStyle w:val="FootnoteReference"/>
        </w:rPr>
        <w:footnoteRef/>
      </w:r>
      <w:r>
        <w:t xml:space="preserve"> Acknowledging t</w:t>
      </w:r>
      <w:r w:rsidR="00F7543C">
        <w:t>he assumption that there was no selection</w:t>
      </w:r>
      <w:r w:rsidR="00E05855">
        <w:t xml:space="preserve"> bias</w:t>
      </w:r>
      <w:r w:rsidR="00F7543C">
        <w:t xml:space="preserve"> when choosing the comparison group. </w:t>
      </w:r>
    </w:p>
  </w:footnote>
  <w:footnote w:id="107">
    <w:p w14:paraId="5E41C03A" w14:textId="5428418B" w:rsidR="006B4C26" w:rsidRDefault="006B4C26" w:rsidP="00C239FD">
      <w:pPr>
        <w:pStyle w:val="Footnote0"/>
      </w:pPr>
      <w:r>
        <w:rPr>
          <w:rStyle w:val="FootnoteReference"/>
        </w:rPr>
        <w:footnoteRef/>
      </w:r>
      <w:r>
        <w:t xml:space="preserve"> </w:t>
      </w:r>
      <w:bookmarkStart w:id="3711" w:name="_Hlk122365912"/>
      <w:r>
        <w:t>Additional costs have been valued over 4 years, then divided by 4, to obtain a more reliable figure for a representative 12</w:t>
      </w:r>
      <w:r w:rsidR="005A20D5">
        <w:t>-</w:t>
      </w:r>
      <w:r>
        <w:t>month period</w:t>
      </w:r>
      <w:r w:rsidR="00C4392F">
        <w:t>.</w:t>
      </w:r>
      <w:bookmarkEnd w:id="3711"/>
    </w:p>
  </w:footnote>
  <w:footnote w:id="108">
    <w:p w14:paraId="72602FF1" w14:textId="77777777" w:rsidR="00D86F94" w:rsidRDefault="00D86F94" w:rsidP="001D461A">
      <w:pPr>
        <w:pStyle w:val="Footnote0"/>
      </w:pPr>
      <w:r>
        <w:rPr>
          <w:rStyle w:val="FootnoteReference"/>
        </w:rPr>
        <w:footnoteRef/>
      </w:r>
      <w:r>
        <w:t xml:space="preserve"> Treasury NZ, 2015, Guide to Social Cost Benefit Analysis, NZ Government, </w:t>
      </w:r>
      <w:hyperlink r:id="rId2" w:history="1">
        <w:r w:rsidRPr="003C309F">
          <w:rPr>
            <w:rStyle w:val="Hyperlink"/>
          </w:rPr>
          <w:t>https://www.treasury.govt.nz/publications/guide/guide-social-cost-benefit-analysis</w:t>
        </w:r>
      </w:hyperlink>
    </w:p>
  </w:footnote>
  <w:footnote w:id="109">
    <w:p w14:paraId="6F1C24B0" w14:textId="27675A8C" w:rsidR="00D86F94" w:rsidRDefault="00D86F94" w:rsidP="001D461A">
      <w:pPr>
        <w:pStyle w:val="Footnote0"/>
      </w:pPr>
      <w:r>
        <w:rPr>
          <w:rStyle w:val="FootnoteReference"/>
        </w:rPr>
        <w:footnoteRef/>
      </w:r>
      <w:r>
        <w:t xml:space="preserve"> Treasury NSW, 2017, TPP17-03 NSW Government Guide to Cost Benefit Analysis</w:t>
      </w:r>
      <w:r w:rsidR="00635D36">
        <w:t>,</w:t>
      </w:r>
      <w:r>
        <w:t xml:space="preserve"> </w:t>
      </w:r>
      <w:hyperlink r:id="rId3" w:history="1">
        <w:r w:rsidRPr="00512147">
          <w:rPr>
            <w:rStyle w:val="Hyperlink"/>
          </w:rPr>
          <w:t>https://arp.nsw.gov.au/tpp17-03-nsw-government-guide-cost-benefit-analysis/</w:t>
        </w:r>
      </w:hyperlink>
    </w:p>
  </w:footnote>
  <w:footnote w:id="110">
    <w:p w14:paraId="25B862C2" w14:textId="5D8D2933" w:rsidR="00D86F94" w:rsidRDefault="00D86F94" w:rsidP="001D461A">
      <w:pPr>
        <w:pStyle w:val="Footnote0"/>
      </w:pPr>
      <w:r>
        <w:rPr>
          <w:rStyle w:val="FootnoteReference"/>
        </w:rPr>
        <w:footnoteRef/>
      </w:r>
      <w:r>
        <w:t xml:space="preserve"> Revealed preferences </w:t>
      </w:r>
      <w:r w:rsidRPr="006934DC">
        <w:t xml:space="preserve">use observations of actual behaviour or transactions to infer a value for </w:t>
      </w:r>
      <w:r>
        <w:t>a</w:t>
      </w:r>
      <w:r w:rsidRPr="006934DC">
        <w:t xml:space="preserve"> non-market good</w:t>
      </w:r>
      <w:r w:rsidR="00635D36">
        <w:t xml:space="preserve"> – f</w:t>
      </w:r>
      <w:r>
        <w:t>or example, estimating the value people place on the environment by analysing how much people are willing to pay for houses close to bushland or with specific environmental attributes through regression modelling.</w:t>
      </w:r>
    </w:p>
  </w:footnote>
  <w:footnote w:id="111">
    <w:p w14:paraId="2DB178D4" w14:textId="0B727D72" w:rsidR="00D86F94" w:rsidRDefault="00D86F94" w:rsidP="001D461A">
      <w:pPr>
        <w:pStyle w:val="Footnote0"/>
      </w:pPr>
      <w:r>
        <w:rPr>
          <w:rStyle w:val="FootnoteReference"/>
        </w:rPr>
        <w:footnoteRef/>
      </w:r>
      <w:r>
        <w:t xml:space="preserve"> In </w:t>
      </w:r>
      <w:r w:rsidR="00500BF4">
        <w:t>the</w:t>
      </w:r>
      <w:r>
        <w:t xml:space="preserve"> simplest form, stated preferences determine the value of something by asking people what something is worth to them.</w:t>
      </w:r>
    </w:p>
  </w:footnote>
  <w:footnote w:id="112">
    <w:p w14:paraId="69822BD5" w14:textId="3741A300" w:rsidR="00814C6F" w:rsidRDefault="00814C6F" w:rsidP="00221DB0">
      <w:pPr>
        <w:pStyle w:val="Footnote0"/>
      </w:pPr>
      <w:r>
        <w:rPr>
          <w:rStyle w:val="FootnoteReference"/>
        </w:rPr>
        <w:footnoteRef/>
      </w:r>
      <w:r>
        <w:t xml:space="preserve"> </w:t>
      </w:r>
      <w:r w:rsidRPr="00E91A35">
        <w:t xml:space="preserve">Average additional income support payment per participant </w:t>
      </w:r>
      <w:r>
        <w:t xml:space="preserve">= </w:t>
      </w:r>
      <w:r w:rsidR="000421F3">
        <w:t>s</w:t>
      </w:r>
      <w:r>
        <w:t xml:space="preserve">um of all months in period </w:t>
      </w:r>
      <w:r w:rsidR="000421F3">
        <w:t xml:space="preserve">from </w:t>
      </w:r>
      <w:r>
        <w:t>commencement to 48</w:t>
      </w:r>
      <w:r w:rsidR="000421F3">
        <w:t> </w:t>
      </w:r>
      <w:r>
        <w:t>months [(</w:t>
      </w:r>
      <w:r w:rsidR="000421F3">
        <w:t>e</w:t>
      </w:r>
      <w:r>
        <w:t xml:space="preserve">xits from </w:t>
      </w:r>
      <w:r w:rsidRPr="00221DB0">
        <w:t>comparison</w:t>
      </w:r>
      <w:r>
        <w:t xml:space="preserve"> group – exits from TtW group in each month) x average income support payment for one person for a month ($</w:t>
      </w:r>
      <w:r w:rsidRPr="00BD5433">
        <w:t>1,118</w:t>
      </w:r>
      <w:r>
        <w:t>)] / sample size (8</w:t>
      </w:r>
      <w:r w:rsidR="000421F3">
        <w:t>,</w:t>
      </w:r>
      <w:r>
        <w:t>361).</w:t>
      </w:r>
    </w:p>
  </w:footnote>
  <w:footnote w:id="113">
    <w:p w14:paraId="2A2507C4" w14:textId="3DFFE507" w:rsidR="007B6001" w:rsidRDefault="007B6001" w:rsidP="00221DB0">
      <w:pPr>
        <w:pStyle w:val="Footnote0"/>
      </w:pPr>
      <w:r>
        <w:rPr>
          <w:rStyle w:val="FootnoteReference"/>
        </w:rPr>
        <w:footnoteRef/>
      </w:r>
      <w:r>
        <w:t xml:space="preserve"> TtW had a</w:t>
      </w:r>
      <w:r w:rsidR="00A76DEC">
        <w:t xml:space="preserve"> significantly </w:t>
      </w:r>
      <w:r>
        <w:t xml:space="preserve">greater impact on the TtW sample than jobactive had on a matched sample of </w:t>
      </w:r>
      <w:r w:rsidR="00CE0CBD">
        <w:t xml:space="preserve">jobactive </w:t>
      </w:r>
      <w:r>
        <w:t>participants.</w:t>
      </w:r>
    </w:p>
  </w:footnote>
  <w:footnote w:id="114">
    <w:p w14:paraId="4C5E275E" w14:textId="0D55C7F8" w:rsidR="00D0172A" w:rsidRDefault="00D0172A" w:rsidP="00221DB0">
      <w:pPr>
        <w:pStyle w:val="Footnote0"/>
      </w:pPr>
      <w:r>
        <w:rPr>
          <w:rStyle w:val="FootnoteReference"/>
        </w:rPr>
        <w:footnoteRef/>
      </w:r>
      <w:r>
        <w:t xml:space="preserve"> </w:t>
      </w:r>
      <w:r w:rsidRPr="00943455">
        <w:t>The 2019</w:t>
      </w:r>
      <w:r w:rsidR="00FD0781">
        <w:t>–</w:t>
      </w:r>
      <w:r w:rsidRPr="00943455">
        <w:t>20 bushfires primarily affected the east coast of Australia (</w:t>
      </w:r>
      <w:r w:rsidR="009F1529">
        <w:t>Queensland</w:t>
      </w:r>
      <w:r w:rsidR="00FD0781">
        <w:t>,</w:t>
      </w:r>
      <w:r w:rsidRPr="00943455">
        <w:t xml:space="preserve"> </w:t>
      </w:r>
      <w:r w:rsidR="009F1529">
        <w:t>New South Wales</w:t>
      </w:r>
      <w:r w:rsidRPr="00943455">
        <w:t xml:space="preserve"> and </w:t>
      </w:r>
      <w:r w:rsidRPr="009F1529">
        <w:t>Victoria</w:t>
      </w:r>
      <w:r w:rsidR="009F1529">
        <w:t>)</w:t>
      </w:r>
      <w:r w:rsidR="00FD0781" w:rsidRPr="009F1529">
        <w:t>,</w:t>
      </w:r>
      <w:r w:rsidRPr="009F1529">
        <w:t xml:space="preserve"> southern parts of Victoria</w:t>
      </w:r>
      <w:r w:rsidRPr="00943455">
        <w:t xml:space="preserve"> and South A</w:t>
      </w:r>
      <w:r>
        <w:t>u</w:t>
      </w:r>
      <w:r w:rsidRPr="00943455">
        <w:t>stralia</w:t>
      </w:r>
      <w:r w:rsidR="009F1529">
        <w:t>,</w:t>
      </w:r>
      <w:r w:rsidRPr="00943455">
        <w:t xml:space="preserve"> and central east Tasmania</w:t>
      </w:r>
      <w:r>
        <w:t xml:space="preserve">, and flooding had </w:t>
      </w:r>
      <w:r w:rsidR="00FD0781">
        <w:t xml:space="preserve">the </w:t>
      </w:r>
      <w:r>
        <w:t xml:space="preserve">most significant impact in northern </w:t>
      </w:r>
      <w:r w:rsidR="009F1529">
        <w:t>New South Wales</w:t>
      </w:r>
      <w:r>
        <w:t>. While COVID-19 had an impact Australia</w:t>
      </w:r>
      <w:r w:rsidR="00FD0781">
        <w:t xml:space="preserve"> </w:t>
      </w:r>
      <w:r>
        <w:t>wide, with a shutdown of all non-essential services and additional restrictions nationwide between March and May 2020, restrictions remained in place or resumed in different states at different times depending on the severity of the outbreak throughout 2020 and 2021.</w:t>
      </w:r>
    </w:p>
  </w:footnote>
  <w:footnote w:id="115">
    <w:p w14:paraId="613AA198" w14:textId="77777777" w:rsidR="00544672" w:rsidRDefault="00544672" w:rsidP="001431BC">
      <w:pPr>
        <w:pStyle w:val="Footnote0"/>
      </w:pPr>
      <w:r>
        <w:rPr>
          <w:rStyle w:val="FootnoteReference"/>
        </w:rPr>
        <w:footnoteRef/>
      </w:r>
      <w:r>
        <w:t xml:space="preserve"> </w:t>
      </w:r>
      <w:r w:rsidRPr="00252552">
        <w:rPr>
          <w:lang w:val="en-US"/>
        </w:rPr>
        <w:t xml:space="preserve">The nature of the sample selections means the jobactive sample does not necessarily represent the experiences of the broader jobactive </w:t>
      </w:r>
      <w:r>
        <w:rPr>
          <w:lang w:val="en-US"/>
        </w:rPr>
        <w:t>population.</w:t>
      </w:r>
    </w:p>
  </w:footnote>
  <w:footnote w:id="116">
    <w:p w14:paraId="21563EF4" w14:textId="2EE53F6D" w:rsidR="00544672" w:rsidRPr="00671C4C" w:rsidRDefault="00544672" w:rsidP="001431BC">
      <w:pPr>
        <w:pStyle w:val="Footnote0"/>
        <w:rPr>
          <w:lang w:val="en-US"/>
        </w:rPr>
      </w:pPr>
      <w:r>
        <w:rPr>
          <w:rStyle w:val="FootnoteReference"/>
        </w:rPr>
        <w:footnoteRef/>
      </w:r>
      <w:r>
        <w:t xml:space="preserve"> </w:t>
      </w:r>
      <w:r w:rsidRPr="00671C4C">
        <w:rPr>
          <w:lang w:val="en-US"/>
        </w:rPr>
        <w:t>jobactive group weighted to TtW group benchmarks</w:t>
      </w:r>
      <w:r w:rsidR="00FD3B33">
        <w:rPr>
          <w:lang w:val="en-US"/>
        </w:rPr>
        <w:t>.</w:t>
      </w:r>
    </w:p>
  </w:footnote>
  <w:footnote w:id="117">
    <w:p w14:paraId="421EB469" w14:textId="7E9AA44B" w:rsidR="00DE5CE3" w:rsidRDefault="00DE5CE3" w:rsidP="00221DB0">
      <w:pPr>
        <w:pStyle w:val="Footnote0"/>
      </w:pPr>
      <w:r>
        <w:rPr>
          <w:rStyle w:val="FootnoteReference"/>
        </w:rPr>
        <w:footnoteRef/>
      </w:r>
      <w:r>
        <w:t xml:space="preserve"> It should be noted that those who have only one income support episode may have exited income support and not returned, or may never</w:t>
      </w:r>
      <w:r w:rsidR="00942105">
        <w:t xml:space="preserve"> have</w:t>
      </w:r>
      <w:r>
        <w:t xml:space="preserve"> exited income support</w:t>
      </w:r>
      <w:r w:rsidR="00942105">
        <w:t>;</w:t>
      </w:r>
      <w:r>
        <w:t xml:space="preserve"> similarly those who have </w:t>
      </w:r>
      <w:r w:rsidR="00942105">
        <w:t>2</w:t>
      </w:r>
      <w:r>
        <w:t xml:space="preserve"> episodes of income support may still be on income support (for the second time) or have exited and not returned after </w:t>
      </w:r>
      <w:r w:rsidR="00942105">
        <w:t>2</w:t>
      </w:r>
      <w:r>
        <w:t xml:space="preserve"> episodes of income support.</w:t>
      </w:r>
    </w:p>
  </w:footnote>
  <w:footnote w:id="118">
    <w:p w14:paraId="2EFBFC28" w14:textId="0D9DC371" w:rsidR="00DE5CE3" w:rsidRDefault="00DE5CE3" w:rsidP="00221DB0">
      <w:pPr>
        <w:pStyle w:val="Footnote0"/>
      </w:pPr>
      <w:r>
        <w:rPr>
          <w:rStyle w:val="FootnoteReference"/>
        </w:rPr>
        <w:footnoteRef/>
      </w:r>
      <w:r>
        <w:t xml:space="preserve"> The 36</w:t>
      </w:r>
      <w:r w:rsidR="00C23CCF">
        <w:t>-</w:t>
      </w:r>
      <w:r>
        <w:t xml:space="preserve">month point is relevant as after this time </w:t>
      </w:r>
      <w:r w:rsidR="006C5F71">
        <w:t>COVID</w:t>
      </w:r>
      <w:r w:rsidR="00AC74AE">
        <w:t>-19</w:t>
      </w:r>
      <w:r>
        <w:t xml:space="preserve"> begins to impact an increasing proportion of participants. </w:t>
      </w:r>
    </w:p>
  </w:footnote>
  <w:footnote w:id="119">
    <w:p w14:paraId="14056679" w14:textId="50E372BC" w:rsidR="00DE5CE3" w:rsidRDefault="00DE5CE3" w:rsidP="00AF1795">
      <w:pPr>
        <w:pStyle w:val="Footnote0"/>
      </w:pPr>
      <w:r>
        <w:rPr>
          <w:rStyle w:val="FootnoteReference"/>
        </w:rPr>
        <w:footnoteRef/>
      </w:r>
      <w:r>
        <w:t xml:space="preserve"> </w:t>
      </w:r>
      <w:r w:rsidRPr="00B91872">
        <w:t xml:space="preserve">It should be noted that </w:t>
      </w:r>
      <w:r>
        <w:t xml:space="preserve">moving out of employment services does not equate to moving off income support. A large </w:t>
      </w:r>
      <w:r w:rsidRPr="00C239FD">
        <w:t>proportion</w:t>
      </w:r>
      <w:r>
        <w:t xml:space="preserve"> of individuals on income support are not required to participate in employment programs (due to</w:t>
      </w:r>
      <w:r w:rsidR="00942105">
        <w:t>,</w:t>
      </w:r>
      <w:r>
        <w:t xml:space="preserve"> for example</w:t>
      </w:r>
      <w:r w:rsidR="00942105">
        <w:t>,</w:t>
      </w:r>
      <w:r>
        <w:t xml:space="preserve"> caring responsibilities or disability)</w:t>
      </w:r>
      <w:r w:rsidRPr="00B91872">
        <w:t>. In September 2021, only 38% of individuals who were receiving income support were engaged in an employment program. Of those on Youth Allowance (Other)</w:t>
      </w:r>
      <w:r w:rsidR="00942105">
        <w:t>,</w:t>
      </w:r>
      <w:r w:rsidRPr="00B91872">
        <w:t xml:space="preserve"> 81% were involved in an employment program, with 23% of these in TtW and 77% in jobactive </w:t>
      </w:r>
      <w:r w:rsidRPr="002F6993">
        <w:t>(</w:t>
      </w:r>
      <w:r w:rsidR="002F6993" w:rsidRPr="00C239FD">
        <w:t xml:space="preserve">departmental </w:t>
      </w:r>
      <w:r w:rsidRPr="002F6993">
        <w:t>admin</w:t>
      </w:r>
      <w:r w:rsidR="002F6993" w:rsidRPr="00C239FD">
        <w:t>istrative</w:t>
      </w:r>
      <w:r w:rsidRPr="002F6993">
        <w:t xml:space="preserve"> data</w:t>
      </w:r>
      <w:r w:rsidRPr="00C239FD">
        <w:t>).</w:t>
      </w:r>
    </w:p>
  </w:footnote>
  <w:footnote w:id="120">
    <w:p w14:paraId="2E38DE90" w14:textId="77777777" w:rsidR="00DE5CE3" w:rsidRDefault="00DE5CE3" w:rsidP="00221DB0">
      <w:pPr>
        <w:pStyle w:val="Footnote0"/>
      </w:pPr>
      <w:r>
        <w:rPr>
          <w:rStyle w:val="FootnoteReference"/>
        </w:rPr>
        <w:footnoteRef/>
      </w:r>
      <w:r>
        <w:t xml:space="preserve"> In addition a small number of reasons had not been categorised, so an assessment was made by the evaluation team regarding their categorisation.</w:t>
      </w:r>
    </w:p>
  </w:footnote>
  <w:footnote w:id="121">
    <w:p w14:paraId="144EDF10" w14:textId="02EE9515" w:rsidR="003A491D" w:rsidRDefault="003A491D" w:rsidP="003A491D">
      <w:pPr>
        <w:pStyle w:val="Footnote0"/>
      </w:pPr>
      <w:r>
        <w:rPr>
          <w:rStyle w:val="FootnoteReference"/>
        </w:rPr>
        <w:footnoteRef/>
      </w:r>
      <w:r>
        <w:t xml:space="preserve"> The policy change affected the eligibility of participants who commenced in TtW from 1 July 2019, as they were now able to remain in the program for over 12 months even if they were not tracking </w:t>
      </w:r>
      <w:r w:rsidR="00A63F86">
        <w:t>to</w:t>
      </w:r>
      <w:r>
        <w:t xml:space="preserve"> an outcome. </w:t>
      </w:r>
    </w:p>
  </w:footnote>
  <w:footnote w:id="122">
    <w:p w14:paraId="30D02475" w14:textId="674B503E" w:rsidR="003A491D" w:rsidRDefault="003A491D" w:rsidP="003A491D">
      <w:pPr>
        <w:pStyle w:val="Footnote0"/>
      </w:pPr>
      <w:r>
        <w:rPr>
          <w:rStyle w:val="FootnoteReference"/>
        </w:rPr>
        <w:footnoteRef/>
      </w:r>
      <w:r>
        <w:t xml:space="preserve"> In order to enable the analysis to examine outcomes for 18 months post policy change, the end dat</w:t>
      </w:r>
      <w:r w:rsidR="002D0DEC">
        <w:t>e</w:t>
      </w:r>
      <w:r>
        <w:t xml:space="preserve"> for the ‘after</w:t>
      </w:r>
      <w:r w:rsidR="00A63F86">
        <w:t xml:space="preserve"> </w:t>
      </w:r>
      <w:r>
        <w:t>policy change</w:t>
      </w:r>
      <w:r w:rsidR="00A63F86">
        <w:t>’</w:t>
      </w:r>
      <w:r>
        <w:t xml:space="preserve"> population was set at 30 June 2020.</w:t>
      </w:r>
    </w:p>
  </w:footnote>
  <w:footnote w:id="123">
    <w:p w14:paraId="3C136675" w14:textId="25C2B9FF" w:rsidR="003A491D" w:rsidRDefault="003A491D" w:rsidP="003A491D">
      <w:pPr>
        <w:pStyle w:val="Footnote0"/>
      </w:pPr>
      <w:r>
        <w:rPr>
          <w:rStyle w:val="FootnoteReference"/>
        </w:rPr>
        <w:footnoteRef/>
      </w:r>
      <w:r>
        <w:t xml:space="preserve"> This start</w:t>
      </w:r>
      <w:r w:rsidR="003678FE">
        <w:t xml:space="preserve"> </w:t>
      </w:r>
      <w:r>
        <w:t>date was chosen to ensure the size of the before policy change inflow population (counted as 34,749) matched the size of the after</w:t>
      </w:r>
      <w:r w:rsidR="003678FE">
        <w:t xml:space="preserve"> </w:t>
      </w:r>
      <w:r>
        <w:t>policy change inflow population (counted as 34,679) as closely as possible.</w:t>
      </w:r>
    </w:p>
  </w:footnote>
  <w:footnote w:id="124">
    <w:p w14:paraId="4F4E7B0F" w14:textId="7D28B1A8" w:rsidR="003A491D" w:rsidRDefault="003A491D" w:rsidP="003A491D">
      <w:pPr>
        <w:pStyle w:val="Footnote0"/>
      </w:pPr>
      <w:r>
        <w:rPr>
          <w:rStyle w:val="FootnoteReference"/>
        </w:rPr>
        <w:footnoteRef/>
      </w:r>
      <w:r>
        <w:t xml:space="preserve"> The phrase </w:t>
      </w:r>
      <w:r w:rsidR="00AF1795">
        <w:t>‘</w:t>
      </w:r>
      <w:r>
        <w:t>91</w:t>
      </w:r>
      <w:r w:rsidR="00AF1795">
        <w:t>-</w:t>
      </w:r>
      <w:r>
        <w:t>day rule’ is used to denote the period in which a TtW or jobactive participant who exits servicing may return to services without entering a new period of service.</w:t>
      </w:r>
    </w:p>
  </w:footnote>
  <w:footnote w:id="125">
    <w:p w14:paraId="10D3BF26" w14:textId="6A819F21" w:rsidR="003A491D" w:rsidRDefault="003A491D" w:rsidP="00221DB0">
      <w:pPr>
        <w:pStyle w:val="Footnote0"/>
      </w:pPr>
      <w:r>
        <w:rPr>
          <w:rStyle w:val="FootnoteReference"/>
        </w:rPr>
        <w:footnoteRef/>
      </w:r>
      <w:r>
        <w:t xml:space="preserve"> Skill Level 5 jobs are low-skill jobs which require </w:t>
      </w:r>
      <w:r w:rsidRPr="00AE1A4F">
        <w:t>Certificate I or secondary education</w:t>
      </w:r>
      <w:r w:rsidR="007F339A">
        <w:t>.</w:t>
      </w:r>
    </w:p>
  </w:footnote>
  <w:footnote w:id="126">
    <w:p w14:paraId="28D0B06F" w14:textId="09188DB6" w:rsidR="002549DB" w:rsidRPr="003C745E" w:rsidRDefault="002549DB" w:rsidP="00C239FD">
      <w:pPr>
        <w:pStyle w:val="Footnote0"/>
        <w:rPr>
          <w:rStyle w:val="footnoteChar"/>
        </w:rPr>
      </w:pPr>
      <w:r>
        <w:rPr>
          <w:rStyle w:val="FootnoteReference"/>
        </w:rPr>
        <w:footnoteRef/>
      </w:r>
      <w:r>
        <w:t xml:space="preserve"> </w:t>
      </w:r>
      <w:r w:rsidRPr="003C745E">
        <w:rPr>
          <w:rStyle w:val="footnoteChar"/>
        </w:rPr>
        <w:t>Survey respondents included a representative sample of TtW participants who had been receiving services from the TtW program for at least 6 months (n=1</w:t>
      </w:r>
      <w:r w:rsidR="00416ECC">
        <w:rPr>
          <w:rStyle w:val="footnoteChar"/>
        </w:rPr>
        <w:t>,</w:t>
      </w:r>
      <w:r w:rsidRPr="003C745E">
        <w:rPr>
          <w:rStyle w:val="footnoteChar"/>
        </w:rPr>
        <w:t xml:space="preserve">502) and a comparison group of participants who had not previously received support from TtW and had been receiving services from the jobactive program for at least 6 months (n=580). Level of subjective wellbeing was assessed using the </w:t>
      </w:r>
      <w:r w:rsidR="00416ECC">
        <w:rPr>
          <w:rStyle w:val="footnoteChar"/>
        </w:rPr>
        <w:t>PWI</w:t>
      </w:r>
      <w:r w:rsidRPr="003C745E">
        <w:rPr>
          <w:rStyle w:val="footnoteChar"/>
        </w:rPr>
        <w:t xml:space="preserve"> tool. A larger TtW sample was used to allow further stratification of the TtW sample. Response rates were very similar – TtW 20.6, jobactive 20.4</w:t>
      </w:r>
      <w:r w:rsidR="000257B9">
        <w:rPr>
          <w:rStyle w:val="footnoteChar"/>
        </w:rPr>
        <w:t>.</w:t>
      </w:r>
    </w:p>
  </w:footnote>
  <w:footnote w:id="127">
    <w:p w14:paraId="6C87C8CA" w14:textId="1A7A99FF" w:rsidR="00DA1786" w:rsidRDefault="002549DB" w:rsidP="00E86B8C">
      <w:pPr>
        <w:pStyle w:val="Footnote0"/>
      </w:pPr>
      <w:r>
        <w:rPr>
          <w:rStyle w:val="FootnoteReference"/>
        </w:rPr>
        <w:footnoteRef/>
      </w:r>
      <w:r>
        <w:t xml:space="preserve"> </w:t>
      </w:r>
      <w:r w:rsidR="00393D2C">
        <w:t xml:space="preserve">RA </w:t>
      </w:r>
      <w:r w:rsidRPr="00084ED7">
        <w:t>Cummins</w:t>
      </w:r>
      <w:r w:rsidR="00393D2C">
        <w:t>, R</w:t>
      </w:r>
      <w:r w:rsidRPr="00084ED7">
        <w:t xml:space="preserve"> Mead </w:t>
      </w:r>
      <w:r w:rsidR="00851DB0">
        <w:t>and</w:t>
      </w:r>
      <w:r w:rsidRPr="00084ED7">
        <w:t xml:space="preserve"> the Australian Unity-Deakin University Wellbeing Research Partnership (2021). </w:t>
      </w:r>
      <w:hyperlink r:id="rId4" w:history="1">
        <w:r w:rsidRPr="00E86B8C">
          <w:rPr>
            <w:rStyle w:val="Hyperlink"/>
          </w:rPr>
          <w:t>The Australian Unity Wellbeing Index 20th Anniversary Commemorative Edition</w:t>
        </w:r>
      </w:hyperlink>
      <w:r w:rsidR="00E86B8C">
        <w:t>,</w:t>
      </w:r>
      <w:r w:rsidRPr="00084ED7">
        <w:t xml:space="preserve"> Australian Unity and Deakin University, Melbourne.</w:t>
      </w:r>
    </w:p>
  </w:footnote>
  <w:footnote w:id="128">
    <w:p w14:paraId="3FBF7E2D" w14:textId="06E9A849" w:rsidR="002549DB" w:rsidRDefault="002549DB" w:rsidP="00221DB0">
      <w:pPr>
        <w:pStyle w:val="Footnote0"/>
      </w:pPr>
      <w:r>
        <w:rPr>
          <w:rStyle w:val="FootnoteReference"/>
        </w:rPr>
        <w:footnoteRef/>
      </w:r>
      <w:r>
        <w:t xml:space="preserve"> </w:t>
      </w:r>
      <w:r w:rsidR="00393D2C">
        <w:t xml:space="preserve">R </w:t>
      </w:r>
      <w:r>
        <w:t xml:space="preserve">Layard, </w:t>
      </w:r>
      <w:r w:rsidR="00393D2C">
        <w:t xml:space="preserve">S </w:t>
      </w:r>
      <w:r>
        <w:t xml:space="preserve">Nicell and </w:t>
      </w:r>
      <w:r w:rsidR="00393D2C">
        <w:t xml:space="preserve">G </w:t>
      </w:r>
      <w:r>
        <w:t>Mayraz (2008)</w:t>
      </w:r>
      <w:r w:rsidR="00F36DE6">
        <w:t>.</w:t>
      </w:r>
      <w:r>
        <w:t xml:space="preserve"> The </w:t>
      </w:r>
      <w:r w:rsidR="00F36DE6">
        <w:t>m</w:t>
      </w:r>
      <w:r>
        <w:t xml:space="preserve">arginal </w:t>
      </w:r>
      <w:r w:rsidR="00F36DE6">
        <w:t>u</w:t>
      </w:r>
      <w:r>
        <w:t xml:space="preserve">tility of </w:t>
      </w:r>
      <w:r w:rsidR="00F36DE6">
        <w:t>i</w:t>
      </w:r>
      <w:r>
        <w:t xml:space="preserve">ncome, </w:t>
      </w:r>
      <w:r w:rsidRPr="00C239FD">
        <w:rPr>
          <w:i/>
          <w:iCs/>
        </w:rPr>
        <w:t xml:space="preserve">Journal of </w:t>
      </w:r>
      <w:r w:rsidR="00F36DE6" w:rsidRPr="00C239FD">
        <w:rPr>
          <w:i/>
          <w:iCs/>
        </w:rPr>
        <w:t>P</w:t>
      </w:r>
      <w:r w:rsidRPr="00C239FD">
        <w:rPr>
          <w:i/>
          <w:iCs/>
        </w:rPr>
        <w:t>ublic Economics</w:t>
      </w:r>
      <w:r>
        <w:t xml:space="preserve"> 92</w:t>
      </w:r>
      <w:r w:rsidR="00F36DE6">
        <w:t>:</w:t>
      </w:r>
      <w:r>
        <w:t>1846–1857</w:t>
      </w:r>
      <w:r w:rsidR="00F36DE6">
        <w:t>,</w:t>
      </w:r>
      <w:r>
        <w:t xml:space="preserve"> </w:t>
      </w:r>
      <w:hyperlink r:id="rId5" w:history="1">
        <w:r>
          <w:rPr>
            <w:rStyle w:val="Hyperlink"/>
          </w:rPr>
          <w:t>doi:10.1016/j.jpubeco.2008.01.007 (lse.ac.uk)</w:t>
        </w:r>
      </w:hyperlink>
      <w:r w:rsidR="00E102EF" w:rsidRPr="00C239FD">
        <w:t>.</w:t>
      </w:r>
    </w:p>
  </w:footnote>
  <w:footnote w:id="129">
    <w:p w14:paraId="30585B57" w14:textId="1D3C27DE" w:rsidR="002549DB" w:rsidRPr="00301CAC" w:rsidRDefault="002549DB" w:rsidP="00221DB0">
      <w:pPr>
        <w:pStyle w:val="Footnote0"/>
      </w:pPr>
      <w:r>
        <w:rPr>
          <w:rStyle w:val="FootnoteReference"/>
        </w:rPr>
        <w:footnoteRef/>
      </w:r>
      <w:r>
        <w:t xml:space="preserve"> </w:t>
      </w:r>
      <w:r w:rsidRPr="00301CAC">
        <w:t>In 2021</w:t>
      </w:r>
      <w:r w:rsidR="00393D2C">
        <w:t>–</w:t>
      </w:r>
      <w:r w:rsidRPr="00301CAC">
        <w:t>22, maximum Job</w:t>
      </w:r>
      <w:r w:rsidR="00E102EF">
        <w:t>S</w:t>
      </w:r>
      <w:r w:rsidRPr="00301CAC">
        <w:t>eeker and Youth Allowance (Other) payment</w:t>
      </w:r>
      <w:r w:rsidR="00E102EF">
        <w:t>s</w:t>
      </w:r>
      <w:r w:rsidRPr="00301CAC">
        <w:t xml:space="preserve"> for a single person living away from home </w:t>
      </w:r>
      <w:r w:rsidR="00E102EF">
        <w:t>were</w:t>
      </w:r>
      <w:r w:rsidRPr="00301CAC">
        <w:t xml:space="preserve"> approximately $13,800. Participants who were earning some income, were partnered or had children would likely have had a higher household income. The proportion of participants claiming </w:t>
      </w:r>
      <w:r w:rsidR="00825A24">
        <w:t>P</w:t>
      </w:r>
      <w:r w:rsidRPr="00301CAC">
        <w:t xml:space="preserve">arenting </w:t>
      </w:r>
      <w:r w:rsidR="00825A24">
        <w:t>P</w:t>
      </w:r>
      <w:r w:rsidRPr="00301CAC">
        <w:t xml:space="preserve">ayment is insignificant, and it is unknown what proportion of participants are partnered or living in multi-person households. For simplicity and to avoid overclaiming, in our analysis we have </w:t>
      </w:r>
      <w:r>
        <w:t xml:space="preserve">assumed that on average participants are earning less than $15,000 </w:t>
      </w:r>
      <w:r w:rsidR="00825A24">
        <w:t>per annum</w:t>
      </w:r>
      <w:r w:rsidRPr="00301CAC">
        <w:t>.</w:t>
      </w:r>
    </w:p>
  </w:footnote>
  <w:footnote w:id="130">
    <w:p w14:paraId="48B4EE06" w14:textId="172DDDCE" w:rsidR="002549DB" w:rsidRDefault="002549DB" w:rsidP="00221DB0">
      <w:pPr>
        <w:pStyle w:val="Footnote0"/>
      </w:pPr>
      <w:r>
        <w:rPr>
          <w:rStyle w:val="FootnoteReference"/>
        </w:rPr>
        <w:footnoteRef/>
      </w:r>
      <w:r>
        <w:t xml:space="preserve"> John K Stanley, David A Hensher, Janet R Stanley</w:t>
      </w:r>
      <w:r w:rsidR="00393D2C">
        <w:t xml:space="preserve"> and</w:t>
      </w:r>
      <w:r>
        <w:t xml:space="preserve"> Dianne Vella-Brodrick </w:t>
      </w:r>
      <w:r w:rsidR="00825A24">
        <w:t>(</w:t>
      </w:r>
      <w:r>
        <w:t>2021</w:t>
      </w:r>
      <w:r w:rsidR="00825A24">
        <w:t>).</w:t>
      </w:r>
      <w:r>
        <w:t xml:space="preserve"> </w:t>
      </w:r>
      <w:r w:rsidRPr="00512147">
        <w:t>Valuing changes in wellbeing and its relevance for transport policy</w:t>
      </w:r>
      <w:r>
        <w:t xml:space="preserve">, </w:t>
      </w:r>
      <w:r w:rsidRPr="00C239FD">
        <w:rPr>
          <w:i/>
          <w:iCs/>
        </w:rPr>
        <w:t>Transport Policy</w:t>
      </w:r>
      <w:r>
        <w:t xml:space="preserve"> 110</w:t>
      </w:r>
      <w:r w:rsidR="000E00CE">
        <w:t>:</w:t>
      </w:r>
      <w:r>
        <w:t>16</w:t>
      </w:r>
      <w:r w:rsidR="000E00CE">
        <w:t>–</w:t>
      </w:r>
      <w:r>
        <w:t>27</w:t>
      </w:r>
      <w:r w:rsidR="001C706E">
        <w:t>.</w:t>
      </w:r>
    </w:p>
  </w:footnote>
  <w:footnote w:id="131">
    <w:p w14:paraId="601C38B7" w14:textId="746F243A" w:rsidR="002549DB" w:rsidRPr="00D52AFB" w:rsidRDefault="002549DB" w:rsidP="00221DB0">
      <w:pPr>
        <w:pStyle w:val="Footnote0"/>
      </w:pPr>
      <w:r>
        <w:rPr>
          <w:rStyle w:val="FootnoteReference"/>
        </w:rPr>
        <w:footnoteRef/>
      </w:r>
      <w:r>
        <w:t xml:space="preserve"> </w:t>
      </w:r>
      <w:r w:rsidR="00684712">
        <w:t xml:space="preserve">N </w:t>
      </w:r>
      <w:r w:rsidRPr="003C745E">
        <w:t xml:space="preserve">Biddle, </w:t>
      </w:r>
      <w:r w:rsidR="00684712">
        <w:t xml:space="preserve">B </w:t>
      </w:r>
      <w:r w:rsidRPr="003C745E">
        <w:t xml:space="preserve">Edwards, </w:t>
      </w:r>
      <w:r w:rsidR="00684712">
        <w:t>M</w:t>
      </w:r>
      <w:r w:rsidRPr="003C745E">
        <w:t xml:space="preserve"> Gray and </w:t>
      </w:r>
      <w:r w:rsidR="00684712">
        <w:t xml:space="preserve">K </w:t>
      </w:r>
      <w:r w:rsidRPr="003C745E">
        <w:t>Sollis (2020)</w:t>
      </w:r>
      <w:r w:rsidR="000E00CE">
        <w:t>.</w:t>
      </w:r>
      <w:r w:rsidRPr="003C745E">
        <w:t xml:space="preserve"> </w:t>
      </w:r>
      <w:hyperlink r:id="rId6" w:history="1">
        <w:r w:rsidRPr="00F927DC">
          <w:rPr>
            <w:rStyle w:val="Hyperlink"/>
          </w:rPr>
          <w:t xml:space="preserve">Hardship, distress, and resilience: </w:t>
        </w:r>
        <w:r w:rsidR="000E00CE" w:rsidRPr="00F927DC">
          <w:rPr>
            <w:rStyle w:val="Hyperlink"/>
          </w:rPr>
          <w:t>t</w:t>
        </w:r>
        <w:r w:rsidRPr="00F927DC">
          <w:rPr>
            <w:rStyle w:val="Hyperlink"/>
          </w:rPr>
          <w:t>he initial impacts of COVID-19 in Australia</w:t>
        </w:r>
      </w:hyperlink>
      <w:r w:rsidRPr="003C745E">
        <w:t>, ANU Centre for Social Research &amp; Methods, Canberra</w:t>
      </w:r>
      <w:r w:rsidR="00C239FD">
        <w:t>.</w:t>
      </w:r>
    </w:p>
  </w:footnote>
  <w:footnote w:id="132">
    <w:p w14:paraId="35B8AAD5" w14:textId="6F67AE12" w:rsidR="002549DB" w:rsidRDefault="002549DB" w:rsidP="00221DB0">
      <w:pPr>
        <w:pStyle w:val="Footnote0"/>
      </w:pPr>
      <w:r w:rsidRPr="00F04EEB">
        <w:rPr>
          <w:rStyle w:val="FootnoteReference"/>
          <w:rFonts w:eastAsiaTheme="majorEastAsia"/>
          <w:sz w:val="20"/>
        </w:rPr>
        <w:footnoteRef/>
      </w:r>
      <w:r w:rsidRPr="00F04EEB">
        <w:rPr>
          <w:sz w:val="20"/>
        </w:rPr>
        <w:t xml:space="preserve"> </w:t>
      </w:r>
      <w:r w:rsidRPr="003C745E">
        <w:t>This is</w:t>
      </w:r>
      <w:r>
        <w:t xml:space="preserve"> the</w:t>
      </w:r>
      <w:r w:rsidRPr="003C745E">
        <w:t xml:space="preserve"> Australian dollar equivalent of the mid-point value ascribed by the UK Treasury. Using the mid-point value of £13,000 and the average exchange rate for the calendar year 2019 of AU</w:t>
      </w:r>
      <w:r w:rsidR="00A15B40">
        <w:t>$</w:t>
      </w:r>
      <w:r w:rsidRPr="003C745E">
        <w:t xml:space="preserve">1.7522 per pound </w:t>
      </w:r>
      <w:r w:rsidR="00A15B40">
        <w:t>(</w:t>
      </w:r>
      <w:hyperlink r:id="rId7" w:history="1">
        <w:r w:rsidRPr="003C745E">
          <w:rPr>
            <w:rStyle w:val="Hyperlink"/>
            <w:rFonts w:eastAsiaTheme="majorEastAsia"/>
          </w:rPr>
          <w:t>Calendar year ending 31</w:t>
        </w:r>
        <w:r w:rsidR="00A15B40">
          <w:rPr>
            <w:rStyle w:val="Hyperlink"/>
            <w:rFonts w:eastAsiaTheme="majorEastAsia"/>
          </w:rPr>
          <w:t> </w:t>
        </w:r>
        <w:r w:rsidRPr="003C745E">
          <w:rPr>
            <w:rStyle w:val="Hyperlink"/>
            <w:rFonts w:eastAsiaTheme="majorEastAsia"/>
          </w:rPr>
          <w:t>December 2019 | Australian Taxation Office (ato.gov.au)</w:t>
        </w:r>
      </w:hyperlink>
      <w:r w:rsidR="00A15B40">
        <w:t xml:space="preserve">) </w:t>
      </w:r>
      <w:r w:rsidRPr="003C745E">
        <w:t>then converted to 2020 dollars.</w:t>
      </w:r>
    </w:p>
  </w:footnote>
  <w:footnote w:id="133">
    <w:p w14:paraId="087E8BDE" w14:textId="14627266" w:rsidR="002549DB" w:rsidRDefault="002549DB" w:rsidP="00221DB0">
      <w:pPr>
        <w:pStyle w:val="Footnote0"/>
      </w:pPr>
      <w:r>
        <w:rPr>
          <w:rStyle w:val="FootnoteReference"/>
        </w:rPr>
        <w:footnoteRef/>
      </w:r>
      <w:r>
        <w:t xml:space="preserve"> An odds ratio </w:t>
      </w:r>
      <w:r w:rsidRPr="0075668B">
        <w:t xml:space="preserve">of less than </w:t>
      </w:r>
      <w:r w:rsidR="006231CD">
        <w:t>1</w:t>
      </w:r>
      <w:r w:rsidR="006231CD" w:rsidRPr="0075668B">
        <w:t xml:space="preserve"> </w:t>
      </w:r>
      <w:r w:rsidRPr="0075668B">
        <w:t>means something is less likely to occur,</w:t>
      </w:r>
      <w:r w:rsidRPr="004737B6">
        <w:t xml:space="preserve"> </w:t>
      </w:r>
      <w:r>
        <w:t xml:space="preserve">while an odds ratio </w:t>
      </w:r>
      <w:r w:rsidRPr="0075668B">
        <w:t xml:space="preserve">of greater than </w:t>
      </w:r>
      <w:r w:rsidR="006231CD">
        <w:t xml:space="preserve">1 </w:t>
      </w:r>
      <w:r w:rsidRPr="0075668B">
        <w:t>means something is more likely to occur</w:t>
      </w:r>
      <w:r w:rsidR="006231CD">
        <w:t>.</w:t>
      </w:r>
    </w:p>
  </w:footnote>
  <w:footnote w:id="134">
    <w:p w14:paraId="79C878FF" w14:textId="77777777" w:rsidR="002549DB" w:rsidRDefault="002549DB" w:rsidP="00221DB0">
      <w:pPr>
        <w:pStyle w:val="Footnote0"/>
      </w:pPr>
      <w:r>
        <w:rPr>
          <w:rStyle w:val="FootnoteReference"/>
        </w:rPr>
        <w:footnoteRef/>
      </w:r>
      <w:r>
        <w:t xml:space="preserve"> Australian Government (2022) Guides to Social Policy Law, Social Security Guide, Historical Payment Rates, Chapter 5.2.1, Unemployment, sickness benefit and youth related payments – historical rates </w:t>
      </w:r>
      <w:hyperlink r:id="rId8" w:history="1">
        <w:r>
          <w:rPr>
            <w:rStyle w:val="Hyperlink"/>
          </w:rPr>
          <w:t>5.2 Historical rates | Social Security Guide (dss.gov.au)</w:t>
        </w:r>
      </w:hyperlink>
    </w:p>
  </w:footnote>
  <w:footnote w:id="135">
    <w:p w14:paraId="1AD6B511" w14:textId="363E3958" w:rsidR="002549DB" w:rsidRDefault="002549DB" w:rsidP="002549DB">
      <w:pPr>
        <w:pStyle w:val="footnote"/>
      </w:pPr>
      <w:r>
        <w:rPr>
          <w:rStyle w:val="FootnoteReference"/>
        </w:rPr>
        <w:footnoteRef/>
      </w:r>
      <w:r>
        <w:t xml:space="preserve"> ACOSS (2021)</w:t>
      </w:r>
      <w:r w:rsidR="00A5598E">
        <w:t>.</w:t>
      </w:r>
      <w:r>
        <w:t xml:space="preserve"> Who receives Jobseeker, Youth Allowance and other income support? Fact Sheet</w:t>
      </w:r>
      <w:r w:rsidR="00A5598E">
        <w:t>,</w:t>
      </w:r>
      <w:r>
        <w:t xml:space="preserve"> </w:t>
      </w:r>
      <w:r w:rsidR="00A5598E">
        <w:t>a</w:t>
      </w:r>
      <w:r>
        <w:t>ccessed 29/4/22</w:t>
      </w:r>
      <w:r w:rsidR="00A5598E">
        <w:t>,</w:t>
      </w:r>
      <w:r>
        <w:t xml:space="preserve"> </w:t>
      </w:r>
      <w:r w:rsidRPr="00380734">
        <w:t>Facts-on-JobSeeker-FINAL.pdf (raisetherate.org.au)</w:t>
      </w:r>
      <w:r w:rsidR="00A5598E" w:rsidRPr="00C239FD">
        <w:t>.</w:t>
      </w:r>
    </w:p>
  </w:footnote>
  <w:footnote w:id="136">
    <w:p w14:paraId="64C539BC" w14:textId="1CAC747D" w:rsidR="00BE0845" w:rsidRDefault="00BE0845" w:rsidP="00221DB0">
      <w:pPr>
        <w:pStyle w:val="Footnote0"/>
      </w:pPr>
      <w:r>
        <w:rPr>
          <w:rStyle w:val="FootnoteReference"/>
        </w:rPr>
        <w:footnoteRef/>
      </w:r>
      <w:r>
        <w:t xml:space="preserve"> Research was undertaken in mid</w:t>
      </w:r>
      <w:r w:rsidR="00221DB0">
        <w:t>-</w:t>
      </w:r>
      <w:r>
        <w:t xml:space="preserve">2021, so this </w:t>
      </w:r>
      <w:r w:rsidR="00273DBA">
        <w:t>appendix</w:t>
      </w:r>
      <w:r>
        <w:t xml:space="preserve"> is examining the impact of COVID-19 until th</w:t>
      </w:r>
      <w:r w:rsidR="000E08EE">
        <w:t>at</w:t>
      </w:r>
      <w:r>
        <w:t xml:space="preserve"> point in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92D44" w14:textId="62C81EFA" w:rsidR="003F32F8" w:rsidRDefault="003F3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5853F" w14:textId="77777777" w:rsidR="00182791" w:rsidRDefault="001827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FBAAE" w14:textId="12F0612D" w:rsidR="00182791" w:rsidRDefault="001827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FFDCF" w14:textId="79F4C1E0" w:rsidR="00013CFD" w:rsidRDefault="00013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C547CB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C23CEAD8"/>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DDB870A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6F7C552E"/>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D444E3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030B6507"/>
    <w:multiLevelType w:val="hybridMultilevel"/>
    <w:tmpl w:val="F2123FA2"/>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 w15:restartNumberingAfterBreak="0">
    <w:nsid w:val="05BA6C75"/>
    <w:multiLevelType w:val="hybridMultilevel"/>
    <w:tmpl w:val="0A560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776F38"/>
    <w:multiLevelType w:val="multilevel"/>
    <w:tmpl w:val="CD747456"/>
    <w:lvl w:ilvl="0">
      <w:numFmt w:val="decimal"/>
      <w:pStyle w:val="dotpoin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157457"/>
    <w:multiLevelType w:val="multilevel"/>
    <w:tmpl w:val="3AECE86E"/>
    <w:name w:val="List number"/>
    <w:lvl w:ilvl="0">
      <w:numFmt w:val="decimal"/>
      <w:pStyle w:val="ListNumb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F56B5"/>
    <w:multiLevelType w:val="multilevel"/>
    <w:tmpl w:val="34FE3BD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641DF2"/>
    <w:multiLevelType w:val="hybridMultilevel"/>
    <w:tmpl w:val="F7842D62"/>
    <w:lvl w:ilvl="0" w:tplc="7F847DE4">
      <w:numFmt w:val="decimal"/>
      <w:pStyle w:val="numberedpara"/>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11" w15:restartNumberingAfterBreak="0">
    <w:nsid w:val="1CA821FC"/>
    <w:multiLevelType w:val="multilevel"/>
    <w:tmpl w:val="B2A03162"/>
    <w:lvl w:ilvl="0">
      <w:start w:val="1"/>
      <w:numFmt w:val="decimal"/>
      <w:pStyle w:val="Heading1"/>
      <w:suff w:val="space"/>
      <w:lvlText w:val="Chapter %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2409"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2" w15:restartNumberingAfterBreak="0">
    <w:nsid w:val="1D742530"/>
    <w:multiLevelType w:val="hybridMultilevel"/>
    <w:tmpl w:val="C31EFC8C"/>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落酪"/>
      <w:lvlJc w:val="left"/>
    </w:lvl>
    <w:lvl w:ilvl="6" w:tplc="0C090001">
      <w:start w:val="1169"/>
      <w:numFmt w:val="decimal"/>
      <w:isLgl/>
      <w:lvlText w:val="ϗ一Ϙ儀Ϙ䠀ϙ䬀ϙ䔀Ϛ䠀Ϛ销Ϛ頀Ϛ豈ϚﰀϚ搀ϛ最ϛ퐀ϛϡ쌀Ͻ"/>
      <w:lvlJc w:val="left"/>
      <w:pPr>
        <w:keepNext/>
        <w:keepLines/>
        <w:spacing w:before="240"/>
        <w:ind w:left="0" w:firstLine="0"/>
      </w:pPr>
    </w:lvl>
    <w:lvl w:ilvl="7" w:tplc="0C090003">
      <w:numFmt w:val="decimal"/>
      <w:lvlText w:val=""/>
      <w:lvlJc w:val="left"/>
    </w:lvl>
    <w:lvl w:ilvl="8" w:tplc="0C090005">
      <w:numFmt w:val="decimal"/>
      <w:lvlText w:val=""/>
      <w:lvlJc w:val="left"/>
    </w:lvl>
  </w:abstractNum>
  <w:abstractNum w:abstractNumId="13" w15:restartNumberingAfterBreak="0">
    <w:nsid w:val="1E58408C"/>
    <w:multiLevelType w:val="hybridMultilevel"/>
    <w:tmpl w:val="0AAEFCD6"/>
    <w:lvl w:ilvl="0" w:tplc="2910C6F8">
      <w:start w:val="1"/>
      <w:numFmt w:val="decimal"/>
      <w:pStyle w:val="ListNumber3"/>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89095F"/>
    <w:multiLevelType w:val="hybridMultilevel"/>
    <w:tmpl w:val="C3F0664A"/>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A53E4C"/>
    <w:multiLevelType w:val="multilevel"/>
    <w:tmpl w:val="A0A2FCB2"/>
    <w:name w:val="List number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C213A5"/>
    <w:multiLevelType w:val="hybridMultilevel"/>
    <w:tmpl w:val="BE30D4F6"/>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7" w15:restartNumberingAfterBreak="0">
    <w:nsid w:val="32592CD5"/>
    <w:multiLevelType w:val="hybridMultilevel"/>
    <w:tmpl w:val="3F3E8292"/>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8" w15:restartNumberingAfterBreak="0">
    <w:nsid w:val="340F7323"/>
    <w:multiLevelType w:val="multilevel"/>
    <w:tmpl w:val="2A929B28"/>
    <w:lvl w:ilvl="0">
      <w:start w:val="1"/>
      <w:numFmt w:val="decimal"/>
      <w:pStyle w:val="AppendixHeading"/>
      <w:suff w:val="space"/>
      <w:lvlText w:val="Appendix %1:"/>
      <w:lvlJc w:val="left"/>
      <w:pPr>
        <w:ind w:left="0" w:firstLine="0"/>
      </w:pPr>
      <w:rPr>
        <w:rFonts w:hint="default"/>
      </w:rPr>
    </w:lvl>
    <w:lvl w:ilvl="1">
      <w:start w:val="1"/>
      <w:numFmt w:val="decimal"/>
      <w:lvlRestart w:val="0"/>
      <w:lvlText w:val="A%1.%2."/>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86652A0"/>
    <w:multiLevelType w:val="hybridMultilevel"/>
    <w:tmpl w:val="11C06E32"/>
    <w:lvl w:ilvl="0" w:tplc="D34EDF22">
      <w:numFmt w:val="decimal"/>
      <w:lvlText w:val=""/>
      <w:lvlJc w:val="left"/>
    </w:lvl>
    <w:lvl w:ilvl="1" w:tplc="F6D012A0">
      <w:numFmt w:val="decimal"/>
      <w:pStyle w:val="4Statement"/>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0" w15:restartNumberingAfterBreak="0">
    <w:nsid w:val="39355356"/>
    <w:multiLevelType w:val="multilevel"/>
    <w:tmpl w:val="0CDEF44E"/>
    <w:lvl w:ilvl="0">
      <w:start w:val="1"/>
      <w:numFmt w:val="decimal"/>
      <w:pStyle w:val="Heading1a"/>
      <w:suff w:val="space"/>
      <w:lvlText w:val="Appendix %1:"/>
      <w:lvlJc w:val="left"/>
      <w:pPr>
        <w:ind w:left="0" w:firstLine="0"/>
      </w:pPr>
      <w:rPr>
        <w:rFonts w:hint="default"/>
      </w:rPr>
    </w:lvl>
    <w:lvl w:ilvl="1">
      <w:start w:val="1"/>
      <w:numFmt w:val="decimal"/>
      <w:pStyle w:val="Heading2a"/>
      <w:suff w:val="space"/>
      <w:lvlText w:val="A%1.%2."/>
      <w:lvlJc w:val="left"/>
      <w:pPr>
        <w:ind w:left="0" w:firstLine="0"/>
      </w:pPr>
      <w:rPr>
        <w:rFonts w:hint="default"/>
      </w:rPr>
    </w:lvl>
    <w:lvl w:ilvl="2">
      <w:start w:val="1"/>
      <w:numFmt w:val="decimal"/>
      <w:pStyle w:val="Heading3a"/>
      <w:suff w:val="space"/>
      <w:lvlText w:val="A%1.%2.%3."/>
      <w:lvlJc w:val="left"/>
      <w:pPr>
        <w:ind w:left="0" w:firstLine="0"/>
      </w:pPr>
      <w:rPr>
        <w:rFonts w:hint="default"/>
      </w:rPr>
    </w:lvl>
    <w:lvl w:ilvl="3">
      <w:start w:val="1"/>
      <w:numFmt w:val="none"/>
      <w:lvlRestart w:val="0"/>
      <w:pStyle w:val="Heading4a"/>
      <w:suff w:val="nothing"/>
      <w:lvlText w:val=""/>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3B0732AD"/>
    <w:multiLevelType w:val="multilevel"/>
    <w:tmpl w:val="F6DA8B36"/>
    <w:styleLink w:val="NumberedLi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8841FF"/>
    <w:multiLevelType w:val="multilevel"/>
    <w:tmpl w:val="9B3E2EB6"/>
    <w:lvl w:ilvl="0">
      <w:numFmt w:val="decimal"/>
      <w:pStyle w:val="Bullets1"/>
      <w:lvlText w:val=""/>
      <w:lvlJc w:val="left"/>
    </w:lvl>
    <w:lvl w:ilvl="1">
      <w:numFmt w:val="decimal"/>
      <w:pStyle w:val="Bullets2"/>
      <w:lvlText w:val=""/>
      <w:lvlJc w:val="left"/>
    </w:lvl>
    <w:lvl w:ilvl="2">
      <w:numFmt w:val="decimal"/>
      <w:pStyle w:val="Bullets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2E37DE"/>
    <w:multiLevelType w:val="hybridMultilevel"/>
    <w:tmpl w:val="8B78DDAE"/>
    <w:lvl w:ilvl="0" w:tplc="EFB23FCE">
      <w:numFmt w:val="decimal"/>
      <w:lvlText w:val=""/>
      <w:lvlJc w:val="left"/>
    </w:lvl>
    <w:lvl w:ilvl="1" w:tplc="3802F2A6">
      <w:numFmt w:val="decimal"/>
      <w:pStyle w:val="Background"/>
      <w:lvlText w:val=""/>
      <w:lvlJc w:val="left"/>
    </w:lvl>
    <w:lvl w:ilvl="2" w:tplc="6ED41330">
      <w:numFmt w:val="decimal"/>
      <w:pStyle w:val="Background-Subpoint"/>
      <w:lvlText w:val=""/>
      <w:lvlJc w:val="left"/>
    </w:lvl>
    <w:lvl w:ilvl="3" w:tplc="7EC83E8E">
      <w:numFmt w:val="decimal"/>
      <w:lvlText w:val=""/>
      <w:lvlJc w:val="left"/>
    </w:lvl>
    <w:lvl w:ilvl="4" w:tplc="54BE95E8">
      <w:numFmt w:val="decimal"/>
      <w:lvlText w:val=""/>
      <w:lvlJc w:val="left"/>
    </w:lvl>
    <w:lvl w:ilvl="5" w:tplc="6D06185C">
      <w:numFmt w:val="decimal"/>
      <w:lvlText w:val=""/>
      <w:lvlJc w:val="left"/>
    </w:lvl>
    <w:lvl w:ilvl="6" w:tplc="D2FA773C">
      <w:numFmt w:val="decimal"/>
      <w:lvlText w:val=""/>
      <w:lvlJc w:val="left"/>
    </w:lvl>
    <w:lvl w:ilvl="7" w:tplc="B812F7D8">
      <w:numFmt w:val="decimal"/>
      <w:lvlText w:val=""/>
      <w:lvlJc w:val="left"/>
    </w:lvl>
    <w:lvl w:ilvl="8" w:tplc="DB7A9A02">
      <w:numFmt w:val="decimal"/>
      <w:lvlText w:val=""/>
      <w:lvlJc w:val="left"/>
    </w:lvl>
  </w:abstractNum>
  <w:abstractNum w:abstractNumId="24" w15:restartNumberingAfterBreak="0">
    <w:nsid w:val="43206779"/>
    <w:multiLevelType w:val="multilevel"/>
    <w:tmpl w:val="83E69664"/>
    <w:lvl w:ilvl="0">
      <w:numFmt w:val="decimal"/>
      <w:pStyle w:val="List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2F0608"/>
    <w:multiLevelType w:val="hybridMultilevel"/>
    <w:tmpl w:val="C2A6F166"/>
    <w:lvl w:ilvl="0" w:tplc="9DF8BDA4">
      <w:numFmt w:val="decimal"/>
      <w:pStyle w:val="Snapback"/>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6" w15:restartNumberingAfterBreak="0">
    <w:nsid w:val="46253266"/>
    <w:multiLevelType w:val="multilevel"/>
    <w:tmpl w:val="7424E47E"/>
    <w:styleLink w:val="Bullet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936040"/>
    <w:multiLevelType w:val="hybridMultilevel"/>
    <w:tmpl w:val="74041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050044"/>
    <w:multiLevelType w:val="hybridMultilevel"/>
    <w:tmpl w:val="84226AE0"/>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9" w15:restartNumberingAfterBreak="0">
    <w:nsid w:val="53CF66BC"/>
    <w:multiLevelType w:val="hybridMultilevel"/>
    <w:tmpl w:val="FD185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E91FB6"/>
    <w:multiLevelType w:val="hybridMultilevel"/>
    <w:tmpl w:val="E2BE216A"/>
    <w:lvl w:ilvl="0" w:tplc="79FC5F04">
      <w:numFmt w:val="decimal"/>
      <w:pStyle w:val="Sourceandnotetextmultiplenotes"/>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1" w15:restartNumberingAfterBreak="0">
    <w:nsid w:val="58353422"/>
    <w:multiLevelType w:val="hybridMultilevel"/>
    <w:tmpl w:val="F4A88598"/>
    <w:lvl w:ilvl="0" w:tplc="B5D076F4">
      <w:numFmt w:val="decimal"/>
      <w:pStyle w:val="SRCCodeframe"/>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32" w15:restartNumberingAfterBreak="0">
    <w:nsid w:val="592115D7"/>
    <w:multiLevelType w:val="hybridMultilevel"/>
    <w:tmpl w:val="B054F9FC"/>
    <w:lvl w:ilvl="0" w:tplc="FAAC59C6">
      <w:numFmt w:val="decimal"/>
      <w:pStyle w:val="3Responseframe"/>
      <w:lvlText w:val=""/>
      <w:lvlJc w:val="left"/>
    </w:lvl>
    <w:lvl w:ilvl="1" w:tplc="951E07F8">
      <w:numFmt w:val="decimal"/>
      <w:lvlText w:val=""/>
      <w:lvlJc w:val="left"/>
    </w:lvl>
    <w:lvl w:ilvl="2" w:tplc="47445A14">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33" w15:restartNumberingAfterBreak="0">
    <w:nsid w:val="5AF4123C"/>
    <w:multiLevelType w:val="hybridMultilevel"/>
    <w:tmpl w:val="9182C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787EC1"/>
    <w:multiLevelType w:val="multilevel"/>
    <w:tmpl w:val="9968C800"/>
    <w:lvl w:ilvl="0">
      <w:numFmt w:val="decimal"/>
      <w:pStyle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CE7A0A"/>
    <w:multiLevelType w:val="hybridMultilevel"/>
    <w:tmpl w:val="571C484E"/>
    <w:lvl w:ilvl="0" w:tplc="84B82612">
      <w:numFmt w:val="decimal"/>
      <w:pStyle w:val="Ebullet"/>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6" w15:restartNumberingAfterBreak="0">
    <w:nsid w:val="7CAE700D"/>
    <w:multiLevelType w:val="hybridMultilevel"/>
    <w:tmpl w:val="D07231A0"/>
    <w:lvl w:ilvl="0" w:tplc="0C09000F">
      <w:start w:val="1"/>
      <w:numFmt w:val="decimal"/>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37" w15:restartNumberingAfterBreak="0">
    <w:nsid w:val="7D0E53D4"/>
    <w:multiLevelType w:val="multilevel"/>
    <w:tmpl w:val="9D9E4B96"/>
    <w:styleLink w:val="BulletLi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463D42"/>
    <w:multiLevelType w:val="hybridMultilevel"/>
    <w:tmpl w:val="82240B4A"/>
    <w:name w:val="heading 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4329184">
    <w:abstractNumId w:val="8"/>
  </w:num>
  <w:num w:numId="2" w16cid:durableId="1707869589">
    <w:abstractNumId w:val="15"/>
  </w:num>
  <w:num w:numId="3" w16cid:durableId="90973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493099">
    <w:abstractNumId w:val="26"/>
  </w:num>
  <w:num w:numId="5" w16cid:durableId="2122606553">
    <w:abstractNumId w:val="23"/>
  </w:num>
  <w:num w:numId="6" w16cid:durableId="80950930">
    <w:abstractNumId w:val="22"/>
  </w:num>
  <w:num w:numId="7" w16cid:durableId="653876092">
    <w:abstractNumId w:val="32"/>
  </w:num>
  <w:num w:numId="8" w16cid:durableId="677461755">
    <w:abstractNumId w:val="24"/>
  </w:num>
  <w:num w:numId="9" w16cid:durableId="711006487">
    <w:abstractNumId w:val="34"/>
  </w:num>
  <w:num w:numId="10" w16cid:durableId="1442801075">
    <w:abstractNumId w:val="19"/>
  </w:num>
  <w:num w:numId="11" w16cid:durableId="1667173713">
    <w:abstractNumId w:val="31"/>
  </w:num>
  <w:num w:numId="12" w16cid:durableId="1296835805">
    <w:abstractNumId w:val="25"/>
  </w:num>
  <w:num w:numId="13" w16cid:durableId="794951854">
    <w:abstractNumId w:val="30"/>
  </w:num>
  <w:num w:numId="14" w16cid:durableId="1237207843">
    <w:abstractNumId w:val="7"/>
  </w:num>
  <w:num w:numId="15" w16cid:durableId="1328827820">
    <w:abstractNumId w:val="17"/>
  </w:num>
  <w:num w:numId="16" w16cid:durableId="1107310421">
    <w:abstractNumId w:val="28"/>
  </w:num>
  <w:num w:numId="17" w16cid:durableId="1481188436">
    <w:abstractNumId w:val="4"/>
  </w:num>
  <w:num w:numId="18" w16cid:durableId="1059128579">
    <w:abstractNumId w:val="3"/>
  </w:num>
  <w:num w:numId="19" w16cid:durableId="1004356612">
    <w:abstractNumId w:val="37"/>
  </w:num>
  <w:num w:numId="20" w16cid:durableId="1208025499">
    <w:abstractNumId w:val="35"/>
  </w:num>
  <w:num w:numId="21" w16cid:durableId="381446223">
    <w:abstractNumId w:val="21"/>
  </w:num>
  <w:num w:numId="22" w16cid:durableId="116530875">
    <w:abstractNumId w:val="6"/>
  </w:num>
  <w:num w:numId="23" w16cid:durableId="1049962858">
    <w:abstractNumId w:val="12"/>
  </w:num>
  <w:num w:numId="24" w16cid:durableId="447970634">
    <w:abstractNumId w:val="16"/>
  </w:num>
  <w:num w:numId="25" w16cid:durableId="583613539">
    <w:abstractNumId w:val="5"/>
  </w:num>
  <w:num w:numId="26" w16cid:durableId="1095369149">
    <w:abstractNumId w:val="9"/>
  </w:num>
  <w:num w:numId="27" w16cid:durableId="1148790728">
    <w:abstractNumId w:val="13"/>
  </w:num>
  <w:num w:numId="28" w16cid:durableId="135731293">
    <w:abstractNumId w:val="2"/>
  </w:num>
  <w:num w:numId="29" w16cid:durableId="1534803214">
    <w:abstractNumId w:val="1"/>
  </w:num>
  <w:num w:numId="30" w16cid:durableId="170799454">
    <w:abstractNumId w:val="0"/>
  </w:num>
  <w:num w:numId="31" w16cid:durableId="358969063">
    <w:abstractNumId w:val="36"/>
  </w:num>
  <w:num w:numId="32" w16cid:durableId="1955479361">
    <w:abstractNumId w:val="18"/>
  </w:num>
  <w:num w:numId="33" w16cid:durableId="1305156624">
    <w:abstractNumId w:val="11"/>
  </w:num>
  <w:num w:numId="34" w16cid:durableId="6060809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8487557">
    <w:abstractNumId w:val="20"/>
  </w:num>
  <w:num w:numId="36" w16cid:durableId="619142756">
    <w:abstractNumId w:val="14"/>
  </w:num>
  <w:num w:numId="37" w16cid:durableId="653291385">
    <w:abstractNumId w:val="27"/>
  </w:num>
  <w:num w:numId="38" w16cid:durableId="834371260">
    <w:abstractNumId w:val="33"/>
  </w:num>
  <w:num w:numId="39" w16cid:durableId="1066222137">
    <w:abstractNumId w:val="29"/>
  </w:num>
  <w:num w:numId="40" w16cid:durableId="993485206">
    <w:abstractNumId w:val="4"/>
  </w:num>
  <w:num w:numId="41" w16cid:durableId="1490289831">
    <w:abstractNumId w:val="4"/>
  </w:num>
  <w:num w:numId="42" w16cid:durableId="886601985">
    <w:abstractNumId w:val="4"/>
  </w:num>
  <w:num w:numId="43" w16cid:durableId="48580748">
    <w:abstractNumId w:val="4"/>
  </w:num>
  <w:num w:numId="44" w16cid:durableId="487014794">
    <w:abstractNumId w:val="4"/>
  </w:num>
  <w:num w:numId="45" w16cid:durableId="1098327464">
    <w:abstractNumId w:val="4"/>
  </w:num>
  <w:num w:numId="46" w16cid:durableId="1724208725">
    <w:abstractNumId w:val="4"/>
  </w:num>
  <w:num w:numId="47" w16cid:durableId="1993756120">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998"/>
    <w:rsid w:val="000003EE"/>
    <w:rsid w:val="00000537"/>
    <w:rsid w:val="00000AB7"/>
    <w:rsid w:val="00000C8E"/>
    <w:rsid w:val="000018C2"/>
    <w:rsid w:val="00001986"/>
    <w:rsid w:val="00001C9E"/>
    <w:rsid w:val="0000203C"/>
    <w:rsid w:val="00002472"/>
    <w:rsid w:val="00002B96"/>
    <w:rsid w:val="00003463"/>
    <w:rsid w:val="000034F0"/>
    <w:rsid w:val="00003675"/>
    <w:rsid w:val="00003BD0"/>
    <w:rsid w:val="00003F46"/>
    <w:rsid w:val="00004891"/>
    <w:rsid w:val="00004CA7"/>
    <w:rsid w:val="00004D44"/>
    <w:rsid w:val="00004E85"/>
    <w:rsid w:val="000052A9"/>
    <w:rsid w:val="00005830"/>
    <w:rsid w:val="000067B5"/>
    <w:rsid w:val="00006B1C"/>
    <w:rsid w:val="00006C6A"/>
    <w:rsid w:val="00006F67"/>
    <w:rsid w:val="0000706C"/>
    <w:rsid w:val="000071DF"/>
    <w:rsid w:val="00007A49"/>
    <w:rsid w:val="00007D7A"/>
    <w:rsid w:val="00007F07"/>
    <w:rsid w:val="00010124"/>
    <w:rsid w:val="000102D5"/>
    <w:rsid w:val="0001069F"/>
    <w:rsid w:val="00010BF4"/>
    <w:rsid w:val="0001111D"/>
    <w:rsid w:val="000113E9"/>
    <w:rsid w:val="000117C3"/>
    <w:rsid w:val="00011C69"/>
    <w:rsid w:val="00011DC8"/>
    <w:rsid w:val="00011EA6"/>
    <w:rsid w:val="000123FC"/>
    <w:rsid w:val="00012463"/>
    <w:rsid w:val="0001284E"/>
    <w:rsid w:val="00012997"/>
    <w:rsid w:val="000129F0"/>
    <w:rsid w:val="00013219"/>
    <w:rsid w:val="0001339E"/>
    <w:rsid w:val="00013A9F"/>
    <w:rsid w:val="00013CFD"/>
    <w:rsid w:val="000140D2"/>
    <w:rsid w:val="00014DFC"/>
    <w:rsid w:val="0001581D"/>
    <w:rsid w:val="00015B0A"/>
    <w:rsid w:val="00015B13"/>
    <w:rsid w:val="00015D14"/>
    <w:rsid w:val="00015F3F"/>
    <w:rsid w:val="00015F46"/>
    <w:rsid w:val="00015FED"/>
    <w:rsid w:val="00016205"/>
    <w:rsid w:val="00016375"/>
    <w:rsid w:val="000170E6"/>
    <w:rsid w:val="0001714A"/>
    <w:rsid w:val="000174AD"/>
    <w:rsid w:val="000176EC"/>
    <w:rsid w:val="0001781A"/>
    <w:rsid w:val="00017A98"/>
    <w:rsid w:val="00017B58"/>
    <w:rsid w:val="00017D64"/>
    <w:rsid w:val="00017EFA"/>
    <w:rsid w:val="00020498"/>
    <w:rsid w:val="000204AB"/>
    <w:rsid w:val="000205EE"/>
    <w:rsid w:val="000207CE"/>
    <w:rsid w:val="00020A2E"/>
    <w:rsid w:val="00020CE5"/>
    <w:rsid w:val="000211E3"/>
    <w:rsid w:val="00021500"/>
    <w:rsid w:val="00021803"/>
    <w:rsid w:val="00021D29"/>
    <w:rsid w:val="00021E62"/>
    <w:rsid w:val="000225DE"/>
    <w:rsid w:val="000228CB"/>
    <w:rsid w:val="00022A4C"/>
    <w:rsid w:val="00022BAD"/>
    <w:rsid w:val="00022E77"/>
    <w:rsid w:val="0002344F"/>
    <w:rsid w:val="00023917"/>
    <w:rsid w:val="00023E59"/>
    <w:rsid w:val="00023FB4"/>
    <w:rsid w:val="000242F3"/>
    <w:rsid w:val="00024BD1"/>
    <w:rsid w:val="00024DFD"/>
    <w:rsid w:val="000251AA"/>
    <w:rsid w:val="00025368"/>
    <w:rsid w:val="000257B9"/>
    <w:rsid w:val="00025C1F"/>
    <w:rsid w:val="00025EEB"/>
    <w:rsid w:val="00025F58"/>
    <w:rsid w:val="000266B7"/>
    <w:rsid w:val="00026B9B"/>
    <w:rsid w:val="0002757A"/>
    <w:rsid w:val="00027804"/>
    <w:rsid w:val="00027859"/>
    <w:rsid w:val="00027F0B"/>
    <w:rsid w:val="00027F0F"/>
    <w:rsid w:val="00027FDF"/>
    <w:rsid w:val="0003020C"/>
    <w:rsid w:val="00030214"/>
    <w:rsid w:val="0003072C"/>
    <w:rsid w:val="00030882"/>
    <w:rsid w:val="00030A0A"/>
    <w:rsid w:val="00030B9D"/>
    <w:rsid w:val="00030C50"/>
    <w:rsid w:val="00031180"/>
    <w:rsid w:val="0003178D"/>
    <w:rsid w:val="00031CFE"/>
    <w:rsid w:val="00032160"/>
    <w:rsid w:val="000321BB"/>
    <w:rsid w:val="000322C3"/>
    <w:rsid w:val="00032609"/>
    <w:rsid w:val="000332E0"/>
    <w:rsid w:val="00033420"/>
    <w:rsid w:val="0003465D"/>
    <w:rsid w:val="00034A54"/>
    <w:rsid w:val="00034C62"/>
    <w:rsid w:val="0003518E"/>
    <w:rsid w:val="0003551D"/>
    <w:rsid w:val="000356B7"/>
    <w:rsid w:val="0003572F"/>
    <w:rsid w:val="00035933"/>
    <w:rsid w:val="00035CA9"/>
    <w:rsid w:val="00036D62"/>
    <w:rsid w:val="00036F40"/>
    <w:rsid w:val="00036F5A"/>
    <w:rsid w:val="00037A42"/>
    <w:rsid w:val="00037AF3"/>
    <w:rsid w:val="00037BFF"/>
    <w:rsid w:val="000400D4"/>
    <w:rsid w:val="00040C3D"/>
    <w:rsid w:val="00040E2B"/>
    <w:rsid w:val="00041337"/>
    <w:rsid w:val="00041804"/>
    <w:rsid w:val="000419CC"/>
    <w:rsid w:val="00041D41"/>
    <w:rsid w:val="00041F62"/>
    <w:rsid w:val="000421F3"/>
    <w:rsid w:val="000424D2"/>
    <w:rsid w:val="00042583"/>
    <w:rsid w:val="00042855"/>
    <w:rsid w:val="0004297C"/>
    <w:rsid w:val="00042AC7"/>
    <w:rsid w:val="00042DF8"/>
    <w:rsid w:val="000430C8"/>
    <w:rsid w:val="0004354F"/>
    <w:rsid w:val="00043AE3"/>
    <w:rsid w:val="00043B32"/>
    <w:rsid w:val="0004435E"/>
    <w:rsid w:val="0004438F"/>
    <w:rsid w:val="00044684"/>
    <w:rsid w:val="00044984"/>
    <w:rsid w:val="00044C74"/>
    <w:rsid w:val="0004590E"/>
    <w:rsid w:val="00046367"/>
    <w:rsid w:val="00046630"/>
    <w:rsid w:val="00046C0B"/>
    <w:rsid w:val="00046C61"/>
    <w:rsid w:val="0004715D"/>
    <w:rsid w:val="0004761D"/>
    <w:rsid w:val="000477AE"/>
    <w:rsid w:val="000478DC"/>
    <w:rsid w:val="00047911"/>
    <w:rsid w:val="00050656"/>
    <w:rsid w:val="00050A67"/>
    <w:rsid w:val="00050E90"/>
    <w:rsid w:val="00050F5B"/>
    <w:rsid w:val="00050FC0"/>
    <w:rsid w:val="0005134D"/>
    <w:rsid w:val="0005149B"/>
    <w:rsid w:val="000522CF"/>
    <w:rsid w:val="000522D5"/>
    <w:rsid w:val="000523AA"/>
    <w:rsid w:val="0005248D"/>
    <w:rsid w:val="00052BBC"/>
    <w:rsid w:val="00052C83"/>
    <w:rsid w:val="00052E76"/>
    <w:rsid w:val="0005306A"/>
    <w:rsid w:val="00053498"/>
    <w:rsid w:val="000535B0"/>
    <w:rsid w:val="000539D6"/>
    <w:rsid w:val="00053DA3"/>
    <w:rsid w:val="00053E67"/>
    <w:rsid w:val="00053E96"/>
    <w:rsid w:val="00054180"/>
    <w:rsid w:val="00054640"/>
    <w:rsid w:val="00054B2F"/>
    <w:rsid w:val="00054F8B"/>
    <w:rsid w:val="00055078"/>
    <w:rsid w:val="00055298"/>
    <w:rsid w:val="0005553A"/>
    <w:rsid w:val="000556FD"/>
    <w:rsid w:val="0005592A"/>
    <w:rsid w:val="00055B9D"/>
    <w:rsid w:val="00055FC6"/>
    <w:rsid w:val="0005635A"/>
    <w:rsid w:val="00056504"/>
    <w:rsid w:val="000566A4"/>
    <w:rsid w:val="0005707E"/>
    <w:rsid w:val="000576C1"/>
    <w:rsid w:val="00057AB2"/>
    <w:rsid w:val="00057C04"/>
    <w:rsid w:val="00057C23"/>
    <w:rsid w:val="00057CF2"/>
    <w:rsid w:val="00060467"/>
    <w:rsid w:val="000607A6"/>
    <w:rsid w:val="0006116C"/>
    <w:rsid w:val="000612C7"/>
    <w:rsid w:val="000617B7"/>
    <w:rsid w:val="00061A1A"/>
    <w:rsid w:val="00061E50"/>
    <w:rsid w:val="00062207"/>
    <w:rsid w:val="00062315"/>
    <w:rsid w:val="00062337"/>
    <w:rsid w:val="0006263C"/>
    <w:rsid w:val="000626A8"/>
    <w:rsid w:val="00062A87"/>
    <w:rsid w:val="00062B0F"/>
    <w:rsid w:val="00062C12"/>
    <w:rsid w:val="00062D57"/>
    <w:rsid w:val="00062E8B"/>
    <w:rsid w:val="00062F11"/>
    <w:rsid w:val="00062F6F"/>
    <w:rsid w:val="000634F4"/>
    <w:rsid w:val="00063779"/>
    <w:rsid w:val="00063FAE"/>
    <w:rsid w:val="0006438F"/>
    <w:rsid w:val="00064C78"/>
    <w:rsid w:val="00065092"/>
    <w:rsid w:val="0006567F"/>
    <w:rsid w:val="000657D9"/>
    <w:rsid w:val="00065ABF"/>
    <w:rsid w:val="00065E77"/>
    <w:rsid w:val="00066146"/>
    <w:rsid w:val="00066959"/>
    <w:rsid w:val="000672A6"/>
    <w:rsid w:val="000672C3"/>
    <w:rsid w:val="000674AD"/>
    <w:rsid w:val="000674B1"/>
    <w:rsid w:val="000674BE"/>
    <w:rsid w:val="0006771F"/>
    <w:rsid w:val="00067A97"/>
    <w:rsid w:val="0007001B"/>
    <w:rsid w:val="00070061"/>
    <w:rsid w:val="00071A4D"/>
    <w:rsid w:val="00071ABC"/>
    <w:rsid w:val="00071AC7"/>
    <w:rsid w:val="00071FA7"/>
    <w:rsid w:val="000720A6"/>
    <w:rsid w:val="0007215C"/>
    <w:rsid w:val="0007222E"/>
    <w:rsid w:val="000725D1"/>
    <w:rsid w:val="00072E60"/>
    <w:rsid w:val="000733BF"/>
    <w:rsid w:val="00073903"/>
    <w:rsid w:val="00073C8B"/>
    <w:rsid w:val="00074980"/>
    <w:rsid w:val="00074CDB"/>
    <w:rsid w:val="00074E36"/>
    <w:rsid w:val="000750A2"/>
    <w:rsid w:val="00075347"/>
    <w:rsid w:val="00075386"/>
    <w:rsid w:val="000754C4"/>
    <w:rsid w:val="00075A76"/>
    <w:rsid w:val="000766A0"/>
    <w:rsid w:val="000768F3"/>
    <w:rsid w:val="00076F13"/>
    <w:rsid w:val="00076F81"/>
    <w:rsid w:val="00077380"/>
    <w:rsid w:val="000773CC"/>
    <w:rsid w:val="000774F3"/>
    <w:rsid w:val="00077717"/>
    <w:rsid w:val="00077A29"/>
    <w:rsid w:val="00077F40"/>
    <w:rsid w:val="0008012E"/>
    <w:rsid w:val="000802AC"/>
    <w:rsid w:val="000804AA"/>
    <w:rsid w:val="00080774"/>
    <w:rsid w:val="000807ED"/>
    <w:rsid w:val="0008081C"/>
    <w:rsid w:val="000816FB"/>
    <w:rsid w:val="000818CB"/>
    <w:rsid w:val="000825B8"/>
    <w:rsid w:val="00082637"/>
    <w:rsid w:val="00082647"/>
    <w:rsid w:val="000830E3"/>
    <w:rsid w:val="0008319C"/>
    <w:rsid w:val="00083341"/>
    <w:rsid w:val="00083638"/>
    <w:rsid w:val="00083E62"/>
    <w:rsid w:val="00083E7A"/>
    <w:rsid w:val="00083EB9"/>
    <w:rsid w:val="0008450E"/>
    <w:rsid w:val="00084705"/>
    <w:rsid w:val="00084808"/>
    <w:rsid w:val="000855A8"/>
    <w:rsid w:val="00085AB7"/>
    <w:rsid w:val="000865CA"/>
    <w:rsid w:val="000869D3"/>
    <w:rsid w:val="000869DC"/>
    <w:rsid w:val="00086DE9"/>
    <w:rsid w:val="00086E3A"/>
    <w:rsid w:val="00086E5E"/>
    <w:rsid w:val="000872BD"/>
    <w:rsid w:val="00087505"/>
    <w:rsid w:val="00087D7E"/>
    <w:rsid w:val="00087DF4"/>
    <w:rsid w:val="00087F9A"/>
    <w:rsid w:val="000900C5"/>
    <w:rsid w:val="00090399"/>
    <w:rsid w:val="000906F6"/>
    <w:rsid w:val="00090A4F"/>
    <w:rsid w:val="00090A53"/>
    <w:rsid w:val="00091059"/>
    <w:rsid w:val="000911C0"/>
    <w:rsid w:val="00091268"/>
    <w:rsid w:val="00091BA0"/>
    <w:rsid w:val="000920AB"/>
    <w:rsid w:val="000925FE"/>
    <w:rsid w:val="000927C0"/>
    <w:rsid w:val="00092BE3"/>
    <w:rsid w:val="0009326F"/>
    <w:rsid w:val="000936D3"/>
    <w:rsid w:val="00093F5A"/>
    <w:rsid w:val="000940AD"/>
    <w:rsid w:val="000946AB"/>
    <w:rsid w:val="00095026"/>
    <w:rsid w:val="0009509D"/>
    <w:rsid w:val="000951FA"/>
    <w:rsid w:val="0009535C"/>
    <w:rsid w:val="000953F5"/>
    <w:rsid w:val="0009540C"/>
    <w:rsid w:val="000959C0"/>
    <w:rsid w:val="00095A86"/>
    <w:rsid w:val="00096082"/>
    <w:rsid w:val="000963A5"/>
    <w:rsid w:val="000968B7"/>
    <w:rsid w:val="000972D8"/>
    <w:rsid w:val="00097A44"/>
    <w:rsid w:val="000A046C"/>
    <w:rsid w:val="000A058D"/>
    <w:rsid w:val="000A071B"/>
    <w:rsid w:val="000A0BFD"/>
    <w:rsid w:val="000A0F27"/>
    <w:rsid w:val="000A16C1"/>
    <w:rsid w:val="000A1705"/>
    <w:rsid w:val="000A1AD1"/>
    <w:rsid w:val="000A2A61"/>
    <w:rsid w:val="000A2CBE"/>
    <w:rsid w:val="000A2D2D"/>
    <w:rsid w:val="000A3042"/>
    <w:rsid w:val="000A377D"/>
    <w:rsid w:val="000A3ADD"/>
    <w:rsid w:val="000A410F"/>
    <w:rsid w:val="000A453D"/>
    <w:rsid w:val="000A4D30"/>
    <w:rsid w:val="000A4D6D"/>
    <w:rsid w:val="000A535E"/>
    <w:rsid w:val="000A5452"/>
    <w:rsid w:val="000A5480"/>
    <w:rsid w:val="000A6A88"/>
    <w:rsid w:val="000A6E7A"/>
    <w:rsid w:val="000A706D"/>
    <w:rsid w:val="000A7263"/>
    <w:rsid w:val="000A72EB"/>
    <w:rsid w:val="000A757C"/>
    <w:rsid w:val="000A769F"/>
    <w:rsid w:val="000A7998"/>
    <w:rsid w:val="000A7A23"/>
    <w:rsid w:val="000A7C19"/>
    <w:rsid w:val="000B0059"/>
    <w:rsid w:val="000B00B5"/>
    <w:rsid w:val="000B0D7E"/>
    <w:rsid w:val="000B0D99"/>
    <w:rsid w:val="000B0E31"/>
    <w:rsid w:val="000B0E9D"/>
    <w:rsid w:val="000B0F23"/>
    <w:rsid w:val="000B140A"/>
    <w:rsid w:val="000B1A81"/>
    <w:rsid w:val="000B1C32"/>
    <w:rsid w:val="000B26B9"/>
    <w:rsid w:val="000B3165"/>
    <w:rsid w:val="000B3275"/>
    <w:rsid w:val="000B3771"/>
    <w:rsid w:val="000B3BC8"/>
    <w:rsid w:val="000B3D19"/>
    <w:rsid w:val="000B3DD2"/>
    <w:rsid w:val="000B3E05"/>
    <w:rsid w:val="000B429E"/>
    <w:rsid w:val="000B4D35"/>
    <w:rsid w:val="000B4D90"/>
    <w:rsid w:val="000B5467"/>
    <w:rsid w:val="000B553F"/>
    <w:rsid w:val="000B5835"/>
    <w:rsid w:val="000B5881"/>
    <w:rsid w:val="000B6290"/>
    <w:rsid w:val="000B6683"/>
    <w:rsid w:val="000B6E75"/>
    <w:rsid w:val="000B6E81"/>
    <w:rsid w:val="000B7597"/>
    <w:rsid w:val="000B7738"/>
    <w:rsid w:val="000C09FE"/>
    <w:rsid w:val="000C0A28"/>
    <w:rsid w:val="000C0EE2"/>
    <w:rsid w:val="000C10DC"/>
    <w:rsid w:val="000C11F3"/>
    <w:rsid w:val="000C139C"/>
    <w:rsid w:val="000C1590"/>
    <w:rsid w:val="000C16FD"/>
    <w:rsid w:val="000C1E3A"/>
    <w:rsid w:val="000C22A0"/>
    <w:rsid w:val="000C22E6"/>
    <w:rsid w:val="000C29EE"/>
    <w:rsid w:val="000C2A51"/>
    <w:rsid w:val="000C3532"/>
    <w:rsid w:val="000C3834"/>
    <w:rsid w:val="000C3990"/>
    <w:rsid w:val="000C3A62"/>
    <w:rsid w:val="000C3C0D"/>
    <w:rsid w:val="000C3CB4"/>
    <w:rsid w:val="000C4D3E"/>
    <w:rsid w:val="000C50D1"/>
    <w:rsid w:val="000C51DD"/>
    <w:rsid w:val="000C59A4"/>
    <w:rsid w:val="000C5AC6"/>
    <w:rsid w:val="000C6184"/>
    <w:rsid w:val="000C6200"/>
    <w:rsid w:val="000C6C74"/>
    <w:rsid w:val="000C6EBC"/>
    <w:rsid w:val="000C741C"/>
    <w:rsid w:val="000C7955"/>
    <w:rsid w:val="000D01DE"/>
    <w:rsid w:val="000D023D"/>
    <w:rsid w:val="000D0264"/>
    <w:rsid w:val="000D073C"/>
    <w:rsid w:val="000D0814"/>
    <w:rsid w:val="000D08E4"/>
    <w:rsid w:val="000D13C7"/>
    <w:rsid w:val="000D15D9"/>
    <w:rsid w:val="000D1E72"/>
    <w:rsid w:val="000D1FB6"/>
    <w:rsid w:val="000D316B"/>
    <w:rsid w:val="000D3B78"/>
    <w:rsid w:val="000D3CFE"/>
    <w:rsid w:val="000D3FF3"/>
    <w:rsid w:val="000D421D"/>
    <w:rsid w:val="000D458D"/>
    <w:rsid w:val="000D4714"/>
    <w:rsid w:val="000D51F3"/>
    <w:rsid w:val="000D5892"/>
    <w:rsid w:val="000D644E"/>
    <w:rsid w:val="000D662D"/>
    <w:rsid w:val="000D6991"/>
    <w:rsid w:val="000D69F6"/>
    <w:rsid w:val="000D6E10"/>
    <w:rsid w:val="000D7648"/>
    <w:rsid w:val="000D77AF"/>
    <w:rsid w:val="000D7C2F"/>
    <w:rsid w:val="000D7EA8"/>
    <w:rsid w:val="000E0052"/>
    <w:rsid w:val="000E00CE"/>
    <w:rsid w:val="000E0561"/>
    <w:rsid w:val="000E08EE"/>
    <w:rsid w:val="000E0EAE"/>
    <w:rsid w:val="000E0F17"/>
    <w:rsid w:val="000E1309"/>
    <w:rsid w:val="000E19AD"/>
    <w:rsid w:val="000E20D5"/>
    <w:rsid w:val="000E2348"/>
    <w:rsid w:val="000E260F"/>
    <w:rsid w:val="000E271D"/>
    <w:rsid w:val="000E28C8"/>
    <w:rsid w:val="000E316D"/>
    <w:rsid w:val="000E32A2"/>
    <w:rsid w:val="000E35D3"/>
    <w:rsid w:val="000E3935"/>
    <w:rsid w:val="000E3D80"/>
    <w:rsid w:val="000E42BC"/>
    <w:rsid w:val="000E46B9"/>
    <w:rsid w:val="000E46C3"/>
    <w:rsid w:val="000E48E8"/>
    <w:rsid w:val="000E595C"/>
    <w:rsid w:val="000E5BD9"/>
    <w:rsid w:val="000E6587"/>
    <w:rsid w:val="000E6828"/>
    <w:rsid w:val="000E68A2"/>
    <w:rsid w:val="000E6AF7"/>
    <w:rsid w:val="000E6DF8"/>
    <w:rsid w:val="000E6E4E"/>
    <w:rsid w:val="000E73AD"/>
    <w:rsid w:val="000E766E"/>
    <w:rsid w:val="000E79E2"/>
    <w:rsid w:val="000E7DE2"/>
    <w:rsid w:val="000E7E35"/>
    <w:rsid w:val="000F055E"/>
    <w:rsid w:val="000F0AAC"/>
    <w:rsid w:val="000F1046"/>
    <w:rsid w:val="000F12AB"/>
    <w:rsid w:val="000F15AB"/>
    <w:rsid w:val="000F16CA"/>
    <w:rsid w:val="000F240E"/>
    <w:rsid w:val="000F26BA"/>
    <w:rsid w:val="000F3081"/>
    <w:rsid w:val="000F3090"/>
    <w:rsid w:val="000F39A7"/>
    <w:rsid w:val="000F43CD"/>
    <w:rsid w:val="000F47D0"/>
    <w:rsid w:val="000F47D4"/>
    <w:rsid w:val="000F4AB0"/>
    <w:rsid w:val="000F4CDB"/>
    <w:rsid w:val="000F55D9"/>
    <w:rsid w:val="000F5A37"/>
    <w:rsid w:val="000F6737"/>
    <w:rsid w:val="000F67D4"/>
    <w:rsid w:val="000F6B05"/>
    <w:rsid w:val="000F6FA0"/>
    <w:rsid w:val="000F7041"/>
    <w:rsid w:val="000F759F"/>
    <w:rsid w:val="000F7A78"/>
    <w:rsid w:val="000F7F59"/>
    <w:rsid w:val="00100249"/>
    <w:rsid w:val="00100ADD"/>
    <w:rsid w:val="00100E25"/>
    <w:rsid w:val="0010117D"/>
    <w:rsid w:val="001014B3"/>
    <w:rsid w:val="00101756"/>
    <w:rsid w:val="00101798"/>
    <w:rsid w:val="00101BB7"/>
    <w:rsid w:val="00101DB9"/>
    <w:rsid w:val="001020B2"/>
    <w:rsid w:val="001026D7"/>
    <w:rsid w:val="00102B50"/>
    <w:rsid w:val="00102EB7"/>
    <w:rsid w:val="00102F84"/>
    <w:rsid w:val="0010306D"/>
    <w:rsid w:val="00103175"/>
    <w:rsid w:val="00103495"/>
    <w:rsid w:val="001038EF"/>
    <w:rsid w:val="00103DC0"/>
    <w:rsid w:val="00103E03"/>
    <w:rsid w:val="0010408A"/>
    <w:rsid w:val="0010493D"/>
    <w:rsid w:val="00104B6A"/>
    <w:rsid w:val="00104BB2"/>
    <w:rsid w:val="00104C29"/>
    <w:rsid w:val="00104F63"/>
    <w:rsid w:val="001051F9"/>
    <w:rsid w:val="00105451"/>
    <w:rsid w:val="001055C5"/>
    <w:rsid w:val="001055FE"/>
    <w:rsid w:val="0010592B"/>
    <w:rsid w:val="00105CA2"/>
    <w:rsid w:val="00105E7B"/>
    <w:rsid w:val="0010621E"/>
    <w:rsid w:val="0010632A"/>
    <w:rsid w:val="001063A1"/>
    <w:rsid w:val="00106536"/>
    <w:rsid w:val="001065E5"/>
    <w:rsid w:val="001070BC"/>
    <w:rsid w:val="001071DD"/>
    <w:rsid w:val="00107213"/>
    <w:rsid w:val="00107427"/>
    <w:rsid w:val="00107FDA"/>
    <w:rsid w:val="00107FE8"/>
    <w:rsid w:val="0011000B"/>
    <w:rsid w:val="00110D51"/>
    <w:rsid w:val="00111AE5"/>
    <w:rsid w:val="00111D43"/>
    <w:rsid w:val="00112135"/>
    <w:rsid w:val="00112342"/>
    <w:rsid w:val="00112812"/>
    <w:rsid w:val="00112B12"/>
    <w:rsid w:val="00112BC1"/>
    <w:rsid w:val="00113962"/>
    <w:rsid w:val="00113CB0"/>
    <w:rsid w:val="00113E35"/>
    <w:rsid w:val="001145F5"/>
    <w:rsid w:val="001146CF"/>
    <w:rsid w:val="00114C2A"/>
    <w:rsid w:val="00114DA6"/>
    <w:rsid w:val="001153ED"/>
    <w:rsid w:val="001153FB"/>
    <w:rsid w:val="001159FE"/>
    <w:rsid w:val="00115A9E"/>
    <w:rsid w:val="00115ED0"/>
    <w:rsid w:val="00116DA5"/>
    <w:rsid w:val="001170CF"/>
    <w:rsid w:val="0011782E"/>
    <w:rsid w:val="00120117"/>
    <w:rsid w:val="00121205"/>
    <w:rsid w:val="00121322"/>
    <w:rsid w:val="00121335"/>
    <w:rsid w:val="00121855"/>
    <w:rsid w:val="00122521"/>
    <w:rsid w:val="00122CE4"/>
    <w:rsid w:val="00122FA0"/>
    <w:rsid w:val="00123097"/>
    <w:rsid w:val="001231CF"/>
    <w:rsid w:val="001233FC"/>
    <w:rsid w:val="001236E2"/>
    <w:rsid w:val="0012377F"/>
    <w:rsid w:val="001239BA"/>
    <w:rsid w:val="00123A9D"/>
    <w:rsid w:val="00123AC1"/>
    <w:rsid w:val="00123B16"/>
    <w:rsid w:val="00124172"/>
    <w:rsid w:val="00124302"/>
    <w:rsid w:val="001245B7"/>
    <w:rsid w:val="00124615"/>
    <w:rsid w:val="00124B0C"/>
    <w:rsid w:val="00124BB8"/>
    <w:rsid w:val="00125478"/>
    <w:rsid w:val="001254AA"/>
    <w:rsid w:val="001254D5"/>
    <w:rsid w:val="0012566B"/>
    <w:rsid w:val="001256F9"/>
    <w:rsid w:val="0012575A"/>
    <w:rsid w:val="00125A94"/>
    <w:rsid w:val="00125C0C"/>
    <w:rsid w:val="00126069"/>
    <w:rsid w:val="00126369"/>
    <w:rsid w:val="00126878"/>
    <w:rsid w:val="00126D90"/>
    <w:rsid w:val="001273EC"/>
    <w:rsid w:val="00127463"/>
    <w:rsid w:val="001278A3"/>
    <w:rsid w:val="00127AA2"/>
    <w:rsid w:val="00127CE7"/>
    <w:rsid w:val="00127E8A"/>
    <w:rsid w:val="0013044F"/>
    <w:rsid w:val="001304DE"/>
    <w:rsid w:val="00130BFE"/>
    <w:rsid w:val="00130C09"/>
    <w:rsid w:val="00130C9F"/>
    <w:rsid w:val="00130E68"/>
    <w:rsid w:val="00131324"/>
    <w:rsid w:val="00131352"/>
    <w:rsid w:val="0013145E"/>
    <w:rsid w:val="001314FD"/>
    <w:rsid w:val="00131572"/>
    <w:rsid w:val="00131896"/>
    <w:rsid w:val="00131AAA"/>
    <w:rsid w:val="00131E33"/>
    <w:rsid w:val="001322E2"/>
    <w:rsid w:val="001323FC"/>
    <w:rsid w:val="0013273C"/>
    <w:rsid w:val="00132FFF"/>
    <w:rsid w:val="001332CC"/>
    <w:rsid w:val="00133474"/>
    <w:rsid w:val="00133D87"/>
    <w:rsid w:val="00133F95"/>
    <w:rsid w:val="00134074"/>
    <w:rsid w:val="00134158"/>
    <w:rsid w:val="00134547"/>
    <w:rsid w:val="001347F7"/>
    <w:rsid w:val="00134A06"/>
    <w:rsid w:val="0013503E"/>
    <w:rsid w:val="001352B4"/>
    <w:rsid w:val="0013573F"/>
    <w:rsid w:val="00135D98"/>
    <w:rsid w:val="001363C7"/>
    <w:rsid w:val="001366BA"/>
    <w:rsid w:val="001368F8"/>
    <w:rsid w:val="00136CF3"/>
    <w:rsid w:val="00136D07"/>
    <w:rsid w:val="00136ED6"/>
    <w:rsid w:val="0013755A"/>
    <w:rsid w:val="00137965"/>
    <w:rsid w:val="00140024"/>
    <w:rsid w:val="0014023B"/>
    <w:rsid w:val="001403DD"/>
    <w:rsid w:val="00140768"/>
    <w:rsid w:val="001407B5"/>
    <w:rsid w:val="00140AE4"/>
    <w:rsid w:val="001410AC"/>
    <w:rsid w:val="001413E9"/>
    <w:rsid w:val="00141516"/>
    <w:rsid w:val="00141855"/>
    <w:rsid w:val="00141D7D"/>
    <w:rsid w:val="0014262D"/>
    <w:rsid w:val="001429C2"/>
    <w:rsid w:val="00142BCE"/>
    <w:rsid w:val="00142CD8"/>
    <w:rsid w:val="00142D89"/>
    <w:rsid w:val="001431BC"/>
    <w:rsid w:val="001434B1"/>
    <w:rsid w:val="00143A64"/>
    <w:rsid w:val="00143E23"/>
    <w:rsid w:val="00143E87"/>
    <w:rsid w:val="001442F2"/>
    <w:rsid w:val="00145876"/>
    <w:rsid w:val="001459FF"/>
    <w:rsid w:val="00145A30"/>
    <w:rsid w:val="00145AF1"/>
    <w:rsid w:val="00145B6A"/>
    <w:rsid w:val="00145D28"/>
    <w:rsid w:val="00145D71"/>
    <w:rsid w:val="00146202"/>
    <w:rsid w:val="00146266"/>
    <w:rsid w:val="0014635E"/>
    <w:rsid w:val="001464A8"/>
    <w:rsid w:val="00146526"/>
    <w:rsid w:val="00146788"/>
    <w:rsid w:val="001469EB"/>
    <w:rsid w:val="001469F4"/>
    <w:rsid w:val="00146B33"/>
    <w:rsid w:val="00146BF6"/>
    <w:rsid w:val="00147074"/>
    <w:rsid w:val="0014726E"/>
    <w:rsid w:val="0014733C"/>
    <w:rsid w:val="001477B7"/>
    <w:rsid w:val="00147A19"/>
    <w:rsid w:val="00147D58"/>
    <w:rsid w:val="00147E1C"/>
    <w:rsid w:val="0015022B"/>
    <w:rsid w:val="0015038D"/>
    <w:rsid w:val="001506EB"/>
    <w:rsid w:val="001507AF"/>
    <w:rsid w:val="00150A9F"/>
    <w:rsid w:val="00150CA0"/>
    <w:rsid w:val="00150E1A"/>
    <w:rsid w:val="00151353"/>
    <w:rsid w:val="00151854"/>
    <w:rsid w:val="001522A5"/>
    <w:rsid w:val="00152810"/>
    <w:rsid w:val="00152B3F"/>
    <w:rsid w:val="00152D55"/>
    <w:rsid w:val="00152DC0"/>
    <w:rsid w:val="00153279"/>
    <w:rsid w:val="00153468"/>
    <w:rsid w:val="001534BF"/>
    <w:rsid w:val="00153BF7"/>
    <w:rsid w:val="00153FEF"/>
    <w:rsid w:val="00154750"/>
    <w:rsid w:val="001547A5"/>
    <w:rsid w:val="00154C97"/>
    <w:rsid w:val="00154DF5"/>
    <w:rsid w:val="0015526F"/>
    <w:rsid w:val="00155872"/>
    <w:rsid w:val="001558A4"/>
    <w:rsid w:val="001559BF"/>
    <w:rsid w:val="00155E6A"/>
    <w:rsid w:val="00156208"/>
    <w:rsid w:val="00156234"/>
    <w:rsid w:val="0015648B"/>
    <w:rsid w:val="00156654"/>
    <w:rsid w:val="00156AF3"/>
    <w:rsid w:val="00157390"/>
    <w:rsid w:val="00157F35"/>
    <w:rsid w:val="00160061"/>
    <w:rsid w:val="001605AC"/>
    <w:rsid w:val="001607DD"/>
    <w:rsid w:val="00160830"/>
    <w:rsid w:val="00160952"/>
    <w:rsid w:val="00160A58"/>
    <w:rsid w:val="00160CDA"/>
    <w:rsid w:val="00161853"/>
    <w:rsid w:val="00161B01"/>
    <w:rsid w:val="001624F0"/>
    <w:rsid w:val="001626E2"/>
    <w:rsid w:val="00162FAB"/>
    <w:rsid w:val="001634A1"/>
    <w:rsid w:val="00163D40"/>
    <w:rsid w:val="00163E61"/>
    <w:rsid w:val="00164133"/>
    <w:rsid w:val="00164427"/>
    <w:rsid w:val="001644B1"/>
    <w:rsid w:val="001646AB"/>
    <w:rsid w:val="00164924"/>
    <w:rsid w:val="00164D43"/>
    <w:rsid w:val="00164F86"/>
    <w:rsid w:val="00164FB2"/>
    <w:rsid w:val="00165078"/>
    <w:rsid w:val="0016565B"/>
    <w:rsid w:val="0016567C"/>
    <w:rsid w:val="00165E15"/>
    <w:rsid w:val="00165FAC"/>
    <w:rsid w:val="00165FC4"/>
    <w:rsid w:val="0016674A"/>
    <w:rsid w:val="00166AE4"/>
    <w:rsid w:val="00167840"/>
    <w:rsid w:val="00167D34"/>
    <w:rsid w:val="001705D9"/>
    <w:rsid w:val="001706D8"/>
    <w:rsid w:val="00170798"/>
    <w:rsid w:val="00170B7E"/>
    <w:rsid w:val="00170CCB"/>
    <w:rsid w:val="00170F04"/>
    <w:rsid w:val="0017101F"/>
    <w:rsid w:val="001710EB"/>
    <w:rsid w:val="001712FD"/>
    <w:rsid w:val="0017142B"/>
    <w:rsid w:val="00171980"/>
    <w:rsid w:val="00171E3C"/>
    <w:rsid w:val="00171FE4"/>
    <w:rsid w:val="001720FF"/>
    <w:rsid w:val="00172136"/>
    <w:rsid w:val="00172270"/>
    <w:rsid w:val="00172577"/>
    <w:rsid w:val="0017269B"/>
    <w:rsid w:val="001727D6"/>
    <w:rsid w:val="00172900"/>
    <w:rsid w:val="0017318C"/>
    <w:rsid w:val="0017334D"/>
    <w:rsid w:val="0017387F"/>
    <w:rsid w:val="00173953"/>
    <w:rsid w:val="00173B34"/>
    <w:rsid w:val="0017410A"/>
    <w:rsid w:val="001742CF"/>
    <w:rsid w:val="001745BE"/>
    <w:rsid w:val="001745EA"/>
    <w:rsid w:val="0017460B"/>
    <w:rsid w:val="00174EE1"/>
    <w:rsid w:val="001753EE"/>
    <w:rsid w:val="00175444"/>
    <w:rsid w:val="0017556A"/>
    <w:rsid w:val="00175694"/>
    <w:rsid w:val="00175729"/>
    <w:rsid w:val="0017572B"/>
    <w:rsid w:val="00175749"/>
    <w:rsid w:val="00175772"/>
    <w:rsid w:val="001757C9"/>
    <w:rsid w:val="00175C7F"/>
    <w:rsid w:val="00175F2D"/>
    <w:rsid w:val="00175F49"/>
    <w:rsid w:val="00176379"/>
    <w:rsid w:val="0017648C"/>
    <w:rsid w:val="001764C1"/>
    <w:rsid w:val="00176511"/>
    <w:rsid w:val="0017691C"/>
    <w:rsid w:val="00176E3F"/>
    <w:rsid w:val="00177847"/>
    <w:rsid w:val="001778ED"/>
    <w:rsid w:val="0017790A"/>
    <w:rsid w:val="001800B2"/>
    <w:rsid w:val="00180231"/>
    <w:rsid w:val="0018030D"/>
    <w:rsid w:val="001804D5"/>
    <w:rsid w:val="001805A3"/>
    <w:rsid w:val="0018065D"/>
    <w:rsid w:val="001808CD"/>
    <w:rsid w:val="00180935"/>
    <w:rsid w:val="00180E14"/>
    <w:rsid w:val="00181073"/>
    <w:rsid w:val="00181197"/>
    <w:rsid w:val="001812B6"/>
    <w:rsid w:val="00181447"/>
    <w:rsid w:val="001819A7"/>
    <w:rsid w:val="00181CFB"/>
    <w:rsid w:val="0018238C"/>
    <w:rsid w:val="00182791"/>
    <w:rsid w:val="00182927"/>
    <w:rsid w:val="0018361B"/>
    <w:rsid w:val="0018378D"/>
    <w:rsid w:val="00183A53"/>
    <w:rsid w:val="00183DC1"/>
    <w:rsid w:val="00183E72"/>
    <w:rsid w:val="00184228"/>
    <w:rsid w:val="00184870"/>
    <w:rsid w:val="001848E8"/>
    <w:rsid w:val="00184B67"/>
    <w:rsid w:val="00184FC0"/>
    <w:rsid w:val="00185789"/>
    <w:rsid w:val="00185820"/>
    <w:rsid w:val="00185975"/>
    <w:rsid w:val="00185A9E"/>
    <w:rsid w:val="00185B23"/>
    <w:rsid w:val="00185CC6"/>
    <w:rsid w:val="001861BA"/>
    <w:rsid w:val="001861E3"/>
    <w:rsid w:val="00186365"/>
    <w:rsid w:val="001863B2"/>
    <w:rsid w:val="00186574"/>
    <w:rsid w:val="00186809"/>
    <w:rsid w:val="00187117"/>
    <w:rsid w:val="0018726B"/>
    <w:rsid w:val="001873AC"/>
    <w:rsid w:val="00187628"/>
    <w:rsid w:val="00187724"/>
    <w:rsid w:val="00187794"/>
    <w:rsid w:val="0018779C"/>
    <w:rsid w:val="00187893"/>
    <w:rsid w:val="00187FB8"/>
    <w:rsid w:val="00190BF5"/>
    <w:rsid w:val="00190DEA"/>
    <w:rsid w:val="00191299"/>
    <w:rsid w:val="00191570"/>
    <w:rsid w:val="00191978"/>
    <w:rsid w:val="00191DDA"/>
    <w:rsid w:val="00192419"/>
    <w:rsid w:val="0019281F"/>
    <w:rsid w:val="00192DCB"/>
    <w:rsid w:val="00192E11"/>
    <w:rsid w:val="001933F0"/>
    <w:rsid w:val="00193894"/>
    <w:rsid w:val="00194541"/>
    <w:rsid w:val="00194546"/>
    <w:rsid w:val="00194A68"/>
    <w:rsid w:val="00195262"/>
    <w:rsid w:val="001952E3"/>
    <w:rsid w:val="00195DE9"/>
    <w:rsid w:val="001963F3"/>
    <w:rsid w:val="001965D6"/>
    <w:rsid w:val="001966F9"/>
    <w:rsid w:val="00196837"/>
    <w:rsid w:val="00196844"/>
    <w:rsid w:val="00196E18"/>
    <w:rsid w:val="001973D3"/>
    <w:rsid w:val="00197B9C"/>
    <w:rsid w:val="00197EEF"/>
    <w:rsid w:val="001A03F4"/>
    <w:rsid w:val="001A0ABB"/>
    <w:rsid w:val="001A108C"/>
    <w:rsid w:val="001A14BF"/>
    <w:rsid w:val="001A1704"/>
    <w:rsid w:val="001A1DCF"/>
    <w:rsid w:val="001A200C"/>
    <w:rsid w:val="001A20F0"/>
    <w:rsid w:val="001A21B0"/>
    <w:rsid w:val="001A2232"/>
    <w:rsid w:val="001A2360"/>
    <w:rsid w:val="001A2434"/>
    <w:rsid w:val="001A253A"/>
    <w:rsid w:val="001A2F38"/>
    <w:rsid w:val="001A316D"/>
    <w:rsid w:val="001A32CD"/>
    <w:rsid w:val="001A3638"/>
    <w:rsid w:val="001A38C9"/>
    <w:rsid w:val="001A3D1B"/>
    <w:rsid w:val="001A4926"/>
    <w:rsid w:val="001A4A69"/>
    <w:rsid w:val="001A4C3F"/>
    <w:rsid w:val="001A4D87"/>
    <w:rsid w:val="001A5376"/>
    <w:rsid w:val="001A5523"/>
    <w:rsid w:val="001A556E"/>
    <w:rsid w:val="001A58E6"/>
    <w:rsid w:val="001A5A85"/>
    <w:rsid w:val="001A5B4F"/>
    <w:rsid w:val="001A5EC7"/>
    <w:rsid w:val="001A61F9"/>
    <w:rsid w:val="001A653B"/>
    <w:rsid w:val="001A6DB9"/>
    <w:rsid w:val="001A6FC1"/>
    <w:rsid w:val="001A7AB9"/>
    <w:rsid w:val="001A7DFE"/>
    <w:rsid w:val="001A7E84"/>
    <w:rsid w:val="001B0011"/>
    <w:rsid w:val="001B0130"/>
    <w:rsid w:val="001B03B3"/>
    <w:rsid w:val="001B075D"/>
    <w:rsid w:val="001B0785"/>
    <w:rsid w:val="001B09AC"/>
    <w:rsid w:val="001B0B5D"/>
    <w:rsid w:val="001B0C8B"/>
    <w:rsid w:val="001B0D36"/>
    <w:rsid w:val="001B10D3"/>
    <w:rsid w:val="001B11DF"/>
    <w:rsid w:val="001B14CF"/>
    <w:rsid w:val="001B1580"/>
    <w:rsid w:val="001B171B"/>
    <w:rsid w:val="001B1779"/>
    <w:rsid w:val="001B18FE"/>
    <w:rsid w:val="001B1AC3"/>
    <w:rsid w:val="001B22E9"/>
    <w:rsid w:val="001B2F1A"/>
    <w:rsid w:val="001B339E"/>
    <w:rsid w:val="001B40FE"/>
    <w:rsid w:val="001B4BAD"/>
    <w:rsid w:val="001B4EB1"/>
    <w:rsid w:val="001B51B5"/>
    <w:rsid w:val="001B532B"/>
    <w:rsid w:val="001B5C43"/>
    <w:rsid w:val="001B60FA"/>
    <w:rsid w:val="001B61B9"/>
    <w:rsid w:val="001B629A"/>
    <w:rsid w:val="001B664B"/>
    <w:rsid w:val="001B6679"/>
    <w:rsid w:val="001B68C6"/>
    <w:rsid w:val="001B6BA9"/>
    <w:rsid w:val="001B6CCD"/>
    <w:rsid w:val="001B6CD3"/>
    <w:rsid w:val="001B71B1"/>
    <w:rsid w:val="001B72AF"/>
    <w:rsid w:val="001B7859"/>
    <w:rsid w:val="001B7961"/>
    <w:rsid w:val="001B7DB0"/>
    <w:rsid w:val="001B7DD3"/>
    <w:rsid w:val="001B7FA7"/>
    <w:rsid w:val="001C0593"/>
    <w:rsid w:val="001C0614"/>
    <w:rsid w:val="001C0734"/>
    <w:rsid w:val="001C08D8"/>
    <w:rsid w:val="001C0BCF"/>
    <w:rsid w:val="001C0D8A"/>
    <w:rsid w:val="001C13F2"/>
    <w:rsid w:val="001C14C2"/>
    <w:rsid w:val="001C17FF"/>
    <w:rsid w:val="001C1C6C"/>
    <w:rsid w:val="001C1CD9"/>
    <w:rsid w:val="001C1D23"/>
    <w:rsid w:val="001C1E0D"/>
    <w:rsid w:val="001C241C"/>
    <w:rsid w:val="001C273F"/>
    <w:rsid w:val="001C2955"/>
    <w:rsid w:val="001C2CCE"/>
    <w:rsid w:val="001C342B"/>
    <w:rsid w:val="001C36CF"/>
    <w:rsid w:val="001C37AB"/>
    <w:rsid w:val="001C39A5"/>
    <w:rsid w:val="001C3ABA"/>
    <w:rsid w:val="001C3BB2"/>
    <w:rsid w:val="001C3E83"/>
    <w:rsid w:val="001C4589"/>
    <w:rsid w:val="001C46B6"/>
    <w:rsid w:val="001C495A"/>
    <w:rsid w:val="001C4BB6"/>
    <w:rsid w:val="001C6247"/>
    <w:rsid w:val="001C6344"/>
    <w:rsid w:val="001C6B2E"/>
    <w:rsid w:val="001C6F71"/>
    <w:rsid w:val="001C6F88"/>
    <w:rsid w:val="001C706E"/>
    <w:rsid w:val="001C7201"/>
    <w:rsid w:val="001C7463"/>
    <w:rsid w:val="001C7C8A"/>
    <w:rsid w:val="001C7F47"/>
    <w:rsid w:val="001D0E1D"/>
    <w:rsid w:val="001D1B8D"/>
    <w:rsid w:val="001D1BCA"/>
    <w:rsid w:val="001D1EA7"/>
    <w:rsid w:val="001D201B"/>
    <w:rsid w:val="001D2328"/>
    <w:rsid w:val="001D23F7"/>
    <w:rsid w:val="001D2B96"/>
    <w:rsid w:val="001D30B7"/>
    <w:rsid w:val="001D38D0"/>
    <w:rsid w:val="001D3BFC"/>
    <w:rsid w:val="001D420F"/>
    <w:rsid w:val="001D42FF"/>
    <w:rsid w:val="001D461A"/>
    <w:rsid w:val="001D47A9"/>
    <w:rsid w:val="001D48BE"/>
    <w:rsid w:val="001D49B8"/>
    <w:rsid w:val="001D4D1F"/>
    <w:rsid w:val="001D4ED4"/>
    <w:rsid w:val="001D512F"/>
    <w:rsid w:val="001D5298"/>
    <w:rsid w:val="001D54BD"/>
    <w:rsid w:val="001D5A0E"/>
    <w:rsid w:val="001D5C00"/>
    <w:rsid w:val="001D5C24"/>
    <w:rsid w:val="001D609A"/>
    <w:rsid w:val="001D60C8"/>
    <w:rsid w:val="001D6447"/>
    <w:rsid w:val="001D6711"/>
    <w:rsid w:val="001D6823"/>
    <w:rsid w:val="001D6846"/>
    <w:rsid w:val="001D6BCD"/>
    <w:rsid w:val="001D6C3F"/>
    <w:rsid w:val="001D6C59"/>
    <w:rsid w:val="001D7271"/>
    <w:rsid w:val="001D7AEC"/>
    <w:rsid w:val="001E074B"/>
    <w:rsid w:val="001E0C2A"/>
    <w:rsid w:val="001E0E58"/>
    <w:rsid w:val="001E123F"/>
    <w:rsid w:val="001E13B6"/>
    <w:rsid w:val="001E1735"/>
    <w:rsid w:val="001E1D22"/>
    <w:rsid w:val="001E1D4A"/>
    <w:rsid w:val="001E1DDC"/>
    <w:rsid w:val="001E26C8"/>
    <w:rsid w:val="001E28CF"/>
    <w:rsid w:val="001E3033"/>
    <w:rsid w:val="001E323B"/>
    <w:rsid w:val="001E3715"/>
    <w:rsid w:val="001E3DEB"/>
    <w:rsid w:val="001E3E43"/>
    <w:rsid w:val="001E40EF"/>
    <w:rsid w:val="001E42A6"/>
    <w:rsid w:val="001E4477"/>
    <w:rsid w:val="001E4630"/>
    <w:rsid w:val="001E4849"/>
    <w:rsid w:val="001E48BE"/>
    <w:rsid w:val="001E4993"/>
    <w:rsid w:val="001E4ACB"/>
    <w:rsid w:val="001E4B4D"/>
    <w:rsid w:val="001E4C45"/>
    <w:rsid w:val="001E4C66"/>
    <w:rsid w:val="001E507E"/>
    <w:rsid w:val="001E5549"/>
    <w:rsid w:val="001E5ACC"/>
    <w:rsid w:val="001E5FA7"/>
    <w:rsid w:val="001E635E"/>
    <w:rsid w:val="001E63F2"/>
    <w:rsid w:val="001E6618"/>
    <w:rsid w:val="001E6780"/>
    <w:rsid w:val="001E6873"/>
    <w:rsid w:val="001E7233"/>
    <w:rsid w:val="001E757A"/>
    <w:rsid w:val="001F0159"/>
    <w:rsid w:val="001F0285"/>
    <w:rsid w:val="001F078B"/>
    <w:rsid w:val="001F0984"/>
    <w:rsid w:val="001F0B63"/>
    <w:rsid w:val="001F0B66"/>
    <w:rsid w:val="001F0FF6"/>
    <w:rsid w:val="001F10CA"/>
    <w:rsid w:val="001F19E2"/>
    <w:rsid w:val="001F1F01"/>
    <w:rsid w:val="001F2478"/>
    <w:rsid w:val="001F24DC"/>
    <w:rsid w:val="001F2C82"/>
    <w:rsid w:val="001F2F7A"/>
    <w:rsid w:val="001F348B"/>
    <w:rsid w:val="001F41A7"/>
    <w:rsid w:val="001F433F"/>
    <w:rsid w:val="001F4727"/>
    <w:rsid w:val="001F4A05"/>
    <w:rsid w:val="001F4B2E"/>
    <w:rsid w:val="001F4BCF"/>
    <w:rsid w:val="001F4ED8"/>
    <w:rsid w:val="001F5199"/>
    <w:rsid w:val="001F5249"/>
    <w:rsid w:val="001F55CA"/>
    <w:rsid w:val="001F5E89"/>
    <w:rsid w:val="001F5EB3"/>
    <w:rsid w:val="001F5F65"/>
    <w:rsid w:val="001F648F"/>
    <w:rsid w:val="001F69BA"/>
    <w:rsid w:val="001F6D2F"/>
    <w:rsid w:val="001F6E7A"/>
    <w:rsid w:val="001F6F4E"/>
    <w:rsid w:val="001F7364"/>
    <w:rsid w:val="001F7FFE"/>
    <w:rsid w:val="0020010E"/>
    <w:rsid w:val="00200F67"/>
    <w:rsid w:val="00200FCE"/>
    <w:rsid w:val="002010C4"/>
    <w:rsid w:val="002015E1"/>
    <w:rsid w:val="00201605"/>
    <w:rsid w:val="00201627"/>
    <w:rsid w:val="0020185D"/>
    <w:rsid w:val="0020252F"/>
    <w:rsid w:val="0020261D"/>
    <w:rsid w:val="00202751"/>
    <w:rsid w:val="00202E69"/>
    <w:rsid w:val="00202E74"/>
    <w:rsid w:val="002031CA"/>
    <w:rsid w:val="002032B0"/>
    <w:rsid w:val="0020369B"/>
    <w:rsid w:val="0020371F"/>
    <w:rsid w:val="00203858"/>
    <w:rsid w:val="00203E90"/>
    <w:rsid w:val="00203F5D"/>
    <w:rsid w:val="00204345"/>
    <w:rsid w:val="002044D4"/>
    <w:rsid w:val="002048F4"/>
    <w:rsid w:val="00205495"/>
    <w:rsid w:val="00205B18"/>
    <w:rsid w:val="00205D6B"/>
    <w:rsid w:val="0020653B"/>
    <w:rsid w:val="002067AB"/>
    <w:rsid w:val="00206ED3"/>
    <w:rsid w:val="00206EF5"/>
    <w:rsid w:val="00207289"/>
    <w:rsid w:val="00210088"/>
    <w:rsid w:val="00210136"/>
    <w:rsid w:val="002101C9"/>
    <w:rsid w:val="0021060E"/>
    <w:rsid w:val="00210704"/>
    <w:rsid w:val="00210964"/>
    <w:rsid w:val="00210BBD"/>
    <w:rsid w:val="002113EA"/>
    <w:rsid w:val="002116B2"/>
    <w:rsid w:val="002117D4"/>
    <w:rsid w:val="00211E2B"/>
    <w:rsid w:val="00211FD7"/>
    <w:rsid w:val="00212991"/>
    <w:rsid w:val="00212A16"/>
    <w:rsid w:val="00212BCA"/>
    <w:rsid w:val="002131EF"/>
    <w:rsid w:val="002138B1"/>
    <w:rsid w:val="00213C27"/>
    <w:rsid w:val="00213E23"/>
    <w:rsid w:val="002149A4"/>
    <w:rsid w:val="00214EF0"/>
    <w:rsid w:val="00215134"/>
    <w:rsid w:val="00215138"/>
    <w:rsid w:val="0021536F"/>
    <w:rsid w:val="002158AB"/>
    <w:rsid w:val="002158FC"/>
    <w:rsid w:val="00215C66"/>
    <w:rsid w:val="00216E2B"/>
    <w:rsid w:val="002173B2"/>
    <w:rsid w:val="00217727"/>
    <w:rsid w:val="00217B61"/>
    <w:rsid w:val="00217BF1"/>
    <w:rsid w:val="00217EAB"/>
    <w:rsid w:val="00217FEE"/>
    <w:rsid w:val="00217FFC"/>
    <w:rsid w:val="00220238"/>
    <w:rsid w:val="002205A8"/>
    <w:rsid w:val="00221285"/>
    <w:rsid w:val="0022156F"/>
    <w:rsid w:val="0022183B"/>
    <w:rsid w:val="0022189B"/>
    <w:rsid w:val="002218E4"/>
    <w:rsid w:val="00221CD6"/>
    <w:rsid w:val="00221DB0"/>
    <w:rsid w:val="002222FE"/>
    <w:rsid w:val="00222372"/>
    <w:rsid w:val="00222902"/>
    <w:rsid w:val="00222AA8"/>
    <w:rsid w:val="00223297"/>
    <w:rsid w:val="0022339D"/>
    <w:rsid w:val="002233CF"/>
    <w:rsid w:val="002239C8"/>
    <w:rsid w:val="00223C94"/>
    <w:rsid w:val="0022407B"/>
    <w:rsid w:val="0022413A"/>
    <w:rsid w:val="00224247"/>
    <w:rsid w:val="00224375"/>
    <w:rsid w:val="0022498C"/>
    <w:rsid w:val="0022499B"/>
    <w:rsid w:val="00224E14"/>
    <w:rsid w:val="002250C1"/>
    <w:rsid w:val="00225D80"/>
    <w:rsid w:val="00226759"/>
    <w:rsid w:val="0022696C"/>
    <w:rsid w:val="00226ACF"/>
    <w:rsid w:val="0022708E"/>
    <w:rsid w:val="002272EE"/>
    <w:rsid w:val="002272F4"/>
    <w:rsid w:val="00227B5C"/>
    <w:rsid w:val="00227DBE"/>
    <w:rsid w:val="00230276"/>
    <w:rsid w:val="00230335"/>
    <w:rsid w:val="00230554"/>
    <w:rsid w:val="00230655"/>
    <w:rsid w:val="002306B4"/>
    <w:rsid w:val="00230BB9"/>
    <w:rsid w:val="00230BCF"/>
    <w:rsid w:val="00230E2F"/>
    <w:rsid w:val="002314DD"/>
    <w:rsid w:val="00231923"/>
    <w:rsid w:val="00231ACF"/>
    <w:rsid w:val="0023225E"/>
    <w:rsid w:val="00232A98"/>
    <w:rsid w:val="00232AF8"/>
    <w:rsid w:val="00232EC4"/>
    <w:rsid w:val="002330FE"/>
    <w:rsid w:val="002337E0"/>
    <w:rsid w:val="002339C5"/>
    <w:rsid w:val="00233DC7"/>
    <w:rsid w:val="00234402"/>
    <w:rsid w:val="0023490A"/>
    <w:rsid w:val="00234926"/>
    <w:rsid w:val="00235A00"/>
    <w:rsid w:val="00236160"/>
    <w:rsid w:val="00236705"/>
    <w:rsid w:val="002369DA"/>
    <w:rsid w:val="002371E9"/>
    <w:rsid w:val="002372B5"/>
    <w:rsid w:val="00237BE9"/>
    <w:rsid w:val="00237CBB"/>
    <w:rsid w:val="00237D19"/>
    <w:rsid w:val="00237F17"/>
    <w:rsid w:val="00240020"/>
    <w:rsid w:val="00240291"/>
    <w:rsid w:val="002402A3"/>
    <w:rsid w:val="002407CA"/>
    <w:rsid w:val="002408E6"/>
    <w:rsid w:val="00240928"/>
    <w:rsid w:val="00240F2D"/>
    <w:rsid w:val="00241489"/>
    <w:rsid w:val="002418EE"/>
    <w:rsid w:val="00241A60"/>
    <w:rsid w:val="00241E27"/>
    <w:rsid w:val="002428DE"/>
    <w:rsid w:val="00242D86"/>
    <w:rsid w:val="00242ECB"/>
    <w:rsid w:val="00243524"/>
    <w:rsid w:val="0024366F"/>
    <w:rsid w:val="00243694"/>
    <w:rsid w:val="00244272"/>
    <w:rsid w:val="00244349"/>
    <w:rsid w:val="00244421"/>
    <w:rsid w:val="002445E7"/>
    <w:rsid w:val="002446A8"/>
    <w:rsid w:val="00244AF4"/>
    <w:rsid w:val="00244B99"/>
    <w:rsid w:val="00244CEB"/>
    <w:rsid w:val="00244E00"/>
    <w:rsid w:val="002457A4"/>
    <w:rsid w:val="002465AF"/>
    <w:rsid w:val="00246692"/>
    <w:rsid w:val="0024683F"/>
    <w:rsid w:val="00246867"/>
    <w:rsid w:val="00246AF8"/>
    <w:rsid w:val="00246F46"/>
    <w:rsid w:val="0024733E"/>
    <w:rsid w:val="00247525"/>
    <w:rsid w:val="00247D34"/>
    <w:rsid w:val="0025013F"/>
    <w:rsid w:val="0025038A"/>
    <w:rsid w:val="002503A5"/>
    <w:rsid w:val="00251431"/>
    <w:rsid w:val="00251446"/>
    <w:rsid w:val="0025146B"/>
    <w:rsid w:val="00251485"/>
    <w:rsid w:val="002516B9"/>
    <w:rsid w:val="00251A7E"/>
    <w:rsid w:val="00251E3F"/>
    <w:rsid w:val="00251FF8"/>
    <w:rsid w:val="002520D8"/>
    <w:rsid w:val="00252418"/>
    <w:rsid w:val="00252458"/>
    <w:rsid w:val="0025266E"/>
    <w:rsid w:val="00253141"/>
    <w:rsid w:val="0025358E"/>
    <w:rsid w:val="002535FC"/>
    <w:rsid w:val="002538C4"/>
    <w:rsid w:val="0025418A"/>
    <w:rsid w:val="00254495"/>
    <w:rsid w:val="002546C4"/>
    <w:rsid w:val="0025473E"/>
    <w:rsid w:val="002549DB"/>
    <w:rsid w:val="00254BD8"/>
    <w:rsid w:val="002551AC"/>
    <w:rsid w:val="002557DC"/>
    <w:rsid w:val="00255C28"/>
    <w:rsid w:val="00255EC1"/>
    <w:rsid w:val="00256072"/>
    <w:rsid w:val="00256235"/>
    <w:rsid w:val="0025644C"/>
    <w:rsid w:val="00256B93"/>
    <w:rsid w:val="00256D61"/>
    <w:rsid w:val="00256E74"/>
    <w:rsid w:val="0025704F"/>
    <w:rsid w:val="002570EF"/>
    <w:rsid w:val="0025721E"/>
    <w:rsid w:val="00257262"/>
    <w:rsid w:val="002572A6"/>
    <w:rsid w:val="002572EF"/>
    <w:rsid w:val="00257400"/>
    <w:rsid w:val="0025794D"/>
    <w:rsid w:val="002605BE"/>
    <w:rsid w:val="002609C4"/>
    <w:rsid w:val="00260A71"/>
    <w:rsid w:val="00260A87"/>
    <w:rsid w:val="00260E06"/>
    <w:rsid w:val="002612C7"/>
    <w:rsid w:val="002616E5"/>
    <w:rsid w:val="00261CA6"/>
    <w:rsid w:val="00262391"/>
    <w:rsid w:val="00262595"/>
    <w:rsid w:val="002625CF"/>
    <w:rsid w:val="00262786"/>
    <w:rsid w:val="00262797"/>
    <w:rsid w:val="002628BF"/>
    <w:rsid w:val="00262A34"/>
    <w:rsid w:val="00262ADB"/>
    <w:rsid w:val="00262C58"/>
    <w:rsid w:val="00263670"/>
    <w:rsid w:val="0026368C"/>
    <w:rsid w:val="0026466D"/>
    <w:rsid w:val="002646EB"/>
    <w:rsid w:val="0026481A"/>
    <w:rsid w:val="00264F50"/>
    <w:rsid w:val="00265009"/>
    <w:rsid w:val="0026515F"/>
    <w:rsid w:val="00265AB5"/>
    <w:rsid w:val="0026601C"/>
    <w:rsid w:val="002664CB"/>
    <w:rsid w:val="002666B3"/>
    <w:rsid w:val="002666C1"/>
    <w:rsid w:val="00266F3F"/>
    <w:rsid w:val="00266F66"/>
    <w:rsid w:val="002671F7"/>
    <w:rsid w:val="002675D7"/>
    <w:rsid w:val="00267DA1"/>
    <w:rsid w:val="00267E51"/>
    <w:rsid w:val="00270211"/>
    <w:rsid w:val="00270721"/>
    <w:rsid w:val="002707A9"/>
    <w:rsid w:val="00270C71"/>
    <w:rsid w:val="00270D63"/>
    <w:rsid w:val="00271AD0"/>
    <w:rsid w:val="00271B32"/>
    <w:rsid w:val="00272086"/>
    <w:rsid w:val="002724D0"/>
    <w:rsid w:val="002725C4"/>
    <w:rsid w:val="00273062"/>
    <w:rsid w:val="002735CA"/>
    <w:rsid w:val="00273722"/>
    <w:rsid w:val="002738B5"/>
    <w:rsid w:val="00273C19"/>
    <w:rsid w:val="00273DBA"/>
    <w:rsid w:val="002740E5"/>
    <w:rsid w:val="00274353"/>
    <w:rsid w:val="00274503"/>
    <w:rsid w:val="0027480C"/>
    <w:rsid w:val="00274B21"/>
    <w:rsid w:val="00274C04"/>
    <w:rsid w:val="00274C75"/>
    <w:rsid w:val="002756FB"/>
    <w:rsid w:val="00275ADE"/>
    <w:rsid w:val="002760C8"/>
    <w:rsid w:val="00276314"/>
    <w:rsid w:val="002768A9"/>
    <w:rsid w:val="002768DA"/>
    <w:rsid w:val="0027699C"/>
    <w:rsid w:val="00277C0B"/>
    <w:rsid w:val="00277DFC"/>
    <w:rsid w:val="002801A9"/>
    <w:rsid w:val="00280494"/>
    <w:rsid w:val="002807D1"/>
    <w:rsid w:val="00280D48"/>
    <w:rsid w:val="00280DFE"/>
    <w:rsid w:val="00280E57"/>
    <w:rsid w:val="002810DC"/>
    <w:rsid w:val="002813B4"/>
    <w:rsid w:val="002819E1"/>
    <w:rsid w:val="00281C1A"/>
    <w:rsid w:val="00281EC9"/>
    <w:rsid w:val="00282861"/>
    <w:rsid w:val="00282BED"/>
    <w:rsid w:val="00282E8B"/>
    <w:rsid w:val="00283A95"/>
    <w:rsid w:val="00283F2E"/>
    <w:rsid w:val="0028426D"/>
    <w:rsid w:val="002847A6"/>
    <w:rsid w:val="00284F40"/>
    <w:rsid w:val="00285151"/>
    <w:rsid w:val="002854BE"/>
    <w:rsid w:val="002854D6"/>
    <w:rsid w:val="002865BC"/>
    <w:rsid w:val="0028688C"/>
    <w:rsid w:val="00286981"/>
    <w:rsid w:val="00286D75"/>
    <w:rsid w:val="002871AC"/>
    <w:rsid w:val="0028733E"/>
    <w:rsid w:val="002877E8"/>
    <w:rsid w:val="00287A5F"/>
    <w:rsid w:val="00287A94"/>
    <w:rsid w:val="00287C0D"/>
    <w:rsid w:val="00287C1E"/>
    <w:rsid w:val="00287CDE"/>
    <w:rsid w:val="002905BF"/>
    <w:rsid w:val="00290B4E"/>
    <w:rsid w:val="00290C26"/>
    <w:rsid w:val="00290D34"/>
    <w:rsid w:val="00290E38"/>
    <w:rsid w:val="00291197"/>
    <w:rsid w:val="002912BB"/>
    <w:rsid w:val="002912DB"/>
    <w:rsid w:val="00291650"/>
    <w:rsid w:val="002918DA"/>
    <w:rsid w:val="00291D7D"/>
    <w:rsid w:val="00292181"/>
    <w:rsid w:val="00292677"/>
    <w:rsid w:val="002930F4"/>
    <w:rsid w:val="0029332C"/>
    <w:rsid w:val="00293898"/>
    <w:rsid w:val="00293F60"/>
    <w:rsid w:val="002942A3"/>
    <w:rsid w:val="0029463B"/>
    <w:rsid w:val="0029485F"/>
    <w:rsid w:val="0029563A"/>
    <w:rsid w:val="002956CB"/>
    <w:rsid w:val="00295840"/>
    <w:rsid w:val="00295D72"/>
    <w:rsid w:val="00295DCB"/>
    <w:rsid w:val="00295FCA"/>
    <w:rsid w:val="00296048"/>
    <w:rsid w:val="002961C6"/>
    <w:rsid w:val="0029658D"/>
    <w:rsid w:val="00296839"/>
    <w:rsid w:val="00296E82"/>
    <w:rsid w:val="00296EE5"/>
    <w:rsid w:val="00297456"/>
    <w:rsid w:val="002976B1"/>
    <w:rsid w:val="00297B43"/>
    <w:rsid w:val="002A05C2"/>
    <w:rsid w:val="002A0A07"/>
    <w:rsid w:val="002A0CBE"/>
    <w:rsid w:val="002A0DC7"/>
    <w:rsid w:val="002A0ECF"/>
    <w:rsid w:val="002A1556"/>
    <w:rsid w:val="002A1A6D"/>
    <w:rsid w:val="002A1AFE"/>
    <w:rsid w:val="002A1B09"/>
    <w:rsid w:val="002A1E80"/>
    <w:rsid w:val="002A20EA"/>
    <w:rsid w:val="002A2450"/>
    <w:rsid w:val="002A2848"/>
    <w:rsid w:val="002A289E"/>
    <w:rsid w:val="002A28CF"/>
    <w:rsid w:val="002A3123"/>
    <w:rsid w:val="002A3140"/>
    <w:rsid w:val="002A35D2"/>
    <w:rsid w:val="002A3926"/>
    <w:rsid w:val="002A3A0B"/>
    <w:rsid w:val="002A3B93"/>
    <w:rsid w:val="002A3D89"/>
    <w:rsid w:val="002A40FE"/>
    <w:rsid w:val="002A4286"/>
    <w:rsid w:val="002A44C2"/>
    <w:rsid w:val="002A4CC0"/>
    <w:rsid w:val="002A50D0"/>
    <w:rsid w:val="002A5B8F"/>
    <w:rsid w:val="002A5E45"/>
    <w:rsid w:val="002A60F7"/>
    <w:rsid w:val="002A6827"/>
    <w:rsid w:val="002A68A4"/>
    <w:rsid w:val="002A738C"/>
    <w:rsid w:val="002A7B80"/>
    <w:rsid w:val="002A7D36"/>
    <w:rsid w:val="002B013E"/>
    <w:rsid w:val="002B0227"/>
    <w:rsid w:val="002B0833"/>
    <w:rsid w:val="002B0C8D"/>
    <w:rsid w:val="002B0E27"/>
    <w:rsid w:val="002B1014"/>
    <w:rsid w:val="002B1500"/>
    <w:rsid w:val="002B1735"/>
    <w:rsid w:val="002B1985"/>
    <w:rsid w:val="002B1992"/>
    <w:rsid w:val="002B1CE5"/>
    <w:rsid w:val="002B1D33"/>
    <w:rsid w:val="002B1EE7"/>
    <w:rsid w:val="002B2378"/>
    <w:rsid w:val="002B2520"/>
    <w:rsid w:val="002B2BFE"/>
    <w:rsid w:val="002B2FBE"/>
    <w:rsid w:val="002B2FF5"/>
    <w:rsid w:val="002B3062"/>
    <w:rsid w:val="002B3230"/>
    <w:rsid w:val="002B32AE"/>
    <w:rsid w:val="002B3BFF"/>
    <w:rsid w:val="002B4312"/>
    <w:rsid w:val="002B439B"/>
    <w:rsid w:val="002B47EA"/>
    <w:rsid w:val="002B4967"/>
    <w:rsid w:val="002B497E"/>
    <w:rsid w:val="002B4ABA"/>
    <w:rsid w:val="002B4CB1"/>
    <w:rsid w:val="002B4EDF"/>
    <w:rsid w:val="002B4FEE"/>
    <w:rsid w:val="002B50D4"/>
    <w:rsid w:val="002B5132"/>
    <w:rsid w:val="002B523B"/>
    <w:rsid w:val="002B52D9"/>
    <w:rsid w:val="002B5F01"/>
    <w:rsid w:val="002B5F94"/>
    <w:rsid w:val="002B616C"/>
    <w:rsid w:val="002B6801"/>
    <w:rsid w:val="002B6CE8"/>
    <w:rsid w:val="002B6D01"/>
    <w:rsid w:val="002B6D53"/>
    <w:rsid w:val="002B7620"/>
    <w:rsid w:val="002B7CC7"/>
    <w:rsid w:val="002B7E7E"/>
    <w:rsid w:val="002C009D"/>
    <w:rsid w:val="002C0105"/>
    <w:rsid w:val="002C0D2B"/>
    <w:rsid w:val="002C0F20"/>
    <w:rsid w:val="002C10FB"/>
    <w:rsid w:val="002C12F0"/>
    <w:rsid w:val="002C1434"/>
    <w:rsid w:val="002C1489"/>
    <w:rsid w:val="002C14D0"/>
    <w:rsid w:val="002C1788"/>
    <w:rsid w:val="002C1953"/>
    <w:rsid w:val="002C1C7B"/>
    <w:rsid w:val="002C223A"/>
    <w:rsid w:val="002C2388"/>
    <w:rsid w:val="002C2654"/>
    <w:rsid w:val="002C2676"/>
    <w:rsid w:val="002C282B"/>
    <w:rsid w:val="002C2956"/>
    <w:rsid w:val="002C2F78"/>
    <w:rsid w:val="002C3367"/>
    <w:rsid w:val="002C361D"/>
    <w:rsid w:val="002C3BB8"/>
    <w:rsid w:val="002C4249"/>
    <w:rsid w:val="002C4737"/>
    <w:rsid w:val="002C4884"/>
    <w:rsid w:val="002C4BBA"/>
    <w:rsid w:val="002C4C68"/>
    <w:rsid w:val="002C4C7B"/>
    <w:rsid w:val="002C516F"/>
    <w:rsid w:val="002C51DE"/>
    <w:rsid w:val="002C537C"/>
    <w:rsid w:val="002C5E29"/>
    <w:rsid w:val="002C647F"/>
    <w:rsid w:val="002C6500"/>
    <w:rsid w:val="002C6857"/>
    <w:rsid w:val="002C6D55"/>
    <w:rsid w:val="002C6F47"/>
    <w:rsid w:val="002C7653"/>
    <w:rsid w:val="002C7D68"/>
    <w:rsid w:val="002D0DEC"/>
    <w:rsid w:val="002D0E67"/>
    <w:rsid w:val="002D114B"/>
    <w:rsid w:val="002D1F9E"/>
    <w:rsid w:val="002D2096"/>
    <w:rsid w:val="002D22AE"/>
    <w:rsid w:val="002D25DA"/>
    <w:rsid w:val="002D304F"/>
    <w:rsid w:val="002D30FB"/>
    <w:rsid w:val="002D3889"/>
    <w:rsid w:val="002D3990"/>
    <w:rsid w:val="002D3F01"/>
    <w:rsid w:val="002D416A"/>
    <w:rsid w:val="002D4273"/>
    <w:rsid w:val="002D44FD"/>
    <w:rsid w:val="002D46AE"/>
    <w:rsid w:val="002D4CF8"/>
    <w:rsid w:val="002D4D5C"/>
    <w:rsid w:val="002D4E83"/>
    <w:rsid w:val="002D508D"/>
    <w:rsid w:val="002D52D0"/>
    <w:rsid w:val="002D556D"/>
    <w:rsid w:val="002D562D"/>
    <w:rsid w:val="002D5CD4"/>
    <w:rsid w:val="002D627B"/>
    <w:rsid w:val="002D635C"/>
    <w:rsid w:val="002D63F0"/>
    <w:rsid w:val="002D64BA"/>
    <w:rsid w:val="002D64BF"/>
    <w:rsid w:val="002D699B"/>
    <w:rsid w:val="002D6C7A"/>
    <w:rsid w:val="002D6F7E"/>
    <w:rsid w:val="002D6F89"/>
    <w:rsid w:val="002D74E3"/>
    <w:rsid w:val="002D7AF9"/>
    <w:rsid w:val="002D7BD8"/>
    <w:rsid w:val="002D7E7D"/>
    <w:rsid w:val="002D7EC7"/>
    <w:rsid w:val="002E048D"/>
    <w:rsid w:val="002E060D"/>
    <w:rsid w:val="002E122F"/>
    <w:rsid w:val="002E1342"/>
    <w:rsid w:val="002E1638"/>
    <w:rsid w:val="002E188B"/>
    <w:rsid w:val="002E2A45"/>
    <w:rsid w:val="002E3016"/>
    <w:rsid w:val="002E31EC"/>
    <w:rsid w:val="002E3665"/>
    <w:rsid w:val="002E4FFE"/>
    <w:rsid w:val="002E5058"/>
    <w:rsid w:val="002E509A"/>
    <w:rsid w:val="002E52EF"/>
    <w:rsid w:val="002E57E8"/>
    <w:rsid w:val="002E57FC"/>
    <w:rsid w:val="002E5C94"/>
    <w:rsid w:val="002E5DA3"/>
    <w:rsid w:val="002E5E7D"/>
    <w:rsid w:val="002E7073"/>
    <w:rsid w:val="002E752B"/>
    <w:rsid w:val="002E7770"/>
    <w:rsid w:val="002E7C38"/>
    <w:rsid w:val="002F037A"/>
    <w:rsid w:val="002F11DB"/>
    <w:rsid w:val="002F1E89"/>
    <w:rsid w:val="002F1F3A"/>
    <w:rsid w:val="002F1F80"/>
    <w:rsid w:val="002F219C"/>
    <w:rsid w:val="002F2355"/>
    <w:rsid w:val="002F26CE"/>
    <w:rsid w:val="002F311C"/>
    <w:rsid w:val="002F31A7"/>
    <w:rsid w:val="002F31D6"/>
    <w:rsid w:val="002F3296"/>
    <w:rsid w:val="002F33E1"/>
    <w:rsid w:val="002F3668"/>
    <w:rsid w:val="002F3870"/>
    <w:rsid w:val="002F413A"/>
    <w:rsid w:val="002F4161"/>
    <w:rsid w:val="002F443A"/>
    <w:rsid w:val="002F4705"/>
    <w:rsid w:val="002F49D5"/>
    <w:rsid w:val="002F4A02"/>
    <w:rsid w:val="002F4CC5"/>
    <w:rsid w:val="002F4DB3"/>
    <w:rsid w:val="002F4F6C"/>
    <w:rsid w:val="002F51AF"/>
    <w:rsid w:val="002F5230"/>
    <w:rsid w:val="002F5280"/>
    <w:rsid w:val="002F5764"/>
    <w:rsid w:val="002F5AD3"/>
    <w:rsid w:val="002F5F78"/>
    <w:rsid w:val="002F6620"/>
    <w:rsid w:val="002F68DC"/>
    <w:rsid w:val="002F6993"/>
    <w:rsid w:val="002F6DF0"/>
    <w:rsid w:val="002F7037"/>
    <w:rsid w:val="002F703E"/>
    <w:rsid w:val="002F7198"/>
    <w:rsid w:val="002F7383"/>
    <w:rsid w:val="002F73BF"/>
    <w:rsid w:val="002F7CB4"/>
    <w:rsid w:val="002F7CC9"/>
    <w:rsid w:val="00300562"/>
    <w:rsid w:val="003005A4"/>
    <w:rsid w:val="00300665"/>
    <w:rsid w:val="003006C5"/>
    <w:rsid w:val="003009C5"/>
    <w:rsid w:val="00300A00"/>
    <w:rsid w:val="00300AFE"/>
    <w:rsid w:val="0030149A"/>
    <w:rsid w:val="00302621"/>
    <w:rsid w:val="00302B20"/>
    <w:rsid w:val="00302F16"/>
    <w:rsid w:val="00302F30"/>
    <w:rsid w:val="003032BE"/>
    <w:rsid w:val="0030344E"/>
    <w:rsid w:val="0030350A"/>
    <w:rsid w:val="00303A9E"/>
    <w:rsid w:val="00303E6A"/>
    <w:rsid w:val="00304955"/>
    <w:rsid w:val="00304CC0"/>
    <w:rsid w:val="00304D16"/>
    <w:rsid w:val="00304E01"/>
    <w:rsid w:val="00304E27"/>
    <w:rsid w:val="00305027"/>
    <w:rsid w:val="0030502E"/>
    <w:rsid w:val="003053AD"/>
    <w:rsid w:val="0030554F"/>
    <w:rsid w:val="0030672D"/>
    <w:rsid w:val="003069D3"/>
    <w:rsid w:val="00306B79"/>
    <w:rsid w:val="00307492"/>
    <w:rsid w:val="003079F0"/>
    <w:rsid w:val="00307B37"/>
    <w:rsid w:val="00307B7D"/>
    <w:rsid w:val="0031016C"/>
    <w:rsid w:val="003104C9"/>
    <w:rsid w:val="0031063B"/>
    <w:rsid w:val="003109FD"/>
    <w:rsid w:val="00310FAB"/>
    <w:rsid w:val="00311113"/>
    <w:rsid w:val="003113F1"/>
    <w:rsid w:val="00311614"/>
    <w:rsid w:val="00311BFC"/>
    <w:rsid w:val="00311C16"/>
    <w:rsid w:val="00311E21"/>
    <w:rsid w:val="00311E4F"/>
    <w:rsid w:val="00312146"/>
    <w:rsid w:val="00312254"/>
    <w:rsid w:val="00312816"/>
    <w:rsid w:val="00312E95"/>
    <w:rsid w:val="0031315D"/>
    <w:rsid w:val="00313792"/>
    <w:rsid w:val="0031395B"/>
    <w:rsid w:val="00313AF9"/>
    <w:rsid w:val="00313C01"/>
    <w:rsid w:val="00313D26"/>
    <w:rsid w:val="00313D65"/>
    <w:rsid w:val="00314218"/>
    <w:rsid w:val="00314263"/>
    <w:rsid w:val="003148E6"/>
    <w:rsid w:val="00314EE3"/>
    <w:rsid w:val="00314FB4"/>
    <w:rsid w:val="00315A44"/>
    <w:rsid w:val="00315B18"/>
    <w:rsid w:val="00315C0E"/>
    <w:rsid w:val="00315EBB"/>
    <w:rsid w:val="00315EC7"/>
    <w:rsid w:val="00316BB1"/>
    <w:rsid w:val="00316F77"/>
    <w:rsid w:val="00316FF2"/>
    <w:rsid w:val="0031701C"/>
    <w:rsid w:val="003173DA"/>
    <w:rsid w:val="0031796D"/>
    <w:rsid w:val="00320181"/>
    <w:rsid w:val="003202DE"/>
    <w:rsid w:val="00320623"/>
    <w:rsid w:val="003217F1"/>
    <w:rsid w:val="0032186D"/>
    <w:rsid w:val="00321FED"/>
    <w:rsid w:val="003220A7"/>
    <w:rsid w:val="0032230D"/>
    <w:rsid w:val="00322373"/>
    <w:rsid w:val="00322A2E"/>
    <w:rsid w:val="00322B23"/>
    <w:rsid w:val="00323161"/>
    <w:rsid w:val="003234F2"/>
    <w:rsid w:val="003234FC"/>
    <w:rsid w:val="0032355A"/>
    <w:rsid w:val="00323902"/>
    <w:rsid w:val="00323B98"/>
    <w:rsid w:val="00323BCE"/>
    <w:rsid w:val="00323C25"/>
    <w:rsid w:val="00324327"/>
    <w:rsid w:val="00324BCA"/>
    <w:rsid w:val="003257AD"/>
    <w:rsid w:val="0032595B"/>
    <w:rsid w:val="00325AED"/>
    <w:rsid w:val="00325BEF"/>
    <w:rsid w:val="00326420"/>
    <w:rsid w:val="0032644E"/>
    <w:rsid w:val="00326586"/>
    <w:rsid w:val="00326D46"/>
    <w:rsid w:val="00326E74"/>
    <w:rsid w:val="00326F70"/>
    <w:rsid w:val="00327783"/>
    <w:rsid w:val="003278A2"/>
    <w:rsid w:val="003278D3"/>
    <w:rsid w:val="00327A4C"/>
    <w:rsid w:val="00330AE2"/>
    <w:rsid w:val="00330EFE"/>
    <w:rsid w:val="00331006"/>
    <w:rsid w:val="0033106C"/>
    <w:rsid w:val="00331689"/>
    <w:rsid w:val="003316CE"/>
    <w:rsid w:val="003329F7"/>
    <w:rsid w:val="00332E38"/>
    <w:rsid w:val="003330F6"/>
    <w:rsid w:val="003337A3"/>
    <w:rsid w:val="00333A21"/>
    <w:rsid w:val="00333B68"/>
    <w:rsid w:val="003342FC"/>
    <w:rsid w:val="00334B60"/>
    <w:rsid w:val="00334BF8"/>
    <w:rsid w:val="00334E0A"/>
    <w:rsid w:val="00334FE4"/>
    <w:rsid w:val="003352A9"/>
    <w:rsid w:val="00335BCB"/>
    <w:rsid w:val="00335C7B"/>
    <w:rsid w:val="00335F0C"/>
    <w:rsid w:val="00336068"/>
    <w:rsid w:val="00336466"/>
    <w:rsid w:val="0033657C"/>
    <w:rsid w:val="00336975"/>
    <w:rsid w:val="00337616"/>
    <w:rsid w:val="00337EAB"/>
    <w:rsid w:val="003406A7"/>
    <w:rsid w:val="00340800"/>
    <w:rsid w:val="00340A58"/>
    <w:rsid w:val="00340A82"/>
    <w:rsid w:val="00340B95"/>
    <w:rsid w:val="0034125E"/>
    <w:rsid w:val="0034138E"/>
    <w:rsid w:val="0034179E"/>
    <w:rsid w:val="003417EF"/>
    <w:rsid w:val="00341870"/>
    <w:rsid w:val="00341A4D"/>
    <w:rsid w:val="00341B08"/>
    <w:rsid w:val="00342050"/>
    <w:rsid w:val="0034275C"/>
    <w:rsid w:val="00342A80"/>
    <w:rsid w:val="00342E02"/>
    <w:rsid w:val="00343254"/>
    <w:rsid w:val="00343545"/>
    <w:rsid w:val="0034378B"/>
    <w:rsid w:val="00343CA5"/>
    <w:rsid w:val="00343CFF"/>
    <w:rsid w:val="00343E41"/>
    <w:rsid w:val="003446C2"/>
    <w:rsid w:val="00344D0E"/>
    <w:rsid w:val="00345299"/>
    <w:rsid w:val="0034553B"/>
    <w:rsid w:val="00345A04"/>
    <w:rsid w:val="00346264"/>
    <w:rsid w:val="0034628D"/>
    <w:rsid w:val="00346AFA"/>
    <w:rsid w:val="00346F9A"/>
    <w:rsid w:val="003470B8"/>
    <w:rsid w:val="0034787C"/>
    <w:rsid w:val="003478A9"/>
    <w:rsid w:val="00347C1E"/>
    <w:rsid w:val="00347E94"/>
    <w:rsid w:val="00347E95"/>
    <w:rsid w:val="00347F26"/>
    <w:rsid w:val="0035009B"/>
    <w:rsid w:val="003509E4"/>
    <w:rsid w:val="00350E28"/>
    <w:rsid w:val="00350FFA"/>
    <w:rsid w:val="0035212D"/>
    <w:rsid w:val="00352184"/>
    <w:rsid w:val="00352297"/>
    <w:rsid w:val="00352315"/>
    <w:rsid w:val="00352C6C"/>
    <w:rsid w:val="00352FD9"/>
    <w:rsid w:val="00353872"/>
    <w:rsid w:val="003539C5"/>
    <w:rsid w:val="00353A36"/>
    <w:rsid w:val="00353ED8"/>
    <w:rsid w:val="00353F2E"/>
    <w:rsid w:val="0035449E"/>
    <w:rsid w:val="00354BA0"/>
    <w:rsid w:val="00354C48"/>
    <w:rsid w:val="00355230"/>
    <w:rsid w:val="00355433"/>
    <w:rsid w:val="003554C8"/>
    <w:rsid w:val="00355878"/>
    <w:rsid w:val="00355AEB"/>
    <w:rsid w:val="0035634E"/>
    <w:rsid w:val="00356AC6"/>
    <w:rsid w:val="00356EF2"/>
    <w:rsid w:val="00357674"/>
    <w:rsid w:val="0035783B"/>
    <w:rsid w:val="00360657"/>
    <w:rsid w:val="00360911"/>
    <w:rsid w:val="00361052"/>
    <w:rsid w:val="003610C9"/>
    <w:rsid w:val="003618CA"/>
    <w:rsid w:val="003619CE"/>
    <w:rsid w:val="00361A86"/>
    <w:rsid w:val="00361B27"/>
    <w:rsid w:val="00361D3F"/>
    <w:rsid w:val="00361F2E"/>
    <w:rsid w:val="003624B7"/>
    <w:rsid w:val="003629D2"/>
    <w:rsid w:val="00362B6B"/>
    <w:rsid w:val="00362C21"/>
    <w:rsid w:val="003635D0"/>
    <w:rsid w:val="0036378F"/>
    <w:rsid w:val="00364310"/>
    <w:rsid w:val="0036455F"/>
    <w:rsid w:val="00364627"/>
    <w:rsid w:val="00364770"/>
    <w:rsid w:val="00364F4C"/>
    <w:rsid w:val="003651EB"/>
    <w:rsid w:val="00365309"/>
    <w:rsid w:val="003657BC"/>
    <w:rsid w:val="00365DCE"/>
    <w:rsid w:val="0036673D"/>
    <w:rsid w:val="00366C43"/>
    <w:rsid w:val="00366DC0"/>
    <w:rsid w:val="00366F56"/>
    <w:rsid w:val="003670A8"/>
    <w:rsid w:val="003678FE"/>
    <w:rsid w:val="00367A41"/>
    <w:rsid w:val="003700D1"/>
    <w:rsid w:val="00370113"/>
    <w:rsid w:val="003703C3"/>
    <w:rsid w:val="00370461"/>
    <w:rsid w:val="0037092E"/>
    <w:rsid w:val="00370EDE"/>
    <w:rsid w:val="003711DB"/>
    <w:rsid w:val="00371388"/>
    <w:rsid w:val="00371658"/>
    <w:rsid w:val="003718A3"/>
    <w:rsid w:val="00371AF7"/>
    <w:rsid w:val="00371EA3"/>
    <w:rsid w:val="00372449"/>
    <w:rsid w:val="003725D6"/>
    <w:rsid w:val="00372C5E"/>
    <w:rsid w:val="00372CA8"/>
    <w:rsid w:val="00373187"/>
    <w:rsid w:val="003732E0"/>
    <w:rsid w:val="00373D67"/>
    <w:rsid w:val="00373E8E"/>
    <w:rsid w:val="003745B4"/>
    <w:rsid w:val="00374609"/>
    <w:rsid w:val="003747EB"/>
    <w:rsid w:val="00374848"/>
    <w:rsid w:val="003748D9"/>
    <w:rsid w:val="00374A7B"/>
    <w:rsid w:val="00374B10"/>
    <w:rsid w:val="00374BB0"/>
    <w:rsid w:val="00375050"/>
    <w:rsid w:val="0037508B"/>
    <w:rsid w:val="00375412"/>
    <w:rsid w:val="003754FD"/>
    <w:rsid w:val="0037553B"/>
    <w:rsid w:val="00375C68"/>
    <w:rsid w:val="003762EE"/>
    <w:rsid w:val="00376538"/>
    <w:rsid w:val="0037676A"/>
    <w:rsid w:val="003769AF"/>
    <w:rsid w:val="00377AC3"/>
    <w:rsid w:val="003806B3"/>
    <w:rsid w:val="00380734"/>
    <w:rsid w:val="00380880"/>
    <w:rsid w:val="003809A4"/>
    <w:rsid w:val="00380EDE"/>
    <w:rsid w:val="0038120B"/>
    <w:rsid w:val="003814D6"/>
    <w:rsid w:val="003817C9"/>
    <w:rsid w:val="00381E28"/>
    <w:rsid w:val="003820FF"/>
    <w:rsid w:val="00382551"/>
    <w:rsid w:val="00382B71"/>
    <w:rsid w:val="00382CA0"/>
    <w:rsid w:val="00382E0C"/>
    <w:rsid w:val="00382E40"/>
    <w:rsid w:val="00382F07"/>
    <w:rsid w:val="0038308D"/>
    <w:rsid w:val="003837C4"/>
    <w:rsid w:val="00383868"/>
    <w:rsid w:val="00383956"/>
    <w:rsid w:val="00383C65"/>
    <w:rsid w:val="00383D5C"/>
    <w:rsid w:val="00383F66"/>
    <w:rsid w:val="0038422B"/>
    <w:rsid w:val="00384424"/>
    <w:rsid w:val="00384496"/>
    <w:rsid w:val="00384933"/>
    <w:rsid w:val="00384DAC"/>
    <w:rsid w:val="0038545C"/>
    <w:rsid w:val="003854AF"/>
    <w:rsid w:val="00385D03"/>
    <w:rsid w:val="00385FB0"/>
    <w:rsid w:val="003869FE"/>
    <w:rsid w:val="00386DFB"/>
    <w:rsid w:val="00387242"/>
    <w:rsid w:val="003875EE"/>
    <w:rsid w:val="0038786B"/>
    <w:rsid w:val="00387BDE"/>
    <w:rsid w:val="0039019C"/>
    <w:rsid w:val="0039039E"/>
    <w:rsid w:val="00390924"/>
    <w:rsid w:val="00390FB9"/>
    <w:rsid w:val="00391247"/>
    <w:rsid w:val="00391270"/>
    <w:rsid w:val="0039133E"/>
    <w:rsid w:val="00391636"/>
    <w:rsid w:val="003917EA"/>
    <w:rsid w:val="00391A45"/>
    <w:rsid w:val="00391E67"/>
    <w:rsid w:val="003927AF"/>
    <w:rsid w:val="00393200"/>
    <w:rsid w:val="00393381"/>
    <w:rsid w:val="003934B5"/>
    <w:rsid w:val="003935F6"/>
    <w:rsid w:val="00393600"/>
    <w:rsid w:val="00393659"/>
    <w:rsid w:val="00393A9F"/>
    <w:rsid w:val="00393D2C"/>
    <w:rsid w:val="003941B4"/>
    <w:rsid w:val="00394C22"/>
    <w:rsid w:val="003951F5"/>
    <w:rsid w:val="0039533E"/>
    <w:rsid w:val="003954F9"/>
    <w:rsid w:val="003956E2"/>
    <w:rsid w:val="00395DA2"/>
    <w:rsid w:val="003965B6"/>
    <w:rsid w:val="00396BFA"/>
    <w:rsid w:val="00397F0C"/>
    <w:rsid w:val="003A02F3"/>
    <w:rsid w:val="003A089D"/>
    <w:rsid w:val="003A08D9"/>
    <w:rsid w:val="003A0923"/>
    <w:rsid w:val="003A0B6D"/>
    <w:rsid w:val="003A0D2B"/>
    <w:rsid w:val="003A0F91"/>
    <w:rsid w:val="003A1248"/>
    <w:rsid w:val="003A19DB"/>
    <w:rsid w:val="003A1B78"/>
    <w:rsid w:val="003A1C9A"/>
    <w:rsid w:val="003A1D91"/>
    <w:rsid w:val="003A1E19"/>
    <w:rsid w:val="003A22B8"/>
    <w:rsid w:val="003A289C"/>
    <w:rsid w:val="003A2B25"/>
    <w:rsid w:val="003A311D"/>
    <w:rsid w:val="003A3CFC"/>
    <w:rsid w:val="003A3EA8"/>
    <w:rsid w:val="003A4119"/>
    <w:rsid w:val="003A42D9"/>
    <w:rsid w:val="003A48A6"/>
    <w:rsid w:val="003A491D"/>
    <w:rsid w:val="003A4935"/>
    <w:rsid w:val="003A4945"/>
    <w:rsid w:val="003A494F"/>
    <w:rsid w:val="003A4B6D"/>
    <w:rsid w:val="003A4C72"/>
    <w:rsid w:val="003A4CE5"/>
    <w:rsid w:val="003A4DC7"/>
    <w:rsid w:val="003A4DFA"/>
    <w:rsid w:val="003A4FCB"/>
    <w:rsid w:val="003A5018"/>
    <w:rsid w:val="003A51FD"/>
    <w:rsid w:val="003A5C5D"/>
    <w:rsid w:val="003A5DB8"/>
    <w:rsid w:val="003A5F19"/>
    <w:rsid w:val="003A608C"/>
    <w:rsid w:val="003A68D8"/>
    <w:rsid w:val="003A6CDF"/>
    <w:rsid w:val="003A70B1"/>
    <w:rsid w:val="003A7162"/>
    <w:rsid w:val="003A75A2"/>
    <w:rsid w:val="003A7BD6"/>
    <w:rsid w:val="003A7D9D"/>
    <w:rsid w:val="003A7F42"/>
    <w:rsid w:val="003B07E5"/>
    <w:rsid w:val="003B0A54"/>
    <w:rsid w:val="003B0C67"/>
    <w:rsid w:val="003B10EA"/>
    <w:rsid w:val="003B120E"/>
    <w:rsid w:val="003B195B"/>
    <w:rsid w:val="003B207F"/>
    <w:rsid w:val="003B256E"/>
    <w:rsid w:val="003B2625"/>
    <w:rsid w:val="003B2A31"/>
    <w:rsid w:val="003B2B74"/>
    <w:rsid w:val="003B2E3B"/>
    <w:rsid w:val="003B3001"/>
    <w:rsid w:val="003B310D"/>
    <w:rsid w:val="003B348D"/>
    <w:rsid w:val="003B34E4"/>
    <w:rsid w:val="003B3C7E"/>
    <w:rsid w:val="003B3DD6"/>
    <w:rsid w:val="003B3EA9"/>
    <w:rsid w:val="003B424B"/>
    <w:rsid w:val="003B4328"/>
    <w:rsid w:val="003B4668"/>
    <w:rsid w:val="003B47D8"/>
    <w:rsid w:val="003B49D7"/>
    <w:rsid w:val="003B4B38"/>
    <w:rsid w:val="003B59AB"/>
    <w:rsid w:val="003B5A85"/>
    <w:rsid w:val="003B5F01"/>
    <w:rsid w:val="003B6220"/>
    <w:rsid w:val="003B69BF"/>
    <w:rsid w:val="003B705A"/>
    <w:rsid w:val="003B72EB"/>
    <w:rsid w:val="003B781D"/>
    <w:rsid w:val="003B793C"/>
    <w:rsid w:val="003B7D1D"/>
    <w:rsid w:val="003B7D9A"/>
    <w:rsid w:val="003B7DC1"/>
    <w:rsid w:val="003C05E7"/>
    <w:rsid w:val="003C09E2"/>
    <w:rsid w:val="003C10E5"/>
    <w:rsid w:val="003C15F4"/>
    <w:rsid w:val="003C1698"/>
    <w:rsid w:val="003C1D07"/>
    <w:rsid w:val="003C20B9"/>
    <w:rsid w:val="003C2317"/>
    <w:rsid w:val="003C26BA"/>
    <w:rsid w:val="003C28F8"/>
    <w:rsid w:val="003C29F4"/>
    <w:rsid w:val="003C2E8B"/>
    <w:rsid w:val="003C3188"/>
    <w:rsid w:val="003C36DF"/>
    <w:rsid w:val="003C38D8"/>
    <w:rsid w:val="003C39F3"/>
    <w:rsid w:val="003C3E43"/>
    <w:rsid w:val="003C3EB4"/>
    <w:rsid w:val="003C3ED1"/>
    <w:rsid w:val="003C4576"/>
    <w:rsid w:val="003C4653"/>
    <w:rsid w:val="003C487E"/>
    <w:rsid w:val="003C4E94"/>
    <w:rsid w:val="003C506E"/>
    <w:rsid w:val="003C51CA"/>
    <w:rsid w:val="003C5A3B"/>
    <w:rsid w:val="003C5D51"/>
    <w:rsid w:val="003C5DE4"/>
    <w:rsid w:val="003C5F51"/>
    <w:rsid w:val="003C6A42"/>
    <w:rsid w:val="003C6B9A"/>
    <w:rsid w:val="003C71F9"/>
    <w:rsid w:val="003C76B0"/>
    <w:rsid w:val="003C78E9"/>
    <w:rsid w:val="003C7A1E"/>
    <w:rsid w:val="003C7B42"/>
    <w:rsid w:val="003C7E57"/>
    <w:rsid w:val="003D0376"/>
    <w:rsid w:val="003D03A4"/>
    <w:rsid w:val="003D03FA"/>
    <w:rsid w:val="003D0400"/>
    <w:rsid w:val="003D05DA"/>
    <w:rsid w:val="003D0704"/>
    <w:rsid w:val="003D0BB7"/>
    <w:rsid w:val="003D1344"/>
    <w:rsid w:val="003D15AE"/>
    <w:rsid w:val="003D190F"/>
    <w:rsid w:val="003D199E"/>
    <w:rsid w:val="003D1A6C"/>
    <w:rsid w:val="003D1AC1"/>
    <w:rsid w:val="003D1C54"/>
    <w:rsid w:val="003D1E22"/>
    <w:rsid w:val="003D1FC6"/>
    <w:rsid w:val="003D21F5"/>
    <w:rsid w:val="003D2F6A"/>
    <w:rsid w:val="003D319A"/>
    <w:rsid w:val="003D3284"/>
    <w:rsid w:val="003D354E"/>
    <w:rsid w:val="003D3952"/>
    <w:rsid w:val="003D3A52"/>
    <w:rsid w:val="003D3F15"/>
    <w:rsid w:val="003D4198"/>
    <w:rsid w:val="003D4772"/>
    <w:rsid w:val="003D4F37"/>
    <w:rsid w:val="003D529C"/>
    <w:rsid w:val="003D52EA"/>
    <w:rsid w:val="003D551E"/>
    <w:rsid w:val="003D58BA"/>
    <w:rsid w:val="003D5953"/>
    <w:rsid w:val="003D5A82"/>
    <w:rsid w:val="003D5D4B"/>
    <w:rsid w:val="003D63CA"/>
    <w:rsid w:val="003D648B"/>
    <w:rsid w:val="003D64A5"/>
    <w:rsid w:val="003D74ED"/>
    <w:rsid w:val="003D7BFF"/>
    <w:rsid w:val="003D7E8F"/>
    <w:rsid w:val="003D7EBC"/>
    <w:rsid w:val="003E0C31"/>
    <w:rsid w:val="003E14BA"/>
    <w:rsid w:val="003E16C2"/>
    <w:rsid w:val="003E2052"/>
    <w:rsid w:val="003E2577"/>
    <w:rsid w:val="003E2C5A"/>
    <w:rsid w:val="003E2DDC"/>
    <w:rsid w:val="003E32AA"/>
    <w:rsid w:val="003E3801"/>
    <w:rsid w:val="003E3C0F"/>
    <w:rsid w:val="003E4A21"/>
    <w:rsid w:val="003E5078"/>
    <w:rsid w:val="003E5671"/>
    <w:rsid w:val="003E569B"/>
    <w:rsid w:val="003E57D9"/>
    <w:rsid w:val="003E5913"/>
    <w:rsid w:val="003E5DA9"/>
    <w:rsid w:val="003E6A84"/>
    <w:rsid w:val="003E6CEC"/>
    <w:rsid w:val="003E6E25"/>
    <w:rsid w:val="003E6F84"/>
    <w:rsid w:val="003E70B4"/>
    <w:rsid w:val="003E72F6"/>
    <w:rsid w:val="003E74B5"/>
    <w:rsid w:val="003E7C57"/>
    <w:rsid w:val="003E7E73"/>
    <w:rsid w:val="003F0186"/>
    <w:rsid w:val="003F0EFE"/>
    <w:rsid w:val="003F123C"/>
    <w:rsid w:val="003F14AC"/>
    <w:rsid w:val="003F182E"/>
    <w:rsid w:val="003F21FC"/>
    <w:rsid w:val="003F2286"/>
    <w:rsid w:val="003F24E1"/>
    <w:rsid w:val="003F2B2B"/>
    <w:rsid w:val="003F32F8"/>
    <w:rsid w:val="003F3479"/>
    <w:rsid w:val="003F3565"/>
    <w:rsid w:val="003F377E"/>
    <w:rsid w:val="003F3873"/>
    <w:rsid w:val="003F3CFA"/>
    <w:rsid w:val="003F3E2B"/>
    <w:rsid w:val="003F42FC"/>
    <w:rsid w:val="003F43C7"/>
    <w:rsid w:val="003F509D"/>
    <w:rsid w:val="003F50AC"/>
    <w:rsid w:val="003F53A6"/>
    <w:rsid w:val="003F53EA"/>
    <w:rsid w:val="003F5770"/>
    <w:rsid w:val="003F58E4"/>
    <w:rsid w:val="003F5B53"/>
    <w:rsid w:val="003F5F95"/>
    <w:rsid w:val="003F611F"/>
    <w:rsid w:val="003F6458"/>
    <w:rsid w:val="003F6965"/>
    <w:rsid w:val="003F6DE6"/>
    <w:rsid w:val="003F6ED3"/>
    <w:rsid w:val="003F713D"/>
    <w:rsid w:val="003F7818"/>
    <w:rsid w:val="003F7942"/>
    <w:rsid w:val="003F7A3C"/>
    <w:rsid w:val="00400397"/>
    <w:rsid w:val="0040109D"/>
    <w:rsid w:val="00401389"/>
    <w:rsid w:val="00401518"/>
    <w:rsid w:val="00401727"/>
    <w:rsid w:val="00401B08"/>
    <w:rsid w:val="00401C5D"/>
    <w:rsid w:val="00401E50"/>
    <w:rsid w:val="00401F23"/>
    <w:rsid w:val="00402040"/>
    <w:rsid w:val="0040251D"/>
    <w:rsid w:val="004030D0"/>
    <w:rsid w:val="00403636"/>
    <w:rsid w:val="004039D6"/>
    <w:rsid w:val="00404244"/>
    <w:rsid w:val="00404B7B"/>
    <w:rsid w:val="00404FC3"/>
    <w:rsid w:val="004050BA"/>
    <w:rsid w:val="004050CC"/>
    <w:rsid w:val="00405853"/>
    <w:rsid w:val="004058E5"/>
    <w:rsid w:val="0040605E"/>
    <w:rsid w:val="004060AC"/>
    <w:rsid w:val="0040613E"/>
    <w:rsid w:val="004061F1"/>
    <w:rsid w:val="004062B8"/>
    <w:rsid w:val="004062D1"/>
    <w:rsid w:val="00406444"/>
    <w:rsid w:val="00406671"/>
    <w:rsid w:val="00406DC7"/>
    <w:rsid w:val="00406E5B"/>
    <w:rsid w:val="00407007"/>
    <w:rsid w:val="00407024"/>
    <w:rsid w:val="004071B2"/>
    <w:rsid w:val="004072B7"/>
    <w:rsid w:val="004106B2"/>
    <w:rsid w:val="004107B1"/>
    <w:rsid w:val="00410AAF"/>
    <w:rsid w:val="00410D67"/>
    <w:rsid w:val="00410ECC"/>
    <w:rsid w:val="00411433"/>
    <w:rsid w:val="00411553"/>
    <w:rsid w:val="004117E7"/>
    <w:rsid w:val="00411B3E"/>
    <w:rsid w:val="0041215F"/>
    <w:rsid w:val="004122D7"/>
    <w:rsid w:val="0041261E"/>
    <w:rsid w:val="0041309C"/>
    <w:rsid w:val="00413379"/>
    <w:rsid w:val="00413654"/>
    <w:rsid w:val="004137E4"/>
    <w:rsid w:val="00413B74"/>
    <w:rsid w:val="00413EA5"/>
    <w:rsid w:val="0041451F"/>
    <w:rsid w:val="00414820"/>
    <w:rsid w:val="0041506C"/>
    <w:rsid w:val="0041512C"/>
    <w:rsid w:val="0041513E"/>
    <w:rsid w:val="004159C0"/>
    <w:rsid w:val="004166AF"/>
    <w:rsid w:val="00416B80"/>
    <w:rsid w:val="00416E22"/>
    <w:rsid w:val="00416ECC"/>
    <w:rsid w:val="0041717F"/>
    <w:rsid w:val="00417218"/>
    <w:rsid w:val="0041747C"/>
    <w:rsid w:val="00417815"/>
    <w:rsid w:val="00417955"/>
    <w:rsid w:val="00417A4C"/>
    <w:rsid w:val="0042032D"/>
    <w:rsid w:val="004205AA"/>
    <w:rsid w:val="00420728"/>
    <w:rsid w:val="00420967"/>
    <w:rsid w:val="00420FCD"/>
    <w:rsid w:val="00421322"/>
    <w:rsid w:val="0042171D"/>
    <w:rsid w:val="0042185C"/>
    <w:rsid w:val="00421A53"/>
    <w:rsid w:val="00422826"/>
    <w:rsid w:val="004229D0"/>
    <w:rsid w:val="004233B7"/>
    <w:rsid w:val="004238DA"/>
    <w:rsid w:val="00425367"/>
    <w:rsid w:val="004258D2"/>
    <w:rsid w:val="00425905"/>
    <w:rsid w:val="00425E70"/>
    <w:rsid w:val="004261DD"/>
    <w:rsid w:val="004263BC"/>
    <w:rsid w:val="00426FC2"/>
    <w:rsid w:val="00427155"/>
    <w:rsid w:val="004276D9"/>
    <w:rsid w:val="004276DA"/>
    <w:rsid w:val="004276E8"/>
    <w:rsid w:val="00427745"/>
    <w:rsid w:val="00427827"/>
    <w:rsid w:val="00427A04"/>
    <w:rsid w:val="00427F78"/>
    <w:rsid w:val="0043002A"/>
    <w:rsid w:val="004301EE"/>
    <w:rsid w:val="00430856"/>
    <w:rsid w:val="004316BF"/>
    <w:rsid w:val="00431AB8"/>
    <w:rsid w:val="00431B04"/>
    <w:rsid w:val="00431D04"/>
    <w:rsid w:val="0043214B"/>
    <w:rsid w:val="004322A2"/>
    <w:rsid w:val="004329CD"/>
    <w:rsid w:val="00432C2E"/>
    <w:rsid w:val="00433759"/>
    <w:rsid w:val="0043380B"/>
    <w:rsid w:val="00433A4A"/>
    <w:rsid w:val="00433A9D"/>
    <w:rsid w:val="00433DFA"/>
    <w:rsid w:val="00433E07"/>
    <w:rsid w:val="00433F85"/>
    <w:rsid w:val="004342B6"/>
    <w:rsid w:val="00434303"/>
    <w:rsid w:val="004343C1"/>
    <w:rsid w:val="004348B2"/>
    <w:rsid w:val="00434C53"/>
    <w:rsid w:val="00434DA3"/>
    <w:rsid w:val="00434F4A"/>
    <w:rsid w:val="004358CA"/>
    <w:rsid w:val="00435AC4"/>
    <w:rsid w:val="00435BCA"/>
    <w:rsid w:val="00435E9A"/>
    <w:rsid w:val="00435FE0"/>
    <w:rsid w:val="004361F1"/>
    <w:rsid w:val="00436468"/>
    <w:rsid w:val="00437D32"/>
    <w:rsid w:val="004400D4"/>
    <w:rsid w:val="00440294"/>
    <w:rsid w:val="004403D5"/>
    <w:rsid w:val="00440467"/>
    <w:rsid w:val="004409C0"/>
    <w:rsid w:val="00440A2E"/>
    <w:rsid w:val="00440B4B"/>
    <w:rsid w:val="00440FE1"/>
    <w:rsid w:val="00441283"/>
    <w:rsid w:val="00441450"/>
    <w:rsid w:val="00441556"/>
    <w:rsid w:val="004416CF"/>
    <w:rsid w:val="00441CAF"/>
    <w:rsid w:val="00442431"/>
    <w:rsid w:val="004427B2"/>
    <w:rsid w:val="00442FB0"/>
    <w:rsid w:val="00442FE9"/>
    <w:rsid w:val="00443610"/>
    <w:rsid w:val="00444A8C"/>
    <w:rsid w:val="00444DB3"/>
    <w:rsid w:val="004457A6"/>
    <w:rsid w:val="00445CA8"/>
    <w:rsid w:val="00445D60"/>
    <w:rsid w:val="0044615B"/>
    <w:rsid w:val="00446267"/>
    <w:rsid w:val="0044649A"/>
    <w:rsid w:val="004464FF"/>
    <w:rsid w:val="00446C7E"/>
    <w:rsid w:val="00446EF2"/>
    <w:rsid w:val="0044715E"/>
    <w:rsid w:val="004471CF"/>
    <w:rsid w:val="00447990"/>
    <w:rsid w:val="00447A3D"/>
    <w:rsid w:val="00447C9B"/>
    <w:rsid w:val="00447D7F"/>
    <w:rsid w:val="00447DCA"/>
    <w:rsid w:val="00450120"/>
    <w:rsid w:val="00450142"/>
    <w:rsid w:val="0045064F"/>
    <w:rsid w:val="004506D6"/>
    <w:rsid w:val="00450959"/>
    <w:rsid w:val="00450CB2"/>
    <w:rsid w:val="00450CD9"/>
    <w:rsid w:val="004510BE"/>
    <w:rsid w:val="00451334"/>
    <w:rsid w:val="004515E8"/>
    <w:rsid w:val="00451782"/>
    <w:rsid w:val="00451C29"/>
    <w:rsid w:val="00451CBA"/>
    <w:rsid w:val="00451DF8"/>
    <w:rsid w:val="00451F77"/>
    <w:rsid w:val="00452EFD"/>
    <w:rsid w:val="00453BA2"/>
    <w:rsid w:val="00453C04"/>
    <w:rsid w:val="00454A87"/>
    <w:rsid w:val="00454B75"/>
    <w:rsid w:val="00454CDF"/>
    <w:rsid w:val="00454D1C"/>
    <w:rsid w:val="00455066"/>
    <w:rsid w:val="0045536B"/>
    <w:rsid w:val="004558FF"/>
    <w:rsid w:val="00455D7A"/>
    <w:rsid w:val="00455FD5"/>
    <w:rsid w:val="00456304"/>
    <w:rsid w:val="00456A0A"/>
    <w:rsid w:val="00456C86"/>
    <w:rsid w:val="00457132"/>
    <w:rsid w:val="0045749C"/>
    <w:rsid w:val="004574F1"/>
    <w:rsid w:val="00457948"/>
    <w:rsid w:val="00457C1F"/>
    <w:rsid w:val="0046058A"/>
    <w:rsid w:val="004607DE"/>
    <w:rsid w:val="0046096C"/>
    <w:rsid w:val="00460C2F"/>
    <w:rsid w:val="00460DD0"/>
    <w:rsid w:val="004619A7"/>
    <w:rsid w:val="00461FBB"/>
    <w:rsid w:val="004623A7"/>
    <w:rsid w:val="0046296E"/>
    <w:rsid w:val="00462BA3"/>
    <w:rsid w:val="00462F36"/>
    <w:rsid w:val="004632B5"/>
    <w:rsid w:val="00463312"/>
    <w:rsid w:val="004633E5"/>
    <w:rsid w:val="00463526"/>
    <w:rsid w:val="004635DC"/>
    <w:rsid w:val="00463722"/>
    <w:rsid w:val="00463E53"/>
    <w:rsid w:val="004640F2"/>
    <w:rsid w:val="00464E22"/>
    <w:rsid w:val="00464FC5"/>
    <w:rsid w:val="00465502"/>
    <w:rsid w:val="004657A9"/>
    <w:rsid w:val="00466273"/>
    <w:rsid w:val="004662E1"/>
    <w:rsid w:val="0046654E"/>
    <w:rsid w:val="00466C26"/>
    <w:rsid w:val="00466FF5"/>
    <w:rsid w:val="004674BA"/>
    <w:rsid w:val="0046776B"/>
    <w:rsid w:val="004677B7"/>
    <w:rsid w:val="00470354"/>
    <w:rsid w:val="0047078F"/>
    <w:rsid w:val="00470C76"/>
    <w:rsid w:val="00470DA6"/>
    <w:rsid w:val="00470DA8"/>
    <w:rsid w:val="00470E54"/>
    <w:rsid w:val="00470F4A"/>
    <w:rsid w:val="004711D7"/>
    <w:rsid w:val="0047144E"/>
    <w:rsid w:val="0047165E"/>
    <w:rsid w:val="00471707"/>
    <w:rsid w:val="00471813"/>
    <w:rsid w:val="00471E9D"/>
    <w:rsid w:val="0047217D"/>
    <w:rsid w:val="004726E3"/>
    <w:rsid w:val="004726FB"/>
    <w:rsid w:val="0047296C"/>
    <w:rsid w:val="00472A60"/>
    <w:rsid w:val="00472F03"/>
    <w:rsid w:val="00473083"/>
    <w:rsid w:val="0047313F"/>
    <w:rsid w:val="004738F0"/>
    <w:rsid w:val="004738F2"/>
    <w:rsid w:val="0047396D"/>
    <w:rsid w:val="0047405C"/>
    <w:rsid w:val="0047446B"/>
    <w:rsid w:val="00474CF7"/>
    <w:rsid w:val="00474EE0"/>
    <w:rsid w:val="00474FA9"/>
    <w:rsid w:val="00474FE7"/>
    <w:rsid w:val="00475004"/>
    <w:rsid w:val="00475677"/>
    <w:rsid w:val="00475B63"/>
    <w:rsid w:val="00475B8E"/>
    <w:rsid w:val="004763E8"/>
    <w:rsid w:val="004763F6"/>
    <w:rsid w:val="004769AB"/>
    <w:rsid w:val="00477877"/>
    <w:rsid w:val="00477DF1"/>
    <w:rsid w:val="004809EB"/>
    <w:rsid w:val="00480AEF"/>
    <w:rsid w:val="00481164"/>
    <w:rsid w:val="0048119D"/>
    <w:rsid w:val="00481207"/>
    <w:rsid w:val="00481409"/>
    <w:rsid w:val="004814CC"/>
    <w:rsid w:val="00481521"/>
    <w:rsid w:val="00481E5D"/>
    <w:rsid w:val="00481F1D"/>
    <w:rsid w:val="00482358"/>
    <w:rsid w:val="00482702"/>
    <w:rsid w:val="004829EB"/>
    <w:rsid w:val="00482AF2"/>
    <w:rsid w:val="00482B44"/>
    <w:rsid w:val="00482CC8"/>
    <w:rsid w:val="004834ED"/>
    <w:rsid w:val="00483552"/>
    <w:rsid w:val="00484359"/>
    <w:rsid w:val="004843B5"/>
    <w:rsid w:val="00484450"/>
    <w:rsid w:val="004849BB"/>
    <w:rsid w:val="004849CA"/>
    <w:rsid w:val="00484D1E"/>
    <w:rsid w:val="00484E2D"/>
    <w:rsid w:val="00484EC7"/>
    <w:rsid w:val="00485030"/>
    <w:rsid w:val="004850BC"/>
    <w:rsid w:val="00485276"/>
    <w:rsid w:val="004855BE"/>
    <w:rsid w:val="00485779"/>
    <w:rsid w:val="00485E0F"/>
    <w:rsid w:val="00486024"/>
    <w:rsid w:val="00486291"/>
    <w:rsid w:val="0048632E"/>
    <w:rsid w:val="004863E5"/>
    <w:rsid w:val="0048652C"/>
    <w:rsid w:val="00486B5A"/>
    <w:rsid w:val="004872DF"/>
    <w:rsid w:val="004875C6"/>
    <w:rsid w:val="00487A57"/>
    <w:rsid w:val="00487C7A"/>
    <w:rsid w:val="004913E1"/>
    <w:rsid w:val="00491570"/>
    <w:rsid w:val="0049161A"/>
    <w:rsid w:val="00491D4E"/>
    <w:rsid w:val="0049202E"/>
    <w:rsid w:val="00492100"/>
    <w:rsid w:val="00492301"/>
    <w:rsid w:val="004925BE"/>
    <w:rsid w:val="00492784"/>
    <w:rsid w:val="004929F7"/>
    <w:rsid w:val="00492B1B"/>
    <w:rsid w:val="00493C04"/>
    <w:rsid w:val="00493CE9"/>
    <w:rsid w:val="00493DCF"/>
    <w:rsid w:val="00494300"/>
    <w:rsid w:val="00494575"/>
    <w:rsid w:val="00494688"/>
    <w:rsid w:val="0049476A"/>
    <w:rsid w:val="00494BF3"/>
    <w:rsid w:val="00494CA0"/>
    <w:rsid w:val="00494FAE"/>
    <w:rsid w:val="004951A2"/>
    <w:rsid w:val="00495379"/>
    <w:rsid w:val="004953A0"/>
    <w:rsid w:val="00495A06"/>
    <w:rsid w:val="00495E7B"/>
    <w:rsid w:val="0049602C"/>
    <w:rsid w:val="004961AA"/>
    <w:rsid w:val="00496252"/>
    <w:rsid w:val="004967EA"/>
    <w:rsid w:val="00496F59"/>
    <w:rsid w:val="00497443"/>
    <w:rsid w:val="004976D8"/>
    <w:rsid w:val="00497764"/>
    <w:rsid w:val="00497782"/>
    <w:rsid w:val="00497952"/>
    <w:rsid w:val="00497AC6"/>
    <w:rsid w:val="004A00FE"/>
    <w:rsid w:val="004A0178"/>
    <w:rsid w:val="004A04DC"/>
    <w:rsid w:val="004A08F9"/>
    <w:rsid w:val="004A0C87"/>
    <w:rsid w:val="004A1459"/>
    <w:rsid w:val="004A1573"/>
    <w:rsid w:val="004A19D8"/>
    <w:rsid w:val="004A1A7A"/>
    <w:rsid w:val="004A1B81"/>
    <w:rsid w:val="004A201F"/>
    <w:rsid w:val="004A2745"/>
    <w:rsid w:val="004A2A6E"/>
    <w:rsid w:val="004A2B6A"/>
    <w:rsid w:val="004A2EDD"/>
    <w:rsid w:val="004A3176"/>
    <w:rsid w:val="004A3240"/>
    <w:rsid w:val="004A3FE8"/>
    <w:rsid w:val="004A4388"/>
    <w:rsid w:val="004A440A"/>
    <w:rsid w:val="004A48E0"/>
    <w:rsid w:val="004A4CE0"/>
    <w:rsid w:val="004A4DDD"/>
    <w:rsid w:val="004A52B1"/>
    <w:rsid w:val="004A540E"/>
    <w:rsid w:val="004A5668"/>
    <w:rsid w:val="004A5769"/>
    <w:rsid w:val="004A57BD"/>
    <w:rsid w:val="004A5BEF"/>
    <w:rsid w:val="004A63D0"/>
    <w:rsid w:val="004A6823"/>
    <w:rsid w:val="004A6951"/>
    <w:rsid w:val="004A6EA1"/>
    <w:rsid w:val="004A6F3C"/>
    <w:rsid w:val="004A73BB"/>
    <w:rsid w:val="004A74B2"/>
    <w:rsid w:val="004A7552"/>
    <w:rsid w:val="004A7B6F"/>
    <w:rsid w:val="004AA148"/>
    <w:rsid w:val="004B02BE"/>
    <w:rsid w:val="004B0448"/>
    <w:rsid w:val="004B0463"/>
    <w:rsid w:val="004B0775"/>
    <w:rsid w:val="004B13CF"/>
    <w:rsid w:val="004B1569"/>
    <w:rsid w:val="004B15A6"/>
    <w:rsid w:val="004B160E"/>
    <w:rsid w:val="004B184E"/>
    <w:rsid w:val="004B1B80"/>
    <w:rsid w:val="004B1E18"/>
    <w:rsid w:val="004B1F59"/>
    <w:rsid w:val="004B2417"/>
    <w:rsid w:val="004B273F"/>
    <w:rsid w:val="004B2E5F"/>
    <w:rsid w:val="004B3394"/>
    <w:rsid w:val="004B37CF"/>
    <w:rsid w:val="004B3B47"/>
    <w:rsid w:val="004B3B75"/>
    <w:rsid w:val="004B3D38"/>
    <w:rsid w:val="004B4108"/>
    <w:rsid w:val="004B41E5"/>
    <w:rsid w:val="004B4640"/>
    <w:rsid w:val="004B4C38"/>
    <w:rsid w:val="004B4F0F"/>
    <w:rsid w:val="004B4F19"/>
    <w:rsid w:val="004B5222"/>
    <w:rsid w:val="004B5502"/>
    <w:rsid w:val="004B5698"/>
    <w:rsid w:val="004B5B65"/>
    <w:rsid w:val="004B6249"/>
    <w:rsid w:val="004B628E"/>
    <w:rsid w:val="004B63F0"/>
    <w:rsid w:val="004B63F6"/>
    <w:rsid w:val="004B665D"/>
    <w:rsid w:val="004B6909"/>
    <w:rsid w:val="004B7414"/>
    <w:rsid w:val="004B751B"/>
    <w:rsid w:val="004B7F08"/>
    <w:rsid w:val="004C064B"/>
    <w:rsid w:val="004C06BA"/>
    <w:rsid w:val="004C0BDC"/>
    <w:rsid w:val="004C0E8A"/>
    <w:rsid w:val="004C1259"/>
    <w:rsid w:val="004C1350"/>
    <w:rsid w:val="004C14C0"/>
    <w:rsid w:val="004C196E"/>
    <w:rsid w:val="004C1B41"/>
    <w:rsid w:val="004C1D61"/>
    <w:rsid w:val="004C1D8F"/>
    <w:rsid w:val="004C21AF"/>
    <w:rsid w:val="004C2BEE"/>
    <w:rsid w:val="004C2E62"/>
    <w:rsid w:val="004C30B1"/>
    <w:rsid w:val="004C31C6"/>
    <w:rsid w:val="004C3945"/>
    <w:rsid w:val="004C3D28"/>
    <w:rsid w:val="004C3EA1"/>
    <w:rsid w:val="004C4251"/>
    <w:rsid w:val="004C4305"/>
    <w:rsid w:val="004C4350"/>
    <w:rsid w:val="004C45BC"/>
    <w:rsid w:val="004C4A76"/>
    <w:rsid w:val="004C513C"/>
    <w:rsid w:val="004C54F0"/>
    <w:rsid w:val="004C57B9"/>
    <w:rsid w:val="004C5FF8"/>
    <w:rsid w:val="004C694E"/>
    <w:rsid w:val="004C695B"/>
    <w:rsid w:val="004C7270"/>
    <w:rsid w:val="004C753B"/>
    <w:rsid w:val="004C7742"/>
    <w:rsid w:val="004C7764"/>
    <w:rsid w:val="004C7915"/>
    <w:rsid w:val="004C7B78"/>
    <w:rsid w:val="004C7BBD"/>
    <w:rsid w:val="004C7CCF"/>
    <w:rsid w:val="004C7D96"/>
    <w:rsid w:val="004C7F73"/>
    <w:rsid w:val="004D04A7"/>
    <w:rsid w:val="004D04B9"/>
    <w:rsid w:val="004D0B96"/>
    <w:rsid w:val="004D0F49"/>
    <w:rsid w:val="004D10ED"/>
    <w:rsid w:val="004D1164"/>
    <w:rsid w:val="004D17F8"/>
    <w:rsid w:val="004D1A08"/>
    <w:rsid w:val="004D1CC8"/>
    <w:rsid w:val="004D2082"/>
    <w:rsid w:val="004D27E6"/>
    <w:rsid w:val="004D2DCA"/>
    <w:rsid w:val="004D3252"/>
    <w:rsid w:val="004D3344"/>
    <w:rsid w:val="004D387C"/>
    <w:rsid w:val="004D3FD0"/>
    <w:rsid w:val="004D4B19"/>
    <w:rsid w:val="004D4CBB"/>
    <w:rsid w:val="004D52C8"/>
    <w:rsid w:val="004D5509"/>
    <w:rsid w:val="004D5827"/>
    <w:rsid w:val="004D590E"/>
    <w:rsid w:val="004D5978"/>
    <w:rsid w:val="004D5ECA"/>
    <w:rsid w:val="004D63BE"/>
    <w:rsid w:val="004D6905"/>
    <w:rsid w:val="004D739C"/>
    <w:rsid w:val="004D7659"/>
    <w:rsid w:val="004D7A40"/>
    <w:rsid w:val="004E02A3"/>
    <w:rsid w:val="004E0615"/>
    <w:rsid w:val="004E07B5"/>
    <w:rsid w:val="004E08A2"/>
    <w:rsid w:val="004E0B64"/>
    <w:rsid w:val="004E0E1D"/>
    <w:rsid w:val="004E12F1"/>
    <w:rsid w:val="004E1A98"/>
    <w:rsid w:val="004E205B"/>
    <w:rsid w:val="004E2288"/>
    <w:rsid w:val="004E24B8"/>
    <w:rsid w:val="004E2507"/>
    <w:rsid w:val="004E2604"/>
    <w:rsid w:val="004E27F5"/>
    <w:rsid w:val="004E2998"/>
    <w:rsid w:val="004E3134"/>
    <w:rsid w:val="004E354F"/>
    <w:rsid w:val="004E360B"/>
    <w:rsid w:val="004E38CE"/>
    <w:rsid w:val="004E3BD2"/>
    <w:rsid w:val="004E3C71"/>
    <w:rsid w:val="004E3E42"/>
    <w:rsid w:val="004E4250"/>
    <w:rsid w:val="004E4369"/>
    <w:rsid w:val="004E457F"/>
    <w:rsid w:val="004E48E0"/>
    <w:rsid w:val="004E4AB2"/>
    <w:rsid w:val="004E4D32"/>
    <w:rsid w:val="004E52BB"/>
    <w:rsid w:val="004E570B"/>
    <w:rsid w:val="004E5941"/>
    <w:rsid w:val="004E6757"/>
    <w:rsid w:val="004E6A23"/>
    <w:rsid w:val="004E6B1F"/>
    <w:rsid w:val="004E71A9"/>
    <w:rsid w:val="004E77B3"/>
    <w:rsid w:val="004E7C68"/>
    <w:rsid w:val="004E7DAD"/>
    <w:rsid w:val="004F0033"/>
    <w:rsid w:val="004F03D0"/>
    <w:rsid w:val="004F03ED"/>
    <w:rsid w:val="004F12B3"/>
    <w:rsid w:val="004F1444"/>
    <w:rsid w:val="004F19A0"/>
    <w:rsid w:val="004F1AC3"/>
    <w:rsid w:val="004F1AF2"/>
    <w:rsid w:val="004F1C7F"/>
    <w:rsid w:val="004F1CFF"/>
    <w:rsid w:val="004F2084"/>
    <w:rsid w:val="004F26E4"/>
    <w:rsid w:val="004F276E"/>
    <w:rsid w:val="004F2ED8"/>
    <w:rsid w:val="004F336D"/>
    <w:rsid w:val="004F3569"/>
    <w:rsid w:val="004F39A1"/>
    <w:rsid w:val="004F39ED"/>
    <w:rsid w:val="004F4ABF"/>
    <w:rsid w:val="004F4D7B"/>
    <w:rsid w:val="004F4DC3"/>
    <w:rsid w:val="004F4E1B"/>
    <w:rsid w:val="004F4F02"/>
    <w:rsid w:val="004F5201"/>
    <w:rsid w:val="004F5770"/>
    <w:rsid w:val="004F5927"/>
    <w:rsid w:val="004F65DA"/>
    <w:rsid w:val="004F6627"/>
    <w:rsid w:val="004F6663"/>
    <w:rsid w:val="004F6D7A"/>
    <w:rsid w:val="004F7069"/>
    <w:rsid w:val="004F7225"/>
    <w:rsid w:val="004F7330"/>
    <w:rsid w:val="004F75E6"/>
    <w:rsid w:val="004F7622"/>
    <w:rsid w:val="004F7A0A"/>
    <w:rsid w:val="0050095F"/>
    <w:rsid w:val="00500A07"/>
    <w:rsid w:val="00500BF4"/>
    <w:rsid w:val="00500C10"/>
    <w:rsid w:val="00500EFB"/>
    <w:rsid w:val="00501028"/>
    <w:rsid w:val="0050112E"/>
    <w:rsid w:val="00501268"/>
    <w:rsid w:val="005013EF"/>
    <w:rsid w:val="005017FB"/>
    <w:rsid w:val="00501B51"/>
    <w:rsid w:val="00501D0E"/>
    <w:rsid w:val="00501F65"/>
    <w:rsid w:val="00501F67"/>
    <w:rsid w:val="00502033"/>
    <w:rsid w:val="005022CD"/>
    <w:rsid w:val="005027FD"/>
    <w:rsid w:val="00502D71"/>
    <w:rsid w:val="00503179"/>
    <w:rsid w:val="00503280"/>
    <w:rsid w:val="005034A0"/>
    <w:rsid w:val="00503F34"/>
    <w:rsid w:val="00504034"/>
    <w:rsid w:val="00504159"/>
    <w:rsid w:val="00504298"/>
    <w:rsid w:val="00504455"/>
    <w:rsid w:val="00504EC3"/>
    <w:rsid w:val="005060C9"/>
    <w:rsid w:val="00506203"/>
    <w:rsid w:val="00506362"/>
    <w:rsid w:val="005068C1"/>
    <w:rsid w:val="005071A7"/>
    <w:rsid w:val="00507257"/>
    <w:rsid w:val="00507313"/>
    <w:rsid w:val="00507529"/>
    <w:rsid w:val="005075A8"/>
    <w:rsid w:val="00507B59"/>
    <w:rsid w:val="00507E75"/>
    <w:rsid w:val="00510C3D"/>
    <w:rsid w:val="00510F4C"/>
    <w:rsid w:val="00511024"/>
    <w:rsid w:val="00511336"/>
    <w:rsid w:val="005117F0"/>
    <w:rsid w:val="00511818"/>
    <w:rsid w:val="00511A0E"/>
    <w:rsid w:val="00511E82"/>
    <w:rsid w:val="0051235A"/>
    <w:rsid w:val="00512DDF"/>
    <w:rsid w:val="0051342F"/>
    <w:rsid w:val="0051352E"/>
    <w:rsid w:val="00513CA8"/>
    <w:rsid w:val="00514186"/>
    <w:rsid w:val="00514972"/>
    <w:rsid w:val="00514A97"/>
    <w:rsid w:val="00514B77"/>
    <w:rsid w:val="00514CA1"/>
    <w:rsid w:val="00514E84"/>
    <w:rsid w:val="00515548"/>
    <w:rsid w:val="00515731"/>
    <w:rsid w:val="00515829"/>
    <w:rsid w:val="00515863"/>
    <w:rsid w:val="00515D56"/>
    <w:rsid w:val="00515F4C"/>
    <w:rsid w:val="00515F70"/>
    <w:rsid w:val="0051606B"/>
    <w:rsid w:val="00516A70"/>
    <w:rsid w:val="00516E59"/>
    <w:rsid w:val="00516EA4"/>
    <w:rsid w:val="00517D46"/>
    <w:rsid w:val="00517DA7"/>
    <w:rsid w:val="00517E36"/>
    <w:rsid w:val="00517E65"/>
    <w:rsid w:val="00520255"/>
    <w:rsid w:val="005207D9"/>
    <w:rsid w:val="0052097D"/>
    <w:rsid w:val="00520A33"/>
    <w:rsid w:val="00520B96"/>
    <w:rsid w:val="00520FB7"/>
    <w:rsid w:val="005215A0"/>
    <w:rsid w:val="00521994"/>
    <w:rsid w:val="00521CCB"/>
    <w:rsid w:val="00521FEC"/>
    <w:rsid w:val="00522191"/>
    <w:rsid w:val="0052270A"/>
    <w:rsid w:val="00522919"/>
    <w:rsid w:val="00522BEA"/>
    <w:rsid w:val="00523029"/>
    <w:rsid w:val="0052313D"/>
    <w:rsid w:val="00523626"/>
    <w:rsid w:val="00523DAC"/>
    <w:rsid w:val="00523FCD"/>
    <w:rsid w:val="00524048"/>
    <w:rsid w:val="005242E0"/>
    <w:rsid w:val="00524532"/>
    <w:rsid w:val="00524762"/>
    <w:rsid w:val="00524A58"/>
    <w:rsid w:val="00524C35"/>
    <w:rsid w:val="00525B6D"/>
    <w:rsid w:val="00526087"/>
    <w:rsid w:val="00526434"/>
    <w:rsid w:val="00526464"/>
    <w:rsid w:val="00526504"/>
    <w:rsid w:val="00526AE7"/>
    <w:rsid w:val="00526B99"/>
    <w:rsid w:val="005270CC"/>
    <w:rsid w:val="00527728"/>
    <w:rsid w:val="00527935"/>
    <w:rsid w:val="00527AE4"/>
    <w:rsid w:val="00527B05"/>
    <w:rsid w:val="00527BCF"/>
    <w:rsid w:val="00527BEB"/>
    <w:rsid w:val="00530249"/>
    <w:rsid w:val="00530395"/>
    <w:rsid w:val="00530456"/>
    <w:rsid w:val="0053111D"/>
    <w:rsid w:val="005312CF"/>
    <w:rsid w:val="00531351"/>
    <w:rsid w:val="005318CF"/>
    <w:rsid w:val="005318D3"/>
    <w:rsid w:val="005326A6"/>
    <w:rsid w:val="00532776"/>
    <w:rsid w:val="005327C1"/>
    <w:rsid w:val="00532CF9"/>
    <w:rsid w:val="00533384"/>
    <w:rsid w:val="005334A8"/>
    <w:rsid w:val="00533566"/>
    <w:rsid w:val="005339F7"/>
    <w:rsid w:val="00533B7B"/>
    <w:rsid w:val="00533BC8"/>
    <w:rsid w:val="00533E2C"/>
    <w:rsid w:val="00534099"/>
    <w:rsid w:val="005345F1"/>
    <w:rsid w:val="00534A57"/>
    <w:rsid w:val="00534F8A"/>
    <w:rsid w:val="00535674"/>
    <w:rsid w:val="00535C68"/>
    <w:rsid w:val="00536138"/>
    <w:rsid w:val="005363EC"/>
    <w:rsid w:val="00536D5E"/>
    <w:rsid w:val="00537228"/>
    <w:rsid w:val="00537529"/>
    <w:rsid w:val="00537747"/>
    <w:rsid w:val="005402D4"/>
    <w:rsid w:val="0054068A"/>
    <w:rsid w:val="0054090C"/>
    <w:rsid w:val="00540942"/>
    <w:rsid w:val="005409CE"/>
    <w:rsid w:val="0054194B"/>
    <w:rsid w:val="00541C15"/>
    <w:rsid w:val="00541E78"/>
    <w:rsid w:val="005420BD"/>
    <w:rsid w:val="005422D6"/>
    <w:rsid w:val="005428AE"/>
    <w:rsid w:val="00542A7B"/>
    <w:rsid w:val="00542E61"/>
    <w:rsid w:val="00542E72"/>
    <w:rsid w:val="00542ED1"/>
    <w:rsid w:val="00543179"/>
    <w:rsid w:val="00543C55"/>
    <w:rsid w:val="00543C6F"/>
    <w:rsid w:val="00544511"/>
    <w:rsid w:val="005445EE"/>
    <w:rsid w:val="00544672"/>
    <w:rsid w:val="005446AD"/>
    <w:rsid w:val="005447B9"/>
    <w:rsid w:val="0054480B"/>
    <w:rsid w:val="005454E6"/>
    <w:rsid w:val="005457A1"/>
    <w:rsid w:val="00545BD3"/>
    <w:rsid w:val="00546096"/>
    <w:rsid w:val="005462CD"/>
    <w:rsid w:val="005463BD"/>
    <w:rsid w:val="00546689"/>
    <w:rsid w:val="00546B5E"/>
    <w:rsid w:val="00546C00"/>
    <w:rsid w:val="00547A54"/>
    <w:rsid w:val="00547B12"/>
    <w:rsid w:val="00547E22"/>
    <w:rsid w:val="00550696"/>
    <w:rsid w:val="00550866"/>
    <w:rsid w:val="005508E2"/>
    <w:rsid w:val="00550ABE"/>
    <w:rsid w:val="005511C0"/>
    <w:rsid w:val="00551206"/>
    <w:rsid w:val="0055172B"/>
    <w:rsid w:val="00551F1E"/>
    <w:rsid w:val="00551F2D"/>
    <w:rsid w:val="00551F95"/>
    <w:rsid w:val="005520AA"/>
    <w:rsid w:val="005520F8"/>
    <w:rsid w:val="005521FA"/>
    <w:rsid w:val="00552632"/>
    <w:rsid w:val="00552A27"/>
    <w:rsid w:val="00553754"/>
    <w:rsid w:val="00553E74"/>
    <w:rsid w:val="0055447A"/>
    <w:rsid w:val="005547B8"/>
    <w:rsid w:val="00554B33"/>
    <w:rsid w:val="00554C72"/>
    <w:rsid w:val="00554EEA"/>
    <w:rsid w:val="00555083"/>
    <w:rsid w:val="00555608"/>
    <w:rsid w:val="00555CAD"/>
    <w:rsid w:val="005563C9"/>
    <w:rsid w:val="005570BA"/>
    <w:rsid w:val="00557136"/>
    <w:rsid w:val="00557478"/>
    <w:rsid w:val="005574BE"/>
    <w:rsid w:val="00557566"/>
    <w:rsid w:val="00557AA5"/>
    <w:rsid w:val="00557F90"/>
    <w:rsid w:val="005606AF"/>
    <w:rsid w:val="005606B3"/>
    <w:rsid w:val="00560796"/>
    <w:rsid w:val="00560B7C"/>
    <w:rsid w:val="00560C1F"/>
    <w:rsid w:val="00560DCA"/>
    <w:rsid w:val="00560E21"/>
    <w:rsid w:val="00560E84"/>
    <w:rsid w:val="00560EEA"/>
    <w:rsid w:val="00561899"/>
    <w:rsid w:val="005618D7"/>
    <w:rsid w:val="00561A11"/>
    <w:rsid w:val="00561C0D"/>
    <w:rsid w:val="0056207B"/>
    <w:rsid w:val="005626C9"/>
    <w:rsid w:val="005628F3"/>
    <w:rsid w:val="00562967"/>
    <w:rsid w:val="005629CA"/>
    <w:rsid w:val="005630D6"/>
    <w:rsid w:val="0056393F"/>
    <w:rsid w:val="00563ACF"/>
    <w:rsid w:val="00563FAE"/>
    <w:rsid w:val="00564B17"/>
    <w:rsid w:val="00564B9E"/>
    <w:rsid w:val="00564ECE"/>
    <w:rsid w:val="005650AB"/>
    <w:rsid w:val="0056512B"/>
    <w:rsid w:val="0056536C"/>
    <w:rsid w:val="00566030"/>
    <w:rsid w:val="005662A4"/>
    <w:rsid w:val="0056666E"/>
    <w:rsid w:val="00566872"/>
    <w:rsid w:val="005668CF"/>
    <w:rsid w:val="0056706D"/>
    <w:rsid w:val="005674AF"/>
    <w:rsid w:val="00567555"/>
    <w:rsid w:val="0057007A"/>
    <w:rsid w:val="0057049D"/>
    <w:rsid w:val="00570EA5"/>
    <w:rsid w:val="00570F2F"/>
    <w:rsid w:val="0057171B"/>
    <w:rsid w:val="0057178D"/>
    <w:rsid w:val="00571A77"/>
    <w:rsid w:val="00571C50"/>
    <w:rsid w:val="00571EB5"/>
    <w:rsid w:val="0057212F"/>
    <w:rsid w:val="0057247C"/>
    <w:rsid w:val="00572687"/>
    <w:rsid w:val="00572D2E"/>
    <w:rsid w:val="00572E12"/>
    <w:rsid w:val="0057341A"/>
    <w:rsid w:val="00573637"/>
    <w:rsid w:val="005736A4"/>
    <w:rsid w:val="00573C08"/>
    <w:rsid w:val="00574098"/>
    <w:rsid w:val="005741F3"/>
    <w:rsid w:val="005743AC"/>
    <w:rsid w:val="00574557"/>
    <w:rsid w:val="00574722"/>
    <w:rsid w:val="005747B4"/>
    <w:rsid w:val="00574988"/>
    <w:rsid w:val="00574E19"/>
    <w:rsid w:val="00574FFA"/>
    <w:rsid w:val="00575458"/>
    <w:rsid w:val="00575956"/>
    <w:rsid w:val="00575A4B"/>
    <w:rsid w:val="00575AF3"/>
    <w:rsid w:val="005760AA"/>
    <w:rsid w:val="005762A4"/>
    <w:rsid w:val="0057659E"/>
    <w:rsid w:val="00576876"/>
    <w:rsid w:val="00576C3F"/>
    <w:rsid w:val="0057712C"/>
    <w:rsid w:val="005772BB"/>
    <w:rsid w:val="00577471"/>
    <w:rsid w:val="00577A5C"/>
    <w:rsid w:val="00577A81"/>
    <w:rsid w:val="00577B3E"/>
    <w:rsid w:val="0058001F"/>
    <w:rsid w:val="00580021"/>
    <w:rsid w:val="0058019A"/>
    <w:rsid w:val="00580567"/>
    <w:rsid w:val="00580C8F"/>
    <w:rsid w:val="00580CA8"/>
    <w:rsid w:val="00580FC3"/>
    <w:rsid w:val="005810B1"/>
    <w:rsid w:val="00581255"/>
    <w:rsid w:val="0058132F"/>
    <w:rsid w:val="0058140D"/>
    <w:rsid w:val="00581B86"/>
    <w:rsid w:val="00581BE3"/>
    <w:rsid w:val="00581C93"/>
    <w:rsid w:val="00581D70"/>
    <w:rsid w:val="00581F85"/>
    <w:rsid w:val="005828F0"/>
    <w:rsid w:val="0058290E"/>
    <w:rsid w:val="00582D40"/>
    <w:rsid w:val="00582F0E"/>
    <w:rsid w:val="00583087"/>
    <w:rsid w:val="0058361D"/>
    <w:rsid w:val="005837D0"/>
    <w:rsid w:val="00583C3D"/>
    <w:rsid w:val="00583C73"/>
    <w:rsid w:val="00583E7C"/>
    <w:rsid w:val="0058405F"/>
    <w:rsid w:val="00584306"/>
    <w:rsid w:val="00584C1A"/>
    <w:rsid w:val="00584E16"/>
    <w:rsid w:val="00584E92"/>
    <w:rsid w:val="00584F26"/>
    <w:rsid w:val="005851CA"/>
    <w:rsid w:val="0058535E"/>
    <w:rsid w:val="005854B9"/>
    <w:rsid w:val="00585767"/>
    <w:rsid w:val="00585A48"/>
    <w:rsid w:val="00585C53"/>
    <w:rsid w:val="00585E8B"/>
    <w:rsid w:val="005863DC"/>
    <w:rsid w:val="00586699"/>
    <w:rsid w:val="00586B1C"/>
    <w:rsid w:val="00586BAD"/>
    <w:rsid w:val="00586E9D"/>
    <w:rsid w:val="0058702A"/>
    <w:rsid w:val="005870FF"/>
    <w:rsid w:val="0058718A"/>
    <w:rsid w:val="0058726A"/>
    <w:rsid w:val="00587453"/>
    <w:rsid w:val="005908E2"/>
    <w:rsid w:val="00590C4D"/>
    <w:rsid w:val="00590D10"/>
    <w:rsid w:val="0059187B"/>
    <w:rsid w:val="00591B36"/>
    <w:rsid w:val="00591B98"/>
    <w:rsid w:val="00591DAD"/>
    <w:rsid w:val="00591DDD"/>
    <w:rsid w:val="0059220B"/>
    <w:rsid w:val="00592352"/>
    <w:rsid w:val="005926C5"/>
    <w:rsid w:val="00592C19"/>
    <w:rsid w:val="00592ED4"/>
    <w:rsid w:val="00592EED"/>
    <w:rsid w:val="005932C2"/>
    <w:rsid w:val="00593374"/>
    <w:rsid w:val="00593590"/>
    <w:rsid w:val="00593A6F"/>
    <w:rsid w:val="00593BA6"/>
    <w:rsid w:val="0059424B"/>
    <w:rsid w:val="005942E5"/>
    <w:rsid w:val="00594485"/>
    <w:rsid w:val="0059448B"/>
    <w:rsid w:val="00594538"/>
    <w:rsid w:val="00594638"/>
    <w:rsid w:val="00594E01"/>
    <w:rsid w:val="00594E62"/>
    <w:rsid w:val="00595862"/>
    <w:rsid w:val="00595875"/>
    <w:rsid w:val="00595E81"/>
    <w:rsid w:val="005961D2"/>
    <w:rsid w:val="00596C1B"/>
    <w:rsid w:val="00596E53"/>
    <w:rsid w:val="00597D52"/>
    <w:rsid w:val="00597F34"/>
    <w:rsid w:val="005A030B"/>
    <w:rsid w:val="005A076D"/>
    <w:rsid w:val="005A084D"/>
    <w:rsid w:val="005A0B01"/>
    <w:rsid w:val="005A0BD0"/>
    <w:rsid w:val="005A0E3C"/>
    <w:rsid w:val="005A0E4C"/>
    <w:rsid w:val="005A13D0"/>
    <w:rsid w:val="005A13E5"/>
    <w:rsid w:val="005A18C0"/>
    <w:rsid w:val="005A194F"/>
    <w:rsid w:val="005A1952"/>
    <w:rsid w:val="005A1F19"/>
    <w:rsid w:val="005A20D5"/>
    <w:rsid w:val="005A20DE"/>
    <w:rsid w:val="005A22EB"/>
    <w:rsid w:val="005A2B78"/>
    <w:rsid w:val="005A2F99"/>
    <w:rsid w:val="005A35BC"/>
    <w:rsid w:val="005A389C"/>
    <w:rsid w:val="005A3D6F"/>
    <w:rsid w:val="005A46BD"/>
    <w:rsid w:val="005A477A"/>
    <w:rsid w:val="005A501F"/>
    <w:rsid w:val="005A50D5"/>
    <w:rsid w:val="005A5101"/>
    <w:rsid w:val="005A5490"/>
    <w:rsid w:val="005A56A0"/>
    <w:rsid w:val="005A5E15"/>
    <w:rsid w:val="005A604E"/>
    <w:rsid w:val="005A6241"/>
    <w:rsid w:val="005A63DF"/>
    <w:rsid w:val="005A66A6"/>
    <w:rsid w:val="005A66FD"/>
    <w:rsid w:val="005A6D39"/>
    <w:rsid w:val="005A6D53"/>
    <w:rsid w:val="005A6D8D"/>
    <w:rsid w:val="005A73AC"/>
    <w:rsid w:val="005A7861"/>
    <w:rsid w:val="005A7939"/>
    <w:rsid w:val="005A7BB3"/>
    <w:rsid w:val="005A7C3E"/>
    <w:rsid w:val="005A7D47"/>
    <w:rsid w:val="005B00C6"/>
    <w:rsid w:val="005B055C"/>
    <w:rsid w:val="005B0969"/>
    <w:rsid w:val="005B0984"/>
    <w:rsid w:val="005B0F6A"/>
    <w:rsid w:val="005B105C"/>
    <w:rsid w:val="005B120D"/>
    <w:rsid w:val="005B14FF"/>
    <w:rsid w:val="005B1DB0"/>
    <w:rsid w:val="005B2254"/>
    <w:rsid w:val="005B2799"/>
    <w:rsid w:val="005B2828"/>
    <w:rsid w:val="005B2F13"/>
    <w:rsid w:val="005B2FD7"/>
    <w:rsid w:val="005B2FF7"/>
    <w:rsid w:val="005B3F56"/>
    <w:rsid w:val="005B4422"/>
    <w:rsid w:val="005B47DE"/>
    <w:rsid w:val="005B4A3C"/>
    <w:rsid w:val="005B4C14"/>
    <w:rsid w:val="005B4FD6"/>
    <w:rsid w:val="005B51AB"/>
    <w:rsid w:val="005B554D"/>
    <w:rsid w:val="005B5892"/>
    <w:rsid w:val="005B590A"/>
    <w:rsid w:val="005B5EB0"/>
    <w:rsid w:val="005B5ED4"/>
    <w:rsid w:val="005B6068"/>
    <w:rsid w:val="005B62C5"/>
    <w:rsid w:val="005B65BA"/>
    <w:rsid w:val="005B6933"/>
    <w:rsid w:val="005B6A80"/>
    <w:rsid w:val="005B6D6A"/>
    <w:rsid w:val="005B720A"/>
    <w:rsid w:val="005B7537"/>
    <w:rsid w:val="005B789B"/>
    <w:rsid w:val="005C05AF"/>
    <w:rsid w:val="005C078D"/>
    <w:rsid w:val="005C0922"/>
    <w:rsid w:val="005C09FA"/>
    <w:rsid w:val="005C10F7"/>
    <w:rsid w:val="005C11B0"/>
    <w:rsid w:val="005C17A2"/>
    <w:rsid w:val="005C1D76"/>
    <w:rsid w:val="005C1DEC"/>
    <w:rsid w:val="005C1E1C"/>
    <w:rsid w:val="005C20B3"/>
    <w:rsid w:val="005C296F"/>
    <w:rsid w:val="005C3529"/>
    <w:rsid w:val="005C3B25"/>
    <w:rsid w:val="005C3F75"/>
    <w:rsid w:val="005C4174"/>
    <w:rsid w:val="005C4435"/>
    <w:rsid w:val="005C4BE1"/>
    <w:rsid w:val="005C4CE4"/>
    <w:rsid w:val="005C5097"/>
    <w:rsid w:val="005C50EE"/>
    <w:rsid w:val="005C52FA"/>
    <w:rsid w:val="005C59D1"/>
    <w:rsid w:val="005C5C14"/>
    <w:rsid w:val="005C5C78"/>
    <w:rsid w:val="005C6202"/>
    <w:rsid w:val="005C62BD"/>
    <w:rsid w:val="005C69A6"/>
    <w:rsid w:val="005C6A33"/>
    <w:rsid w:val="005C6B94"/>
    <w:rsid w:val="005C6C01"/>
    <w:rsid w:val="005C728B"/>
    <w:rsid w:val="005C7652"/>
    <w:rsid w:val="005C7967"/>
    <w:rsid w:val="005C7D23"/>
    <w:rsid w:val="005C7DC1"/>
    <w:rsid w:val="005D0351"/>
    <w:rsid w:val="005D09EE"/>
    <w:rsid w:val="005D12B5"/>
    <w:rsid w:val="005D149B"/>
    <w:rsid w:val="005D15C2"/>
    <w:rsid w:val="005D17FA"/>
    <w:rsid w:val="005D1CC7"/>
    <w:rsid w:val="005D1DBD"/>
    <w:rsid w:val="005D1FC0"/>
    <w:rsid w:val="005D2044"/>
    <w:rsid w:val="005D2094"/>
    <w:rsid w:val="005D22BA"/>
    <w:rsid w:val="005D259E"/>
    <w:rsid w:val="005D269D"/>
    <w:rsid w:val="005D2797"/>
    <w:rsid w:val="005D2915"/>
    <w:rsid w:val="005D29F6"/>
    <w:rsid w:val="005D319F"/>
    <w:rsid w:val="005D383E"/>
    <w:rsid w:val="005D408B"/>
    <w:rsid w:val="005D4118"/>
    <w:rsid w:val="005D42E1"/>
    <w:rsid w:val="005D4E9A"/>
    <w:rsid w:val="005D5491"/>
    <w:rsid w:val="005D54EC"/>
    <w:rsid w:val="005D56E2"/>
    <w:rsid w:val="005D5A23"/>
    <w:rsid w:val="005D67D7"/>
    <w:rsid w:val="005D7424"/>
    <w:rsid w:val="005D7491"/>
    <w:rsid w:val="005D75F1"/>
    <w:rsid w:val="005D7A7F"/>
    <w:rsid w:val="005D7ACC"/>
    <w:rsid w:val="005D7B49"/>
    <w:rsid w:val="005D7D67"/>
    <w:rsid w:val="005D7EC2"/>
    <w:rsid w:val="005D7F95"/>
    <w:rsid w:val="005E0832"/>
    <w:rsid w:val="005E0A81"/>
    <w:rsid w:val="005E0D2A"/>
    <w:rsid w:val="005E0ED0"/>
    <w:rsid w:val="005E161E"/>
    <w:rsid w:val="005E1ADE"/>
    <w:rsid w:val="005E200A"/>
    <w:rsid w:val="005E2431"/>
    <w:rsid w:val="005E28E8"/>
    <w:rsid w:val="005E2EE6"/>
    <w:rsid w:val="005E30C6"/>
    <w:rsid w:val="005E3418"/>
    <w:rsid w:val="005E353F"/>
    <w:rsid w:val="005E3A10"/>
    <w:rsid w:val="005E4053"/>
    <w:rsid w:val="005E41BC"/>
    <w:rsid w:val="005E44A3"/>
    <w:rsid w:val="005E4CD3"/>
    <w:rsid w:val="005E4D08"/>
    <w:rsid w:val="005E5382"/>
    <w:rsid w:val="005E54EE"/>
    <w:rsid w:val="005E5641"/>
    <w:rsid w:val="005E5BDE"/>
    <w:rsid w:val="005E5D8B"/>
    <w:rsid w:val="005E5EA9"/>
    <w:rsid w:val="005E64BB"/>
    <w:rsid w:val="005E6B85"/>
    <w:rsid w:val="005E7090"/>
    <w:rsid w:val="005E775A"/>
    <w:rsid w:val="005E77B5"/>
    <w:rsid w:val="005E79A2"/>
    <w:rsid w:val="005E7D76"/>
    <w:rsid w:val="005E7E7A"/>
    <w:rsid w:val="005E7FDE"/>
    <w:rsid w:val="005F066A"/>
    <w:rsid w:val="005F0B12"/>
    <w:rsid w:val="005F1AE8"/>
    <w:rsid w:val="005F21B9"/>
    <w:rsid w:val="005F2C11"/>
    <w:rsid w:val="005F2D81"/>
    <w:rsid w:val="005F2E37"/>
    <w:rsid w:val="005F32B9"/>
    <w:rsid w:val="005F3927"/>
    <w:rsid w:val="005F399C"/>
    <w:rsid w:val="005F3DCF"/>
    <w:rsid w:val="005F3F02"/>
    <w:rsid w:val="005F428B"/>
    <w:rsid w:val="005F4361"/>
    <w:rsid w:val="005F43CC"/>
    <w:rsid w:val="005F482A"/>
    <w:rsid w:val="005F4DA2"/>
    <w:rsid w:val="005F4E5F"/>
    <w:rsid w:val="005F4EF5"/>
    <w:rsid w:val="005F51C2"/>
    <w:rsid w:val="005F53A7"/>
    <w:rsid w:val="005F5663"/>
    <w:rsid w:val="005F5A4B"/>
    <w:rsid w:val="005F63CD"/>
    <w:rsid w:val="005F68A5"/>
    <w:rsid w:val="005F68BA"/>
    <w:rsid w:val="005F6A96"/>
    <w:rsid w:val="005F6F15"/>
    <w:rsid w:val="005F71FE"/>
    <w:rsid w:val="005F7AC5"/>
    <w:rsid w:val="005F7D6A"/>
    <w:rsid w:val="00600129"/>
    <w:rsid w:val="00600277"/>
    <w:rsid w:val="00600464"/>
    <w:rsid w:val="006006D6"/>
    <w:rsid w:val="006009D0"/>
    <w:rsid w:val="00600F81"/>
    <w:rsid w:val="00601737"/>
    <w:rsid w:val="00601DFE"/>
    <w:rsid w:val="00601FB3"/>
    <w:rsid w:val="00602001"/>
    <w:rsid w:val="006022DC"/>
    <w:rsid w:val="006023EC"/>
    <w:rsid w:val="0060263C"/>
    <w:rsid w:val="006027A0"/>
    <w:rsid w:val="006027B4"/>
    <w:rsid w:val="00602914"/>
    <w:rsid w:val="00602C4F"/>
    <w:rsid w:val="006030FA"/>
    <w:rsid w:val="00603B74"/>
    <w:rsid w:val="0060403A"/>
    <w:rsid w:val="0060444B"/>
    <w:rsid w:val="006045E6"/>
    <w:rsid w:val="006046F0"/>
    <w:rsid w:val="00604884"/>
    <w:rsid w:val="00604987"/>
    <w:rsid w:val="00604DBA"/>
    <w:rsid w:val="006054D5"/>
    <w:rsid w:val="006057A4"/>
    <w:rsid w:val="00605834"/>
    <w:rsid w:val="00605A63"/>
    <w:rsid w:val="00605AC8"/>
    <w:rsid w:val="00605B5E"/>
    <w:rsid w:val="00605F17"/>
    <w:rsid w:val="006061AE"/>
    <w:rsid w:val="00606306"/>
    <w:rsid w:val="00606CBB"/>
    <w:rsid w:val="00607347"/>
    <w:rsid w:val="00607806"/>
    <w:rsid w:val="0060796D"/>
    <w:rsid w:val="00607B94"/>
    <w:rsid w:val="00607F74"/>
    <w:rsid w:val="00610696"/>
    <w:rsid w:val="0061098D"/>
    <w:rsid w:val="00610EB0"/>
    <w:rsid w:val="00610EFE"/>
    <w:rsid w:val="006112AF"/>
    <w:rsid w:val="0061190C"/>
    <w:rsid w:val="006119FD"/>
    <w:rsid w:val="00611ECD"/>
    <w:rsid w:val="00612EB0"/>
    <w:rsid w:val="00612EB4"/>
    <w:rsid w:val="006137DA"/>
    <w:rsid w:val="006137FE"/>
    <w:rsid w:val="006138B3"/>
    <w:rsid w:val="00613A92"/>
    <w:rsid w:val="00613F27"/>
    <w:rsid w:val="00614082"/>
    <w:rsid w:val="00614609"/>
    <w:rsid w:val="00614775"/>
    <w:rsid w:val="00614889"/>
    <w:rsid w:val="006150C6"/>
    <w:rsid w:val="006154D2"/>
    <w:rsid w:val="006156A5"/>
    <w:rsid w:val="00615835"/>
    <w:rsid w:val="00615BA3"/>
    <w:rsid w:val="006163C9"/>
    <w:rsid w:val="00616821"/>
    <w:rsid w:val="00616B96"/>
    <w:rsid w:val="00616F0D"/>
    <w:rsid w:val="0061739A"/>
    <w:rsid w:val="00617ACB"/>
    <w:rsid w:val="00620619"/>
    <w:rsid w:val="00620981"/>
    <w:rsid w:val="00620A3E"/>
    <w:rsid w:val="00620E6D"/>
    <w:rsid w:val="00621634"/>
    <w:rsid w:val="00621BD9"/>
    <w:rsid w:val="00621BF0"/>
    <w:rsid w:val="00621D08"/>
    <w:rsid w:val="00622029"/>
    <w:rsid w:val="0062213C"/>
    <w:rsid w:val="00622626"/>
    <w:rsid w:val="00622738"/>
    <w:rsid w:val="0062279D"/>
    <w:rsid w:val="00622C85"/>
    <w:rsid w:val="00622F8A"/>
    <w:rsid w:val="00622FC2"/>
    <w:rsid w:val="006231CD"/>
    <w:rsid w:val="00623486"/>
    <w:rsid w:val="00623534"/>
    <w:rsid w:val="00623658"/>
    <w:rsid w:val="00623880"/>
    <w:rsid w:val="00623A0C"/>
    <w:rsid w:val="00623EA7"/>
    <w:rsid w:val="006240A3"/>
    <w:rsid w:val="0062424D"/>
    <w:rsid w:val="00624266"/>
    <w:rsid w:val="00624466"/>
    <w:rsid w:val="006246D2"/>
    <w:rsid w:val="00624998"/>
    <w:rsid w:val="00624AF2"/>
    <w:rsid w:val="00624D23"/>
    <w:rsid w:val="00624E6A"/>
    <w:rsid w:val="00625031"/>
    <w:rsid w:val="006253C0"/>
    <w:rsid w:val="00625506"/>
    <w:rsid w:val="00625B33"/>
    <w:rsid w:val="00625CBE"/>
    <w:rsid w:val="00625DE9"/>
    <w:rsid w:val="00626206"/>
    <w:rsid w:val="006265FB"/>
    <w:rsid w:val="00626639"/>
    <w:rsid w:val="00626E1C"/>
    <w:rsid w:val="00626FD8"/>
    <w:rsid w:val="006300C4"/>
    <w:rsid w:val="00630D83"/>
    <w:rsid w:val="00630DDF"/>
    <w:rsid w:val="00630FAC"/>
    <w:rsid w:val="0063115C"/>
    <w:rsid w:val="0063129F"/>
    <w:rsid w:val="0063139E"/>
    <w:rsid w:val="00631648"/>
    <w:rsid w:val="006319CA"/>
    <w:rsid w:val="00631C09"/>
    <w:rsid w:val="00631DDD"/>
    <w:rsid w:val="00631E1A"/>
    <w:rsid w:val="006320D2"/>
    <w:rsid w:val="0063238C"/>
    <w:rsid w:val="0063296A"/>
    <w:rsid w:val="00632BF2"/>
    <w:rsid w:val="0063338B"/>
    <w:rsid w:val="006333F1"/>
    <w:rsid w:val="0063372E"/>
    <w:rsid w:val="00633A2F"/>
    <w:rsid w:val="00633D1D"/>
    <w:rsid w:val="00633E2B"/>
    <w:rsid w:val="00633F11"/>
    <w:rsid w:val="00633F2F"/>
    <w:rsid w:val="00634289"/>
    <w:rsid w:val="006342A1"/>
    <w:rsid w:val="0063452C"/>
    <w:rsid w:val="006347BA"/>
    <w:rsid w:val="00634A98"/>
    <w:rsid w:val="00634F93"/>
    <w:rsid w:val="0063524B"/>
    <w:rsid w:val="006359DA"/>
    <w:rsid w:val="00635ACF"/>
    <w:rsid w:val="00635D36"/>
    <w:rsid w:val="00636084"/>
    <w:rsid w:val="00636191"/>
    <w:rsid w:val="00636196"/>
    <w:rsid w:val="00636860"/>
    <w:rsid w:val="00636B54"/>
    <w:rsid w:val="00636B57"/>
    <w:rsid w:val="00636BF9"/>
    <w:rsid w:val="00636EFF"/>
    <w:rsid w:val="00637176"/>
    <w:rsid w:val="00637224"/>
    <w:rsid w:val="00637337"/>
    <w:rsid w:val="00640666"/>
    <w:rsid w:val="006406D2"/>
    <w:rsid w:val="0064106D"/>
    <w:rsid w:val="006410DB"/>
    <w:rsid w:val="006412B9"/>
    <w:rsid w:val="006412C2"/>
    <w:rsid w:val="00641460"/>
    <w:rsid w:val="0064158D"/>
    <w:rsid w:val="00641766"/>
    <w:rsid w:val="0064195A"/>
    <w:rsid w:val="0064197C"/>
    <w:rsid w:val="00641B73"/>
    <w:rsid w:val="00641F61"/>
    <w:rsid w:val="00641FAF"/>
    <w:rsid w:val="00642112"/>
    <w:rsid w:val="00642230"/>
    <w:rsid w:val="00642327"/>
    <w:rsid w:val="0064273C"/>
    <w:rsid w:val="00642801"/>
    <w:rsid w:val="00642ACF"/>
    <w:rsid w:val="00642CB7"/>
    <w:rsid w:val="006431A8"/>
    <w:rsid w:val="00643216"/>
    <w:rsid w:val="006432D6"/>
    <w:rsid w:val="00643614"/>
    <w:rsid w:val="0064375A"/>
    <w:rsid w:val="00644026"/>
    <w:rsid w:val="006451B0"/>
    <w:rsid w:val="00645371"/>
    <w:rsid w:val="0064545B"/>
    <w:rsid w:val="00645EB6"/>
    <w:rsid w:val="00646087"/>
    <w:rsid w:val="0064617E"/>
    <w:rsid w:val="006464E4"/>
    <w:rsid w:val="00646658"/>
    <w:rsid w:val="006466DA"/>
    <w:rsid w:val="00646BCE"/>
    <w:rsid w:val="00646D0A"/>
    <w:rsid w:val="00646D6A"/>
    <w:rsid w:val="00646E70"/>
    <w:rsid w:val="00646FE7"/>
    <w:rsid w:val="00647075"/>
    <w:rsid w:val="006473AE"/>
    <w:rsid w:val="006500CC"/>
    <w:rsid w:val="006501F0"/>
    <w:rsid w:val="00650593"/>
    <w:rsid w:val="00650930"/>
    <w:rsid w:val="0065139A"/>
    <w:rsid w:val="006518E4"/>
    <w:rsid w:val="0065271B"/>
    <w:rsid w:val="00652C23"/>
    <w:rsid w:val="00652F10"/>
    <w:rsid w:val="006530B0"/>
    <w:rsid w:val="006532DF"/>
    <w:rsid w:val="00653327"/>
    <w:rsid w:val="00653361"/>
    <w:rsid w:val="006536FE"/>
    <w:rsid w:val="00653FDB"/>
    <w:rsid w:val="00654036"/>
    <w:rsid w:val="0065406D"/>
    <w:rsid w:val="006546C8"/>
    <w:rsid w:val="00654896"/>
    <w:rsid w:val="00654C1B"/>
    <w:rsid w:val="0065552F"/>
    <w:rsid w:val="00655A42"/>
    <w:rsid w:val="00656642"/>
    <w:rsid w:val="006570CA"/>
    <w:rsid w:val="00657638"/>
    <w:rsid w:val="00657D95"/>
    <w:rsid w:val="006600E2"/>
    <w:rsid w:val="006608AA"/>
    <w:rsid w:val="00660E08"/>
    <w:rsid w:val="0066120D"/>
    <w:rsid w:val="0066145D"/>
    <w:rsid w:val="0066165E"/>
    <w:rsid w:val="006619A2"/>
    <w:rsid w:val="00661A61"/>
    <w:rsid w:val="00661B84"/>
    <w:rsid w:val="00661DD1"/>
    <w:rsid w:val="00661E6B"/>
    <w:rsid w:val="00661ED4"/>
    <w:rsid w:val="006621C9"/>
    <w:rsid w:val="006622A6"/>
    <w:rsid w:val="006628EF"/>
    <w:rsid w:val="00662958"/>
    <w:rsid w:val="00662AB9"/>
    <w:rsid w:val="00662E1A"/>
    <w:rsid w:val="00663036"/>
    <w:rsid w:val="00663255"/>
    <w:rsid w:val="0066333F"/>
    <w:rsid w:val="006635DD"/>
    <w:rsid w:val="00663824"/>
    <w:rsid w:val="00663C95"/>
    <w:rsid w:val="00663DA2"/>
    <w:rsid w:val="006644C2"/>
    <w:rsid w:val="00664720"/>
    <w:rsid w:val="00664839"/>
    <w:rsid w:val="00664E98"/>
    <w:rsid w:val="0066513D"/>
    <w:rsid w:val="006651C3"/>
    <w:rsid w:val="006657D7"/>
    <w:rsid w:val="00665808"/>
    <w:rsid w:val="006658CB"/>
    <w:rsid w:val="006659C7"/>
    <w:rsid w:val="00665A09"/>
    <w:rsid w:val="00666053"/>
    <w:rsid w:val="006664D5"/>
    <w:rsid w:val="0066699D"/>
    <w:rsid w:val="00667269"/>
    <w:rsid w:val="006673D5"/>
    <w:rsid w:val="00667527"/>
    <w:rsid w:val="0066756D"/>
    <w:rsid w:val="0066788D"/>
    <w:rsid w:val="0067009F"/>
    <w:rsid w:val="006703BC"/>
    <w:rsid w:val="00670632"/>
    <w:rsid w:val="00670869"/>
    <w:rsid w:val="00670A9E"/>
    <w:rsid w:val="00670EFB"/>
    <w:rsid w:val="006710DD"/>
    <w:rsid w:val="006713CF"/>
    <w:rsid w:val="006713E5"/>
    <w:rsid w:val="006718C0"/>
    <w:rsid w:val="00671AB5"/>
    <w:rsid w:val="00672912"/>
    <w:rsid w:val="00672F45"/>
    <w:rsid w:val="0067341D"/>
    <w:rsid w:val="00673461"/>
    <w:rsid w:val="006739BF"/>
    <w:rsid w:val="00673E16"/>
    <w:rsid w:val="00674AEB"/>
    <w:rsid w:val="00675355"/>
    <w:rsid w:val="00675554"/>
    <w:rsid w:val="00675740"/>
    <w:rsid w:val="006759EC"/>
    <w:rsid w:val="00675D5E"/>
    <w:rsid w:val="00677154"/>
    <w:rsid w:val="0067746C"/>
    <w:rsid w:val="0067787D"/>
    <w:rsid w:val="00677ACF"/>
    <w:rsid w:val="00677C39"/>
    <w:rsid w:val="00680194"/>
    <w:rsid w:val="00680197"/>
    <w:rsid w:val="006805A7"/>
    <w:rsid w:val="006806CC"/>
    <w:rsid w:val="00680A70"/>
    <w:rsid w:val="00680A75"/>
    <w:rsid w:val="00680B39"/>
    <w:rsid w:val="00680C27"/>
    <w:rsid w:val="00680CB2"/>
    <w:rsid w:val="00680CEE"/>
    <w:rsid w:val="00680FAE"/>
    <w:rsid w:val="00681251"/>
    <w:rsid w:val="00681433"/>
    <w:rsid w:val="00681E94"/>
    <w:rsid w:val="00681F23"/>
    <w:rsid w:val="00682387"/>
    <w:rsid w:val="00682507"/>
    <w:rsid w:val="006827D7"/>
    <w:rsid w:val="00682AAB"/>
    <w:rsid w:val="00682C2F"/>
    <w:rsid w:val="00682E70"/>
    <w:rsid w:val="006833D8"/>
    <w:rsid w:val="00683994"/>
    <w:rsid w:val="006839C0"/>
    <w:rsid w:val="00683C15"/>
    <w:rsid w:val="00683C9E"/>
    <w:rsid w:val="00683D1C"/>
    <w:rsid w:val="00683DCC"/>
    <w:rsid w:val="00683E79"/>
    <w:rsid w:val="00683E8A"/>
    <w:rsid w:val="006841DE"/>
    <w:rsid w:val="00684712"/>
    <w:rsid w:val="00684740"/>
    <w:rsid w:val="0068477C"/>
    <w:rsid w:val="0068497D"/>
    <w:rsid w:val="00684A06"/>
    <w:rsid w:val="00684B44"/>
    <w:rsid w:val="00684C18"/>
    <w:rsid w:val="00684CA1"/>
    <w:rsid w:val="00684E09"/>
    <w:rsid w:val="00685339"/>
    <w:rsid w:val="006856F1"/>
    <w:rsid w:val="00685F81"/>
    <w:rsid w:val="006865CD"/>
    <w:rsid w:val="0068660E"/>
    <w:rsid w:val="00687291"/>
    <w:rsid w:val="006874D2"/>
    <w:rsid w:val="006900FC"/>
    <w:rsid w:val="00690400"/>
    <w:rsid w:val="00690442"/>
    <w:rsid w:val="006906F2"/>
    <w:rsid w:val="00690B6C"/>
    <w:rsid w:val="0069100E"/>
    <w:rsid w:val="00691112"/>
    <w:rsid w:val="00691272"/>
    <w:rsid w:val="00691277"/>
    <w:rsid w:val="0069136C"/>
    <w:rsid w:val="00691397"/>
    <w:rsid w:val="006914D6"/>
    <w:rsid w:val="0069184A"/>
    <w:rsid w:val="006919A8"/>
    <w:rsid w:val="00691AD0"/>
    <w:rsid w:val="0069211B"/>
    <w:rsid w:val="00692492"/>
    <w:rsid w:val="00692687"/>
    <w:rsid w:val="006929AD"/>
    <w:rsid w:val="00692E06"/>
    <w:rsid w:val="0069331D"/>
    <w:rsid w:val="00693720"/>
    <w:rsid w:val="00693968"/>
    <w:rsid w:val="00694807"/>
    <w:rsid w:val="00694C79"/>
    <w:rsid w:val="00694D61"/>
    <w:rsid w:val="006956EB"/>
    <w:rsid w:val="00695859"/>
    <w:rsid w:val="00695B5A"/>
    <w:rsid w:val="00695CBA"/>
    <w:rsid w:val="006960C9"/>
    <w:rsid w:val="00696256"/>
    <w:rsid w:val="006969FA"/>
    <w:rsid w:val="00696DA3"/>
    <w:rsid w:val="00696DA9"/>
    <w:rsid w:val="00696DBD"/>
    <w:rsid w:val="00696EDE"/>
    <w:rsid w:val="00697063"/>
    <w:rsid w:val="00697351"/>
    <w:rsid w:val="006974D8"/>
    <w:rsid w:val="00697AD5"/>
    <w:rsid w:val="00697DA1"/>
    <w:rsid w:val="00697EBE"/>
    <w:rsid w:val="00697FC8"/>
    <w:rsid w:val="006A02FB"/>
    <w:rsid w:val="006A059F"/>
    <w:rsid w:val="006A0A44"/>
    <w:rsid w:val="006A0B6D"/>
    <w:rsid w:val="006A0E44"/>
    <w:rsid w:val="006A0E85"/>
    <w:rsid w:val="006A1425"/>
    <w:rsid w:val="006A1C0B"/>
    <w:rsid w:val="006A1EF0"/>
    <w:rsid w:val="006A2117"/>
    <w:rsid w:val="006A2231"/>
    <w:rsid w:val="006A23A3"/>
    <w:rsid w:val="006A2AAE"/>
    <w:rsid w:val="006A2B5A"/>
    <w:rsid w:val="006A2DC5"/>
    <w:rsid w:val="006A2DF1"/>
    <w:rsid w:val="006A2DF2"/>
    <w:rsid w:val="006A2FC1"/>
    <w:rsid w:val="006A2FD1"/>
    <w:rsid w:val="006A3104"/>
    <w:rsid w:val="006A31A3"/>
    <w:rsid w:val="006A31EB"/>
    <w:rsid w:val="006A3295"/>
    <w:rsid w:val="006A39C1"/>
    <w:rsid w:val="006A3A26"/>
    <w:rsid w:val="006A3DDC"/>
    <w:rsid w:val="006A3EFE"/>
    <w:rsid w:val="006A4095"/>
    <w:rsid w:val="006A43A6"/>
    <w:rsid w:val="006A4454"/>
    <w:rsid w:val="006A46C4"/>
    <w:rsid w:val="006A4C6E"/>
    <w:rsid w:val="006A4D88"/>
    <w:rsid w:val="006A506C"/>
    <w:rsid w:val="006A54A8"/>
    <w:rsid w:val="006A54F0"/>
    <w:rsid w:val="006A5B39"/>
    <w:rsid w:val="006A695D"/>
    <w:rsid w:val="006A6B4E"/>
    <w:rsid w:val="006A6C93"/>
    <w:rsid w:val="006A6E57"/>
    <w:rsid w:val="006A7264"/>
    <w:rsid w:val="006A7349"/>
    <w:rsid w:val="006A762E"/>
    <w:rsid w:val="006A77BD"/>
    <w:rsid w:val="006A7EBC"/>
    <w:rsid w:val="006A7F40"/>
    <w:rsid w:val="006B0806"/>
    <w:rsid w:val="006B0AB3"/>
    <w:rsid w:val="006B0B34"/>
    <w:rsid w:val="006B0B6A"/>
    <w:rsid w:val="006B1089"/>
    <w:rsid w:val="006B13BB"/>
    <w:rsid w:val="006B1550"/>
    <w:rsid w:val="006B1898"/>
    <w:rsid w:val="006B1974"/>
    <w:rsid w:val="006B1E84"/>
    <w:rsid w:val="006B217F"/>
    <w:rsid w:val="006B225D"/>
    <w:rsid w:val="006B2304"/>
    <w:rsid w:val="006B2536"/>
    <w:rsid w:val="006B2FF8"/>
    <w:rsid w:val="006B349F"/>
    <w:rsid w:val="006B3504"/>
    <w:rsid w:val="006B38A1"/>
    <w:rsid w:val="006B3C44"/>
    <w:rsid w:val="006B3EAC"/>
    <w:rsid w:val="006B4490"/>
    <w:rsid w:val="006B4565"/>
    <w:rsid w:val="006B4BC9"/>
    <w:rsid w:val="006B4C26"/>
    <w:rsid w:val="006B5998"/>
    <w:rsid w:val="006B5BDA"/>
    <w:rsid w:val="006B5E0D"/>
    <w:rsid w:val="006B5EA6"/>
    <w:rsid w:val="006B6A72"/>
    <w:rsid w:val="006B6F29"/>
    <w:rsid w:val="006B6F7E"/>
    <w:rsid w:val="006B7533"/>
    <w:rsid w:val="006C0C15"/>
    <w:rsid w:val="006C0E61"/>
    <w:rsid w:val="006C11F0"/>
    <w:rsid w:val="006C12A3"/>
    <w:rsid w:val="006C134F"/>
    <w:rsid w:val="006C1580"/>
    <w:rsid w:val="006C1595"/>
    <w:rsid w:val="006C1DCE"/>
    <w:rsid w:val="006C217A"/>
    <w:rsid w:val="006C2348"/>
    <w:rsid w:val="006C2885"/>
    <w:rsid w:val="006C2B5F"/>
    <w:rsid w:val="006C3660"/>
    <w:rsid w:val="006C390A"/>
    <w:rsid w:val="006C391A"/>
    <w:rsid w:val="006C3AF6"/>
    <w:rsid w:val="006C3FD8"/>
    <w:rsid w:val="006C4359"/>
    <w:rsid w:val="006C4377"/>
    <w:rsid w:val="006C4694"/>
    <w:rsid w:val="006C529B"/>
    <w:rsid w:val="006C53B7"/>
    <w:rsid w:val="006C57EB"/>
    <w:rsid w:val="006C5C1C"/>
    <w:rsid w:val="006C5EEE"/>
    <w:rsid w:val="006C5F71"/>
    <w:rsid w:val="006C6A94"/>
    <w:rsid w:val="006C6CB5"/>
    <w:rsid w:val="006C6CFA"/>
    <w:rsid w:val="006C6DDF"/>
    <w:rsid w:val="006C6F7E"/>
    <w:rsid w:val="006C7044"/>
    <w:rsid w:val="006C72AD"/>
    <w:rsid w:val="006C74BB"/>
    <w:rsid w:val="006C7BCD"/>
    <w:rsid w:val="006D013D"/>
    <w:rsid w:val="006D0190"/>
    <w:rsid w:val="006D01C8"/>
    <w:rsid w:val="006D03B6"/>
    <w:rsid w:val="006D0BFB"/>
    <w:rsid w:val="006D0DBB"/>
    <w:rsid w:val="006D14CD"/>
    <w:rsid w:val="006D1916"/>
    <w:rsid w:val="006D1C22"/>
    <w:rsid w:val="006D23B3"/>
    <w:rsid w:val="006D2C15"/>
    <w:rsid w:val="006D31CF"/>
    <w:rsid w:val="006D3BED"/>
    <w:rsid w:val="006D3CFB"/>
    <w:rsid w:val="006D3DBB"/>
    <w:rsid w:val="006D4245"/>
    <w:rsid w:val="006D426F"/>
    <w:rsid w:val="006D4276"/>
    <w:rsid w:val="006D432C"/>
    <w:rsid w:val="006D4485"/>
    <w:rsid w:val="006D4A42"/>
    <w:rsid w:val="006D4ADD"/>
    <w:rsid w:val="006D4AE0"/>
    <w:rsid w:val="006D4D9A"/>
    <w:rsid w:val="006D4F58"/>
    <w:rsid w:val="006D5BBF"/>
    <w:rsid w:val="006D5C23"/>
    <w:rsid w:val="006D6A87"/>
    <w:rsid w:val="006D75C0"/>
    <w:rsid w:val="006D7C9D"/>
    <w:rsid w:val="006D7CD6"/>
    <w:rsid w:val="006E005F"/>
    <w:rsid w:val="006E09E4"/>
    <w:rsid w:val="006E0C6B"/>
    <w:rsid w:val="006E0F9B"/>
    <w:rsid w:val="006E12E5"/>
    <w:rsid w:val="006E13BC"/>
    <w:rsid w:val="006E214C"/>
    <w:rsid w:val="006E2677"/>
    <w:rsid w:val="006E26BD"/>
    <w:rsid w:val="006E2849"/>
    <w:rsid w:val="006E2A41"/>
    <w:rsid w:val="006E2D68"/>
    <w:rsid w:val="006E2D9A"/>
    <w:rsid w:val="006E2E5B"/>
    <w:rsid w:val="006E2EFF"/>
    <w:rsid w:val="006E3141"/>
    <w:rsid w:val="006E3308"/>
    <w:rsid w:val="006E3444"/>
    <w:rsid w:val="006E3AAB"/>
    <w:rsid w:val="006E3DDA"/>
    <w:rsid w:val="006E3FE5"/>
    <w:rsid w:val="006E41FD"/>
    <w:rsid w:val="006E4652"/>
    <w:rsid w:val="006E514A"/>
    <w:rsid w:val="006E522E"/>
    <w:rsid w:val="006E526B"/>
    <w:rsid w:val="006E52B1"/>
    <w:rsid w:val="006E57D0"/>
    <w:rsid w:val="006E5A24"/>
    <w:rsid w:val="006E5D6E"/>
    <w:rsid w:val="006E5E2E"/>
    <w:rsid w:val="006E606C"/>
    <w:rsid w:val="006E6462"/>
    <w:rsid w:val="006E6664"/>
    <w:rsid w:val="006E6813"/>
    <w:rsid w:val="006E6B2D"/>
    <w:rsid w:val="006E6D12"/>
    <w:rsid w:val="006E6FAB"/>
    <w:rsid w:val="006E7058"/>
    <w:rsid w:val="006E716A"/>
    <w:rsid w:val="006E7783"/>
    <w:rsid w:val="006F008B"/>
    <w:rsid w:val="006F04FC"/>
    <w:rsid w:val="006F0510"/>
    <w:rsid w:val="006F0FA5"/>
    <w:rsid w:val="006F1324"/>
    <w:rsid w:val="006F1463"/>
    <w:rsid w:val="006F1517"/>
    <w:rsid w:val="006F1582"/>
    <w:rsid w:val="006F1A19"/>
    <w:rsid w:val="006F2294"/>
    <w:rsid w:val="006F24C0"/>
    <w:rsid w:val="006F2710"/>
    <w:rsid w:val="006F28C5"/>
    <w:rsid w:val="006F2FB4"/>
    <w:rsid w:val="006F37E8"/>
    <w:rsid w:val="006F38B3"/>
    <w:rsid w:val="006F398A"/>
    <w:rsid w:val="006F3A1D"/>
    <w:rsid w:val="006F3CA0"/>
    <w:rsid w:val="006F4295"/>
    <w:rsid w:val="006F44A1"/>
    <w:rsid w:val="006F46E8"/>
    <w:rsid w:val="006F4BA4"/>
    <w:rsid w:val="006F4C1E"/>
    <w:rsid w:val="006F4F7C"/>
    <w:rsid w:val="006F5063"/>
    <w:rsid w:val="006F579D"/>
    <w:rsid w:val="006F59FA"/>
    <w:rsid w:val="006F5A86"/>
    <w:rsid w:val="006F5D19"/>
    <w:rsid w:val="006F5D8F"/>
    <w:rsid w:val="006F63E6"/>
    <w:rsid w:val="006F7970"/>
    <w:rsid w:val="006F7AE9"/>
    <w:rsid w:val="006F7B1B"/>
    <w:rsid w:val="006F7DE8"/>
    <w:rsid w:val="007002A7"/>
    <w:rsid w:val="00700908"/>
    <w:rsid w:val="00700999"/>
    <w:rsid w:val="00700B26"/>
    <w:rsid w:val="00700D57"/>
    <w:rsid w:val="0070122B"/>
    <w:rsid w:val="007015D1"/>
    <w:rsid w:val="007016C3"/>
    <w:rsid w:val="00701827"/>
    <w:rsid w:val="007018C8"/>
    <w:rsid w:val="00701998"/>
    <w:rsid w:val="00701FC7"/>
    <w:rsid w:val="007021A5"/>
    <w:rsid w:val="00702742"/>
    <w:rsid w:val="00702C51"/>
    <w:rsid w:val="0070324C"/>
    <w:rsid w:val="0070329A"/>
    <w:rsid w:val="00703324"/>
    <w:rsid w:val="0070373E"/>
    <w:rsid w:val="0070398B"/>
    <w:rsid w:val="007039F7"/>
    <w:rsid w:val="00703A76"/>
    <w:rsid w:val="00703F31"/>
    <w:rsid w:val="00704056"/>
    <w:rsid w:val="00704226"/>
    <w:rsid w:val="007045BB"/>
    <w:rsid w:val="00704817"/>
    <w:rsid w:val="0070492B"/>
    <w:rsid w:val="00704BC8"/>
    <w:rsid w:val="00704D1C"/>
    <w:rsid w:val="007053BA"/>
    <w:rsid w:val="00705554"/>
    <w:rsid w:val="00705918"/>
    <w:rsid w:val="00705A3B"/>
    <w:rsid w:val="00705E75"/>
    <w:rsid w:val="0070648B"/>
    <w:rsid w:val="0070656C"/>
    <w:rsid w:val="007065A8"/>
    <w:rsid w:val="007067EC"/>
    <w:rsid w:val="00706932"/>
    <w:rsid w:val="00706948"/>
    <w:rsid w:val="00706B9E"/>
    <w:rsid w:val="00706CDA"/>
    <w:rsid w:val="00706ED5"/>
    <w:rsid w:val="00706F22"/>
    <w:rsid w:val="00707543"/>
    <w:rsid w:val="00707973"/>
    <w:rsid w:val="00707F02"/>
    <w:rsid w:val="007108B3"/>
    <w:rsid w:val="00710CE0"/>
    <w:rsid w:val="00710EFD"/>
    <w:rsid w:val="007112F9"/>
    <w:rsid w:val="00711765"/>
    <w:rsid w:val="00711932"/>
    <w:rsid w:val="00711D16"/>
    <w:rsid w:val="00712087"/>
    <w:rsid w:val="00712450"/>
    <w:rsid w:val="0071270D"/>
    <w:rsid w:val="007128D1"/>
    <w:rsid w:val="00712D1A"/>
    <w:rsid w:val="00712D5C"/>
    <w:rsid w:val="00713597"/>
    <w:rsid w:val="0071382C"/>
    <w:rsid w:val="00713D35"/>
    <w:rsid w:val="00713D37"/>
    <w:rsid w:val="00713E89"/>
    <w:rsid w:val="007140C9"/>
    <w:rsid w:val="007148D4"/>
    <w:rsid w:val="0071533A"/>
    <w:rsid w:val="00715542"/>
    <w:rsid w:val="00715587"/>
    <w:rsid w:val="007158B3"/>
    <w:rsid w:val="007158EC"/>
    <w:rsid w:val="00715958"/>
    <w:rsid w:val="00715BC1"/>
    <w:rsid w:val="00715D9A"/>
    <w:rsid w:val="0071640E"/>
    <w:rsid w:val="007168B0"/>
    <w:rsid w:val="00716938"/>
    <w:rsid w:val="00716E3A"/>
    <w:rsid w:val="00716EB0"/>
    <w:rsid w:val="0071707A"/>
    <w:rsid w:val="0071785F"/>
    <w:rsid w:val="00717C7B"/>
    <w:rsid w:val="00720048"/>
    <w:rsid w:val="00720224"/>
    <w:rsid w:val="007203A6"/>
    <w:rsid w:val="0072130E"/>
    <w:rsid w:val="00721431"/>
    <w:rsid w:val="00721B03"/>
    <w:rsid w:val="00721E99"/>
    <w:rsid w:val="0072226F"/>
    <w:rsid w:val="00722895"/>
    <w:rsid w:val="007229DA"/>
    <w:rsid w:val="00722D4D"/>
    <w:rsid w:val="007231E7"/>
    <w:rsid w:val="007235E2"/>
    <w:rsid w:val="00723A9E"/>
    <w:rsid w:val="00723E03"/>
    <w:rsid w:val="0072492A"/>
    <w:rsid w:val="00724CF8"/>
    <w:rsid w:val="00724E90"/>
    <w:rsid w:val="00724F32"/>
    <w:rsid w:val="007252F5"/>
    <w:rsid w:val="007264EA"/>
    <w:rsid w:val="007268D4"/>
    <w:rsid w:val="00726D40"/>
    <w:rsid w:val="00727218"/>
    <w:rsid w:val="00727407"/>
    <w:rsid w:val="00727875"/>
    <w:rsid w:val="00727A5F"/>
    <w:rsid w:val="00727DA7"/>
    <w:rsid w:val="00727EF0"/>
    <w:rsid w:val="00730150"/>
    <w:rsid w:val="00730651"/>
    <w:rsid w:val="00730C76"/>
    <w:rsid w:val="00730C93"/>
    <w:rsid w:val="00730D89"/>
    <w:rsid w:val="00730E05"/>
    <w:rsid w:val="00730EA1"/>
    <w:rsid w:val="007315E1"/>
    <w:rsid w:val="00731831"/>
    <w:rsid w:val="00731918"/>
    <w:rsid w:val="00731BB2"/>
    <w:rsid w:val="00731BBD"/>
    <w:rsid w:val="00731EB1"/>
    <w:rsid w:val="00732273"/>
    <w:rsid w:val="007323AF"/>
    <w:rsid w:val="00732643"/>
    <w:rsid w:val="00732735"/>
    <w:rsid w:val="0073296D"/>
    <w:rsid w:val="0073298F"/>
    <w:rsid w:val="00732A8C"/>
    <w:rsid w:val="00732E19"/>
    <w:rsid w:val="00733051"/>
    <w:rsid w:val="007334AD"/>
    <w:rsid w:val="007334FB"/>
    <w:rsid w:val="00733621"/>
    <w:rsid w:val="007338AB"/>
    <w:rsid w:val="00733BD5"/>
    <w:rsid w:val="00733C96"/>
    <w:rsid w:val="00733CDD"/>
    <w:rsid w:val="00733E9B"/>
    <w:rsid w:val="00733EE1"/>
    <w:rsid w:val="007345C5"/>
    <w:rsid w:val="00734A46"/>
    <w:rsid w:val="00734B7B"/>
    <w:rsid w:val="00734DB1"/>
    <w:rsid w:val="00734EEC"/>
    <w:rsid w:val="0073559F"/>
    <w:rsid w:val="0073596E"/>
    <w:rsid w:val="00735A32"/>
    <w:rsid w:val="00736625"/>
    <w:rsid w:val="00736755"/>
    <w:rsid w:val="007367D0"/>
    <w:rsid w:val="007367DC"/>
    <w:rsid w:val="0073694F"/>
    <w:rsid w:val="00736ABF"/>
    <w:rsid w:val="0073703F"/>
    <w:rsid w:val="0073704A"/>
    <w:rsid w:val="007370DD"/>
    <w:rsid w:val="00737AD8"/>
    <w:rsid w:val="00737C98"/>
    <w:rsid w:val="0074002F"/>
    <w:rsid w:val="0074022E"/>
    <w:rsid w:val="007405B7"/>
    <w:rsid w:val="0074081B"/>
    <w:rsid w:val="00740C93"/>
    <w:rsid w:val="0074112B"/>
    <w:rsid w:val="007411E0"/>
    <w:rsid w:val="00741515"/>
    <w:rsid w:val="0074188C"/>
    <w:rsid w:val="00741C6C"/>
    <w:rsid w:val="00742459"/>
    <w:rsid w:val="00742713"/>
    <w:rsid w:val="007435C3"/>
    <w:rsid w:val="007439AA"/>
    <w:rsid w:val="00743D5E"/>
    <w:rsid w:val="00743EC8"/>
    <w:rsid w:val="00744495"/>
    <w:rsid w:val="007455F2"/>
    <w:rsid w:val="00745AF8"/>
    <w:rsid w:val="00745B87"/>
    <w:rsid w:val="00745CD0"/>
    <w:rsid w:val="00745CEB"/>
    <w:rsid w:val="00746490"/>
    <w:rsid w:val="00746A93"/>
    <w:rsid w:val="00746CCF"/>
    <w:rsid w:val="00747235"/>
    <w:rsid w:val="007475E9"/>
    <w:rsid w:val="0074767A"/>
    <w:rsid w:val="007476F2"/>
    <w:rsid w:val="00747726"/>
    <w:rsid w:val="0074781B"/>
    <w:rsid w:val="007479B7"/>
    <w:rsid w:val="00750285"/>
    <w:rsid w:val="0075042B"/>
    <w:rsid w:val="00750B22"/>
    <w:rsid w:val="00750E3D"/>
    <w:rsid w:val="00751474"/>
    <w:rsid w:val="007518C9"/>
    <w:rsid w:val="0075238F"/>
    <w:rsid w:val="00752494"/>
    <w:rsid w:val="00752A83"/>
    <w:rsid w:val="00752D47"/>
    <w:rsid w:val="007530DA"/>
    <w:rsid w:val="007531D2"/>
    <w:rsid w:val="007532D4"/>
    <w:rsid w:val="007538FB"/>
    <w:rsid w:val="007540F6"/>
    <w:rsid w:val="00754596"/>
    <w:rsid w:val="00754713"/>
    <w:rsid w:val="00754E97"/>
    <w:rsid w:val="00754FAF"/>
    <w:rsid w:val="007552E0"/>
    <w:rsid w:val="00755BA6"/>
    <w:rsid w:val="00755C67"/>
    <w:rsid w:val="00756288"/>
    <w:rsid w:val="00756520"/>
    <w:rsid w:val="007569A0"/>
    <w:rsid w:val="00756AF2"/>
    <w:rsid w:val="00756FD3"/>
    <w:rsid w:val="0075713B"/>
    <w:rsid w:val="007571F4"/>
    <w:rsid w:val="007600BD"/>
    <w:rsid w:val="007607BF"/>
    <w:rsid w:val="00760AF8"/>
    <w:rsid w:val="00760C24"/>
    <w:rsid w:val="00761013"/>
    <w:rsid w:val="00761154"/>
    <w:rsid w:val="00761296"/>
    <w:rsid w:val="007612BB"/>
    <w:rsid w:val="007612DF"/>
    <w:rsid w:val="007617C2"/>
    <w:rsid w:val="00761976"/>
    <w:rsid w:val="00761BC5"/>
    <w:rsid w:val="00761FCC"/>
    <w:rsid w:val="0076239B"/>
    <w:rsid w:val="007624E0"/>
    <w:rsid w:val="007628FC"/>
    <w:rsid w:val="00762D10"/>
    <w:rsid w:val="00762FCF"/>
    <w:rsid w:val="007638D2"/>
    <w:rsid w:val="007640F1"/>
    <w:rsid w:val="0076436E"/>
    <w:rsid w:val="00764522"/>
    <w:rsid w:val="00764A61"/>
    <w:rsid w:val="00765329"/>
    <w:rsid w:val="007659BC"/>
    <w:rsid w:val="00766071"/>
    <w:rsid w:val="0076711F"/>
    <w:rsid w:val="007671C4"/>
    <w:rsid w:val="007677C5"/>
    <w:rsid w:val="00767A55"/>
    <w:rsid w:val="0077002A"/>
    <w:rsid w:val="007700D4"/>
    <w:rsid w:val="0077018A"/>
    <w:rsid w:val="0077032C"/>
    <w:rsid w:val="0077037C"/>
    <w:rsid w:val="00770973"/>
    <w:rsid w:val="00770BFC"/>
    <w:rsid w:val="00770E1C"/>
    <w:rsid w:val="00770E6F"/>
    <w:rsid w:val="00771036"/>
    <w:rsid w:val="007711F8"/>
    <w:rsid w:val="007712BF"/>
    <w:rsid w:val="007713F6"/>
    <w:rsid w:val="007715A8"/>
    <w:rsid w:val="00772689"/>
    <w:rsid w:val="00772852"/>
    <w:rsid w:val="0077292E"/>
    <w:rsid w:val="00772BB4"/>
    <w:rsid w:val="00772F4E"/>
    <w:rsid w:val="00772FB1"/>
    <w:rsid w:val="007732F4"/>
    <w:rsid w:val="007733FA"/>
    <w:rsid w:val="00773C7C"/>
    <w:rsid w:val="00773D34"/>
    <w:rsid w:val="007749EE"/>
    <w:rsid w:val="00774AF4"/>
    <w:rsid w:val="00774D0E"/>
    <w:rsid w:val="00774E71"/>
    <w:rsid w:val="00775107"/>
    <w:rsid w:val="00775E2E"/>
    <w:rsid w:val="0077600A"/>
    <w:rsid w:val="0077613C"/>
    <w:rsid w:val="00776685"/>
    <w:rsid w:val="007766D6"/>
    <w:rsid w:val="00776D1C"/>
    <w:rsid w:val="00776F69"/>
    <w:rsid w:val="00777967"/>
    <w:rsid w:val="00780025"/>
    <w:rsid w:val="007806E6"/>
    <w:rsid w:val="00780A92"/>
    <w:rsid w:val="00780E9B"/>
    <w:rsid w:val="00781266"/>
    <w:rsid w:val="0078162F"/>
    <w:rsid w:val="00781696"/>
    <w:rsid w:val="0078185B"/>
    <w:rsid w:val="00781B6F"/>
    <w:rsid w:val="00781D0E"/>
    <w:rsid w:val="00781E93"/>
    <w:rsid w:val="00782464"/>
    <w:rsid w:val="00782659"/>
    <w:rsid w:val="0078279A"/>
    <w:rsid w:val="00782D50"/>
    <w:rsid w:val="00782DAA"/>
    <w:rsid w:val="007830C8"/>
    <w:rsid w:val="00783396"/>
    <w:rsid w:val="007833C9"/>
    <w:rsid w:val="00783903"/>
    <w:rsid w:val="00783A29"/>
    <w:rsid w:val="00783CC6"/>
    <w:rsid w:val="007840A2"/>
    <w:rsid w:val="007845F5"/>
    <w:rsid w:val="007846B0"/>
    <w:rsid w:val="007846B4"/>
    <w:rsid w:val="0078487E"/>
    <w:rsid w:val="00785055"/>
    <w:rsid w:val="0078509C"/>
    <w:rsid w:val="007855CC"/>
    <w:rsid w:val="00785BE0"/>
    <w:rsid w:val="007865E3"/>
    <w:rsid w:val="007868C1"/>
    <w:rsid w:val="00786B0B"/>
    <w:rsid w:val="007870A2"/>
    <w:rsid w:val="0078726F"/>
    <w:rsid w:val="0078737B"/>
    <w:rsid w:val="00787777"/>
    <w:rsid w:val="00787AD3"/>
    <w:rsid w:val="007905C0"/>
    <w:rsid w:val="00790B36"/>
    <w:rsid w:val="00791663"/>
    <w:rsid w:val="00791911"/>
    <w:rsid w:val="00792987"/>
    <w:rsid w:val="007932C3"/>
    <w:rsid w:val="00793E04"/>
    <w:rsid w:val="0079414D"/>
    <w:rsid w:val="00794461"/>
    <w:rsid w:val="00794D41"/>
    <w:rsid w:val="00794D7B"/>
    <w:rsid w:val="0079513E"/>
    <w:rsid w:val="00795164"/>
    <w:rsid w:val="007955C5"/>
    <w:rsid w:val="00795743"/>
    <w:rsid w:val="00795F5A"/>
    <w:rsid w:val="00795FB2"/>
    <w:rsid w:val="00796195"/>
    <w:rsid w:val="007961F8"/>
    <w:rsid w:val="00796496"/>
    <w:rsid w:val="007967BB"/>
    <w:rsid w:val="00796AC4"/>
    <w:rsid w:val="0079703C"/>
    <w:rsid w:val="0079706C"/>
    <w:rsid w:val="0079717D"/>
    <w:rsid w:val="0079745D"/>
    <w:rsid w:val="007976CF"/>
    <w:rsid w:val="007A004B"/>
    <w:rsid w:val="007A01F1"/>
    <w:rsid w:val="007A0349"/>
    <w:rsid w:val="007A0C55"/>
    <w:rsid w:val="007A0D1E"/>
    <w:rsid w:val="007A1284"/>
    <w:rsid w:val="007A2E18"/>
    <w:rsid w:val="007A3364"/>
    <w:rsid w:val="007A3610"/>
    <w:rsid w:val="007A36F6"/>
    <w:rsid w:val="007A4A91"/>
    <w:rsid w:val="007A4DA3"/>
    <w:rsid w:val="007A4EE1"/>
    <w:rsid w:val="007A4F8E"/>
    <w:rsid w:val="007A4F97"/>
    <w:rsid w:val="007A507F"/>
    <w:rsid w:val="007A52B7"/>
    <w:rsid w:val="007A5796"/>
    <w:rsid w:val="007A5A1C"/>
    <w:rsid w:val="007A5AE9"/>
    <w:rsid w:val="007A5D53"/>
    <w:rsid w:val="007A5F33"/>
    <w:rsid w:val="007A6028"/>
    <w:rsid w:val="007A6DE2"/>
    <w:rsid w:val="007A73D6"/>
    <w:rsid w:val="007A78AA"/>
    <w:rsid w:val="007A7A55"/>
    <w:rsid w:val="007A7CD6"/>
    <w:rsid w:val="007B0322"/>
    <w:rsid w:val="007B04DA"/>
    <w:rsid w:val="007B0896"/>
    <w:rsid w:val="007B09C8"/>
    <w:rsid w:val="007B0EF6"/>
    <w:rsid w:val="007B0EFC"/>
    <w:rsid w:val="007B11C0"/>
    <w:rsid w:val="007B132B"/>
    <w:rsid w:val="007B17D8"/>
    <w:rsid w:val="007B1ABA"/>
    <w:rsid w:val="007B1B11"/>
    <w:rsid w:val="007B1C38"/>
    <w:rsid w:val="007B1F08"/>
    <w:rsid w:val="007B1F6D"/>
    <w:rsid w:val="007B1FA4"/>
    <w:rsid w:val="007B20C9"/>
    <w:rsid w:val="007B21FD"/>
    <w:rsid w:val="007B23B3"/>
    <w:rsid w:val="007B270F"/>
    <w:rsid w:val="007B2757"/>
    <w:rsid w:val="007B329C"/>
    <w:rsid w:val="007B36F7"/>
    <w:rsid w:val="007B3A19"/>
    <w:rsid w:val="007B3C0C"/>
    <w:rsid w:val="007B4835"/>
    <w:rsid w:val="007B4B73"/>
    <w:rsid w:val="007B5169"/>
    <w:rsid w:val="007B536C"/>
    <w:rsid w:val="007B551E"/>
    <w:rsid w:val="007B55E1"/>
    <w:rsid w:val="007B5AB8"/>
    <w:rsid w:val="007B5C02"/>
    <w:rsid w:val="007B5E4B"/>
    <w:rsid w:val="007B5F90"/>
    <w:rsid w:val="007B6001"/>
    <w:rsid w:val="007B640D"/>
    <w:rsid w:val="007B644C"/>
    <w:rsid w:val="007B667C"/>
    <w:rsid w:val="007B6F51"/>
    <w:rsid w:val="007B70B4"/>
    <w:rsid w:val="007B71F6"/>
    <w:rsid w:val="007B74C5"/>
    <w:rsid w:val="007B763A"/>
    <w:rsid w:val="007B77B6"/>
    <w:rsid w:val="007B79EA"/>
    <w:rsid w:val="007B7EAA"/>
    <w:rsid w:val="007B7F03"/>
    <w:rsid w:val="007C002F"/>
    <w:rsid w:val="007C05B5"/>
    <w:rsid w:val="007C06F9"/>
    <w:rsid w:val="007C0729"/>
    <w:rsid w:val="007C09B6"/>
    <w:rsid w:val="007C0ADA"/>
    <w:rsid w:val="007C0C3C"/>
    <w:rsid w:val="007C0C3E"/>
    <w:rsid w:val="007C18EA"/>
    <w:rsid w:val="007C1B71"/>
    <w:rsid w:val="007C1F45"/>
    <w:rsid w:val="007C2B81"/>
    <w:rsid w:val="007C3C6A"/>
    <w:rsid w:val="007C4124"/>
    <w:rsid w:val="007C45E4"/>
    <w:rsid w:val="007C4F11"/>
    <w:rsid w:val="007C5B97"/>
    <w:rsid w:val="007C5BB7"/>
    <w:rsid w:val="007C6149"/>
    <w:rsid w:val="007C667C"/>
    <w:rsid w:val="007C6CC8"/>
    <w:rsid w:val="007C6E4D"/>
    <w:rsid w:val="007C716D"/>
    <w:rsid w:val="007C72B9"/>
    <w:rsid w:val="007C7962"/>
    <w:rsid w:val="007C7984"/>
    <w:rsid w:val="007C7E66"/>
    <w:rsid w:val="007D02AB"/>
    <w:rsid w:val="007D0466"/>
    <w:rsid w:val="007D0A40"/>
    <w:rsid w:val="007D0AEF"/>
    <w:rsid w:val="007D0BB9"/>
    <w:rsid w:val="007D0F0E"/>
    <w:rsid w:val="007D1198"/>
    <w:rsid w:val="007D230D"/>
    <w:rsid w:val="007D2B39"/>
    <w:rsid w:val="007D2CB2"/>
    <w:rsid w:val="007D2FBE"/>
    <w:rsid w:val="007D2FDE"/>
    <w:rsid w:val="007D32B8"/>
    <w:rsid w:val="007D3AF7"/>
    <w:rsid w:val="007D3E68"/>
    <w:rsid w:val="007D3E98"/>
    <w:rsid w:val="007D49C2"/>
    <w:rsid w:val="007D5165"/>
    <w:rsid w:val="007D57DD"/>
    <w:rsid w:val="007D58BE"/>
    <w:rsid w:val="007D5BFE"/>
    <w:rsid w:val="007D5E25"/>
    <w:rsid w:val="007D5F97"/>
    <w:rsid w:val="007D6170"/>
    <w:rsid w:val="007D6371"/>
    <w:rsid w:val="007D65A9"/>
    <w:rsid w:val="007D6815"/>
    <w:rsid w:val="007D6A14"/>
    <w:rsid w:val="007D6BCA"/>
    <w:rsid w:val="007D74CF"/>
    <w:rsid w:val="007D7870"/>
    <w:rsid w:val="007D7A0B"/>
    <w:rsid w:val="007D7F40"/>
    <w:rsid w:val="007E04EB"/>
    <w:rsid w:val="007E05CB"/>
    <w:rsid w:val="007E0615"/>
    <w:rsid w:val="007E0CF0"/>
    <w:rsid w:val="007E132E"/>
    <w:rsid w:val="007E138D"/>
    <w:rsid w:val="007E1CBC"/>
    <w:rsid w:val="007E1D33"/>
    <w:rsid w:val="007E2696"/>
    <w:rsid w:val="007E2DD3"/>
    <w:rsid w:val="007E2FB1"/>
    <w:rsid w:val="007E3B9D"/>
    <w:rsid w:val="007E45B2"/>
    <w:rsid w:val="007E478E"/>
    <w:rsid w:val="007E4800"/>
    <w:rsid w:val="007E48EB"/>
    <w:rsid w:val="007E492F"/>
    <w:rsid w:val="007E49FE"/>
    <w:rsid w:val="007E4CA2"/>
    <w:rsid w:val="007E5657"/>
    <w:rsid w:val="007E574F"/>
    <w:rsid w:val="007E57A7"/>
    <w:rsid w:val="007E5877"/>
    <w:rsid w:val="007E5A1F"/>
    <w:rsid w:val="007E6575"/>
    <w:rsid w:val="007E68A5"/>
    <w:rsid w:val="007E6DA7"/>
    <w:rsid w:val="007E6E64"/>
    <w:rsid w:val="007E7097"/>
    <w:rsid w:val="007E7177"/>
    <w:rsid w:val="007E72DC"/>
    <w:rsid w:val="007E7340"/>
    <w:rsid w:val="007E753E"/>
    <w:rsid w:val="007E7709"/>
    <w:rsid w:val="007E7835"/>
    <w:rsid w:val="007E7B94"/>
    <w:rsid w:val="007E7CBC"/>
    <w:rsid w:val="007E7CEC"/>
    <w:rsid w:val="007F03A6"/>
    <w:rsid w:val="007F03D6"/>
    <w:rsid w:val="007F06BD"/>
    <w:rsid w:val="007F0860"/>
    <w:rsid w:val="007F09A5"/>
    <w:rsid w:val="007F0A75"/>
    <w:rsid w:val="007F0C05"/>
    <w:rsid w:val="007F12D3"/>
    <w:rsid w:val="007F161A"/>
    <w:rsid w:val="007F1751"/>
    <w:rsid w:val="007F17A8"/>
    <w:rsid w:val="007F18E8"/>
    <w:rsid w:val="007F1ADF"/>
    <w:rsid w:val="007F1C53"/>
    <w:rsid w:val="007F1F89"/>
    <w:rsid w:val="007F23EE"/>
    <w:rsid w:val="007F2457"/>
    <w:rsid w:val="007F2D4F"/>
    <w:rsid w:val="007F2F9D"/>
    <w:rsid w:val="007F3251"/>
    <w:rsid w:val="007F339A"/>
    <w:rsid w:val="007F3416"/>
    <w:rsid w:val="007F3500"/>
    <w:rsid w:val="007F37E0"/>
    <w:rsid w:val="007F3956"/>
    <w:rsid w:val="007F40D6"/>
    <w:rsid w:val="007F47D9"/>
    <w:rsid w:val="007F49F6"/>
    <w:rsid w:val="007F4F35"/>
    <w:rsid w:val="007F4FA5"/>
    <w:rsid w:val="007F51CB"/>
    <w:rsid w:val="007F5385"/>
    <w:rsid w:val="007F596D"/>
    <w:rsid w:val="007F5AD8"/>
    <w:rsid w:val="007F5BCA"/>
    <w:rsid w:val="007F60BA"/>
    <w:rsid w:val="007F6ABB"/>
    <w:rsid w:val="007F6BDB"/>
    <w:rsid w:val="007F73CD"/>
    <w:rsid w:val="007F7473"/>
    <w:rsid w:val="007F7BEF"/>
    <w:rsid w:val="007F7DBC"/>
    <w:rsid w:val="00800369"/>
    <w:rsid w:val="008006E2"/>
    <w:rsid w:val="0080081E"/>
    <w:rsid w:val="008008BD"/>
    <w:rsid w:val="00800928"/>
    <w:rsid w:val="008009FA"/>
    <w:rsid w:val="00801C14"/>
    <w:rsid w:val="00801E6B"/>
    <w:rsid w:val="00801EB7"/>
    <w:rsid w:val="00801F84"/>
    <w:rsid w:val="008020FF"/>
    <w:rsid w:val="00802CFA"/>
    <w:rsid w:val="00802DC2"/>
    <w:rsid w:val="0080334C"/>
    <w:rsid w:val="008035AB"/>
    <w:rsid w:val="00803A4A"/>
    <w:rsid w:val="00803F15"/>
    <w:rsid w:val="00804083"/>
    <w:rsid w:val="00804656"/>
    <w:rsid w:val="00804A62"/>
    <w:rsid w:val="00804B4D"/>
    <w:rsid w:val="00804F18"/>
    <w:rsid w:val="00805329"/>
    <w:rsid w:val="00805750"/>
    <w:rsid w:val="0080593E"/>
    <w:rsid w:val="00805963"/>
    <w:rsid w:val="00805C0C"/>
    <w:rsid w:val="008066F1"/>
    <w:rsid w:val="00806D40"/>
    <w:rsid w:val="00806ECD"/>
    <w:rsid w:val="008076ED"/>
    <w:rsid w:val="008079E3"/>
    <w:rsid w:val="00807A7F"/>
    <w:rsid w:val="00807D36"/>
    <w:rsid w:val="00807F44"/>
    <w:rsid w:val="00807FCF"/>
    <w:rsid w:val="008108D5"/>
    <w:rsid w:val="00810C92"/>
    <w:rsid w:val="008112D3"/>
    <w:rsid w:val="008118A1"/>
    <w:rsid w:val="00811EFD"/>
    <w:rsid w:val="008121D1"/>
    <w:rsid w:val="0081221B"/>
    <w:rsid w:val="00812280"/>
    <w:rsid w:val="00812283"/>
    <w:rsid w:val="008125A3"/>
    <w:rsid w:val="00812DC2"/>
    <w:rsid w:val="008132A8"/>
    <w:rsid w:val="00813D68"/>
    <w:rsid w:val="00813D6E"/>
    <w:rsid w:val="00814340"/>
    <w:rsid w:val="008146F5"/>
    <w:rsid w:val="00814A3F"/>
    <w:rsid w:val="00814C24"/>
    <w:rsid w:val="00814C6F"/>
    <w:rsid w:val="00814C7A"/>
    <w:rsid w:val="00814ECA"/>
    <w:rsid w:val="00815193"/>
    <w:rsid w:val="008155BB"/>
    <w:rsid w:val="00815BB2"/>
    <w:rsid w:val="00816757"/>
    <w:rsid w:val="00816B57"/>
    <w:rsid w:val="00816E81"/>
    <w:rsid w:val="008171E6"/>
    <w:rsid w:val="00817415"/>
    <w:rsid w:val="00817D80"/>
    <w:rsid w:val="00817E4B"/>
    <w:rsid w:val="00820248"/>
    <w:rsid w:val="0082049B"/>
    <w:rsid w:val="008206F9"/>
    <w:rsid w:val="008209DB"/>
    <w:rsid w:val="00820CFF"/>
    <w:rsid w:val="00820DBC"/>
    <w:rsid w:val="00820FE8"/>
    <w:rsid w:val="0082115E"/>
    <w:rsid w:val="00821524"/>
    <w:rsid w:val="008216ED"/>
    <w:rsid w:val="00821C10"/>
    <w:rsid w:val="008228D7"/>
    <w:rsid w:val="00822B1C"/>
    <w:rsid w:val="00823686"/>
    <w:rsid w:val="008237BB"/>
    <w:rsid w:val="00824049"/>
    <w:rsid w:val="00824177"/>
    <w:rsid w:val="00824BF8"/>
    <w:rsid w:val="00825040"/>
    <w:rsid w:val="008251E5"/>
    <w:rsid w:val="00825955"/>
    <w:rsid w:val="00825A24"/>
    <w:rsid w:val="00825E4A"/>
    <w:rsid w:val="008261B7"/>
    <w:rsid w:val="008263E9"/>
    <w:rsid w:val="008267EF"/>
    <w:rsid w:val="00826950"/>
    <w:rsid w:val="00826B00"/>
    <w:rsid w:val="00826E3F"/>
    <w:rsid w:val="00827048"/>
    <w:rsid w:val="008271B5"/>
    <w:rsid w:val="00827498"/>
    <w:rsid w:val="008274E5"/>
    <w:rsid w:val="00827995"/>
    <w:rsid w:val="00827AEE"/>
    <w:rsid w:val="00827C87"/>
    <w:rsid w:val="008300A9"/>
    <w:rsid w:val="0083058D"/>
    <w:rsid w:val="0083071A"/>
    <w:rsid w:val="00830AF3"/>
    <w:rsid w:val="00830CCB"/>
    <w:rsid w:val="0083105D"/>
    <w:rsid w:val="0083124B"/>
    <w:rsid w:val="008312F1"/>
    <w:rsid w:val="00831353"/>
    <w:rsid w:val="008319FA"/>
    <w:rsid w:val="00831B29"/>
    <w:rsid w:val="00832014"/>
    <w:rsid w:val="008325BC"/>
    <w:rsid w:val="00832E4D"/>
    <w:rsid w:val="008332A2"/>
    <w:rsid w:val="008332A7"/>
    <w:rsid w:val="00833739"/>
    <w:rsid w:val="008340F6"/>
    <w:rsid w:val="008342AD"/>
    <w:rsid w:val="008346F6"/>
    <w:rsid w:val="00834729"/>
    <w:rsid w:val="00834ACE"/>
    <w:rsid w:val="00834BB8"/>
    <w:rsid w:val="00834BC2"/>
    <w:rsid w:val="00834BD6"/>
    <w:rsid w:val="00834D25"/>
    <w:rsid w:val="00834D2F"/>
    <w:rsid w:val="00834DE6"/>
    <w:rsid w:val="0083503F"/>
    <w:rsid w:val="0083546B"/>
    <w:rsid w:val="008354BB"/>
    <w:rsid w:val="008358F1"/>
    <w:rsid w:val="008358FA"/>
    <w:rsid w:val="00835DB5"/>
    <w:rsid w:val="008360E8"/>
    <w:rsid w:val="00836563"/>
    <w:rsid w:val="008368DC"/>
    <w:rsid w:val="00836A29"/>
    <w:rsid w:val="00836BB0"/>
    <w:rsid w:val="00836D9A"/>
    <w:rsid w:val="00836EEA"/>
    <w:rsid w:val="008370BB"/>
    <w:rsid w:val="00837749"/>
    <w:rsid w:val="0083776B"/>
    <w:rsid w:val="0083783A"/>
    <w:rsid w:val="00837F8A"/>
    <w:rsid w:val="00840566"/>
    <w:rsid w:val="00840AC0"/>
    <w:rsid w:val="00840D7A"/>
    <w:rsid w:val="00841682"/>
    <w:rsid w:val="00841A6F"/>
    <w:rsid w:val="00841C72"/>
    <w:rsid w:val="00841CAC"/>
    <w:rsid w:val="00841F6F"/>
    <w:rsid w:val="00842284"/>
    <w:rsid w:val="008422B3"/>
    <w:rsid w:val="0084247C"/>
    <w:rsid w:val="008424F8"/>
    <w:rsid w:val="00842650"/>
    <w:rsid w:val="008427B1"/>
    <w:rsid w:val="008430FD"/>
    <w:rsid w:val="008431E0"/>
    <w:rsid w:val="008433AB"/>
    <w:rsid w:val="008433E1"/>
    <w:rsid w:val="00843671"/>
    <w:rsid w:val="00843A0C"/>
    <w:rsid w:val="00843BEB"/>
    <w:rsid w:val="00843EFB"/>
    <w:rsid w:val="008446CD"/>
    <w:rsid w:val="0084488B"/>
    <w:rsid w:val="00844A8F"/>
    <w:rsid w:val="00844B09"/>
    <w:rsid w:val="00844F9E"/>
    <w:rsid w:val="00844FC8"/>
    <w:rsid w:val="00845272"/>
    <w:rsid w:val="00845D46"/>
    <w:rsid w:val="008461EF"/>
    <w:rsid w:val="008468A6"/>
    <w:rsid w:val="00846B17"/>
    <w:rsid w:val="00846B5C"/>
    <w:rsid w:val="00846C0B"/>
    <w:rsid w:val="00846FF2"/>
    <w:rsid w:val="0084719F"/>
    <w:rsid w:val="00847258"/>
    <w:rsid w:val="0084756D"/>
    <w:rsid w:val="00847EE4"/>
    <w:rsid w:val="008506A9"/>
    <w:rsid w:val="008507C1"/>
    <w:rsid w:val="0085093F"/>
    <w:rsid w:val="00850A30"/>
    <w:rsid w:val="00850B4E"/>
    <w:rsid w:val="00850B90"/>
    <w:rsid w:val="00850FBB"/>
    <w:rsid w:val="008510AF"/>
    <w:rsid w:val="008511A3"/>
    <w:rsid w:val="008516F6"/>
    <w:rsid w:val="00851743"/>
    <w:rsid w:val="00851B20"/>
    <w:rsid w:val="00851DB0"/>
    <w:rsid w:val="008520A5"/>
    <w:rsid w:val="008532BB"/>
    <w:rsid w:val="008534FB"/>
    <w:rsid w:val="00853577"/>
    <w:rsid w:val="008539FC"/>
    <w:rsid w:val="00853E57"/>
    <w:rsid w:val="0085454A"/>
    <w:rsid w:val="008545BD"/>
    <w:rsid w:val="00854881"/>
    <w:rsid w:val="00854D44"/>
    <w:rsid w:val="00854E35"/>
    <w:rsid w:val="0085528F"/>
    <w:rsid w:val="00855473"/>
    <w:rsid w:val="00855725"/>
    <w:rsid w:val="00855AC7"/>
    <w:rsid w:val="00855FB9"/>
    <w:rsid w:val="00856909"/>
    <w:rsid w:val="00856A26"/>
    <w:rsid w:val="00856C6A"/>
    <w:rsid w:val="00856E2D"/>
    <w:rsid w:val="0085702C"/>
    <w:rsid w:val="0085716D"/>
    <w:rsid w:val="0085719E"/>
    <w:rsid w:val="00857C0E"/>
    <w:rsid w:val="00857DAB"/>
    <w:rsid w:val="00860146"/>
    <w:rsid w:val="00860894"/>
    <w:rsid w:val="008608FC"/>
    <w:rsid w:val="00860BC7"/>
    <w:rsid w:val="00860F75"/>
    <w:rsid w:val="00860FC6"/>
    <w:rsid w:val="008612A2"/>
    <w:rsid w:val="0086139D"/>
    <w:rsid w:val="008613F1"/>
    <w:rsid w:val="00861934"/>
    <w:rsid w:val="0086221A"/>
    <w:rsid w:val="008623E7"/>
    <w:rsid w:val="0086244B"/>
    <w:rsid w:val="008629CF"/>
    <w:rsid w:val="0086332B"/>
    <w:rsid w:val="0086349D"/>
    <w:rsid w:val="00863537"/>
    <w:rsid w:val="00863AB2"/>
    <w:rsid w:val="00863B34"/>
    <w:rsid w:val="00863E5C"/>
    <w:rsid w:val="00863E8C"/>
    <w:rsid w:val="0086420F"/>
    <w:rsid w:val="0086428E"/>
    <w:rsid w:val="00864357"/>
    <w:rsid w:val="00864656"/>
    <w:rsid w:val="00864A69"/>
    <w:rsid w:val="00864A71"/>
    <w:rsid w:val="00865328"/>
    <w:rsid w:val="00865ECC"/>
    <w:rsid w:val="0086635F"/>
    <w:rsid w:val="00866F0D"/>
    <w:rsid w:val="00866F88"/>
    <w:rsid w:val="008677DB"/>
    <w:rsid w:val="008678AC"/>
    <w:rsid w:val="00867B41"/>
    <w:rsid w:val="00867CA7"/>
    <w:rsid w:val="00870053"/>
    <w:rsid w:val="008706A7"/>
    <w:rsid w:val="008706AB"/>
    <w:rsid w:val="00870857"/>
    <w:rsid w:val="00870963"/>
    <w:rsid w:val="00870A0B"/>
    <w:rsid w:val="00870AB1"/>
    <w:rsid w:val="00871881"/>
    <w:rsid w:val="00871939"/>
    <w:rsid w:val="00871B18"/>
    <w:rsid w:val="00871E10"/>
    <w:rsid w:val="008725CC"/>
    <w:rsid w:val="008725DA"/>
    <w:rsid w:val="008725EF"/>
    <w:rsid w:val="00872A4F"/>
    <w:rsid w:val="0087320C"/>
    <w:rsid w:val="00873641"/>
    <w:rsid w:val="0087374B"/>
    <w:rsid w:val="008737E4"/>
    <w:rsid w:val="008737F9"/>
    <w:rsid w:val="008739DE"/>
    <w:rsid w:val="00873BD9"/>
    <w:rsid w:val="00873E8D"/>
    <w:rsid w:val="00873ED0"/>
    <w:rsid w:val="0087456D"/>
    <w:rsid w:val="00874902"/>
    <w:rsid w:val="00874F01"/>
    <w:rsid w:val="0087504F"/>
    <w:rsid w:val="0087584C"/>
    <w:rsid w:val="00875C53"/>
    <w:rsid w:val="00875F7A"/>
    <w:rsid w:val="008763D5"/>
    <w:rsid w:val="00876410"/>
    <w:rsid w:val="00876FA1"/>
    <w:rsid w:val="00876FC9"/>
    <w:rsid w:val="008774DE"/>
    <w:rsid w:val="00877714"/>
    <w:rsid w:val="0088001C"/>
    <w:rsid w:val="00880037"/>
    <w:rsid w:val="008806F6"/>
    <w:rsid w:val="00880FDC"/>
    <w:rsid w:val="0088134F"/>
    <w:rsid w:val="00881363"/>
    <w:rsid w:val="008813A8"/>
    <w:rsid w:val="0088173E"/>
    <w:rsid w:val="00881856"/>
    <w:rsid w:val="00881C9D"/>
    <w:rsid w:val="00881D6A"/>
    <w:rsid w:val="00881DB4"/>
    <w:rsid w:val="00881F85"/>
    <w:rsid w:val="0088201C"/>
    <w:rsid w:val="00882A81"/>
    <w:rsid w:val="008832C7"/>
    <w:rsid w:val="00883DD0"/>
    <w:rsid w:val="00883F83"/>
    <w:rsid w:val="00883FA4"/>
    <w:rsid w:val="0088409A"/>
    <w:rsid w:val="00884341"/>
    <w:rsid w:val="0088448D"/>
    <w:rsid w:val="008844AE"/>
    <w:rsid w:val="00884555"/>
    <w:rsid w:val="008845C1"/>
    <w:rsid w:val="0088479A"/>
    <w:rsid w:val="00884BB2"/>
    <w:rsid w:val="00884C0C"/>
    <w:rsid w:val="00884F34"/>
    <w:rsid w:val="00885295"/>
    <w:rsid w:val="0088561A"/>
    <w:rsid w:val="00885B00"/>
    <w:rsid w:val="00885DB9"/>
    <w:rsid w:val="00885F35"/>
    <w:rsid w:val="008863A8"/>
    <w:rsid w:val="008866E7"/>
    <w:rsid w:val="00886F30"/>
    <w:rsid w:val="00887319"/>
    <w:rsid w:val="00887BBB"/>
    <w:rsid w:val="00887BE2"/>
    <w:rsid w:val="00890210"/>
    <w:rsid w:val="0089036C"/>
    <w:rsid w:val="00890DD5"/>
    <w:rsid w:val="00891135"/>
    <w:rsid w:val="008914B2"/>
    <w:rsid w:val="00891AA5"/>
    <w:rsid w:val="00891FB4"/>
    <w:rsid w:val="00892380"/>
    <w:rsid w:val="00892423"/>
    <w:rsid w:val="008927A6"/>
    <w:rsid w:val="00892C70"/>
    <w:rsid w:val="00892CEA"/>
    <w:rsid w:val="00892DF1"/>
    <w:rsid w:val="008933FF"/>
    <w:rsid w:val="00893420"/>
    <w:rsid w:val="008934C6"/>
    <w:rsid w:val="008936B2"/>
    <w:rsid w:val="00894733"/>
    <w:rsid w:val="0089496E"/>
    <w:rsid w:val="00894D4A"/>
    <w:rsid w:val="00894FFC"/>
    <w:rsid w:val="008951B4"/>
    <w:rsid w:val="0089580A"/>
    <w:rsid w:val="00896081"/>
    <w:rsid w:val="00897071"/>
    <w:rsid w:val="008978D2"/>
    <w:rsid w:val="00897BD1"/>
    <w:rsid w:val="00897F4C"/>
    <w:rsid w:val="008A0198"/>
    <w:rsid w:val="008A0276"/>
    <w:rsid w:val="008A048F"/>
    <w:rsid w:val="008A0813"/>
    <w:rsid w:val="008A0984"/>
    <w:rsid w:val="008A1185"/>
    <w:rsid w:val="008A169F"/>
    <w:rsid w:val="008A17F6"/>
    <w:rsid w:val="008A1AB1"/>
    <w:rsid w:val="008A2233"/>
    <w:rsid w:val="008A2528"/>
    <w:rsid w:val="008A331D"/>
    <w:rsid w:val="008A3359"/>
    <w:rsid w:val="008A3409"/>
    <w:rsid w:val="008A35C8"/>
    <w:rsid w:val="008A36DE"/>
    <w:rsid w:val="008A3A5B"/>
    <w:rsid w:val="008A4263"/>
    <w:rsid w:val="008A439A"/>
    <w:rsid w:val="008A4BF5"/>
    <w:rsid w:val="008A4C28"/>
    <w:rsid w:val="008A4F5D"/>
    <w:rsid w:val="008A5125"/>
    <w:rsid w:val="008A5402"/>
    <w:rsid w:val="008A57EE"/>
    <w:rsid w:val="008A6217"/>
    <w:rsid w:val="008A62CA"/>
    <w:rsid w:val="008A64F2"/>
    <w:rsid w:val="008A69EF"/>
    <w:rsid w:val="008A6AB1"/>
    <w:rsid w:val="008A6C27"/>
    <w:rsid w:val="008A6E8B"/>
    <w:rsid w:val="008A728E"/>
    <w:rsid w:val="008B0376"/>
    <w:rsid w:val="008B0B84"/>
    <w:rsid w:val="008B0FE5"/>
    <w:rsid w:val="008B198C"/>
    <w:rsid w:val="008B1B76"/>
    <w:rsid w:val="008B1E23"/>
    <w:rsid w:val="008B1FDA"/>
    <w:rsid w:val="008B20D7"/>
    <w:rsid w:val="008B2295"/>
    <w:rsid w:val="008B22EB"/>
    <w:rsid w:val="008B2316"/>
    <w:rsid w:val="008B2565"/>
    <w:rsid w:val="008B2A37"/>
    <w:rsid w:val="008B3489"/>
    <w:rsid w:val="008B35F5"/>
    <w:rsid w:val="008B366D"/>
    <w:rsid w:val="008B3D99"/>
    <w:rsid w:val="008B3EC5"/>
    <w:rsid w:val="008B3FD2"/>
    <w:rsid w:val="008B45A7"/>
    <w:rsid w:val="008B4659"/>
    <w:rsid w:val="008B4BAA"/>
    <w:rsid w:val="008B4D2C"/>
    <w:rsid w:val="008B4F7C"/>
    <w:rsid w:val="008B57FD"/>
    <w:rsid w:val="008B5C22"/>
    <w:rsid w:val="008B662C"/>
    <w:rsid w:val="008B6704"/>
    <w:rsid w:val="008B67B6"/>
    <w:rsid w:val="008B6BCD"/>
    <w:rsid w:val="008B6D41"/>
    <w:rsid w:val="008B6FD0"/>
    <w:rsid w:val="008C061D"/>
    <w:rsid w:val="008C108B"/>
    <w:rsid w:val="008C11EE"/>
    <w:rsid w:val="008C165C"/>
    <w:rsid w:val="008C18A2"/>
    <w:rsid w:val="008C1BB1"/>
    <w:rsid w:val="008C1F87"/>
    <w:rsid w:val="008C208C"/>
    <w:rsid w:val="008C245B"/>
    <w:rsid w:val="008C2A35"/>
    <w:rsid w:val="008C2F3A"/>
    <w:rsid w:val="008C327B"/>
    <w:rsid w:val="008C3356"/>
    <w:rsid w:val="008C3569"/>
    <w:rsid w:val="008C363D"/>
    <w:rsid w:val="008C3958"/>
    <w:rsid w:val="008C3D30"/>
    <w:rsid w:val="008C3E1D"/>
    <w:rsid w:val="008C3ED5"/>
    <w:rsid w:val="008C3FE3"/>
    <w:rsid w:val="008C3FF1"/>
    <w:rsid w:val="008C455B"/>
    <w:rsid w:val="008C4786"/>
    <w:rsid w:val="008C47F9"/>
    <w:rsid w:val="008C4C8B"/>
    <w:rsid w:val="008C5434"/>
    <w:rsid w:val="008C5649"/>
    <w:rsid w:val="008C565D"/>
    <w:rsid w:val="008C5695"/>
    <w:rsid w:val="008C590B"/>
    <w:rsid w:val="008C5BE3"/>
    <w:rsid w:val="008C67C1"/>
    <w:rsid w:val="008C685F"/>
    <w:rsid w:val="008C78D1"/>
    <w:rsid w:val="008C7A45"/>
    <w:rsid w:val="008C7AEA"/>
    <w:rsid w:val="008D016A"/>
    <w:rsid w:val="008D043F"/>
    <w:rsid w:val="008D0A38"/>
    <w:rsid w:val="008D1688"/>
    <w:rsid w:val="008D1A9C"/>
    <w:rsid w:val="008D2582"/>
    <w:rsid w:val="008D25D8"/>
    <w:rsid w:val="008D26FB"/>
    <w:rsid w:val="008D288D"/>
    <w:rsid w:val="008D32EE"/>
    <w:rsid w:val="008D3358"/>
    <w:rsid w:val="008D3426"/>
    <w:rsid w:val="008D3428"/>
    <w:rsid w:val="008D34CE"/>
    <w:rsid w:val="008D34E8"/>
    <w:rsid w:val="008D3DA6"/>
    <w:rsid w:val="008D4415"/>
    <w:rsid w:val="008D5121"/>
    <w:rsid w:val="008D54B5"/>
    <w:rsid w:val="008D55DC"/>
    <w:rsid w:val="008D6094"/>
    <w:rsid w:val="008D62FD"/>
    <w:rsid w:val="008D6559"/>
    <w:rsid w:val="008D6C71"/>
    <w:rsid w:val="008D6DAE"/>
    <w:rsid w:val="008D6DB4"/>
    <w:rsid w:val="008D6F9D"/>
    <w:rsid w:val="008D716F"/>
    <w:rsid w:val="008D7549"/>
    <w:rsid w:val="008D76E4"/>
    <w:rsid w:val="008E0678"/>
    <w:rsid w:val="008E08CF"/>
    <w:rsid w:val="008E0D09"/>
    <w:rsid w:val="008E16EB"/>
    <w:rsid w:val="008E178E"/>
    <w:rsid w:val="008E1868"/>
    <w:rsid w:val="008E23B5"/>
    <w:rsid w:val="008E2854"/>
    <w:rsid w:val="008E2A5A"/>
    <w:rsid w:val="008E30FC"/>
    <w:rsid w:val="008E32F0"/>
    <w:rsid w:val="008E367B"/>
    <w:rsid w:val="008E3823"/>
    <w:rsid w:val="008E38D3"/>
    <w:rsid w:val="008E3B60"/>
    <w:rsid w:val="008E3D08"/>
    <w:rsid w:val="008E3D94"/>
    <w:rsid w:val="008E4321"/>
    <w:rsid w:val="008E4377"/>
    <w:rsid w:val="008E49F9"/>
    <w:rsid w:val="008E5389"/>
    <w:rsid w:val="008E53B6"/>
    <w:rsid w:val="008E5965"/>
    <w:rsid w:val="008E5C73"/>
    <w:rsid w:val="008E6395"/>
    <w:rsid w:val="008E6897"/>
    <w:rsid w:val="008E6A42"/>
    <w:rsid w:val="008E6AED"/>
    <w:rsid w:val="008E7207"/>
    <w:rsid w:val="008E730C"/>
    <w:rsid w:val="008E7353"/>
    <w:rsid w:val="008E7434"/>
    <w:rsid w:val="008E7652"/>
    <w:rsid w:val="008E7909"/>
    <w:rsid w:val="008F039D"/>
    <w:rsid w:val="008F0439"/>
    <w:rsid w:val="008F06EF"/>
    <w:rsid w:val="008F09BF"/>
    <w:rsid w:val="008F0AC9"/>
    <w:rsid w:val="008F0E8E"/>
    <w:rsid w:val="008F1458"/>
    <w:rsid w:val="008F1D83"/>
    <w:rsid w:val="008F1F54"/>
    <w:rsid w:val="008F1FD2"/>
    <w:rsid w:val="008F1FF4"/>
    <w:rsid w:val="008F2254"/>
    <w:rsid w:val="008F2402"/>
    <w:rsid w:val="008F3194"/>
    <w:rsid w:val="008F32B7"/>
    <w:rsid w:val="008F35FC"/>
    <w:rsid w:val="008F3FDB"/>
    <w:rsid w:val="008F4396"/>
    <w:rsid w:val="008F44EF"/>
    <w:rsid w:val="008F4794"/>
    <w:rsid w:val="008F4878"/>
    <w:rsid w:val="008F4D63"/>
    <w:rsid w:val="008F4F3B"/>
    <w:rsid w:val="008F5245"/>
    <w:rsid w:val="008F54C9"/>
    <w:rsid w:val="008F57A1"/>
    <w:rsid w:val="008F5933"/>
    <w:rsid w:val="008F7594"/>
    <w:rsid w:val="008F778B"/>
    <w:rsid w:val="008F781F"/>
    <w:rsid w:val="00900113"/>
    <w:rsid w:val="00900154"/>
    <w:rsid w:val="00900816"/>
    <w:rsid w:val="00900984"/>
    <w:rsid w:val="00900A69"/>
    <w:rsid w:val="00900B16"/>
    <w:rsid w:val="00900C7F"/>
    <w:rsid w:val="00900C90"/>
    <w:rsid w:val="00901046"/>
    <w:rsid w:val="0090154A"/>
    <w:rsid w:val="0090168D"/>
    <w:rsid w:val="00901A8E"/>
    <w:rsid w:val="00901BB3"/>
    <w:rsid w:val="00901D60"/>
    <w:rsid w:val="00901DBD"/>
    <w:rsid w:val="0090201E"/>
    <w:rsid w:val="0090207A"/>
    <w:rsid w:val="00902ABD"/>
    <w:rsid w:val="00902D2B"/>
    <w:rsid w:val="00902ED8"/>
    <w:rsid w:val="00902FD3"/>
    <w:rsid w:val="0090321C"/>
    <w:rsid w:val="00903A4C"/>
    <w:rsid w:val="00904C98"/>
    <w:rsid w:val="00904FFD"/>
    <w:rsid w:val="009050B9"/>
    <w:rsid w:val="00905328"/>
    <w:rsid w:val="00905572"/>
    <w:rsid w:val="009055DC"/>
    <w:rsid w:val="0090571D"/>
    <w:rsid w:val="00905B32"/>
    <w:rsid w:val="00905B9D"/>
    <w:rsid w:val="00905C9E"/>
    <w:rsid w:val="0090656C"/>
    <w:rsid w:val="0090678D"/>
    <w:rsid w:val="00906862"/>
    <w:rsid w:val="00906C41"/>
    <w:rsid w:val="0090727A"/>
    <w:rsid w:val="00907C60"/>
    <w:rsid w:val="00907E62"/>
    <w:rsid w:val="00907E94"/>
    <w:rsid w:val="00907F58"/>
    <w:rsid w:val="0091011B"/>
    <w:rsid w:val="00910208"/>
    <w:rsid w:val="00910572"/>
    <w:rsid w:val="009105B9"/>
    <w:rsid w:val="009107AD"/>
    <w:rsid w:val="009107AE"/>
    <w:rsid w:val="00910D76"/>
    <w:rsid w:val="0091122B"/>
    <w:rsid w:val="00911398"/>
    <w:rsid w:val="009114AE"/>
    <w:rsid w:val="00911B0A"/>
    <w:rsid w:val="00911D1C"/>
    <w:rsid w:val="009125CE"/>
    <w:rsid w:val="009126D0"/>
    <w:rsid w:val="009126E2"/>
    <w:rsid w:val="00912728"/>
    <w:rsid w:val="009128F4"/>
    <w:rsid w:val="009129E4"/>
    <w:rsid w:val="00913458"/>
    <w:rsid w:val="009137E8"/>
    <w:rsid w:val="00913932"/>
    <w:rsid w:val="00913CD6"/>
    <w:rsid w:val="00913D4F"/>
    <w:rsid w:val="0091404C"/>
    <w:rsid w:val="0091404F"/>
    <w:rsid w:val="009149AB"/>
    <w:rsid w:val="00915375"/>
    <w:rsid w:val="00915842"/>
    <w:rsid w:val="00915965"/>
    <w:rsid w:val="00915B51"/>
    <w:rsid w:val="00915C87"/>
    <w:rsid w:val="00915CAD"/>
    <w:rsid w:val="00915D0A"/>
    <w:rsid w:val="00916347"/>
    <w:rsid w:val="009163D3"/>
    <w:rsid w:val="00916537"/>
    <w:rsid w:val="009165D7"/>
    <w:rsid w:val="00916780"/>
    <w:rsid w:val="00916861"/>
    <w:rsid w:val="00916E2A"/>
    <w:rsid w:val="00916FF7"/>
    <w:rsid w:val="009171D8"/>
    <w:rsid w:val="00917297"/>
    <w:rsid w:val="009208CC"/>
    <w:rsid w:val="00920E63"/>
    <w:rsid w:val="009210AB"/>
    <w:rsid w:val="009211A0"/>
    <w:rsid w:val="00921238"/>
    <w:rsid w:val="009212DD"/>
    <w:rsid w:val="0092139C"/>
    <w:rsid w:val="009220B0"/>
    <w:rsid w:val="00922F36"/>
    <w:rsid w:val="009236A3"/>
    <w:rsid w:val="009236D6"/>
    <w:rsid w:val="00923851"/>
    <w:rsid w:val="00923FDC"/>
    <w:rsid w:val="00924151"/>
    <w:rsid w:val="00924170"/>
    <w:rsid w:val="009242F5"/>
    <w:rsid w:val="009251AF"/>
    <w:rsid w:val="0092521F"/>
    <w:rsid w:val="0092524E"/>
    <w:rsid w:val="00925437"/>
    <w:rsid w:val="00925582"/>
    <w:rsid w:val="009255BF"/>
    <w:rsid w:val="00926740"/>
    <w:rsid w:val="00926912"/>
    <w:rsid w:val="00927328"/>
    <w:rsid w:val="0092754E"/>
    <w:rsid w:val="00927B1C"/>
    <w:rsid w:val="00927DC2"/>
    <w:rsid w:val="00927E9C"/>
    <w:rsid w:val="009303CB"/>
    <w:rsid w:val="00930471"/>
    <w:rsid w:val="009309C6"/>
    <w:rsid w:val="00930A91"/>
    <w:rsid w:val="00930CDA"/>
    <w:rsid w:val="009310CC"/>
    <w:rsid w:val="009315CB"/>
    <w:rsid w:val="009319F3"/>
    <w:rsid w:val="00931BA2"/>
    <w:rsid w:val="00931D9A"/>
    <w:rsid w:val="009320B0"/>
    <w:rsid w:val="009322AE"/>
    <w:rsid w:val="009326DA"/>
    <w:rsid w:val="00932A5F"/>
    <w:rsid w:val="00932D94"/>
    <w:rsid w:val="00933955"/>
    <w:rsid w:val="0093439D"/>
    <w:rsid w:val="0093448C"/>
    <w:rsid w:val="00934560"/>
    <w:rsid w:val="00934642"/>
    <w:rsid w:val="0093466E"/>
    <w:rsid w:val="0093473D"/>
    <w:rsid w:val="00934B55"/>
    <w:rsid w:val="00934B81"/>
    <w:rsid w:val="00935D44"/>
    <w:rsid w:val="00935E38"/>
    <w:rsid w:val="0093605C"/>
    <w:rsid w:val="00936081"/>
    <w:rsid w:val="00936588"/>
    <w:rsid w:val="009367E5"/>
    <w:rsid w:val="00937611"/>
    <w:rsid w:val="00937D04"/>
    <w:rsid w:val="00937FD1"/>
    <w:rsid w:val="009400B8"/>
    <w:rsid w:val="00940109"/>
    <w:rsid w:val="0094019A"/>
    <w:rsid w:val="0094069E"/>
    <w:rsid w:val="009406B2"/>
    <w:rsid w:val="009408C6"/>
    <w:rsid w:val="00941022"/>
    <w:rsid w:val="00941378"/>
    <w:rsid w:val="009414B4"/>
    <w:rsid w:val="0094166B"/>
    <w:rsid w:val="0094193C"/>
    <w:rsid w:val="00942105"/>
    <w:rsid w:val="00942131"/>
    <w:rsid w:val="00942D57"/>
    <w:rsid w:val="00942DE4"/>
    <w:rsid w:val="0094369D"/>
    <w:rsid w:val="009437D1"/>
    <w:rsid w:val="009438FA"/>
    <w:rsid w:val="0094404A"/>
    <w:rsid w:val="00944359"/>
    <w:rsid w:val="009443A2"/>
    <w:rsid w:val="00944471"/>
    <w:rsid w:val="009445BE"/>
    <w:rsid w:val="0094472C"/>
    <w:rsid w:val="009447B1"/>
    <w:rsid w:val="00944C73"/>
    <w:rsid w:val="00944E49"/>
    <w:rsid w:val="00945030"/>
    <w:rsid w:val="00945386"/>
    <w:rsid w:val="00945A83"/>
    <w:rsid w:val="00945B31"/>
    <w:rsid w:val="00945D3C"/>
    <w:rsid w:val="0094679E"/>
    <w:rsid w:val="009467BA"/>
    <w:rsid w:val="00946DFE"/>
    <w:rsid w:val="00947101"/>
    <w:rsid w:val="00947343"/>
    <w:rsid w:val="00947988"/>
    <w:rsid w:val="009506C1"/>
    <w:rsid w:val="00950CB3"/>
    <w:rsid w:val="00950DB4"/>
    <w:rsid w:val="0095111A"/>
    <w:rsid w:val="00951146"/>
    <w:rsid w:val="009514DD"/>
    <w:rsid w:val="00951665"/>
    <w:rsid w:val="009518FA"/>
    <w:rsid w:val="009523DE"/>
    <w:rsid w:val="009523F8"/>
    <w:rsid w:val="00952A09"/>
    <w:rsid w:val="00952B66"/>
    <w:rsid w:val="00953013"/>
    <w:rsid w:val="009530F2"/>
    <w:rsid w:val="009531E6"/>
    <w:rsid w:val="009532DA"/>
    <w:rsid w:val="0095338E"/>
    <w:rsid w:val="0095346C"/>
    <w:rsid w:val="009535EC"/>
    <w:rsid w:val="00953E1A"/>
    <w:rsid w:val="009540C4"/>
    <w:rsid w:val="00954409"/>
    <w:rsid w:val="0095476C"/>
    <w:rsid w:val="00954CD9"/>
    <w:rsid w:val="00954CE5"/>
    <w:rsid w:val="009552E9"/>
    <w:rsid w:val="00955708"/>
    <w:rsid w:val="0095573A"/>
    <w:rsid w:val="009559C2"/>
    <w:rsid w:val="00955AF8"/>
    <w:rsid w:val="00955C30"/>
    <w:rsid w:val="00956075"/>
    <w:rsid w:val="0095636C"/>
    <w:rsid w:val="009563A6"/>
    <w:rsid w:val="0095649B"/>
    <w:rsid w:val="00956B75"/>
    <w:rsid w:val="00956D76"/>
    <w:rsid w:val="00957636"/>
    <w:rsid w:val="00957688"/>
    <w:rsid w:val="0095779A"/>
    <w:rsid w:val="0095785D"/>
    <w:rsid w:val="00957B7E"/>
    <w:rsid w:val="00957D1A"/>
    <w:rsid w:val="009601B4"/>
    <w:rsid w:val="00960E41"/>
    <w:rsid w:val="00960F13"/>
    <w:rsid w:val="009610C6"/>
    <w:rsid w:val="0096123E"/>
    <w:rsid w:val="009614FD"/>
    <w:rsid w:val="009617B9"/>
    <w:rsid w:val="00961D71"/>
    <w:rsid w:val="00961F0A"/>
    <w:rsid w:val="0096206B"/>
    <w:rsid w:val="009625AB"/>
    <w:rsid w:val="0096269E"/>
    <w:rsid w:val="00962BD5"/>
    <w:rsid w:val="00962D8F"/>
    <w:rsid w:val="00962E72"/>
    <w:rsid w:val="00962F0A"/>
    <w:rsid w:val="00963025"/>
    <w:rsid w:val="00963210"/>
    <w:rsid w:val="009635A2"/>
    <w:rsid w:val="009635F4"/>
    <w:rsid w:val="00963609"/>
    <w:rsid w:val="00963706"/>
    <w:rsid w:val="00964233"/>
    <w:rsid w:val="00964BF8"/>
    <w:rsid w:val="00965448"/>
    <w:rsid w:val="00965494"/>
    <w:rsid w:val="0096560E"/>
    <w:rsid w:val="00966186"/>
    <w:rsid w:val="009664BC"/>
    <w:rsid w:val="00966501"/>
    <w:rsid w:val="009666BA"/>
    <w:rsid w:val="00966A87"/>
    <w:rsid w:val="0096705A"/>
    <w:rsid w:val="009672C2"/>
    <w:rsid w:val="0096738D"/>
    <w:rsid w:val="0096797D"/>
    <w:rsid w:val="00967FE9"/>
    <w:rsid w:val="00970695"/>
    <w:rsid w:val="00970B98"/>
    <w:rsid w:val="00970E81"/>
    <w:rsid w:val="00971091"/>
    <w:rsid w:val="009711DD"/>
    <w:rsid w:val="00971892"/>
    <w:rsid w:val="00972353"/>
    <w:rsid w:val="009724EB"/>
    <w:rsid w:val="00972F57"/>
    <w:rsid w:val="00974261"/>
    <w:rsid w:val="00974347"/>
    <w:rsid w:val="00974762"/>
    <w:rsid w:val="00975345"/>
    <w:rsid w:val="0097539C"/>
    <w:rsid w:val="0097541A"/>
    <w:rsid w:val="009756FF"/>
    <w:rsid w:val="00975995"/>
    <w:rsid w:val="00976521"/>
    <w:rsid w:val="00976805"/>
    <w:rsid w:val="00976A43"/>
    <w:rsid w:val="00976B64"/>
    <w:rsid w:val="00976DC4"/>
    <w:rsid w:val="00977A89"/>
    <w:rsid w:val="00980180"/>
    <w:rsid w:val="009801A7"/>
    <w:rsid w:val="00980325"/>
    <w:rsid w:val="00980410"/>
    <w:rsid w:val="00980719"/>
    <w:rsid w:val="009808A2"/>
    <w:rsid w:val="00980ACA"/>
    <w:rsid w:val="00980B32"/>
    <w:rsid w:val="00980CBE"/>
    <w:rsid w:val="009811ED"/>
    <w:rsid w:val="0098189A"/>
    <w:rsid w:val="0098237F"/>
    <w:rsid w:val="00982472"/>
    <w:rsid w:val="00982BA7"/>
    <w:rsid w:val="00982D89"/>
    <w:rsid w:val="00983004"/>
    <w:rsid w:val="009838B0"/>
    <w:rsid w:val="00983CD2"/>
    <w:rsid w:val="00983F36"/>
    <w:rsid w:val="009842B8"/>
    <w:rsid w:val="00984309"/>
    <w:rsid w:val="0098456F"/>
    <w:rsid w:val="00984935"/>
    <w:rsid w:val="00984A6F"/>
    <w:rsid w:val="00984E36"/>
    <w:rsid w:val="0098577E"/>
    <w:rsid w:val="00985977"/>
    <w:rsid w:val="00985BAE"/>
    <w:rsid w:val="00985E5D"/>
    <w:rsid w:val="00985F64"/>
    <w:rsid w:val="009868EF"/>
    <w:rsid w:val="009869D9"/>
    <w:rsid w:val="00986D24"/>
    <w:rsid w:val="0098707A"/>
    <w:rsid w:val="0098750A"/>
    <w:rsid w:val="009876B2"/>
    <w:rsid w:val="00987AFF"/>
    <w:rsid w:val="00987E71"/>
    <w:rsid w:val="009902D4"/>
    <w:rsid w:val="009907B7"/>
    <w:rsid w:val="00990B6C"/>
    <w:rsid w:val="00990ED9"/>
    <w:rsid w:val="00991049"/>
    <w:rsid w:val="009913E3"/>
    <w:rsid w:val="00991900"/>
    <w:rsid w:val="00991A00"/>
    <w:rsid w:val="00991E68"/>
    <w:rsid w:val="00992F10"/>
    <w:rsid w:val="00993464"/>
    <w:rsid w:val="0099392E"/>
    <w:rsid w:val="00993EBA"/>
    <w:rsid w:val="00993F30"/>
    <w:rsid w:val="009940F8"/>
    <w:rsid w:val="00994147"/>
    <w:rsid w:val="009941AB"/>
    <w:rsid w:val="009942DE"/>
    <w:rsid w:val="009942FD"/>
    <w:rsid w:val="009946FF"/>
    <w:rsid w:val="0099473F"/>
    <w:rsid w:val="00994771"/>
    <w:rsid w:val="00994891"/>
    <w:rsid w:val="0099496E"/>
    <w:rsid w:val="00994BFC"/>
    <w:rsid w:val="00994C89"/>
    <w:rsid w:val="00994CF1"/>
    <w:rsid w:val="00994D45"/>
    <w:rsid w:val="00994E8C"/>
    <w:rsid w:val="0099526A"/>
    <w:rsid w:val="00995280"/>
    <w:rsid w:val="009954B1"/>
    <w:rsid w:val="00995805"/>
    <w:rsid w:val="00995C9B"/>
    <w:rsid w:val="00995F2E"/>
    <w:rsid w:val="00996612"/>
    <w:rsid w:val="00997142"/>
    <w:rsid w:val="00997937"/>
    <w:rsid w:val="00997BA8"/>
    <w:rsid w:val="00997CE9"/>
    <w:rsid w:val="00997F5A"/>
    <w:rsid w:val="009A012B"/>
    <w:rsid w:val="009A046E"/>
    <w:rsid w:val="009A11E3"/>
    <w:rsid w:val="009A12CE"/>
    <w:rsid w:val="009A184D"/>
    <w:rsid w:val="009A1CFA"/>
    <w:rsid w:val="009A2185"/>
    <w:rsid w:val="009A224C"/>
    <w:rsid w:val="009A2382"/>
    <w:rsid w:val="009A2C11"/>
    <w:rsid w:val="009A2C8E"/>
    <w:rsid w:val="009A2CDD"/>
    <w:rsid w:val="009A2CF9"/>
    <w:rsid w:val="009A31A3"/>
    <w:rsid w:val="009A3247"/>
    <w:rsid w:val="009A338E"/>
    <w:rsid w:val="009A3B3A"/>
    <w:rsid w:val="009A3B6A"/>
    <w:rsid w:val="009A3EB3"/>
    <w:rsid w:val="009A45E7"/>
    <w:rsid w:val="009A495B"/>
    <w:rsid w:val="009A5427"/>
    <w:rsid w:val="009A5DFB"/>
    <w:rsid w:val="009A6568"/>
    <w:rsid w:val="009A65F1"/>
    <w:rsid w:val="009A6DF6"/>
    <w:rsid w:val="009A6F3B"/>
    <w:rsid w:val="009A6FF8"/>
    <w:rsid w:val="009A7058"/>
    <w:rsid w:val="009A785D"/>
    <w:rsid w:val="009A7A65"/>
    <w:rsid w:val="009A7D8E"/>
    <w:rsid w:val="009A7E92"/>
    <w:rsid w:val="009A7EA2"/>
    <w:rsid w:val="009A7FD3"/>
    <w:rsid w:val="009B0171"/>
    <w:rsid w:val="009B01AC"/>
    <w:rsid w:val="009B04B8"/>
    <w:rsid w:val="009B0A31"/>
    <w:rsid w:val="009B0F64"/>
    <w:rsid w:val="009B127D"/>
    <w:rsid w:val="009B12E0"/>
    <w:rsid w:val="009B143E"/>
    <w:rsid w:val="009B17B9"/>
    <w:rsid w:val="009B1BFB"/>
    <w:rsid w:val="009B21F8"/>
    <w:rsid w:val="009B2447"/>
    <w:rsid w:val="009B25FC"/>
    <w:rsid w:val="009B2675"/>
    <w:rsid w:val="009B2684"/>
    <w:rsid w:val="009B26F0"/>
    <w:rsid w:val="009B29CD"/>
    <w:rsid w:val="009B3090"/>
    <w:rsid w:val="009B3777"/>
    <w:rsid w:val="009B39B3"/>
    <w:rsid w:val="009B3BC0"/>
    <w:rsid w:val="009B4737"/>
    <w:rsid w:val="009B545A"/>
    <w:rsid w:val="009B54EA"/>
    <w:rsid w:val="009B5782"/>
    <w:rsid w:val="009B5E3A"/>
    <w:rsid w:val="009B62B6"/>
    <w:rsid w:val="009B68D7"/>
    <w:rsid w:val="009B68E4"/>
    <w:rsid w:val="009C026C"/>
    <w:rsid w:val="009C038E"/>
    <w:rsid w:val="009C0652"/>
    <w:rsid w:val="009C08B0"/>
    <w:rsid w:val="009C0AF8"/>
    <w:rsid w:val="009C0CF6"/>
    <w:rsid w:val="009C1023"/>
    <w:rsid w:val="009C1324"/>
    <w:rsid w:val="009C1492"/>
    <w:rsid w:val="009C1C0C"/>
    <w:rsid w:val="009C2188"/>
    <w:rsid w:val="009C25D8"/>
    <w:rsid w:val="009C2977"/>
    <w:rsid w:val="009C2A62"/>
    <w:rsid w:val="009C429B"/>
    <w:rsid w:val="009C4346"/>
    <w:rsid w:val="009C45ED"/>
    <w:rsid w:val="009C4688"/>
    <w:rsid w:val="009C4744"/>
    <w:rsid w:val="009C4874"/>
    <w:rsid w:val="009C4A33"/>
    <w:rsid w:val="009C4E6A"/>
    <w:rsid w:val="009C4EC7"/>
    <w:rsid w:val="009C5D70"/>
    <w:rsid w:val="009C5ED2"/>
    <w:rsid w:val="009C5F84"/>
    <w:rsid w:val="009C638F"/>
    <w:rsid w:val="009C63DC"/>
    <w:rsid w:val="009C6857"/>
    <w:rsid w:val="009C6BC1"/>
    <w:rsid w:val="009C736E"/>
    <w:rsid w:val="009C76D7"/>
    <w:rsid w:val="009C7A2B"/>
    <w:rsid w:val="009C7A6C"/>
    <w:rsid w:val="009D0007"/>
    <w:rsid w:val="009D03A0"/>
    <w:rsid w:val="009D05FF"/>
    <w:rsid w:val="009D0B13"/>
    <w:rsid w:val="009D14F6"/>
    <w:rsid w:val="009D164A"/>
    <w:rsid w:val="009D19FA"/>
    <w:rsid w:val="009D3159"/>
    <w:rsid w:val="009D339A"/>
    <w:rsid w:val="009D3650"/>
    <w:rsid w:val="009D3B58"/>
    <w:rsid w:val="009D42F5"/>
    <w:rsid w:val="009D4747"/>
    <w:rsid w:val="009D4E80"/>
    <w:rsid w:val="009D5764"/>
    <w:rsid w:val="009D5B95"/>
    <w:rsid w:val="009D6013"/>
    <w:rsid w:val="009D640A"/>
    <w:rsid w:val="009D643B"/>
    <w:rsid w:val="009D6730"/>
    <w:rsid w:val="009D6A26"/>
    <w:rsid w:val="009D6E8C"/>
    <w:rsid w:val="009D703D"/>
    <w:rsid w:val="009D751E"/>
    <w:rsid w:val="009D75A2"/>
    <w:rsid w:val="009D7795"/>
    <w:rsid w:val="009D79E5"/>
    <w:rsid w:val="009D7CA2"/>
    <w:rsid w:val="009D7E2B"/>
    <w:rsid w:val="009E0201"/>
    <w:rsid w:val="009E04C6"/>
    <w:rsid w:val="009E056A"/>
    <w:rsid w:val="009E0793"/>
    <w:rsid w:val="009E110C"/>
    <w:rsid w:val="009E14A2"/>
    <w:rsid w:val="009E15A0"/>
    <w:rsid w:val="009E15C8"/>
    <w:rsid w:val="009E15EB"/>
    <w:rsid w:val="009E1672"/>
    <w:rsid w:val="009E1827"/>
    <w:rsid w:val="009E1CA4"/>
    <w:rsid w:val="009E265B"/>
    <w:rsid w:val="009E2B01"/>
    <w:rsid w:val="009E2E50"/>
    <w:rsid w:val="009E2F32"/>
    <w:rsid w:val="009E2F35"/>
    <w:rsid w:val="009E3737"/>
    <w:rsid w:val="009E3821"/>
    <w:rsid w:val="009E38B3"/>
    <w:rsid w:val="009E3988"/>
    <w:rsid w:val="009E3A70"/>
    <w:rsid w:val="009E4321"/>
    <w:rsid w:val="009E443D"/>
    <w:rsid w:val="009E4B68"/>
    <w:rsid w:val="009E4C03"/>
    <w:rsid w:val="009E4C90"/>
    <w:rsid w:val="009E4CBA"/>
    <w:rsid w:val="009E5963"/>
    <w:rsid w:val="009E5EBC"/>
    <w:rsid w:val="009E619B"/>
    <w:rsid w:val="009E625B"/>
    <w:rsid w:val="009E6264"/>
    <w:rsid w:val="009E64F7"/>
    <w:rsid w:val="009E66DA"/>
    <w:rsid w:val="009E6A96"/>
    <w:rsid w:val="009E6FE5"/>
    <w:rsid w:val="009E73FC"/>
    <w:rsid w:val="009E74D7"/>
    <w:rsid w:val="009E778D"/>
    <w:rsid w:val="009E7E09"/>
    <w:rsid w:val="009E7F6D"/>
    <w:rsid w:val="009F0180"/>
    <w:rsid w:val="009F0241"/>
    <w:rsid w:val="009F03A0"/>
    <w:rsid w:val="009F0A7C"/>
    <w:rsid w:val="009F0B84"/>
    <w:rsid w:val="009F12A7"/>
    <w:rsid w:val="009F1529"/>
    <w:rsid w:val="009F15AF"/>
    <w:rsid w:val="009F17EF"/>
    <w:rsid w:val="009F1943"/>
    <w:rsid w:val="009F1C15"/>
    <w:rsid w:val="009F1F19"/>
    <w:rsid w:val="009F2300"/>
    <w:rsid w:val="009F2978"/>
    <w:rsid w:val="009F2A6F"/>
    <w:rsid w:val="009F2B41"/>
    <w:rsid w:val="009F2B94"/>
    <w:rsid w:val="009F3480"/>
    <w:rsid w:val="009F36AF"/>
    <w:rsid w:val="009F36FD"/>
    <w:rsid w:val="009F3988"/>
    <w:rsid w:val="009F3BC7"/>
    <w:rsid w:val="009F4722"/>
    <w:rsid w:val="009F4852"/>
    <w:rsid w:val="009F48C2"/>
    <w:rsid w:val="009F4B29"/>
    <w:rsid w:val="009F4BFD"/>
    <w:rsid w:val="009F53FA"/>
    <w:rsid w:val="009F54A0"/>
    <w:rsid w:val="009F577F"/>
    <w:rsid w:val="009F623F"/>
    <w:rsid w:val="009F6406"/>
    <w:rsid w:val="009F65EA"/>
    <w:rsid w:val="009F743B"/>
    <w:rsid w:val="009F74A2"/>
    <w:rsid w:val="009F7DBE"/>
    <w:rsid w:val="00A0020D"/>
    <w:rsid w:val="00A0091A"/>
    <w:rsid w:val="00A010FE"/>
    <w:rsid w:val="00A0110D"/>
    <w:rsid w:val="00A012F5"/>
    <w:rsid w:val="00A01DAC"/>
    <w:rsid w:val="00A01E13"/>
    <w:rsid w:val="00A01E56"/>
    <w:rsid w:val="00A026C8"/>
    <w:rsid w:val="00A0275D"/>
    <w:rsid w:val="00A02B89"/>
    <w:rsid w:val="00A02CF4"/>
    <w:rsid w:val="00A02DEA"/>
    <w:rsid w:val="00A030F5"/>
    <w:rsid w:val="00A0331C"/>
    <w:rsid w:val="00A03B67"/>
    <w:rsid w:val="00A03ECF"/>
    <w:rsid w:val="00A04077"/>
    <w:rsid w:val="00A045EB"/>
    <w:rsid w:val="00A04B0C"/>
    <w:rsid w:val="00A04BB9"/>
    <w:rsid w:val="00A04D60"/>
    <w:rsid w:val="00A0532B"/>
    <w:rsid w:val="00A0543F"/>
    <w:rsid w:val="00A05672"/>
    <w:rsid w:val="00A05833"/>
    <w:rsid w:val="00A05AAF"/>
    <w:rsid w:val="00A05F57"/>
    <w:rsid w:val="00A06389"/>
    <w:rsid w:val="00A06B83"/>
    <w:rsid w:val="00A06CF3"/>
    <w:rsid w:val="00A07075"/>
    <w:rsid w:val="00A07579"/>
    <w:rsid w:val="00A1036E"/>
    <w:rsid w:val="00A10390"/>
    <w:rsid w:val="00A1093E"/>
    <w:rsid w:val="00A10AE4"/>
    <w:rsid w:val="00A10B65"/>
    <w:rsid w:val="00A10BA1"/>
    <w:rsid w:val="00A10ECF"/>
    <w:rsid w:val="00A118B3"/>
    <w:rsid w:val="00A118E6"/>
    <w:rsid w:val="00A11B8F"/>
    <w:rsid w:val="00A12957"/>
    <w:rsid w:val="00A129BE"/>
    <w:rsid w:val="00A12CE6"/>
    <w:rsid w:val="00A132E7"/>
    <w:rsid w:val="00A13341"/>
    <w:rsid w:val="00A13363"/>
    <w:rsid w:val="00A13439"/>
    <w:rsid w:val="00A13472"/>
    <w:rsid w:val="00A136CB"/>
    <w:rsid w:val="00A138DC"/>
    <w:rsid w:val="00A13AF2"/>
    <w:rsid w:val="00A13B2D"/>
    <w:rsid w:val="00A14155"/>
    <w:rsid w:val="00A144BA"/>
    <w:rsid w:val="00A153E4"/>
    <w:rsid w:val="00A15428"/>
    <w:rsid w:val="00A15491"/>
    <w:rsid w:val="00A1582A"/>
    <w:rsid w:val="00A15B40"/>
    <w:rsid w:val="00A15C06"/>
    <w:rsid w:val="00A15C55"/>
    <w:rsid w:val="00A15D30"/>
    <w:rsid w:val="00A167E3"/>
    <w:rsid w:val="00A16BC4"/>
    <w:rsid w:val="00A16D28"/>
    <w:rsid w:val="00A16D58"/>
    <w:rsid w:val="00A16EDD"/>
    <w:rsid w:val="00A17249"/>
    <w:rsid w:val="00A17504"/>
    <w:rsid w:val="00A17591"/>
    <w:rsid w:val="00A2034F"/>
    <w:rsid w:val="00A2041A"/>
    <w:rsid w:val="00A2084A"/>
    <w:rsid w:val="00A20908"/>
    <w:rsid w:val="00A20DF4"/>
    <w:rsid w:val="00A2112D"/>
    <w:rsid w:val="00A213FA"/>
    <w:rsid w:val="00A21B11"/>
    <w:rsid w:val="00A21B5A"/>
    <w:rsid w:val="00A21EB4"/>
    <w:rsid w:val="00A2228A"/>
    <w:rsid w:val="00A222A2"/>
    <w:rsid w:val="00A227E0"/>
    <w:rsid w:val="00A22849"/>
    <w:rsid w:val="00A23199"/>
    <w:rsid w:val="00A23635"/>
    <w:rsid w:val="00A23ADC"/>
    <w:rsid w:val="00A23E50"/>
    <w:rsid w:val="00A245F6"/>
    <w:rsid w:val="00A249BD"/>
    <w:rsid w:val="00A24E34"/>
    <w:rsid w:val="00A24E6E"/>
    <w:rsid w:val="00A2554C"/>
    <w:rsid w:val="00A257BE"/>
    <w:rsid w:val="00A25C6C"/>
    <w:rsid w:val="00A25F99"/>
    <w:rsid w:val="00A25FDA"/>
    <w:rsid w:val="00A2641C"/>
    <w:rsid w:val="00A26CC8"/>
    <w:rsid w:val="00A271A5"/>
    <w:rsid w:val="00A2746C"/>
    <w:rsid w:val="00A27655"/>
    <w:rsid w:val="00A27B75"/>
    <w:rsid w:val="00A27CC6"/>
    <w:rsid w:val="00A27CFB"/>
    <w:rsid w:val="00A304B1"/>
    <w:rsid w:val="00A30C36"/>
    <w:rsid w:val="00A30D32"/>
    <w:rsid w:val="00A3133D"/>
    <w:rsid w:val="00A3175A"/>
    <w:rsid w:val="00A318B6"/>
    <w:rsid w:val="00A319F7"/>
    <w:rsid w:val="00A31E80"/>
    <w:rsid w:val="00A31F0B"/>
    <w:rsid w:val="00A322A7"/>
    <w:rsid w:val="00A3246B"/>
    <w:rsid w:val="00A32655"/>
    <w:rsid w:val="00A32A94"/>
    <w:rsid w:val="00A32BAC"/>
    <w:rsid w:val="00A32C73"/>
    <w:rsid w:val="00A32E25"/>
    <w:rsid w:val="00A330BC"/>
    <w:rsid w:val="00A337AE"/>
    <w:rsid w:val="00A33974"/>
    <w:rsid w:val="00A339F5"/>
    <w:rsid w:val="00A33A4B"/>
    <w:rsid w:val="00A33C4C"/>
    <w:rsid w:val="00A34633"/>
    <w:rsid w:val="00A34941"/>
    <w:rsid w:val="00A34954"/>
    <w:rsid w:val="00A34997"/>
    <w:rsid w:val="00A34CB4"/>
    <w:rsid w:val="00A35CAA"/>
    <w:rsid w:val="00A3667C"/>
    <w:rsid w:val="00A366D0"/>
    <w:rsid w:val="00A36BF9"/>
    <w:rsid w:val="00A36C9B"/>
    <w:rsid w:val="00A37549"/>
    <w:rsid w:val="00A3773C"/>
    <w:rsid w:val="00A4008E"/>
    <w:rsid w:val="00A4079D"/>
    <w:rsid w:val="00A408B2"/>
    <w:rsid w:val="00A40C14"/>
    <w:rsid w:val="00A40CD5"/>
    <w:rsid w:val="00A40F23"/>
    <w:rsid w:val="00A41057"/>
    <w:rsid w:val="00A4107F"/>
    <w:rsid w:val="00A410DF"/>
    <w:rsid w:val="00A41289"/>
    <w:rsid w:val="00A412AF"/>
    <w:rsid w:val="00A418A7"/>
    <w:rsid w:val="00A41BE8"/>
    <w:rsid w:val="00A41E45"/>
    <w:rsid w:val="00A41E73"/>
    <w:rsid w:val="00A42223"/>
    <w:rsid w:val="00A42923"/>
    <w:rsid w:val="00A42B07"/>
    <w:rsid w:val="00A43694"/>
    <w:rsid w:val="00A436C3"/>
    <w:rsid w:val="00A43987"/>
    <w:rsid w:val="00A43A4C"/>
    <w:rsid w:val="00A43E7E"/>
    <w:rsid w:val="00A4451F"/>
    <w:rsid w:val="00A4487C"/>
    <w:rsid w:val="00A44B84"/>
    <w:rsid w:val="00A456E7"/>
    <w:rsid w:val="00A45A98"/>
    <w:rsid w:val="00A460C2"/>
    <w:rsid w:val="00A467B4"/>
    <w:rsid w:val="00A4689D"/>
    <w:rsid w:val="00A473BD"/>
    <w:rsid w:val="00A47680"/>
    <w:rsid w:val="00A4772E"/>
    <w:rsid w:val="00A47958"/>
    <w:rsid w:val="00A47E07"/>
    <w:rsid w:val="00A47E23"/>
    <w:rsid w:val="00A50152"/>
    <w:rsid w:val="00A50190"/>
    <w:rsid w:val="00A506D6"/>
    <w:rsid w:val="00A5097F"/>
    <w:rsid w:val="00A50B00"/>
    <w:rsid w:val="00A517D0"/>
    <w:rsid w:val="00A5211D"/>
    <w:rsid w:val="00A528B1"/>
    <w:rsid w:val="00A531EC"/>
    <w:rsid w:val="00A53979"/>
    <w:rsid w:val="00A53CD5"/>
    <w:rsid w:val="00A53FF4"/>
    <w:rsid w:val="00A54053"/>
    <w:rsid w:val="00A544A8"/>
    <w:rsid w:val="00A5450F"/>
    <w:rsid w:val="00A5465F"/>
    <w:rsid w:val="00A54705"/>
    <w:rsid w:val="00A549F3"/>
    <w:rsid w:val="00A54A3A"/>
    <w:rsid w:val="00A54D01"/>
    <w:rsid w:val="00A54D28"/>
    <w:rsid w:val="00A55362"/>
    <w:rsid w:val="00A5570E"/>
    <w:rsid w:val="00A5581A"/>
    <w:rsid w:val="00A5598E"/>
    <w:rsid w:val="00A55A41"/>
    <w:rsid w:val="00A55AD6"/>
    <w:rsid w:val="00A55B90"/>
    <w:rsid w:val="00A55D92"/>
    <w:rsid w:val="00A56455"/>
    <w:rsid w:val="00A567BD"/>
    <w:rsid w:val="00A5687C"/>
    <w:rsid w:val="00A56D68"/>
    <w:rsid w:val="00A56F04"/>
    <w:rsid w:val="00A56FC7"/>
    <w:rsid w:val="00A57179"/>
    <w:rsid w:val="00A573C1"/>
    <w:rsid w:val="00A5748C"/>
    <w:rsid w:val="00A576DD"/>
    <w:rsid w:val="00A57A9C"/>
    <w:rsid w:val="00A57D0F"/>
    <w:rsid w:val="00A57E3C"/>
    <w:rsid w:val="00A57E59"/>
    <w:rsid w:val="00A602C5"/>
    <w:rsid w:val="00A60405"/>
    <w:rsid w:val="00A60423"/>
    <w:rsid w:val="00A60598"/>
    <w:rsid w:val="00A609E1"/>
    <w:rsid w:val="00A60AA0"/>
    <w:rsid w:val="00A60DBE"/>
    <w:rsid w:val="00A60EEF"/>
    <w:rsid w:val="00A6102E"/>
    <w:rsid w:val="00A61B1A"/>
    <w:rsid w:val="00A61BA5"/>
    <w:rsid w:val="00A620D8"/>
    <w:rsid w:val="00A621D4"/>
    <w:rsid w:val="00A6239C"/>
    <w:rsid w:val="00A628A8"/>
    <w:rsid w:val="00A628D4"/>
    <w:rsid w:val="00A62D14"/>
    <w:rsid w:val="00A62E8C"/>
    <w:rsid w:val="00A63171"/>
    <w:rsid w:val="00A63445"/>
    <w:rsid w:val="00A637A1"/>
    <w:rsid w:val="00A63A58"/>
    <w:rsid w:val="00A63ECF"/>
    <w:rsid w:val="00A63F86"/>
    <w:rsid w:val="00A64111"/>
    <w:rsid w:val="00A6417D"/>
    <w:rsid w:val="00A64356"/>
    <w:rsid w:val="00A646E1"/>
    <w:rsid w:val="00A647FD"/>
    <w:rsid w:val="00A6559E"/>
    <w:rsid w:val="00A65989"/>
    <w:rsid w:val="00A65E8F"/>
    <w:rsid w:val="00A65F6E"/>
    <w:rsid w:val="00A666E0"/>
    <w:rsid w:val="00A6695D"/>
    <w:rsid w:val="00A66EB1"/>
    <w:rsid w:val="00A66F3F"/>
    <w:rsid w:val="00A672EE"/>
    <w:rsid w:val="00A6756B"/>
    <w:rsid w:val="00A6761B"/>
    <w:rsid w:val="00A67D3A"/>
    <w:rsid w:val="00A67F47"/>
    <w:rsid w:val="00A7011B"/>
    <w:rsid w:val="00A70400"/>
    <w:rsid w:val="00A70557"/>
    <w:rsid w:val="00A70879"/>
    <w:rsid w:val="00A70DBC"/>
    <w:rsid w:val="00A716E7"/>
    <w:rsid w:val="00A7183B"/>
    <w:rsid w:val="00A71ADF"/>
    <w:rsid w:val="00A71AF0"/>
    <w:rsid w:val="00A71FAD"/>
    <w:rsid w:val="00A7234A"/>
    <w:rsid w:val="00A72489"/>
    <w:rsid w:val="00A72575"/>
    <w:rsid w:val="00A7263D"/>
    <w:rsid w:val="00A7282F"/>
    <w:rsid w:val="00A729BF"/>
    <w:rsid w:val="00A72F64"/>
    <w:rsid w:val="00A73833"/>
    <w:rsid w:val="00A7394D"/>
    <w:rsid w:val="00A73F65"/>
    <w:rsid w:val="00A74071"/>
    <w:rsid w:val="00A74AF2"/>
    <w:rsid w:val="00A74BC4"/>
    <w:rsid w:val="00A74D21"/>
    <w:rsid w:val="00A74D7B"/>
    <w:rsid w:val="00A74DCD"/>
    <w:rsid w:val="00A74F53"/>
    <w:rsid w:val="00A7502A"/>
    <w:rsid w:val="00A75262"/>
    <w:rsid w:val="00A752E9"/>
    <w:rsid w:val="00A7533D"/>
    <w:rsid w:val="00A75A9B"/>
    <w:rsid w:val="00A75BD9"/>
    <w:rsid w:val="00A75C56"/>
    <w:rsid w:val="00A75E02"/>
    <w:rsid w:val="00A76195"/>
    <w:rsid w:val="00A764B1"/>
    <w:rsid w:val="00A76DEC"/>
    <w:rsid w:val="00A77043"/>
    <w:rsid w:val="00A770DD"/>
    <w:rsid w:val="00A77309"/>
    <w:rsid w:val="00A7737C"/>
    <w:rsid w:val="00A77412"/>
    <w:rsid w:val="00A77728"/>
    <w:rsid w:val="00A77950"/>
    <w:rsid w:val="00A77FB9"/>
    <w:rsid w:val="00A803B3"/>
    <w:rsid w:val="00A80456"/>
    <w:rsid w:val="00A806BC"/>
    <w:rsid w:val="00A80A65"/>
    <w:rsid w:val="00A80A85"/>
    <w:rsid w:val="00A80C13"/>
    <w:rsid w:val="00A80F53"/>
    <w:rsid w:val="00A81319"/>
    <w:rsid w:val="00A827E1"/>
    <w:rsid w:val="00A83AAD"/>
    <w:rsid w:val="00A840A3"/>
    <w:rsid w:val="00A84110"/>
    <w:rsid w:val="00A84517"/>
    <w:rsid w:val="00A8464B"/>
    <w:rsid w:val="00A8535D"/>
    <w:rsid w:val="00A85B64"/>
    <w:rsid w:val="00A86103"/>
    <w:rsid w:val="00A86303"/>
    <w:rsid w:val="00A86630"/>
    <w:rsid w:val="00A869B7"/>
    <w:rsid w:val="00A869C1"/>
    <w:rsid w:val="00A86EEA"/>
    <w:rsid w:val="00A87083"/>
    <w:rsid w:val="00A87273"/>
    <w:rsid w:val="00A8742C"/>
    <w:rsid w:val="00A87812"/>
    <w:rsid w:val="00A87914"/>
    <w:rsid w:val="00A87E3D"/>
    <w:rsid w:val="00A900DA"/>
    <w:rsid w:val="00A9053D"/>
    <w:rsid w:val="00A90B2F"/>
    <w:rsid w:val="00A90B5F"/>
    <w:rsid w:val="00A90E0B"/>
    <w:rsid w:val="00A910D6"/>
    <w:rsid w:val="00A91E86"/>
    <w:rsid w:val="00A91F93"/>
    <w:rsid w:val="00A920FA"/>
    <w:rsid w:val="00A922E3"/>
    <w:rsid w:val="00A92B56"/>
    <w:rsid w:val="00A92DC7"/>
    <w:rsid w:val="00A934EF"/>
    <w:rsid w:val="00A93650"/>
    <w:rsid w:val="00A9376A"/>
    <w:rsid w:val="00A93AD9"/>
    <w:rsid w:val="00A941A4"/>
    <w:rsid w:val="00A943FA"/>
    <w:rsid w:val="00A94AF7"/>
    <w:rsid w:val="00A94B04"/>
    <w:rsid w:val="00A94B1D"/>
    <w:rsid w:val="00A9504B"/>
    <w:rsid w:val="00A9526B"/>
    <w:rsid w:val="00A95707"/>
    <w:rsid w:val="00A957CF"/>
    <w:rsid w:val="00A9620F"/>
    <w:rsid w:val="00A96449"/>
    <w:rsid w:val="00A968EB"/>
    <w:rsid w:val="00A968F9"/>
    <w:rsid w:val="00A9703C"/>
    <w:rsid w:val="00A97C60"/>
    <w:rsid w:val="00A98596"/>
    <w:rsid w:val="00AA010D"/>
    <w:rsid w:val="00AA056C"/>
    <w:rsid w:val="00AA0661"/>
    <w:rsid w:val="00AA0821"/>
    <w:rsid w:val="00AA0ACD"/>
    <w:rsid w:val="00AA0E92"/>
    <w:rsid w:val="00AA124A"/>
    <w:rsid w:val="00AA1560"/>
    <w:rsid w:val="00AA1571"/>
    <w:rsid w:val="00AA16FD"/>
    <w:rsid w:val="00AA1A74"/>
    <w:rsid w:val="00AA1B38"/>
    <w:rsid w:val="00AA1B99"/>
    <w:rsid w:val="00AA1EAB"/>
    <w:rsid w:val="00AA2A96"/>
    <w:rsid w:val="00AA2F8F"/>
    <w:rsid w:val="00AA3008"/>
    <w:rsid w:val="00AA3ADA"/>
    <w:rsid w:val="00AA46C1"/>
    <w:rsid w:val="00AA4CB8"/>
    <w:rsid w:val="00AA4DA3"/>
    <w:rsid w:val="00AA5366"/>
    <w:rsid w:val="00AA554A"/>
    <w:rsid w:val="00AA598F"/>
    <w:rsid w:val="00AA5C98"/>
    <w:rsid w:val="00AA611C"/>
    <w:rsid w:val="00AA6290"/>
    <w:rsid w:val="00AA6A6B"/>
    <w:rsid w:val="00AA7356"/>
    <w:rsid w:val="00AA7879"/>
    <w:rsid w:val="00AA7FB7"/>
    <w:rsid w:val="00AB045B"/>
    <w:rsid w:val="00AB04DE"/>
    <w:rsid w:val="00AB05C9"/>
    <w:rsid w:val="00AB0721"/>
    <w:rsid w:val="00AB0766"/>
    <w:rsid w:val="00AB094D"/>
    <w:rsid w:val="00AB0B5D"/>
    <w:rsid w:val="00AB0D44"/>
    <w:rsid w:val="00AB2877"/>
    <w:rsid w:val="00AB28DD"/>
    <w:rsid w:val="00AB3649"/>
    <w:rsid w:val="00AB4184"/>
    <w:rsid w:val="00AB4A5F"/>
    <w:rsid w:val="00AB4FC6"/>
    <w:rsid w:val="00AB4FFB"/>
    <w:rsid w:val="00AB5751"/>
    <w:rsid w:val="00AB57C6"/>
    <w:rsid w:val="00AB6182"/>
    <w:rsid w:val="00AB6563"/>
    <w:rsid w:val="00AB692C"/>
    <w:rsid w:val="00AB6D9B"/>
    <w:rsid w:val="00AB7145"/>
    <w:rsid w:val="00AB7368"/>
    <w:rsid w:val="00AB77BE"/>
    <w:rsid w:val="00AC0247"/>
    <w:rsid w:val="00AC0259"/>
    <w:rsid w:val="00AC03CD"/>
    <w:rsid w:val="00AC0414"/>
    <w:rsid w:val="00AC0500"/>
    <w:rsid w:val="00AC090B"/>
    <w:rsid w:val="00AC0CA7"/>
    <w:rsid w:val="00AC0FEF"/>
    <w:rsid w:val="00AC11C3"/>
    <w:rsid w:val="00AC128F"/>
    <w:rsid w:val="00AC152B"/>
    <w:rsid w:val="00AC184C"/>
    <w:rsid w:val="00AC18E0"/>
    <w:rsid w:val="00AC24C4"/>
    <w:rsid w:val="00AC2543"/>
    <w:rsid w:val="00AC2684"/>
    <w:rsid w:val="00AC29CB"/>
    <w:rsid w:val="00AC2B99"/>
    <w:rsid w:val="00AC2E06"/>
    <w:rsid w:val="00AC32EC"/>
    <w:rsid w:val="00AC3EFD"/>
    <w:rsid w:val="00AC3F14"/>
    <w:rsid w:val="00AC3F3D"/>
    <w:rsid w:val="00AC3F72"/>
    <w:rsid w:val="00AC44EE"/>
    <w:rsid w:val="00AC49DD"/>
    <w:rsid w:val="00AC4EBC"/>
    <w:rsid w:val="00AC571E"/>
    <w:rsid w:val="00AC580D"/>
    <w:rsid w:val="00AC5C5E"/>
    <w:rsid w:val="00AC6597"/>
    <w:rsid w:val="00AC68A2"/>
    <w:rsid w:val="00AC71E1"/>
    <w:rsid w:val="00AC71ED"/>
    <w:rsid w:val="00AC73E6"/>
    <w:rsid w:val="00AC7419"/>
    <w:rsid w:val="00AC74AE"/>
    <w:rsid w:val="00AC7511"/>
    <w:rsid w:val="00AC7A1F"/>
    <w:rsid w:val="00AC7B25"/>
    <w:rsid w:val="00AD08D5"/>
    <w:rsid w:val="00AD0DEA"/>
    <w:rsid w:val="00AD13C7"/>
    <w:rsid w:val="00AD15A0"/>
    <w:rsid w:val="00AD1621"/>
    <w:rsid w:val="00AD1A8D"/>
    <w:rsid w:val="00AD1BE6"/>
    <w:rsid w:val="00AD20B7"/>
    <w:rsid w:val="00AD327D"/>
    <w:rsid w:val="00AD3417"/>
    <w:rsid w:val="00AD3A69"/>
    <w:rsid w:val="00AD3CDA"/>
    <w:rsid w:val="00AD439D"/>
    <w:rsid w:val="00AD45D1"/>
    <w:rsid w:val="00AD47CE"/>
    <w:rsid w:val="00AD4E44"/>
    <w:rsid w:val="00AD4FD4"/>
    <w:rsid w:val="00AD5162"/>
    <w:rsid w:val="00AD528E"/>
    <w:rsid w:val="00AD53F6"/>
    <w:rsid w:val="00AD5973"/>
    <w:rsid w:val="00AD5CF8"/>
    <w:rsid w:val="00AD5FFF"/>
    <w:rsid w:val="00AD608F"/>
    <w:rsid w:val="00AD64EF"/>
    <w:rsid w:val="00AD6879"/>
    <w:rsid w:val="00AD6CA9"/>
    <w:rsid w:val="00AD6E38"/>
    <w:rsid w:val="00AD6E54"/>
    <w:rsid w:val="00AD7011"/>
    <w:rsid w:val="00AD72DD"/>
    <w:rsid w:val="00AD7416"/>
    <w:rsid w:val="00AD74F5"/>
    <w:rsid w:val="00AD7952"/>
    <w:rsid w:val="00AD7D0F"/>
    <w:rsid w:val="00AD7D80"/>
    <w:rsid w:val="00AE02CD"/>
    <w:rsid w:val="00AE0BB6"/>
    <w:rsid w:val="00AE0DD1"/>
    <w:rsid w:val="00AE0FB3"/>
    <w:rsid w:val="00AE10BD"/>
    <w:rsid w:val="00AE1122"/>
    <w:rsid w:val="00AE15FF"/>
    <w:rsid w:val="00AE16A9"/>
    <w:rsid w:val="00AE1924"/>
    <w:rsid w:val="00AE1954"/>
    <w:rsid w:val="00AE19F5"/>
    <w:rsid w:val="00AE2286"/>
    <w:rsid w:val="00AE23B4"/>
    <w:rsid w:val="00AE2575"/>
    <w:rsid w:val="00AE2659"/>
    <w:rsid w:val="00AE299E"/>
    <w:rsid w:val="00AE2B49"/>
    <w:rsid w:val="00AE3445"/>
    <w:rsid w:val="00AE3517"/>
    <w:rsid w:val="00AE3C17"/>
    <w:rsid w:val="00AE3CCF"/>
    <w:rsid w:val="00AE425D"/>
    <w:rsid w:val="00AE43B0"/>
    <w:rsid w:val="00AE43ED"/>
    <w:rsid w:val="00AE4468"/>
    <w:rsid w:val="00AE44FB"/>
    <w:rsid w:val="00AE4513"/>
    <w:rsid w:val="00AE4B69"/>
    <w:rsid w:val="00AE51EE"/>
    <w:rsid w:val="00AE5234"/>
    <w:rsid w:val="00AE54A1"/>
    <w:rsid w:val="00AE55D3"/>
    <w:rsid w:val="00AE563E"/>
    <w:rsid w:val="00AE5A1B"/>
    <w:rsid w:val="00AE6040"/>
    <w:rsid w:val="00AE6600"/>
    <w:rsid w:val="00AE6928"/>
    <w:rsid w:val="00AE6A6E"/>
    <w:rsid w:val="00AE6AA3"/>
    <w:rsid w:val="00AE6F9E"/>
    <w:rsid w:val="00AE6FC5"/>
    <w:rsid w:val="00AF0822"/>
    <w:rsid w:val="00AF0C6A"/>
    <w:rsid w:val="00AF0D03"/>
    <w:rsid w:val="00AF0E96"/>
    <w:rsid w:val="00AF0F22"/>
    <w:rsid w:val="00AF0F77"/>
    <w:rsid w:val="00AF103F"/>
    <w:rsid w:val="00AF1370"/>
    <w:rsid w:val="00AF1507"/>
    <w:rsid w:val="00AF1795"/>
    <w:rsid w:val="00AF18DD"/>
    <w:rsid w:val="00AF1AA2"/>
    <w:rsid w:val="00AF1E13"/>
    <w:rsid w:val="00AF22E0"/>
    <w:rsid w:val="00AF2374"/>
    <w:rsid w:val="00AF2D9E"/>
    <w:rsid w:val="00AF2FE1"/>
    <w:rsid w:val="00AF33FC"/>
    <w:rsid w:val="00AF36D6"/>
    <w:rsid w:val="00AF36DA"/>
    <w:rsid w:val="00AF3D98"/>
    <w:rsid w:val="00AF3F26"/>
    <w:rsid w:val="00AF3F32"/>
    <w:rsid w:val="00AF403F"/>
    <w:rsid w:val="00AF41B9"/>
    <w:rsid w:val="00AF4351"/>
    <w:rsid w:val="00AF43DB"/>
    <w:rsid w:val="00AF4534"/>
    <w:rsid w:val="00AF485A"/>
    <w:rsid w:val="00AF4A31"/>
    <w:rsid w:val="00AF4CEE"/>
    <w:rsid w:val="00AF567A"/>
    <w:rsid w:val="00AF5A73"/>
    <w:rsid w:val="00AF5B1A"/>
    <w:rsid w:val="00AF64E7"/>
    <w:rsid w:val="00AF64F6"/>
    <w:rsid w:val="00AF65A2"/>
    <w:rsid w:val="00AF66FB"/>
    <w:rsid w:val="00AF6726"/>
    <w:rsid w:val="00AF6A0A"/>
    <w:rsid w:val="00AF6FA7"/>
    <w:rsid w:val="00AF7107"/>
    <w:rsid w:val="00AF7301"/>
    <w:rsid w:val="00AF7809"/>
    <w:rsid w:val="00AF7A8B"/>
    <w:rsid w:val="00B006A3"/>
    <w:rsid w:val="00B00E7D"/>
    <w:rsid w:val="00B011CF"/>
    <w:rsid w:val="00B013F8"/>
    <w:rsid w:val="00B0166E"/>
    <w:rsid w:val="00B01CDF"/>
    <w:rsid w:val="00B024B8"/>
    <w:rsid w:val="00B02740"/>
    <w:rsid w:val="00B029B4"/>
    <w:rsid w:val="00B02AE0"/>
    <w:rsid w:val="00B02C1D"/>
    <w:rsid w:val="00B0334A"/>
    <w:rsid w:val="00B03855"/>
    <w:rsid w:val="00B03EA7"/>
    <w:rsid w:val="00B03EB0"/>
    <w:rsid w:val="00B0415C"/>
    <w:rsid w:val="00B04632"/>
    <w:rsid w:val="00B04BB1"/>
    <w:rsid w:val="00B04F2D"/>
    <w:rsid w:val="00B05145"/>
    <w:rsid w:val="00B0589F"/>
    <w:rsid w:val="00B05920"/>
    <w:rsid w:val="00B05FAA"/>
    <w:rsid w:val="00B06039"/>
    <w:rsid w:val="00B063E5"/>
    <w:rsid w:val="00B0699F"/>
    <w:rsid w:val="00B06B8F"/>
    <w:rsid w:val="00B06FC2"/>
    <w:rsid w:val="00B072DE"/>
    <w:rsid w:val="00B074AB"/>
    <w:rsid w:val="00B0783B"/>
    <w:rsid w:val="00B079DB"/>
    <w:rsid w:val="00B07EB3"/>
    <w:rsid w:val="00B07F64"/>
    <w:rsid w:val="00B100CC"/>
    <w:rsid w:val="00B106A9"/>
    <w:rsid w:val="00B1070A"/>
    <w:rsid w:val="00B10B75"/>
    <w:rsid w:val="00B10CAD"/>
    <w:rsid w:val="00B1101C"/>
    <w:rsid w:val="00B113C8"/>
    <w:rsid w:val="00B113FD"/>
    <w:rsid w:val="00B11912"/>
    <w:rsid w:val="00B11D63"/>
    <w:rsid w:val="00B11DA8"/>
    <w:rsid w:val="00B11E7B"/>
    <w:rsid w:val="00B122BB"/>
    <w:rsid w:val="00B1271F"/>
    <w:rsid w:val="00B12CE5"/>
    <w:rsid w:val="00B138AB"/>
    <w:rsid w:val="00B1391E"/>
    <w:rsid w:val="00B1432C"/>
    <w:rsid w:val="00B1457E"/>
    <w:rsid w:val="00B14A99"/>
    <w:rsid w:val="00B14B2B"/>
    <w:rsid w:val="00B14CDC"/>
    <w:rsid w:val="00B14E2C"/>
    <w:rsid w:val="00B15083"/>
    <w:rsid w:val="00B1526B"/>
    <w:rsid w:val="00B1565B"/>
    <w:rsid w:val="00B158B9"/>
    <w:rsid w:val="00B15DC2"/>
    <w:rsid w:val="00B166E6"/>
    <w:rsid w:val="00B167A2"/>
    <w:rsid w:val="00B1688A"/>
    <w:rsid w:val="00B16AD2"/>
    <w:rsid w:val="00B1703E"/>
    <w:rsid w:val="00B17363"/>
    <w:rsid w:val="00B17652"/>
    <w:rsid w:val="00B176C4"/>
    <w:rsid w:val="00B178FA"/>
    <w:rsid w:val="00B17920"/>
    <w:rsid w:val="00B17BF6"/>
    <w:rsid w:val="00B17E24"/>
    <w:rsid w:val="00B17F09"/>
    <w:rsid w:val="00B20A7E"/>
    <w:rsid w:val="00B214ED"/>
    <w:rsid w:val="00B215C0"/>
    <w:rsid w:val="00B2177A"/>
    <w:rsid w:val="00B22100"/>
    <w:rsid w:val="00B22234"/>
    <w:rsid w:val="00B222E4"/>
    <w:rsid w:val="00B22499"/>
    <w:rsid w:val="00B22A8E"/>
    <w:rsid w:val="00B22B2E"/>
    <w:rsid w:val="00B22F0E"/>
    <w:rsid w:val="00B22FBC"/>
    <w:rsid w:val="00B231D1"/>
    <w:rsid w:val="00B23795"/>
    <w:rsid w:val="00B237E3"/>
    <w:rsid w:val="00B238AB"/>
    <w:rsid w:val="00B23C3E"/>
    <w:rsid w:val="00B243F2"/>
    <w:rsid w:val="00B24420"/>
    <w:rsid w:val="00B24A58"/>
    <w:rsid w:val="00B24AD6"/>
    <w:rsid w:val="00B25264"/>
    <w:rsid w:val="00B259BC"/>
    <w:rsid w:val="00B25BBB"/>
    <w:rsid w:val="00B25DA4"/>
    <w:rsid w:val="00B264D5"/>
    <w:rsid w:val="00B2662B"/>
    <w:rsid w:val="00B26676"/>
    <w:rsid w:val="00B26741"/>
    <w:rsid w:val="00B2799F"/>
    <w:rsid w:val="00B279E8"/>
    <w:rsid w:val="00B27AFC"/>
    <w:rsid w:val="00B27BA0"/>
    <w:rsid w:val="00B3016B"/>
    <w:rsid w:val="00B3034B"/>
    <w:rsid w:val="00B30A41"/>
    <w:rsid w:val="00B310CD"/>
    <w:rsid w:val="00B311BC"/>
    <w:rsid w:val="00B311F3"/>
    <w:rsid w:val="00B31D68"/>
    <w:rsid w:val="00B321DC"/>
    <w:rsid w:val="00B3220F"/>
    <w:rsid w:val="00B32A33"/>
    <w:rsid w:val="00B32C7E"/>
    <w:rsid w:val="00B33095"/>
    <w:rsid w:val="00B331A5"/>
    <w:rsid w:val="00B337C0"/>
    <w:rsid w:val="00B33820"/>
    <w:rsid w:val="00B33968"/>
    <w:rsid w:val="00B33D8C"/>
    <w:rsid w:val="00B34055"/>
    <w:rsid w:val="00B341E4"/>
    <w:rsid w:val="00B34B4B"/>
    <w:rsid w:val="00B34C3B"/>
    <w:rsid w:val="00B34D13"/>
    <w:rsid w:val="00B34E0F"/>
    <w:rsid w:val="00B34FEA"/>
    <w:rsid w:val="00B3507D"/>
    <w:rsid w:val="00B35292"/>
    <w:rsid w:val="00B35466"/>
    <w:rsid w:val="00B35A6A"/>
    <w:rsid w:val="00B35DBC"/>
    <w:rsid w:val="00B35F69"/>
    <w:rsid w:val="00B36798"/>
    <w:rsid w:val="00B36860"/>
    <w:rsid w:val="00B36AC1"/>
    <w:rsid w:val="00B3771B"/>
    <w:rsid w:val="00B37C7F"/>
    <w:rsid w:val="00B37CFB"/>
    <w:rsid w:val="00B400BF"/>
    <w:rsid w:val="00B400C7"/>
    <w:rsid w:val="00B4034B"/>
    <w:rsid w:val="00B4047A"/>
    <w:rsid w:val="00B405FC"/>
    <w:rsid w:val="00B40E2B"/>
    <w:rsid w:val="00B4126E"/>
    <w:rsid w:val="00B415BD"/>
    <w:rsid w:val="00B41CA2"/>
    <w:rsid w:val="00B42359"/>
    <w:rsid w:val="00B4274C"/>
    <w:rsid w:val="00B428EE"/>
    <w:rsid w:val="00B42EDE"/>
    <w:rsid w:val="00B430EC"/>
    <w:rsid w:val="00B436A0"/>
    <w:rsid w:val="00B438A3"/>
    <w:rsid w:val="00B44172"/>
    <w:rsid w:val="00B44765"/>
    <w:rsid w:val="00B44EBC"/>
    <w:rsid w:val="00B45666"/>
    <w:rsid w:val="00B45B3D"/>
    <w:rsid w:val="00B45DF0"/>
    <w:rsid w:val="00B45E12"/>
    <w:rsid w:val="00B46499"/>
    <w:rsid w:val="00B465BE"/>
    <w:rsid w:val="00B46801"/>
    <w:rsid w:val="00B468CD"/>
    <w:rsid w:val="00B468FB"/>
    <w:rsid w:val="00B47130"/>
    <w:rsid w:val="00B473FA"/>
    <w:rsid w:val="00B47470"/>
    <w:rsid w:val="00B475F7"/>
    <w:rsid w:val="00B50264"/>
    <w:rsid w:val="00B505DC"/>
    <w:rsid w:val="00B50B5B"/>
    <w:rsid w:val="00B50F42"/>
    <w:rsid w:val="00B51113"/>
    <w:rsid w:val="00B511FF"/>
    <w:rsid w:val="00B51387"/>
    <w:rsid w:val="00B51493"/>
    <w:rsid w:val="00B51AF2"/>
    <w:rsid w:val="00B51ED0"/>
    <w:rsid w:val="00B5219C"/>
    <w:rsid w:val="00B52EB4"/>
    <w:rsid w:val="00B535E6"/>
    <w:rsid w:val="00B5360A"/>
    <w:rsid w:val="00B53A0E"/>
    <w:rsid w:val="00B53CEE"/>
    <w:rsid w:val="00B541AA"/>
    <w:rsid w:val="00B54201"/>
    <w:rsid w:val="00B54819"/>
    <w:rsid w:val="00B54B12"/>
    <w:rsid w:val="00B55045"/>
    <w:rsid w:val="00B556F8"/>
    <w:rsid w:val="00B5599F"/>
    <w:rsid w:val="00B559E5"/>
    <w:rsid w:val="00B55EEA"/>
    <w:rsid w:val="00B55F05"/>
    <w:rsid w:val="00B55F98"/>
    <w:rsid w:val="00B564A6"/>
    <w:rsid w:val="00B564EE"/>
    <w:rsid w:val="00B56736"/>
    <w:rsid w:val="00B5673F"/>
    <w:rsid w:val="00B567FA"/>
    <w:rsid w:val="00B5687A"/>
    <w:rsid w:val="00B56B09"/>
    <w:rsid w:val="00B56EF8"/>
    <w:rsid w:val="00B57996"/>
    <w:rsid w:val="00B57C62"/>
    <w:rsid w:val="00B57D7D"/>
    <w:rsid w:val="00B600A9"/>
    <w:rsid w:val="00B6023B"/>
    <w:rsid w:val="00B609A4"/>
    <w:rsid w:val="00B6125E"/>
    <w:rsid w:val="00B61325"/>
    <w:rsid w:val="00B61FCE"/>
    <w:rsid w:val="00B621A3"/>
    <w:rsid w:val="00B622FC"/>
    <w:rsid w:val="00B63977"/>
    <w:rsid w:val="00B64632"/>
    <w:rsid w:val="00B64A14"/>
    <w:rsid w:val="00B64D3E"/>
    <w:rsid w:val="00B658E2"/>
    <w:rsid w:val="00B65996"/>
    <w:rsid w:val="00B65C1F"/>
    <w:rsid w:val="00B65D3D"/>
    <w:rsid w:val="00B6689D"/>
    <w:rsid w:val="00B66CD4"/>
    <w:rsid w:val="00B67035"/>
    <w:rsid w:val="00B678D6"/>
    <w:rsid w:val="00B703B5"/>
    <w:rsid w:val="00B70654"/>
    <w:rsid w:val="00B70755"/>
    <w:rsid w:val="00B70932"/>
    <w:rsid w:val="00B70AED"/>
    <w:rsid w:val="00B70B23"/>
    <w:rsid w:val="00B70D4F"/>
    <w:rsid w:val="00B715C4"/>
    <w:rsid w:val="00B71D6E"/>
    <w:rsid w:val="00B7201B"/>
    <w:rsid w:val="00B722BA"/>
    <w:rsid w:val="00B72368"/>
    <w:rsid w:val="00B72410"/>
    <w:rsid w:val="00B72546"/>
    <w:rsid w:val="00B726E4"/>
    <w:rsid w:val="00B732CA"/>
    <w:rsid w:val="00B734C5"/>
    <w:rsid w:val="00B73504"/>
    <w:rsid w:val="00B73ABA"/>
    <w:rsid w:val="00B73CC7"/>
    <w:rsid w:val="00B73EC9"/>
    <w:rsid w:val="00B73F1E"/>
    <w:rsid w:val="00B73F5E"/>
    <w:rsid w:val="00B73F8F"/>
    <w:rsid w:val="00B73FC1"/>
    <w:rsid w:val="00B7435A"/>
    <w:rsid w:val="00B7439A"/>
    <w:rsid w:val="00B7450B"/>
    <w:rsid w:val="00B74562"/>
    <w:rsid w:val="00B74A6E"/>
    <w:rsid w:val="00B74ED2"/>
    <w:rsid w:val="00B75402"/>
    <w:rsid w:val="00B75748"/>
    <w:rsid w:val="00B7574A"/>
    <w:rsid w:val="00B757D5"/>
    <w:rsid w:val="00B7587C"/>
    <w:rsid w:val="00B76904"/>
    <w:rsid w:val="00B76A35"/>
    <w:rsid w:val="00B76B0A"/>
    <w:rsid w:val="00B76C7D"/>
    <w:rsid w:val="00B76CAE"/>
    <w:rsid w:val="00B76E3F"/>
    <w:rsid w:val="00B773E8"/>
    <w:rsid w:val="00B77598"/>
    <w:rsid w:val="00B775C5"/>
    <w:rsid w:val="00B7764E"/>
    <w:rsid w:val="00B8030A"/>
    <w:rsid w:val="00B8034F"/>
    <w:rsid w:val="00B8054F"/>
    <w:rsid w:val="00B8093E"/>
    <w:rsid w:val="00B80ABB"/>
    <w:rsid w:val="00B80C6E"/>
    <w:rsid w:val="00B80C93"/>
    <w:rsid w:val="00B8116A"/>
    <w:rsid w:val="00B812C5"/>
    <w:rsid w:val="00B81551"/>
    <w:rsid w:val="00B819B0"/>
    <w:rsid w:val="00B81B2C"/>
    <w:rsid w:val="00B821D9"/>
    <w:rsid w:val="00B82586"/>
    <w:rsid w:val="00B825E0"/>
    <w:rsid w:val="00B82B8A"/>
    <w:rsid w:val="00B82C93"/>
    <w:rsid w:val="00B82D5D"/>
    <w:rsid w:val="00B8300E"/>
    <w:rsid w:val="00B8310E"/>
    <w:rsid w:val="00B8362C"/>
    <w:rsid w:val="00B8390E"/>
    <w:rsid w:val="00B83E79"/>
    <w:rsid w:val="00B84024"/>
    <w:rsid w:val="00B841BB"/>
    <w:rsid w:val="00B84309"/>
    <w:rsid w:val="00B8437A"/>
    <w:rsid w:val="00B843B2"/>
    <w:rsid w:val="00B8470E"/>
    <w:rsid w:val="00B84AD5"/>
    <w:rsid w:val="00B84B4B"/>
    <w:rsid w:val="00B84D55"/>
    <w:rsid w:val="00B85123"/>
    <w:rsid w:val="00B85606"/>
    <w:rsid w:val="00B858E9"/>
    <w:rsid w:val="00B8614B"/>
    <w:rsid w:val="00B861CF"/>
    <w:rsid w:val="00B86327"/>
    <w:rsid w:val="00B86333"/>
    <w:rsid w:val="00B86D49"/>
    <w:rsid w:val="00B870C8"/>
    <w:rsid w:val="00B870E6"/>
    <w:rsid w:val="00B87709"/>
    <w:rsid w:val="00B87BB8"/>
    <w:rsid w:val="00B90139"/>
    <w:rsid w:val="00B90222"/>
    <w:rsid w:val="00B905D7"/>
    <w:rsid w:val="00B90A5B"/>
    <w:rsid w:val="00B90BD1"/>
    <w:rsid w:val="00B9146C"/>
    <w:rsid w:val="00B91665"/>
    <w:rsid w:val="00B91872"/>
    <w:rsid w:val="00B9225F"/>
    <w:rsid w:val="00B922E4"/>
    <w:rsid w:val="00B9278E"/>
    <w:rsid w:val="00B92ACE"/>
    <w:rsid w:val="00B92C72"/>
    <w:rsid w:val="00B92FDB"/>
    <w:rsid w:val="00B93218"/>
    <w:rsid w:val="00B932AB"/>
    <w:rsid w:val="00B93387"/>
    <w:rsid w:val="00B939A8"/>
    <w:rsid w:val="00B94098"/>
    <w:rsid w:val="00B9415B"/>
    <w:rsid w:val="00B95214"/>
    <w:rsid w:val="00B95258"/>
    <w:rsid w:val="00B957C8"/>
    <w:rsid w:val="00B95870"/>
    <w:rsid w:val="00B95952"/>
    <w:rsid w:val="00B95971"/>
    <w:rsid w:val="00B95B72"/>
    <w:rsid w:val="00B95DEC"/>
    <w:rsid w:val="00B95E78"/>
    <w:rsid w:val="00B95E89"/>
    <w:rsid w:val="00B96077"/>
    <w:rsid w:val="00B96135"/>
    <w:rsid w:val="00B963AD"/>
    <w:rsid w:val="00B9655F"/>
    <w:rsid w:val="00B96752"/>
    <w:rsid w:val="00B97021"/>
    <w:rsid w:val="00B97167"/>
    <w:rsid w:val="00B9776D"/>
    <w:rsid w:val="00B97A79"/>
    <w:rsid w:val="00B97F06"/>
    <w:rsid w:val="00BA01D5"/>
    <w:rsid w:val="00BA02A7"/>
    <w:rsid w:val="00BA0751"/>
    <w:rsid w:val="00BA076A"/>
    <w:rsid w:val="00BA0879"/>
    <w:rsid w:val="00BA0B07"/>
    <w:rsid w:val="00BA1145"/>
    <w:rsid w:val="00BA1C4A"/>
    <w:rsid w:val="00BA1E5C"/>
    <w:rsid w:val="00BA1F3F"/>
    <w:rsid w:val="00BA2193"/>
    <w:rsid w:val="00BA270B"/>
    <w:rsid w:val="00BA2815"/>
    <w:rsid w:val="00BA29EB"/>
    <w:rsid w:val="00BA2CDD"/>
    <w:rsid w:val="00BA3315"/>
    <w:rsid w:val="00BA3720"/>
    <w:rsid w:val="00BA4228"/>
    <w:rsid w:val="00BA4401"/>
    <w:rsid w:val="00BA4E83"/>
    <w:rsid w:val="00BA51A2"/>
    <w:rsid w:val="00BA52C2"/>
    <w:rsid w:val="00BA53A2"/>
    <w:rsid w:val="00BA573A"/>
    <w:rsid w:val="00BA628D"/>
    <w:rsid w:val="00BA66D4"/>
    <w:rsid w:val="00BA693D"/>
    <w:rsid w:val="00BA6DCA"/>
    <w:rsid w:val="00BA6DFE"/>
    <w:rsid w:val="00BA6F55"/>
    <w:rsid w:val="00BA6FCD"/>
    <w:rsid w:val="00BA7020"/>
    <w:rsid w:val="00BA76F9"/>
    <w:rsid w:val="00BA7BC3"/>
    <w:rsid w:val="00BB038F"/>
    <w:rsid w:val="00BB0399"/>
    <w:rsid w:val="00BB06A7"/>
    <w:rsid w:val="00BB0B18"/>
    <w:rsid w:val="00BB0C7F"/>
    <w:rsid w:val="00BB14D8"/>
    <w:rsid w:val="00BB14FF"/>
    <w:rsid w:val="00BB15CA"/>
    <w:rsid w:val="00BB17F6"/>
    <w:rsid w:val="00BB1990"/>
    <w:rsid w:val="00BB1DB1"/>
    <w:rsid w:val="00BB2663"/>
    <w:rsid w:val="00BB27E6"/>
    <w:rsid w:val="00BB35F3"/>
    <w:rsid w:val="00BB37FB"/>
    <w:rsid w:val="00BB3B8E"/>
    <w:rsid w:val="00BB4613"/>
    <w:rsid w:val="00BB5352"/>
    <w:rsid w:val="00BB57BF"/>
    <w:rsid w:val="00BB62B4"/>
    <w:rsid w:val="00BB68AD"/>
    <w:rsid w:val="00BB6A1D"/>
    <w:rsid w:val="00BB6A63"/>
    <w:rsid w:val="00BB6E44"/>
    <w:rsid w:val="00BB6E87"/>
    <w:rsid w:val="00BB7ADA"/>
    <w:rsid w:val="00BB7DB8"/>
    <w:rsid w:val="00BC03BF"/>
    <w:rsid w:val="00BC0AA8"/>
    <w:rsid w:val="00BC1592"/>
    <w:rsid w:val="00BC1B97"/>
    <w:rsid w:val="00BC1BA7"/>
    <w:rsid w:val="00BC28CB"/>
    <w:rsid w:val="00BC2A31"/>
    <w:rsid w:val="00BC2CB4"/>
    <w:rsid w:val="00BC37DB"/>
    <w:rsid w:val="00BC3932"/>
    <w:rsid w:val="00BC3B85"/>
    <w:rsid w:val="00BC3C07"/>
    <w:rsid w:val="00BC3F4E"/>
    <w:rsid w:val="00BC41D7"/>
    <w:rsid w:val="00BC43D7"/>
    <w:rsid w:val="00BC44BA"/>
    <w:rsid w:val="00BC454C"/>
    <w:rsid w:val="00BC459A"/>
    <w:rsid w:val="00BC4934"/>
    <w:rsid w:val="00BC4E32"/>
    <w:rsid w:val="00BC50D3"/>
    <w:rsid w:val="00BC586C"/>
    <w:rsid w:val="00BC5965"/>
    <w:rsid w:val="00BC59B9"/>
    <w:rsid w:val="00BC5BBD"/>
    <w:rsid w:val="00BC5D94"/>
    <w:rsid w:val="00BC5F13"/>
    <w:rsid w:val="00BC70E2"/>
    <w:rsid w:val="00BC7218"/>
    <w:rsid w:val="00BC75B2"/>
    <w:rsid w:val="00BC7A77"/>
    <w:rsid w:val="00BC7A93"/>
    <w:rsid w:val="00BD0157"/>
    <w:rsid w:val="00BD0ADA"/>
    <w:rsid w:val="00BD0FF5"/>
    <w:rsid w:val="00BD1F0A"/>
    <w:rsid w:val="00BD2508"/>
    <w:rsid w:val="00BD2A18"/>
    <w:rsid w:val="00BD2BC2"/>
    <w:rsid w:val="00BD2CDF"/>
    <w:rsid w:val="00BD3050"/>
    <w:rsid w:val="00BD3426"/>
    <w:rsid w:val="00BD3A03"/>
    <w:rsid w:val="00BD401E"/>
    <w:rsid w:val="00BD456A"/>
    <w:rsid w:val="00BD4689"/>
    <w:rsid w:val="00BD46F4"/>
    <w:rsid w:val="00BD49B6"/>
    <w:rsid w:val="00BD4E48"/>
    <w:rsid w:val="00BD5C7B"/>
    <w:rsid w:val="00BD5C99"/>
    <w:rsid w:val="00BD612E"/>
    <w:rsid w:val="00BD6196"/>
    <w:rsid w:val="00BD6494"/>
    <w:rsid w:val="00BD67E6"/>
    <w:rsid w:val="00BD6B73"/>
    <w:rsid w:val="00BD6BE4"/>
    <w:rsid w:val="00BD6E74"/>
    <w:rsid w:val="00BD6E9E"/>
    <w:rsid w:val="00BD7031"/>
    <w:rsid w:val="00BD7061"/>
    <w:rsid w:val="00BD7787"/>
    <w:rsid w:val="00BD7F74"/>
    <w:rsid w:val="00BD7F77"/>
    <w:rsid w:val="00BE02AC"/>
    <w:rsid w:val="00BE0845"/>
    <w:rsid w:val="00BE109A"/>
    <w:rsid w:val="00BE1231"/>
    <w:rsid w:val="00BE178E"/>
    <w:rsid w:val="00BE1A0B"/>
    <w:rsid w:val="00BE1C78"/>
    <w:rsid w:val="00BE1CE5"/>
    <w:rsid w:val="00BE2838"/>
    <w:rsid w:val="00BE2911"/>
    <w:rsid w:val="00BE2A7C"/>
    <w:rsid w:val="00BE2AC0"/>
    <w:rsid w:val="00BE2B95"/>
    <w:rsid w:val="00BE2C16"/>
    <w:rsid w:val="00BE2E82"/>
    <w:rsid w:val="00BE35C9"/>
    <w:rsid w:val="00BE3925"/>
    <w:rsid w:val="00BE394B"/>
    <w:rsid w:val="00BE3D45"/>
    <w:rsid w:val="00BE3F19"/>
    <w:rsid w:val="00BE4508"/>
    <w:rsid w:val="00BE49F9"/>
    <w:rsid w:val="00BE4B04"/>
    <w:rsid w:val="00BE4B7A"/>
    <w:rsid w:val="00BE4FA6"/>
    <w:rsid w:val="00BE5642"/>
    <w:rsid w:val="00BE58A2"/>
    <w:rsid w:val="00BE58B6"/>
    <w:rsid w:val="00BE6465"/>
    <w:rsid w:val="00BE69F0"/>
    <w:rsid w:val="00BE6BC2"/>
    <w:rsid w:val="00BE6C8E"/>
    <w:rsid w:val="00BE6D34"/>
    <w:rsid w:val="00BE70B0"/>
    <w:rsid w:val="00BE70B1"/>
    <w:rsid w:val="00BE71D4"/>
    <w:rsid w:val="00BE7423"/>
    <w:rsid w:val="00BE74D6"/>
    <w:rsid w:val="00BE74FD"/>
    <w:rsid w:val="00BE7865"/>
    <w:rsid w:val="00BF0252"/>
    <w:rsid w:val="00BF0524"/>
    <w:rsid w:val="00BF0F2C"/>
    <w:rsid w:val="00BF12DF"/>
    <w:rsid w:val="00BF1312"/>
    <w:rsid w:val="00BF1499"/>
    <w:rsid w:val="00BF1A25"/>
    <w:rsid w:val="00BF1D3E"/>
    <w:rsid w:val="00BF2080"/>
    <w:rsid w:val="00BF21CD"/>
    <w:rsid w:val="00BF2264"/>
    <w:rsid w:val="00BF2481"/>
    <w:rsid w:val="00BF2D31"/>
    <w:rsid w:val="00BF34F1"/>
    <w:rsid w:val="00BF4953"/>
    <w:rsid w:val="00BF5003"/>
    <w:rsid w:val="00BF51D2"/>
    <w:rsid w:val="00BF5F8E"/>
    <w:rsid w:val="00BF647E"/>
    <w:rsid w:val="00BF698F"/>
    <w:rsid w:val="00BF6A00"/>
    <w:rsid w:val="00BF6AE7"/>
    <w:rsid w:val="00BF6D3D"/>
    <w:rsid w:val="00BF6D41"/>
    <w:rsid w:val="00BF6DF6"/>
    <w:rsid w:val="00BF6EFA"/>
    <w:rsid w:val="00BF7216"/>
    <w:rsid w:val="00BF7B66"/>
    <w:rsid w:val="00BF7EEF"/>
    <w:rsid w:val="00C00172"/>
    <w:rsid w:val="00C00BE5"/>
    <w:rsid w:val="00C013F4"/>
    <w:rsid w:val="00C01C3D"/>
    <w:rsid w:val="00C01D0B"/>
    <w:rsid w:val="00C01DCA"/>
    <w:rsid w:val="00C01DDF"/>
    <w:rsid w:val="00C022E1"/>
    <w:rsid w:val="00C02514"/>
    <w:rsid w:val="00C025B1"/>
    <w:rsid w:val="00C02EC3"/>
    <w:rsid w:val="00C030F9"/>
    <w:rsid w:val="00C03C28"/>
    <w:rsid w:val="00C0421F"/>
    <w:rsid w:val="00C042B7"/>
    <w:rsid w:val="00C046E0"/>
    <w:rsid w:val="00C047BF"/>
    <w:rsid w:val="00C04C4C"/>
    <w:rsid w:val="00C054F8"/>
    <w:rsid w:val="00C05524"/>
    <w:rsid w:val="00C0558B"/>
    <w:rsid w:val="00C0559F"/>
    <w:rsid w:val="00C057DE"/>
    <w:rsid w:val="00C05911"/>
    <w:rsid w:val="00C05B62"/>
    <w:rsid w:val="00C05B73"/>
    <w:rsid w:val="00C065B9"/>
    <w:rsid w:val="00C06744"/>
    <w:rsid w:val="00C0715A"/>
    <w:rsid w:val="00C0729F"/>
    <w:rsid w:val="00C074C9"/>
    <w:rsid w:val="00C074FC"/>
    <w:rsid w:val="00C075A9"/>
    <w:rsid w:val="00C078A9"/>
    <w:rsid w:val="00C102F5"/>
    <w:rsid w:val="00C1048D"/>
    <w:rsid w:val="00C10969"/>
    <w:rsid w:val="00C11138"/>
    <w:rsid w:val="00C11596"/>
    <w:rsid w:val="00C11611"/>
    <w:rsid w:val="00C11D97"/>
    <w:rsid w:val="00C11E09"/>
    <w:rsid w:val="00C11F97"/>
    <w:rsid w:val="00C120F8"/>
    <w:rsid w:val="00C124D8"/>
    <w:rsid w:val="00C12974"/>
    <w:rsid w:val="00C12D65"/>
    <w:rsid w:val="00C1312C"/>
    <w:rsid w:val="00C13A24"/>
    <w:rsid w:val="00C13B3F"/>
    <w:rsid w:val="00C13B53"/>
    <w:rsid w:val="00C13EB5"/>
    <w:rsid w:val="00C14585"/>
    <w:rsid w:val="00C14E95"/>
    <w:rsid w:val="00C15BB9"/>
    <w:rsid w:val="00C15D8E"/>
    <w:rsid w:val="00C1600E"/>
    <w:rsid w:val="00C16485"/>
    <w:rsid w:val="00C16E32"/>
    <w:rsid w:val="00C17D59"/>
    <w:rsid w:val="00C17E10"/>
    <w:rsid w:val="00C20353"/>
    <w:rsid w:val="00C203F5"/>
    <w:rsid w:val="00C20419"/>
    <w:rsid w:val="00C20825"/>
    <w:rsid w:val="00C21480"/>
    <w:rsid w:val="00C223A7"/>
    <w:rsid w:val="00C22425"/>
    <w:rsid w:val="00C23182"/>
    <w:rsid w:val="00C239FD"/>
    <w:rsid w:val="00C23CCF"/>
    <w:rsid w:val="00C23D7C"/>
    <w:rsid w:val="00C2405E"/>
    <w:rsid w:val="00C24485"/>
    <w:rsid w:val="00C2459A"/>
    <w:rsid w:val="00C24756"/>
    <w:rsid w:val="00C24C7F"/>
    <w:rsid w:val="00C24EC0"/>
    <w:rsid w:val="00C2547F"/>
    <w:rsid w:val="00C2559E"/>
    <w:rsid w:val="00C25BAF"/>
    <w:rsid w:val="00C25C1A"/>
    <w:rsid w:val="00C25C72"/>
    <w:rsid w:val="00C2603C"/>
    <w:rsid w:val="00C26203"/>
    <w:rsid w:val="00C2638A"/>
    <w:rsid w:val="00C26496"/>
    <w:rsid w:val="00C26F68"/>
    <w:rsid w:val="00C274D8"/>
    <w:rsid w:val="00C27AF8"/>
    <w:rsid w:val="00C3016A"/>
    <w:rsid w:val="00C302F0"/>
    <w:rsid w:val="00C30505"/>
    <w:rsid w:val="00C30678"/>
    <w:rsid w:val="00C3080F"/>
    <w:rsid w:val="00C308E2"/>
    <w:rsid w:val="00C313D2"/>
    <w:rsid w:val="00C3145A"/>
    <w:rsid w:val="00C315A2"/>
    <w:rsid w:val="00C31D0D"/>
    <w:rsid w:val="00C3216F"/>
    <w:rsid w:val="00C32551"/>
    <w:rsid w:val="00C32F73"/>
    <w:rsid w:val="00C3344C"/>
    <w:rsid w:val="00C336D6"/>
    <w:rsid w:val="00C340C0"/>
    <w:rsid w:val="00C346A5"/>
    <w:rsid w:val="00C35169"/>
    <w:rsid w:val="00C356C7"/>
    <w:rsid w:val="00C35BD9"/>
    <w:rsid w:val="00C36007"/>
    <w:rsid w:val="00C362C3"/>
    <w:rsid w:val="00C36954"/>
    <w:rsid w:val="00C36A3A"/>
    <w:rsid w:val="00C372C3"/>
    <w:rsid w:val="00C37828"/>
    <w:rsid w:val="00C379D8"/>
    <w:rsid w:val="00C379E2"/>
    <w:rsid w:val="00C37AE5"/>
    <w:rsid w:val="00C37BFB"/>
    <w:rsid w:val="00C37E2F"/>
    <w:rsid w:val="00C403A9"/>
    <w:rsid w:val="00C4046A"/>
    <w:rsid w:val="00C40A42"/>
    <w:rsid w:val="00C40EEF"/>
    <w:rsid w:val="00C41404"/>
    <w:rsid w:val="00C4162C"/>
    <w:rsid w:val="00C41786"/>
    <w:rsid w:val="00C417B9"/>
    <w:rsid w:val="00C41AD2"/>
    <w:rsid w:val="00C41EFD"/>
    <w:rsid w:val="00C42989"/>
    <w:rsid w:val="00C42B34"/>
    <w:rsid w:val="00C42E3A"/>
    <w:rsid w:val="00C4379D"/>
    <w:rsid w:val="00C43819"/>
    <w:rsid w:val="00C4392F"/>
    <w:rsid w:val="00C43AE4"/>
    <w:rsid w:val="00C446F2"/>
    <w:rsid w:val="00C44767"/>
    <w:rsid w:val="00C448AA"/>
    <w:rsid w:val="00C44C8A"/>
    <w:rsid w:val="00C44D3F"/>
    <w:rsid w:val="00C44E47"/>
    <w:rsid w:val="00C45009"/>
    <w:rsid w:val="00C4508A"/>
    <w:rsid w:val="00C4532B"/>
    <w:rsid w:val="00C456BD"/>
    <w:rsid w:val="00C456CF"/>
    <w:rsid w:val="00C45AB6"/>
    <w:rsid w:val="00C45D4A"/>
    <w:rsid w:val="00C46304"/>
    <w:rsid w:val="00C46584"/>
    <w:rsid w:val="00C46671"/>
    <w:rsid w:val="00C46FC1"/>
    <w:rsid w:val="00C46FCA"/>
    <w:rsid w:val="00C470AA"/>
    <w:rsid w:val="00C47AC5"/>
    <w:rsid w:val="00C503F6"/>
    <w:rsid w:val="00C504B1"/>
    <w:rsid w:val="00C507F6"/>
    <w:rsid w:val="00C50946"/>
    <w:rsid w:val="00C50B15"/>
    <w:rsid w:val="00C51002"/>
    <w:rsid w:val="00C522BA"/>
    <w:rsid w:val="00C52331"/>
    <w:rsid w:val="00C523D4"/>
    <w:rsid w:val="00C52B06"/>
    <w:rsid w:val="00C52D00"/>
    <w:rsid w:val="00C53096"/>
    <w:rsid w:val="00C53303"/>
    <w:rsid w:val="00C53430"/>
    <w:rsid w:val="00C53674"/>
    <w:rsid w:val="00C537A3"/>
    <w:rsid w:val="00C5398A"/>
    <w:rsid w:val="00C539F0"/>
    <w:rsid w:val="00C53B30"/>
    <w:rsid w:val="00C53EF7"/>
    <w:rsid w:val="00C5464F"/>
    <w:rsid w:val="00C54CE8"/>
    <w:rsid w:val="00C54D12"/>
    <w:rsid w:val="00C54D58"/>
    <w:rsid w:val="00C54FA2"/>
    <w:rsid w:val="00C5585D"/>
    <w:rsid w:val="00C55CA1"/>
    <w:rsid w:val="00C55CDC"/>
    <w:rsid w:val="00C56454"/>
    <w:rsid w:val="00C56816"/>
    <w:rsid w:val="00C56949"/>
    <w:rsid w:val="00C56997"/>
    <w:rsid w:val="00C56B7D"/>
    <w:rsid w:val="00C573E1"/>
    <w:rsid w:val="00C573E3"/>
    <w:rsid w:val="00C57B4D"/>
    <w:rsid w:val="00C57C02"/>
    <w:rsid w:val="00C57D9E"/>
    <w:rsid w:val="00C57DEC"/>
    <w:rsid w:val="00C60A28"/>
    <w:rsid w:val="00C60B99"/>
    <w:rsid w:val="00C60BFC"/>
    <w:rsid w:val="00C60CC0"/>
    <w:rsid w:val="00C612F6"/>
    <w:rsid w:val="00C6149C"/>
    <w:rsid w:val="00C6163D"/>
    <w:rsid w:val="00C619B2"/>
    <w:rsid w:val="00C619F1"/>
    <w:rsid w:val="00C62011"/>
    <w:rsid w:val="00C62159"/>
    <w:rsid w:val="00C621DA"/>
    <w:rsid w:val="00C62762"/>
    <w:rsid w:val="00C62FEA"/>
    <w:rsid w:val="00C63095"/>
    <w:rsid w:val="00C634B0"/>
    <w:rsid w:val="00C63789"/>
    <w:rsid w:val="00C63FA6"/>
    <w:rsid w:val="00C6430E"/>
    <w:rsid w:val="00C64A3A"/>
    <w:rsid w:val="00C64A4E"/>
    <w:rsid w:val="00C650C1"/>
    <w:rsid w:val="00C651C7"/>
    <w:rsid w:val="00C65484"/>
    <w:rsid w:val="00C65521"/>
    <w:rsid w:val="00C65C68"/>
    <w:rsid w:val="00C65DD6"/>
    <w:rsid w:val="00C65F0B"/>
    <w:rsid w:val="00C66018"/>
    <w:rsid w:val="00C668E2"/>
    <w:rsid w:val="00C66DA6"/>
    <w:rsid w:val="00C66DB6"/>
    <w:rsid w:val="00C67224"/>
    <w:rsid w:val="00C67705"/>
    <w:rsid w:val="00C67765"/>
    <w:rsid w:val="00C6778D"/>
    <w:rsid w:val="00C67A94"/>
    <w:rsid w:val="00C67C6E"/>
    <w:rsid w:val="00C67D2D"/>
    <w:rsid w:val="00C67F9E"/>
    <w:rsid w:val="00C700E7"/>
    <w:rsid w:val="00C701F1"/>
    <w:rsid w:val="00C70513"/>
    <w:rsid w:val="00C70649"/>
    <w:rsid w:val="00C70AEF"/>
    <w:rsid w:val="00C70CC0"/>
    <w:rsid w:val="00C711AE"/>
    <w:rsid w:val="00C71908"/>
    <w:rsid w:val="00C71BCE"/>
    <w:rsid w:val="00C71D2D"/>
    <w:rsid w:val="00C71F22"/>
    <w:rsid w:val="00C720D4"/>
    <w:rsid w:val="00C7233D"/>
    <w:rsid w:val="00C7240E"/>
    <w:rsid w:val="00C72C66"/>
    <w:rsid w:val="00C72F29"/>
    <w:rsid w:val="00C735AC"/>
    <w:rsid w:val="00C73818"/>
    <w:rsid w:val="00C73A41"/>
    <w:rsid w:val="00C740BE"/>
    <w:rsid w:val="00C7438F"/>
    <w:rsid w:val="00C74691"/>
    <w:rsid w:val="00C7509A"/>
    <w:rsid w:val="00C750F4"/>
    <w:rsid w:val="00C7562E"/>
    <w:rsid w:val="00C75DC1"/>
    <w:rsid w:val="00C75E05"/>
    <w:rsid w:val="00C75F69"/>
    <w:rsid w:val="00C75FB4"/>
    <w:rsid w:val="00C76968"/>
    <w:rsid w:val="00C76B05"/>
    <w:rsid w:val="00C76C4C"/>
    <w:rsid w:val="00C77667"/>
    <w:rsid w:val="00C77725"/>
    <w:rsid w:val="00C807F7"/>
    <w:rsid w:val="00C80889"/>
    <w:rsid w:val="00C80A44"/>
    <w:rsid w:val="00C80F91"/>
    <w:rsid w:val="00C818CA"/>
    <w:rsid w:val="00C81D79"/>
    <w:rsid w:val="00C81E9C"/>
    <w:rsid w:val="00C8213B"/>
    <w:rsid w:val="00C82173"/>
    <w:rsid w:val="00C8219A"/>
    <w:rsid w:val="00C826D7"/>
    <w:rsid w:val="00C82E04"/>
    <w:rsid w:val="00C82E0C"/>
    <w:rsid w:val="00C8337A"/>
    <w:rsid w:val="00C8340C"/>
    <w:rsid w:val="00C83901"/>
    <w:rsid w:val="00C83B74"/>
    <w:rsid w:val="00C83D3F"/>
    <w:rsid w:val="00C83E93"/>
    <w:rsid w:val="00C83F5C"/>
    <w:rsid w:val="00C84479"/>
    <w:rsid w:val="00C8449C"/>
    <w:rsid w:val="00C847B8"/>
    <w:rsid w:val="00C84D14"/>
    <w:rsid w:val="00C84EB9"/>
    <w:rsid w:val="00C856BB"/>
    <w:rsid w:val="00C85720"/>
    <w:rsid w:val="00C85913"/>
    <w:rsid w:val="00C85AC1"/>
    <w:rsid w:val="00C86214"/>
    <w:rsid w:val="00C86284"/>
    <w:rsid w:val="00C86286"/>
    <w:rsid w:val="00C86625"/>
    <w:rsid w:val="00C86D7C"/>
    <w:rsid w:val="00C874DB"/>
    <w:rsid w:val="00C87B69"/>
    <w:rsid w:val="00C87D4C"/>
    <w:rsid w:val="00C87DD3"/>
    <w:rsid w:val="00C87F49"/>
    <w:rsid w:val="00C903C1"/>
    <w:rsid w:val="00C906F3"/>
    <w:rsid w:val="00C906FB"/>
    <w:rsid w:val="00C90F34"/>
    <w:rsid w:val="00C90F6B"/>
    <w:rsid w:val="00C90FC0"/>
    <w:rsid w:val="00C91139"/>
    <w:rsid w:val="00C91582"/>
    <w:rsid w:val="00C91654"/>
    <w:rsid w:val="00C91B83"/>
    <w:rsid w:val="00C922AD"/>
    <w:rsid w:val="00C9255C"/>
    <w:rsid w:val="00C9289F"/>
    <w:rsid w:val="00C92B0B"/>
    <w:rsid w:val="00C92F4C"/>
    <w:rsid w:val="00C93011"/>
    <w:rsid w:val="00C931D2"/>
    <w:rsid w:val="00C93248"/>
    <w:rsid w:val="00C932C1"/>
    <w:rsid w:val="00C9352A"/>
    <w:rsid w:val="00C93588"/>
    <w:rsid w:val="00C936E7"/>
    <w:rsid w:val="00C9370D"/>
    <w:rsid w:val="00C939E4"/>
    <w:rsid w:val="00C93A26"/>
    <w:rsid w:val="00C93DC6"/>
    <w:rsid w:val="00C9409F"/>
    <w:rsid w:val="00C941C3"/>
    <w:rsid w:val="00C9438B"/>
    <w:rsid w:val="00C943CA"/>
    <w:rsid w:val="00C94498"/>
    <w:rsid w:val="00C94936"/>
    <w:rsid w:val="00C94D61"/>
    <w:rsid w:val="00C94F0E"/>
    <w:rsid w:val="00C9539A"/>
    <w:rsid w:val="00C95571"/>
    <w:rsid w:val="00C95C8B"/>
    <w:rsid w:val="00C95DF6"/>
    <w:rsid w:val="00C964AA"/>
    <w:rsid w:val="00C965E8"/>
    <w:rsid w:val="00C969F3"/>
    <w:rsid w:val="00C973E5"/>
    <w:rsid w:val="00C9760C"/>
    <w:rsid w:val="00C97A24"/>
    <w:rsid w:val="00CA00DE"/>
    <w:rsid w:val="00CA049A"/>
    <w:rsid w:val="00CA060E"/>
    <w:rsid w:val="00CA06DF"/>
    <w:rsid w:val="00CA077E"/>
    <w:rsid w:val="00CA0C50"/>
    <w:rsid w:val="00CA0CC7"/>
    <w:rsid w:val="00CA1279"/>
    <w:rsid w:val="00CA13A9"/>
    <w:rsid w:val="00CA1689"/>
    <w:rsid w:val="00CA1D30"/>
    <w:rsid w:val="00CA1DD3"/>
    <w:rsid w:val="00CA21EF"/>
    <w:rsid w:val="00CA25A9"/>
    <w:rsid w:val="00CA36A8"/>
    <w:rsid w:val="00CA3BAF"/>
    <w:rsid w:val="00CA435E"/>
    <w:rsid w:val="00CA49D0"/>
    <w:rsid w:val="00CA50E1"/>
    <w:rsid w:val="00CA548A"/>
    <w:rsid w:val="00CA603B"/>
    <w:rsid w:val="00CA66E4"/>
    <w:rsid w:val="00CA710D"/>
    <w:rsid w:val="00CA73A3"/>
    <w:rsid w:val="00CA7516"/>
    <w:rsid w:val="00CB0202"/>
    <w:rsid w:val="00CB0254"/>
    <w:rsid w:val="00CB04BD"/>
    <w:rsid w:val="00CB0674"/>
    <w:rsid w:val="00CB073C"/>
    <w:rsid w:val="00CB07E6"/>
    <w:rsid w:val="00CB08FC"/>
    <w:rsid w:val="00CB0A33"/>
    <w:rsid w:val="00CB0EC5"/>
    <w:rsid w:val="00CB10FD"/>
    <w:rsid w:val="00CB11AD"/>
    <w:rsid w:val="00CB1279"/>
    <w:rsid w:val="00CB135A"/>
    <w:rsid w:val="00CB14E2"/>
    <w:rsid w:val="00CB1869"/>
    <w:rsid w:val="00CB19E5"/>
    <w:rsid w:val="00CB1C64"/>
    <w:rsid w:val="00CB1CEE"/>
    <w:rsid w:val="00CB1E8D"/>
    <w:rsid w:val="00CB1F39"/>
    <w:rsid w:val="00CB2253"/>
    <w:rsid w:val="00CB25E6"/>
    <w:rsid w:val="00CB2859"/>
    <w:rsid w:val="00CB28F0"/>
    <w:rsid w:val="00CB295F"/>
    <w:rsid w:val="00CB37A0"/>
    <w:rsid w:val="00CB401D"/>
    <w:rsid w:val="00CB4615"/>
    <w:rsid w:val="00CB466C"/>
    <w:rsid w:val="00CB4AC4"/>
    <w:rsid w:val="00CB4C26"/>
    <w:rsid w:val="00CB4CDB"/>
    <w:rsid w:val="00CB4F97"/>
    <w:rsid w:val="00CB59C7"/>
    <w:rsid w:val="00CB5B1D"/>
    <w:rsid w:val="00CB6442"/>
    <w:rsid w:val="00CB64C2"/>
    <w:rsid w:val="00CB6658"/>
    <w:rsid w:val="00CB6903"/>
    <w:rsid w:val="00CB69D4"/>
    <w:rsid w:val="00CB6FCE"/>
    <w:rsid w:val="00CB73B7"/>
    <w:rsid w:val="00CB767C"/>
    <w:rsid w:val="00CC005C"/>
    <w:rsid w:val="00CC01B3"/>
    <w:rsid w:val="00CC06F3"/>
    <w:rsid w:val="00CC0831"/>
    <w:rsid w:val="00CC0866"/>
    <w:rsid w:val="00CC0D71"/>
    <w:rsid w:val="00CC123B"/>
    <w:rsid w:val="00CC14DC"/>
    <w:rsid w:val="00CC17D3"/>
    <w:rsid w:val="00CC2265"/>
    <w:rsid w:val="00CC22CD"/>
    <w:rsid w:val="00CC2363"/>
    <w:rsid w:val="00CC2472"/>
    <w:rsid w:val="00CC24A0"/>
    <w:rsid w:val="00CC26F0"/>
    <w:rsid w:val="00CC2991"/>
    <w:rsid w:val="00CC2C90"/>
    <w:rsid w:val="00CC2D2B"/>
    <w:rsid w:val="00CC2DDB"/>
    <w:rsid w:val="00CC2E9B"/>
    <w:rsid w:val="00CC3A50"/>
    <w:rsid w:val="00CC3BFC"/>
    <w:rsid w:val="00CC3D09"/>
    <w:rsid w:val="00CC405B"/>
    <w:rsid w:val="00CC4125"/>
    <w:rsid w:val="00CC4516"/>
    <w:rsid w:val="00CC4BE8"/>
    <w:rsid w:val="00CC4F1C"/>
    <w:rsid w:val="00CC5A80"/>
    <w:rsid w:val="00CC5DA7"/>
    <w:rsid w:val="00CC5DE9"/>
    <w:rsid w:val="00CC5F4F"/>
    <w:rsid w:val="00CC5F93"/>
    <w:rsid w:val="00CC60B8"/>
    <w:rsid w:val="00CC642F"/>
    <w:rsid w:val="00CC644F"/>
    <w:rsid w:val="00CC64A2"/>
    <w:rsid w:val="00CC64E1"/>
    <w:rsid w:val="00CC64EA"/>
    <w:rsid w:val="00CC67ED"/>
    <w:rsid w:val="00CC6A69"/>
    <w:rsid w:val="00CC6C70"/>
    <w:rsid w:val="00CC6FE7"/>
    <w:rsid w:val="00CC7101"/>
    <w:rsid w:val="00CC791B"/>
    <w:rsid w:val="00CC7AAD"/>
    <w:rsid w:val="00CC7F95"/>
    <w:rsid w:val="00CD0A1E"/>
    <w:rsid w:val="00CD0BDE"/>
    <w:rsid w:val="00CD0C12"/>
    <w:rsid w:val="00CD0E1C"/>
    <w:rsid w:val="00CD0E42"/>
    <w:rsid w:val="00CD0FB0"/>
    <w:rsid w:val="00CD12B5"/>
    <w:rsid w:val="00CD16F5"/>
    <w:rsid w:val="00CD1DDE"/>
    <w:rsid w:val="00CD1DEE"/>
    <w:rsid w:val="00CD23C8"/>
    <w:rsid w:val="00CD30B4"/>
    <w:rsid w:val="00CD32FE"/>
    <w:rsid w:val="00CD3A6B"/>
    <w:rsid w:val="00CD3A7B"/>
    <w:rsid w:val="00CD3CEF"/>
    <w:rsid w:val="00CD47CC"/>
    <w:rsid w:val="00CD48BB"/>
    <w:rsid w:val="00CD4DE1"/>
    <w:rsid w:val="00CD50E6"/>
    <w:rsid w:val="00CD542F"/>
    <w:rsid w:val="00CD5698"/>
    <w:rsid w:val="00CD58FF"/>
    <w:rsid w:val="00CD5AB0"/>
    <w:rsid w:val="00CD61B9"/>
    <w:rsid w:val="00CD62D8"/>
    <w:rsid w:val="00CD67CB"/>
    <w:rsid w:val="00CD6C7F"/>
    <w:rsid w:val="00CD6EE0"/>
    <w:rsid w:val="00CD6FB8"/>
    <w:rsid w:val="00CD7319"/>
    <w:rsid w:val="00CD73DB"/>
    <w:rsid w:val="00CD7BA4"/>
    <w:rsid w:val="00CE0561"/>
    <w:rsid w:val="00CE0CBD"/>
    <w:rsid w:val="00CE116E"/>
    <w:rsid w:val="00CE18B4"/>
    <w:rsid w:val="00CE18FE"/>
    <w:rsid w:val="00CE19D4"/>
    <w:rsid w:val="00CE1A88"/>
    <w:rsid w:val="00CE1C74"/>
    <w:rsid w:val="00CE1F66"/>
    <w:rsid w:val="00CE2EA2"/>
    <w:rsid w:val="00CE304A"/>
    <w:rsid w:val="00CE353B"/>
    <w:rsid w:val="00CE358D"/>
    <w:rsid w:val="00CE3CB3"/>
    <w:rsid w:val="00CE3EC6"/>
    <w:rsid w:val="00CE4027"/>
    <w:rsid w:val="00CE40D9"/>
    <w:rsid w:val="00CE41A5"/>
    <w:rsid w:val="00CE4E53"/>
    <w:rsid w:val="00CE581E"/>
    <w:rsid w:val="00CE63E5"/>
    <w:rsid w:val="00CE6427"/>
    <w:rsid w:val="00CE65A5"/>
    <w:rsid w:val="00CE6B25"/>
    <w:rsid w:val="00CE6B64"/>
    <w:rsid w:val="00CE6DCA"/>
    <w:rsid w:val="00CE72C1"/>
    <w:rsid w:val="00CE7333"/>
    <w:rsid w:val="00CE7617"/>
    <w:rsid w:val="00CE7C59"/>
    <w:rsid w:val="00CE7E2D"/>
    <w:rsid w:val="00CE7EC1"/>
    <w:rsid w:val="00CF0078"/>
    <w:rsid w:val="00CF07D0"/>
    <w:rsid w:val="00CF0B11"/>
    <w:rsid w:val="00CF0FD3"/>
    <w:rsid w:val="00CF1890"/>
    <w:rsid w:val="00CF1A6F"/>
    <w:rsid w:val="00CF1A9F"/>
    <w:rsid w:val="00CF1CA0"/>
    <w:rsid w:val="00CF1FBC"/>
    <w:rsid w:val="00CF1FF2"/>
    <w:rsid w:val="00CF20B6"/>
    <w:rsid w:val="00CF24A8"/>
    <w:rsid w:val="00CF268A"/>
    <w:rsid w:val="00CF2696"/>
    <w:rsid w:val="00CF27C9"/>
    <w:rsid w:val="00CF290B"/>
    <w:rsid w:val="00CF2B1A"/>
    <w:rsid w:val="00CF31A6"/>
    <w:rsid w:val="00CF32CF"/>
    <w:rsid w:val="00CF396D"/>
    <w:rsid w:val="00CF3A9F"/>
    <w:rsid w:val="00CF42BD"/>
    <w:rsid w:val="00CF455B"/>
    <w:rsid w:val="00CF4D9F"/>
    <w:rsid w:val="00CF4F89"/>
    <w:rsid w:val="00CF51D0"/>
    <w:rsid w:val="00CF5414"/>
    <w:rsid w:val="00CF5771"/>
    <w:rsid w:val="00CF582C"/>
    <w:rsid w:val="00CF6210"/>
    <w:rsid w:val="00CF6564"/>
    <w:rsid w:val="00CF6F29"/>
    <w:rsid w:val="00CF71CC"/>
    <w:rsid w:val="00CF73DE"/>
    <w:rsid w:val="00CF7560"/>
    <w:rsid w:val="00CF7C58"/>
    <w:rsid w:val="00D00386"/>
    <w:rsid w:val="00D00947"/>
    <w:rsid w:val="00D009E8"/>
    <w:rsid w:val="00D00DDC"/>
    <w:rsid w:val="00D00DEA"/>
    <w:rsid w:val="00D011C4"/>
    <w:rsid w:val="00D012D7"/>
    <w:rsid w:val="00D016F1"/>
    <w:rsid w:val="00D016F3"/>
    <w:rsid w:val="00D0172A"/>
    <w:rsid w:val="00D01780"/>
    <w:rsid w:val="00D01922"/>
    <w:rsid w:val="00D01C8F"/>
    <w:rsid w:val="00D01F00"/>
    <w:rsid w:val="00D01F09"/>
    <w:rsid w:val="00D02205"/>
    <w:rsid w:val="00D0248A"/>
    <w:rsid w:val="00D02704"/>
    <w:rsid w:val="00D02936"/>
    <w:rsid w:val="00D02BA1"/>
    <w:rsid w:val="00D03116"/>
    <w:rsid w:val="00D0329C"/>
    <w:rsid w:val="00D036A2"/>
    <w:rsid w:val="00D03752"/>
    <w:rsid w:val="00D03788"/>
    <w:rsid w:val="00D04125"/>
    <w:rsid w:val="00D0455D"/>
    <w:rsid w:val="00D04B6A"/>
    <w:rsid w:val="00D04F33"/>
    <w:rsid w:val="00D0533B"/>
    <w:rsid w:val="00D056E8"/>
    <w:rsid w:val="00D05821"/>
    <w:rsid w:val="00D05E65"/>
    <w:rsid w:val="00D06096"/>
    <w:rsid w:val="00D0635F"/>
    <w:rsid w:val="00D06382"/>
    <w:rsid w:val="00D065BC"/>
    <w:rsid w:val="00D06708"/>
    <w:rsid w:val="00D06754"/>
    <w:rsid w:val="00D0685A"/>
    <w:rsid w:val="00D068C1"/>
    <w:rsid w:val="00D06927"/>
    <w:rsid w:val="00D06B42"/>
    <w:rsid w:val="00D06CBD"/>
    <w:rsid w:val="00D07B01"/>
    <w:rsid w:val="00D07CA0"/>
    <w:rsid w:val="00D10293"/>
    <w:rsid w:val="00D1097A"/>
    <w:rsid w:val="00D10B9E"/>
    <w:rsid w:val="00D11543"/>
    <w:rsid w:val="00D11B5D"/>
    <w:rsid w:val="00D11BDB"/>
    <w:rsid w:val="00D11E39"/>
    <w:rsid w:val="00D11F3B"/>
    <w:rsid w:val="00D11F84"/>
    <w:rsid w:val="00D127AF"/>
    <w:rsid w:val="00D12C85"/>
    <w:rsid w:val="00D12CEE"/>
    <w:rsid w:val="00D12F8A"/>
    <w:rsid w:val="00D1322A"/>
    <w:rsid w:val="00D13992"/>
    <w:rsid w:val="00D13FA3"/>
    <w:rsid w:val="00D14479"/>
    <w:rsid w:val="00D14730"/>
    <w:rsid w:val="00D150D5"/>
    <w:rsid w:val="00D15233"/>
    <w:rsid w:val="00D154D2"/>
    <w:rsid w:val="00D155A3"/>
    <w:rsid w:val="00D15E5B"/>
    <w:rsid w:val="00D16EA8"/>
    <w:rsid w:val="00D16F6B"/>
    <w:rsid w:val="00D17680"/>
    <w:rsid w:val="00D20656"/>
    <w:rsid w:val="00D20944"/>
    <w:rsid w:val="00D20DD5"/>
    <w:rsid w:val="00D20DF7"/>
    <w:rsid w:val="00D211B2"/>
    <w:rsid w:val="00D219E3"/>
    <w:rsid w:val="00D21C39"/>
    <w:rsid w:val="00D21CC0"/>
    <w:rsid w:val="00D21E33"/>
    <w:rsid w:val="00D22113"/>
    <w:rsid w:val="00D221AF"/>
    <w:rsid w:val="00D227CC"/>
    <w:rsid w:val="00D22BA7"/>
    <w:rsid w:val="00D22E12"/>
    <w:rsid w:val="00D23A4E"/>
    <w:rsid w:val="00D23BA0"/>
    <w:rsid w:val="00D23F8B"/>
    <w:rsid w:val="00D2405A"/>
    <w:rsid w:val="00D245BD"/>
    <w:rsid w:val="00D246E8"/>
    <w:rsid w:val="00D2499E"/>
    <w:rsid w:val="00D24AD0"/>
    <w:rsid w:val="00D24E8D"/>
    <w:rsid w:val="00D24FC8"/>
    <w:rsid w:val="00D2511F"/>
    <w:rsid w:val="00D25247"/>
    <w:rsid w:val="00D253C3"/>
    <w:rsid w:val="00D25692"/>
    <w:rsid w:val="00D25899"/>
    <w:rsid w:val="00D25BCB"/>
    <w:rsid w:val="00D26321"/>
    <w:rsid w:val="00D2649F"/>
    <w:rsid w:val="00D26A99"/>
    <w:rsid w:val="00D26AC3"/>
    <w:rsid w:val="00D274F4"/>
    <w:rsid w:val="00D27846"/>
    <w:rsid w:val="00D27A8D"/>
    <w:rsid w:val="00D304BD"/>
    <w:rsid w:val="00D30697"/>
    <w:rsid w:val="00D309EC"/>
    <w:rsid w:val="00D31402"/>
    <w:rsid w:val="00D3140F"/>
    <w:rsid w:val="00D31CC6"/>
    <w:rsid w:val="00D31D14"/>
    <w:rsid w:val="00D31FF0"/>
    <w:rsid w:val="00D322C9"/>
    <w:rsid w:val="00D32A44"/>
    <w:rsid w:val="00D32C19"/>
    <w:rsid w:val="00D32EA1"/>
    <w:rsid w:val="00D33026"/>
    <w:rsid w:val="00D331E4"/>
    <w:rsid w:val="00D3325E"/>
    <w:rsid w:val="00D335C9"/>
    <w:rsid w:val="00D33814"/>
    <w:rsid w:val="00D33BB7"/>
    <w:rsid w:val="00D33CF6"/>
    <w:rsid w:val="00D33D42"/>
    <w:rsid w:val="00D33E10"/>
    <w:rsid w:val="00D33FDB"/>
    <w:rsid w:val="00D347D6"/>
    <w:rsid w:val="00D34D09"/>
    <w:rsid w:val="00D353EE"/>
    <w:rsid w:val="00D35B8A"/>
    <w:rsid w:val="00D35DAA"/>
    <w:rsid w:val="00D361FA"/>
    <w:rsid w:val="00D368C1"/>
    <w:rsid w:val="00D36A74"/>
    <w:rsid w:val="00D37718"/>
    <w:rsid w:val="00D378EE"/>
    <w:rsid w:val="00D37915"/>
    <w:rsid w:val="00D37D3F"/>
    <w:rsid w:val="00D37E33"/>
    <w:rsid w:val="00D37E6A"/>
    <w:rsid w:val="00D4015D"/>
    <w:rsid w:val="00D4045B"/>
    <w:rsid w:val="00D409BB"/>
    <w:rsid w:val="00D40AC2"/>
    <w:rsid w:val="00D40DA7"/>
    <w:rsid w:val="00D41004"/>
    <w:rsid w:val="00D410AC"/>
    <w:rsid w:val="00D42117"/>
    <w:rsid w:val="00D4227B"/>
    <w:rsid w:val="00D424BD"/>
    <w:rsid w:val="00D428C9"/>
    <w:rsid w:val="00D42A2D"/>
    <w:rsid w:val="00D42A9E"/>
    <w:rsid w:val="00D42C42"/>
    <w:rsid w:val="00D42D47"/>
    <w:rsid w:val="00D42E42"/>
    <w:rsid w:val="00D42ED3"/>
    <w:rsid w:val="00D43256"/>
    <w:rsid w:val="00D43B46"/>
    <w:rsid w:val="00D4403D"/>
    <w:rsid w:val="00D442BA"/>
    <w:rsid w:val="00D443C2"/>
    <w:rsid w:val="00D44F04"/>
    <w:rsid w:val="00D44FF2"/>
    <w:rsid w:val="00D451F7"/>
    <w:rsid w:val="00D45212"/>
    <w:rsid w:val="00D45263"/>
    <w:rsid w:val="00D455D4"/>
    <w:rsid w:val="00D45644"/>
    <w:rsid w:val="00D45AB9"/>
    <w:rsid w:val="00D45B1A"/>
    <w:rsid w:val="00D464F2"/>
    <w:rsid w:val="00D466A8"/>
    <w:rsid w:val="00D470B1"/>
    <w:rsid w:val="00D4732E"/>
    <w:rsid w:val="00D47749"/>
    <w:rsid w:val="00D47803"/>
    <w:rsid w:val="00D47B11"/>
    <w:rsid w:val="00D503C1"/>
    <w:rsid w:val="00D504A4"/>
    <w:rsid w:val="00D50598"/>
    <w:rsid w:val="00D5098F"/>
    <w:rsid w:val="00D50B95"/>
    <w:rsid w:val="00D50BDA"/>
    <w:rsid w:val="00D51071"/>
    <w:rsid w:val="00D51202"/>
    <w:rsid w:val="00D51634"/>
    <w:rsid w:val="00D518F9"/>
    <w:rsid w:val="00D51907"/>
    <w:rsid w:val="00D5196D"/>
    <w:rsid w:val="00D51BB2"/>
    <w:rsid w:val="00D5291C"/>
    <w:rsid w:val="00D52CEA"/>
    <w:rsid w:val="00D52D34"/>
    <w:rsid w:val="00D5316A"/>
    <w:rsid w:val="00D531E5"/>
    <w:rsid w:val="00D53823"/>
    <w:rsid w:val="00D53E12"/>
    <w:rsid w:val="00D54710"/>
    <w:rsid w:val="00D54D33"/>
    <w:rsid w:val="00D54D60"/>
    <w:rsid w:val="00D54E56"/>
    <w:rsid w:val="00D551CE"/>
    <w:rsid w:val="00D5523D"/>
    <w:rsid w:val="00D554AE"/>
    <w:rsid w:val="00D554B1"/>
    <w:rsid w:val="00D55A72"/>
    <w:rsid w:val="00D55EDD"/>
    <w:rsid w:val="00D56305"/>
    <w:rsid w:val="00D566D4"/>
    <w:rsid w:val="00D56B0A"/>
    <w:rsid w:val="00D56B68"/>
    <w:rsid w:val="00D56B89"/>
    <w:rsid w:val="00D56F76"/>
    <w:rsid w:val="00D57310"/>
    <w:rsid w:val="00D57386"/>
    <w:rsid w:val="00D57474"/>
    <w:rsid w:val="00D575F4"/>
    <w:rsid w:val="00D60010"/>
    <w:rsid w:val="00D604F1"/>
    <w:rsid w:val="00D608C8"/>
    <w:rsid w:val="00D60BF5"/>
    <w:rsid w:val="00D60CA7"/>
    <w:rsid w:val="00D60EFE"/>
    <w:rsid w:val="00D60F42"/>
    <w:rsid w:val="00D61003"/>
    <w:rsid w:val="00D610C6"/>
    <w:rsid w:val="00D613E5"/>
    <w:rsid w:val="00D617CB"/>
    <w:rsid w:val="00D6181D"/>
    <w:rsid w:val="00D621B9"/>
    <w:rsid w:val="00D622F0"/>
    <w:rsid w:val="00D6250A"/>
    <w:rsid w:val="00D6283F"/>
    <w:rsid w:val="00D636FB"/>
    <w:rsid w:val="00D63BF0"/>
    <w:rsid w:val="00D63C4E"/>
    <w:rsid w:val="00D63F8D"/>
    <w:rsid w:val="00D64633"/>
    <w:rsid w:val="00D64D33"/>
    <w:rsid w:val="00D65277"/>
    <w:rsid w:val="00D656F8"/>
    <w:rsid w:val="00D66416"/>
    <w:rsid w:val="00D664F0"/>
    <w:rsid w:val="00D66C0F"/>
    <w:rsid w:val="00D66D8D"/>
    <w:rsid w:val="00D66E56"/>
    <w:rsid w:val="00D67C8A"/>
    <w:rsid w:val="00D67CE7"/>
    <w:rsid w:val="00D67E2B"/>
    <w:rsid w:val="00D700D3"/>
    <w:rsid w:val="00D70467"/>
    <w:rsid w:val="00D7068D"/>
    <w:rsid w:val="00D70C7A"/>
    <w:rsid w:val="00D71189"/>
    <w:rsid w:val="00D71497"/>
    <w:rsid w:val="00D7197F"/>
    <w:rsid w:val="00D71B20"/>
    <w:rsid w:val="00D71C67"/>
    <w:rsid w:val="00D71CC8"/>
    <w:rsid w:val="00D71D52"/>
    <w:rsid w:val="00D723A0"/>
    <w:rsid w:val="00D7243A"/>
    <w:rsid w:val="00D72566"/>
    <w:rsid w:val="00D72A31"/>
    <w:rsid w:val="00D72C2F"/>
    <w:rsid w:val="00D72C75"/>
    <w:rsid w:val="00D7317C"/>
    <w:rsid w:val="00D7444C"/>
    <w:rsid w:val="00D7492D"/>
    <w:rsid w:val="00D74BAA"/>
    <w:rsid w:val="00D74F0F"/>
    <w:rsid w:val="00D74F11"/>
    <w:rsid w:val="00D74FF5"/>
    <w:rsid w:val="00D756A0"/>
    <w:rsid w:val="00D7589A"/>
    <w:rsid w:val="00D76A2B"/>
    <w:rsid w:val="00D76C16"/>
    <w:rsid w:val="00D76FA1"/>
    <w:rsid w:val="00D775A3"/>
    <w:rsid w:val="00D7764C"/>
    <w:rsid w:val="00D7773D"/>
    <w:rsid w:val="00D77BB4"/>
    <w:rsid w:val="00D77C48"/>
    <w:rsid w:val="00D77D01"/>
    <w:rsid w:val="00D77D67"/>
    <w:rsid w:val="00D80108"/>
    <w:rsid w:val="00D80156"/>
    <w:rsid w:val="00D8039F"/>
    <w:rsid w:val="00D80588"/>
    <w:rsid w:val="00D805CB"/>
    <w:rsid w:val="00D80690"/>
    <w:rsid w:val="00D808E5"/>
    <w:rsid w:val="00D80FA8"/>
    <w:rsid w:val="00D810CE"/>
    <w:rsid w:val="00D81691"/>
    <w:rsid w:val="00D81E0E"/>
    <w:rsid w:val="00D81F43"/>
    <w:rsid w:val="00D82054"/>
    <w:rsid w:val="00D82876"/>
    <w:rsid w:val="00D82949"/>
    <w:rsid w:val="00D82DC7"/>
    <w:rsid w:val="00D82EF5"/>
    <w:rsid w:val="00D837D2"/>
    <w:rsid w:val="00D84113"/>
    <w:rsid w:val="00D841C0"/>
    <w:rsid w:val="00D843AC"/>
    <w:rsid w:val="00D844CA"/>
    <w:rsid w:val="00D84631"/>
    <w:rsid w:val="00D84652"/>
    <w:rsid w:val="00D85580"/>
    <w:rsid w:val="00D85812"/>
    <w:rsid w:val="00D8595E"/>
    <w:rsid w:val="00D85BB5"/>
    <w:rsid w:val="00D85C91"/>
    <w:rsid w:val="00D86A62"/>
    <w:rsid w:val="00D86B9D"/>
    <w:rsid w:val="00D86DF4"/>
    <w:rsid w:val="00D86F94"/>
    <w:rsid w:val="00D87582"/>
    <w:rsid w:val="00D87607"/>
    <w:rsid w:val="00D878CE"/>
    <w:rsid w:val="00D87DA4"/>
    <w:rsid w:val="00D904FD"/>
    <w:rsid w:val="00D90580"/>
    <w:rsid w:val="00D9081B"/>
    <w:rsid w:val="00D90B22"/>
    <w:rsid w:val="00D90BA7"/>
    <w:rsid w:val="00D90F43"/>
    <w:rsid w:val="00D918D5"/>
    <w:rsid w:val="00D91DEB"/>
    <w:rsid w:val="00D92031"/>
    <w:rsid w:val="00D92139"/>
    <w:rsid w:val="00D92751"/>
    <w:rsid w:val="00D92A62"/>
    <w:rsid w:val="00D93B62"/>
    <w:rsid w:val="00D94053"/>
    <w:rsid w:val="00D94FB6"/>
    <w:rsid w:val="00D94FD1"/>
    <w:rsid w:val="00D9509C"/>
    <w:rsid w:val="00D951DD"/>
    <w:rsid w:val="00D95386"/>
    <w:rsid w:val="00D95585"/>
    <w:rsid w:val="00D9560F"/>
    <w:rsid w:val="00D95616"/>
    <w:rsid w:val="00D95E02"/>
    <w:rsid w:val="00D960A0"/>
    <w:rsid w:val="00D96421"/>
    <w:rsid w:val="00D96897"/>
    <w:rsid w:val="00D96B07"/>
    <w:rsid w:val="00D975DB"/>
    <w:rsid w:val="00D975E9"/>
    <w:rsid w:val="00D979D0"/>
    <w:rsid w:val="00D97BCA"/>
    <w:rsid w:val="00DA02D5"/>
    <w:rsid w:val="00DA04B2"/>
    <w:rsid w:val="00DA06B5"/>
    <w:rsid w:val="00DA0D92"/>
    <w:rsid w:val="00DA172A"/>
    <w:rsid w:val="00DA1786"/>
    <w:rsid w:val="00DA19F9"/>
    <w:rsid w:val="00DA1B7B"/>
    <w:rsid w:val="00DA23FD"/>
    <w:rsid w:val="00DA298E"/>
    <w:rsid w:val="00DA2E33"/>
    <w:rsid w:val="00DA3247"/>
    <w:rsid w:val="00DA3371"/>
    <w:rsid w:val="00DA3F09"/>
    <w:rsid w:val="00DA417A"/>
    <w:rsid w:val="00DA41D1"/>
    <w:rsid w:val="00DA4838"/>
    <w:rsid w:val="00DA48C6"/>
    <w:rsid w:val="00DA4921"/>
    <w:rsid w:val="00DA4A96"/>
    <w:rsid w:val="00DA587E"/>
    <w:rsid w:val="00DA5A71"/>
    <w:rsid w:val="00DA6541"/>
    <w:rsid w:val="00DA6D66"/>
    <w:rsid w:val="00DA6FAB"/>
    <w:rsid w:val="00DA73C0"/>
    <w:rsid w:val="00DA740E"/>
    <w:rsid w:val="00DA7A4D"/>
    <w:rsid w:val="00DA7B60"/>
    <w:rsid w:val="00DA7F4F"/>
    <w:rsid w:val="00DB0109"/>
    <w:rsid w:val="00DB025B"/>
    <w:rsid w:val="00DB08A8"/>
    <w:rsid w:val="00DB0AF9"/>
    <w:rsid w:val="00DB0EF2"/>
    <w:rsid w:val="00DB0F78"/>
    <w:rsid w:val="00DB1BA4"/>
    <w:rsid w:val="00DB1EB3"/>
    <w:rsid w:val="00DB2214"/>
    <w:rsid w:val="00DB26B6"/>
    <w:rsid w:val="00DB26D2"/>
    <w:rsid w:val="00DB2AB1"/>
    <w:rsid w:val="00DB2C43"/>
    <w:rsid w:val="00DB2C53"/>
    <w:rsid w:val="00DB2FB1"/>
    <w:rsid w:val="00DB34DA"/>
    <w:rsid w:val="00DB36B9"/>
    <w:rsid w:val="00DB3851"/>
    <w:rsid w:val="00DB3ABE"/>
    <w:rsid w:val="00DB3ED1"/>
    <w:rsid w:val="00DB4121"/>
    <w:rsid w:val="00DB413F"/>
    <w:rsid w:val="00DB44E8"/>
    <w:rsid w:val="00DB5DA6"/>
    <w:rsid w:val="00DB5E8F"/>
    <w:rsid w:val="00DB6597"/>
    <w:rsid w:val="00DB6603"/>
    <w:rsid w:val="00DB6B16"/>
    <w:rsid w:val="00DB71EA"/>
    <w:rsid w:val="00DB725D"/>
    <w:rsid w:val="00DB7310"/>
    <w:rsid w:val="00DB7630"/>
    <w:rsid w:val="00DB7749"/>
    <w:rsid w:val="00DB79DF"/>
    <w:rsid w:val="00DB7F41"/>
    <w:rsid w:val="00DC001B"/>
    <w:rsid w:val="00DC0719"/>
    <w:rsid w:val="00DC082E"/>
    <w:rsid w:val="00DC0AF2"/>
    <w:rsid w:val="00DC104B"/>
    <w:rsid w:val="00DC1DD9"/>
    <w:rsid w:val="00DC1E5A"/>
    <w:rsid w:val="00DC1E78"/>
    <w:rsid w:val="00DC1F8E"/>
    <w:rsid w:val="00DC2219"/>
    <w:rsid w:val="00DC2474"/>
    <w:rsid w:val="00DC26CE"/>
    <w:rsid w:val="00DC3182"/>
    <w:rsid w:val="00DC3418"/>
    <w:rsid w:val="00DC36DB"/>
    <w:rsid w:val="00DC3738"/>
    <w:rsid w:val="00DC3CCF"/>
    <w:rsid w:val="00DC4038"/>
    <w:rsid w:val="00DC4420"/>
    <w:rsid w:val="00DC459D"/>
    <w:rsid w:val="00DC49A9"/>
    <w:rsid w:val="00DC4A78"/>
    <w:rsid w:val="00DC5087"/>
    <w:rsid w:val="00DC5235"/>
    <w:rsid w:val="00DC5B8B"/>
    <w:rsid w:val="00DC5BF4"/>
    <w:rsid w:val="00DC6238"/>
    <w:rsid w:val="00DC6C28"/>
    <w:rsid w:val="00DC6F25"/>
    <w:rsid w:val="00DC72FF"/>
    <w:rsid w:val="00DC7324"/>
    <w:rsid w:val="00DC74EB"/>
    <w:rsid w:val="00DC75FC"/>
    <w:rsid w:val="00DC7DD1"/>
    <w:rsid w:val="00DD0184"/>
    <w:rsid w:val="00DD01BA"/>
    <w:rsid w:val="00DD079B"/>
    <w:rsid w:val="00DD0977"/>
    <w:rsid w:val="00DD0A1B"/>
    <w:rsid w:val="00DD0B29"/>
    <w:rsid w:val="00DD0B82"/>
    <w:rsid w:val="00DD12FE"/>
    <w:rsid w:val="00DD16E6"/>
    <w:rsid w:val="00DD20A9"/>
    <w:rsid w:val="00DD2BC0"/>
    <w:rsid w:val="00DD3115"/>
    <w:rsid w:val="00DD3165"/>
    <w:rsid w:val="00DD4198"/>
    <w:rsid w:val="00DD419C"/>
    <w:rsid w:val="00DD41BE"/>
    <w:rsid w:val="00DD4657"/>
    <w:rsid w:val="00DD4711"/>
    <w:rsid w:val="00DD4DD6"/>
    <w:rsid w:val="00DD5E37"/>
    <w:rsid w:val="00DD611A"/>
    <w:rsid w:val="00DD632E"/>
    <w:rsid w:val="00DD71F1"/>
    <w:rsid w:val="00DD7350"/>
    <w:rsid w:val="00DD783E"/>
    <w:rsid w:val="00DD7995"/>
    <w:rsid w:val="00DD7A78"/>
    <w:rsid w:val="00DD7FC9"/>
    <w:rsid w:val="00DE0043"/>
    <w:rsid w:val="00DE07D7"/>
    <w:rsid w:val="00DE0B9F"/>
    <w:rsid w:val="00DE0BB5"/>
    <w:rsid w:val="00DE0C4D"/>
    <w:rsid w:val="00DE0E28"/>
    <w:rsid w:val="00DE1C46"/>
    <w:rsid w:val="00DE1D79"/>
    <w:rsid w:val="00DE29A5"/>
    <w:rsid w:val="00DE2AAF"/>
    <w:rsid w:val="00DE2AE0"/>
    <w:rsid w:val="00DE2E86"/>
    <w:rsid w:val="00DE30B7"/>
    <w:rsid w:val="00DE39A4"/>
    <w:rsid w:val="00DE3E2D"/>
    <w:rsid w:val="00DE3E59"/>
    <w:rsid w:val="00DE3E68"/>
    <w:rsid w:val="00DE4048"/>
    <w:rsid w:val="00DE4444"/>
    <w:rsid w:val="00DE44A1"/>
    <w:rsid w:val="00DE4783"/>
    <w:rsid w:val="00DE47C4"/>
    <w:rsid w:val="00DE5017"/>
    <w:rsid w:val="00DE529A"/>
    <w:rsid w:val="00DE52FA"/>
    <w:rsid w:val="00DE55E1"/>
    <w:rsid w:val="00DE57CC"/>
    <w:rsid w:val="00DE5AEB"/>
    <w:rsid w:val="00DE5C8B"/>
    <w:rsid w:val="00DE5CE3"/>
    <w:rsid w:val="00DE5F90"/>
    <w:rsid w:val="00DE654E"/>
    <w:rsid w:val="00DE69D5"/>
    <w:rsid w:val="00DE6FF7"/>
    <w:rsid w:val="00DE7003"/>
    <w:rsid w:val="00DE7AC5"/>
    <w:rsid w:val="00DE7D58"/>
    <w:rsid w:val="00DE7F5B"/>
    <w:rsid w:val="00DF00A3"/>
    <w:rsid w:val="00DF07D5"/>
    <w:rsid w:val="00DF0D23"/>
    <w:rsid w:val="00DF0FD4"/>
    <w:rsid w:val="00DF11D3"/>
    <w:rsid w:val="00DF153F"/>
    <w:rsid w:val="00DF1FA0"/>
    <w:rsid w:val="00DF2018"/>
    <w:rsid w:val="00DF20B7"/>
    <w:rsid w:val="00DF2621"/>
    <w:rsid w:val="00DF2929"/>
    <w:rsid w:val="00DF2AA1"/>
    <w:rsid w:val="00DF2FEC"/>
    <w:rsid w:val="00DF34DC"/>
    <w:rsid w:val="00DF37DB"/>
    <w:rsid w:val="00DF3AD4"/>
    <w:rsid w:val="00DF3C22"/>
    <w:rsid w:val="00DF4241"/>
    <w:rsid w:val="00DF429A"/>
    <w:rsid w:val="00DF4996"/>
    <w:rsid w:val="00DF4A08"/>
    <w:rsid w:val="00DF4C6F"/>
    <w:rsid w:val="00DF4FC9"/>
    <w:rsid w:val="00DF5145"/>
    <w:rsid w:val="00DF5174"/>
    <w:rsid w:val="00DF5E7A"/>
    <w:rsid w:val="00DF5F50"/>
    <w:rsid w:val="00DF60F4"/>
    <w:rsid w:val="00DF6230"/>
    <w:rsid w:val="00DF6A73"/>
    <w:rsid w:val="00DF7400"/>
    <w:rsid w:val="00DF7773"/>
    <w:rsid w:val="00E00A7C"/>
    <w:rsid w:val="00E00B2C"/>
    <w:rsid w:val="00E00D6D"/>
    <w:rsid w:val="00E00E90"/>
    <w:rsid w:val="00E01154"/>
    <w:rsid w:val="00E01338"/>
    <w:rsid w:val="00E01645"/>
    <w:rsid w:val="00E01E3D"/>
    <w:rsid w:val="00E022CA"/>
    <w:rsid w:val="00E02584"/>
    <w:rsid w:val="00E0293F"/>
    <w:rsid w:val="00E02B17"/>
    <w:rsid w:val="00E02CF6"/>
    <w:rsid w:val="00E0326D"/>
    <w:rsid w:val="00E03482"/>
    <w:rsid w:val="00E034C0"/>
    <w:rsid w:val="00E03891"/>
    <w:rsid w:val="00E03C2D"/>
    <w:rsid w:val="00E03C8E"/>
    <w:rsid w:val="00E03D11"/>
    <w:rsid w:val="00E04150"/>
    <w:rsid w:val="00E041DA"/>
    <w:rsid w:val="00E042E4"/>
    <w:rsid w:val="00E043CD"/>
    <w:rsid w:val="00E04465"/>
    <w:rsid w:val="00E04A51"/>
    <w:rsid w:val="00E04B33"/>
    <w:rsid w:val="00E04EAA"/>
    <w:rsid w:val="00E04FD7"/>
    <w:rsid w:val="00E05486"/>
    <w:rsid w:val="00E05855"/>
    <w:rsid w:val="00E05B4E"/>
    <w:rsid w:val="00E05D1E"/>
    <w:rsid w:val="00E05DAF"/>
    <w:rsid w:val="00E05E59"/>
    <w:rsid w:val="00E06517"/>
    <w:rsid w:val="00E068D8"/>
    <w:rsid w:val="00E070BD"/>
    <w:rsid w:val="00E070E4"/>
    <w:rsid w:val="00E07248"/>
    <w:rsid w:val="00E0729D"/>
    <w:rsid w:val="00E074DF"/>
    <w:rsid w:val="00E07A98"/>
    <w:rsid w:val="00E1008F"/>
    <w:rsid w:val="00E102EF"/>
    <w:rsid w:val="00E109BF"/>
    <w:rsid w:val="00E10A4C"/>
    <w:rsid w:val="00E11189"/>
    <w:rsid w:val="00E118DD"/>
    <w:rsid w:val="00E11B2C"/>
    <w:rsid w:val="00E125C5"/>
    <w:rsid w:val="00E12662"/>
    <w:rsid w:val="00E128A0"/>
    <w:rsid w:val="00E12C32"/>
    <w:rsid w:val="00E12CD7"/>
    <w:rsid w:val="00E12E0F"/>
    <w:rsid w:val="00E13140"/>
    <w:rsid w:val="00E1331C"/>
    <w:rsid w:val="00E1353C"/>
    <w:rsid w:val="00E138A6"/>
    <w:rsid w:val="00E13AC9"/>
    <w:rsid w:val="00E140EE"/>
    <w:rsid w:val="00E143A8"/>
    <w:rsid w:val="00E14886"/>
    <w:rsid w:val="00E14BE9"/>
    <w:rsid w:val="00E14EA9"/>
    <w:rsid w:val="00E14EE8"/>
    <w:rsid w:val="00E14EF0"/>
    <w:rsid w:val="00E14F33"/>
    <w:rsid w:val="00E15F04"/>
    <w:rsid w:val="00E16121"/>
    <w:rsid w:val="00E161A2"/>
    <w:rsid w:val="00E17035"/>
    <w:rsid w:val="00E1724A"/>
    <w:rsid w:val="00E17798"/>
    <w:rsid w:val="00E1798B"/>
    <w:rsid w:val="00E17AB5"/>
    <w:rsid w:val="00E202E1"/>
    <w:rsid w:val="00E203A4"/>
    <w:rsid w:val="00E204DE"/>
    <w:rsid w:val="00E20A0D"/>
    <w:rsid w:val="00E20CAB"/>
    <w:rsid w:val="00E21008"/>
    <w:rsid w:val="00E21251"/>
    <w:rsid w:val="00E213B4"/>
    <w:rsid w:val="00E21ACF"/>
    <w:rsid w:val="00E21E1C"/>
    <w:rsid w:val="00E22C63"/>
    <w:rsid w:val="00E22EA4"/>
    <w:rsid w:val="00E22F1F"/>
    <w:rsid w:val="00E232A4"/>
    <w:rsid w:val="00E23476"/>
    <w:rsid w:val="00E234B1"/>
    <w:rsid w:val="00E23D8A"/>
    <w:rsid w:val="00E240A8"/>
    <w:rsid w:val="00E250EF"/>
    <w:rsid w:val="00E2533F"/>
    <w:rsid w:val="00E2545A"/>
    <w:rsid w:val="00E25E1D"/>
    <w:rsid w:val="00E26A2B"/>
    <w:rsid w:val="00E274B2"/>
    <w:rsid w:val="00E27532"/>
    <w:rsid w:val="00E2760F"/>
    <w:rsid w:val="00E27B7C"/>
    <w:rsid w:val="00E30225"/>
    <w:rsid w:val="00E306B1"/>
    <w:rsid w:val="00E307CF"/>
    <w:rsid w:val="00E30F03"/>
    <w:rsid w:val="00E31694"/>
    <w:rsid w:val="00E31A21"/>
    <w:rsid w:val="00E31A7A"/>
    <w:rsid w:val="00E31DE0"/>
    <w:rsid w:val="00E31E40"/>
    <w:rsid w:val="00E31F0E"/>
    <w:rsid w:val="00E321AC"/>
    <w:rsid w:val="00E3248D"/>
    <w:rsid w:val="00E3270C"/>
    <w:rsid w:val="00E32A2A"/>
    <w:rsid w:val="00E32AFC"/>
    <w:rsid w:val="00E32B1F"/>
    <w:rsid w:val="00E32B8B"/>
    <w:rsid w:val="00E32D11"/>
    <w:rsid w:val="00E32D82"/>
    <w:rsid w:val="00E32E69"/>
    <w:rsid w:val="00E331C0"/>
    <w:rsid w:val="00E332F4"/>
    <w:rsid w:val="00E33573"/>
    <w:rsid w:val="00E339CC"/>
    <w:rsid w:val="00E3407B"/>
    <w:rsid w:val="00E342C3"/>
    <w:rsid w:val="00E34579"/>
    <w:rsid w:val="00E34FBE"/>
    <w:rsid w:val="00E3552F"/>
    <w:rsid w:val="00E35B71"/>
    <w:rsid w:val="00E35FF3"/>
    <w:rsid w:val="00E3620C"/>
    <w:rsid w:val="00E3650C"/>
    <w:rsid w:val="00E3682D"/>
    <w:rsid w:val="00E3684B"/>
    <w:rsid w:val="00E36945"/>
    <w:rsid w:val="00E36D2B"/>
    <w:rsid w:val="00E37410"/>
    <w:rsid w:val="00E37C19"/>
    <w:rsid w:val="00E40860"/>
    <w:rsid w:val="00E40A46"/>
    <w:rsid w:val="00E40B53"/>
    <w:rsid w:val="00E40C10"/>
    <w:rsid w:val="00E40FC3"/>
    <w:rsid w:val="00E41102"/>
    <w:rsid w:val="00E412FE"/>
    <w:rsid w:val="00E41786"/>
    <w:rsid w:val="00E41B2A"/>
    <w:rsid w:val="00E41BF0"/>
    <w:rsid w:val="00E41F8E"/>
    <w:rsid w:val="00E42526"/>
    <w:rsid w:val="00E4267C"/>
    <w:rsid w:val="00E429B8"/>
    <w:rsid w:val="00E42CDF"/>
    <w:rsid w:val="00E42DFD"/>
    <w:rsid w:val="00E4357D"/>
    <w:rsid w:val="00E4391C"/>
    <w:rsid w:val="00E43F2D"/>
    <w:rsid w:val="00E4412C"/>
    <w:rsid w:val="00E44142"/>
    <w:rsid w:val="00E44B3B"/>
    <w:rsid w:val="00E44E29"/>
    <w:rsid w:val="00E44F1C"/>
    <w:rsid w:val="00E4522D"/>
    <w:rsid w:val="00E458B6"/>
    <w:rsid w:val="00E45B66"/>
    <w:rsid w:val="00E45DCE"/>
    <w:rsid w:val="00E45FAE"/>
    <w:rsid w:val="00E46314"/>
    <w:rsid w:val="00E468C8"/>
    <w:rsid w:val="00E46900"/>
    <w:rsid w:val="00E46C7B"/>
    <w:rsid w:val="00E4701F"/>
    <w:rsid w:val="00E47D1D"/>
    <w:rsid w:val="00E47EDB"/>
    <w:rsid w:val="00E50154"/>
    <w:rsid w:val="00E50327"/>
    <w:rsid w:val="00E505E5"/>
    <w:rsid w:val="00E50B22"/>
    <w:rsid w:val="00E51DAF"/>
    <w:rsid w:val="00E5235C"/>
    <w:rsid w:val="00E523BC"/>
    <w:rsid w:val="00E523C7"/>
    <w:rsid w:val="00E52824"/>
    <w:rsid w:val="00E52AFB"/>
    <w:rsid w:val="00E52B27"/>
    <w:rsid w:val="00E52D98"/>
    <w:rsid w:val="00E52FBB"/>
    <w:rsid w:val="00E532A3"/>
    <w:rsid w:val="00E53BE2"/>
    <w:rsid w:val="00E53D94"/>
    <w:rsid w:val="00E53F09"/>
    <w:rsid w:val="00E54938"/>
    <w:rsid w:val="00E54C22"/>
    <w:rsid w:val="00E551AB"/>
    <w:rsid w:val="00E55E19"/>
    <w:rsid w:val="00E55EDC"/>
    <w:rsid w:val="00E55FA7"/>
    <w:rsid w:val="00E56094"/>
    <w:rsid w:val="00E567BA"/>
    <w:rsid w:val="00E56D90"/>
    <w:rsid w:val="00E5705E"/>
    <w:rsid w:val="00E5753D"/>
    <w:rsid w:val="00E5781C"/>
    <w:rsid w:val="00E60073"/>
    <w:rsid w:val="00E60369"/>
    <w:rsid w:val="00E6057C"/>
    <w:rsid w:val="00E606E6"/>
    <w:rsid w:val="00E6100B"/>
    <w:rsid w:val="00E6119B"/>
    <w:rsid w:val="00E616AB"/>
    <w:rsid w:val="00E620A7"/>
    <w:rsid w:val="00E62103"/>
    <w:rsid w:val="00E621E3"/>
    <w:rsid w:val="00E622D1"/>
    <w:rsid w:val="00E6237D"/>
    <w:rsid w:val="00E6248C"/>
    <w:rsid w:val="00E626B2"/>
    <w:rsid w:val="00E628AA"/>
    <w:rsid w:val="00E62B01"/>
    <w:rsid w:val="00E62EE4"/>
    <w:rsid w:val="00E62FBD"/>
    <w:rsid w:val="00E632E2"/>
    <w:rsid w:val="00E6356F"/>
    <w:rsid w:val="00E63A3B"/>
    <w:rsid w:val="00E64089"/>
    <w:rsid w:val="00E64201"/>
    <w:rsid w:val="00E64329"/>
    <w:rsid w:val="00E64AF1"/>
    <w:rsid w:val="00E64EB9"/>
    <w:rsid w:val="00E65021"/>
    <w:rsid w:val="00E6512F"/>
    <w:rsid w:val="00E65233"/>
    <w:rsid w:val="00E65335"/>
    <w:rsid w:val="00E6612E"/>
    <w:rsid w:val="00E66352"/>
    <w:rsid w:val="00E66519"/>
    <w:rsid w:val="00E66D24"/>
    <w:rsid w:val="00E6705A"/>
    <w:rsid w:val="00E671C5"/>
    <w:rsid w:val="00E67529"/>
    <w:rsid w:val="00E676C4"/>
    <w:rsid w:val="00E67C0E"/>
    <w:rsid w:val="00E71626"/>
    <w:rsid w:val="00E717A3"/>
    <w:rsid w:val="00E717DC"/>
    <w:rsid w:val="00E718AC"/>
    <w:rsid w:val="00E718CF"/>
    <w:rsid w:val="00E71CAE"/>
    <w:rsid w:val="00E72326"/>
    <w:rsid w:val="00E72F45"/>
    <w:rsid w:val="00E733B6"/>
    <w:rsid w:val="00E73759"/>
    <w:rsid w:val="00E73F54"/>
    <w:rsid w:val="00E7401F"/>
    <w:rsid w:val="00E74047"/>
    <w:rsid w:val="00E74178"/>
    <w:rsid w:val="00E742BB"/>
    <w:rsid w:val="00E74532"/>
    <w:rsid w:val="00E74D80"/>
    <w:rsid w:val="00E757EA"/>
    <w:rsid w:val="00E75DC6"/>
    <w:rsid w:val="00E76D4E"/>
    <w:rsid w:val="00E76E99"/>
    <w:rsid w:val="00E7740F"/>
    <w:rsid w:val="00E77A37"/>
    <w:rsid w:val="00E800F6"/>
    <w:rsid w:val="00E80849"/>
    <w:rsid w:val="00E81626"/>
    <w:rsid w:val="00E8190E"/>
    <w:rsid w:val="00E81CCD"/>
    <w:rsid w:val="00E81D14"/>
    <w:rsid w:val="00E8272F"/>
    <w:rsid w:val="00E82FC9"/>
    <w:rsid w:val="00E83171"/>
    <w:rsid w:val="00E83327"/>
    <w:rsid w:val="00E83395"/>
    <w:rsid w:val="00E833E6"/>
    <w:rsid w:val="00E84AC7"/>
    <w:rsid w:val="00E84FC9"/>
    <w:rsid w:val="00E8516F"/>
    <w:rsid w:val="00E85D25"/>
    <w:rsid w:val="00E8613C"/>
    <w:rsid w:val="00E861B9"/>
    <w:rsid w:val="00E8627F"/>
    <w:rsid w:val="00E86291"/>
    <w:rsid w:val="00E86346"/>
    <w:rsid w:val="00E865A4"/>
    <w:rsid w:val="00E866AA"/>
    <w:rsid w:val="00E866AC"/>
    <w:rsid w:val="00E86B8C"/>
    <w:rsid w:val="00E87142"/>
    <w:rsid w:val="00E8752B"/>
    <w:rsid w:val="00E87563"/>
    <w:rsid w:val="00E877AB"/>
    <w:rsid w:val="00E87935"/>
    <w:rsid w:val="00E87B6A"/>
    <w:rsid w:val="00E9065F"/>
    <w:rsid w:val="00E906C5"/>
    <w:rsid w:val="00E906E5"/>
    <w:rsid w:val="00E90E7E"/>
    <w:rsid w:val="00E90EC5"/>
    <w:rsid w:val="00E91B82"/>
    <w:rsid w:val="00E91D08"/>
    <w:rsid w:val="00E92032"/>
    <w:rsid w:val="00E92BC4"/>
    <w:rsid w:val="00E92F3F"/>
    <w:rsid w:val="00E93444"/>
    <w:rsid w:val="00E93535"/>
    <w:rsid w:val="00E93B07"/>
    <w:rsid w:val="00E93D80"/>
    <w:rsid w:val="00E93EAF"/>
    <w:rsid w:val="00E94104"/>
    <w:rsid w:val="00E9419E"/>
    <w:rsid w:val="00E9566B"/>
    <w:rsid w:val="00E956E8"/>
    <w:rsid w:val="00E95780"/>
    <w:rsid w:val="00E95A88"/>
    <w:rsid w:val="00E95C0C"/>
    <w:rsid w:val="00E95D5C"/>
    <w:rsid w:val="00E95FDE"/>
    <w:rsid w:val="00E96634"/>
    <w:rsid w:val="00E96BB0"/>
    <w:rsid w:val="00E96C78"/>
    <w:rsid w:val="00E96E12"/>
    <w:rsid w:val="00E96F6C"/>
    <w:rsid w:val="00E97381"/>
    <w:rsid w:val="00E97E1F"/>
    <w:rsid w:val="00EA06E8"/>
    <w:rsid w:val="00EA0AE4"/>
    <w:rsid w:val="00EA0D7B"/>
    <w:rsid w:val="00EA0E05"/>
    <w:rsid w:val="00EA13CA"/>
    <w:rsid w:val="00EA1421"/>
    <w:rsid w:val="00EA15BE"/>
    <w:rsid w:val="00EA1A7D"/>
    <w:rsid w:val="00EA1CBF"/>
    <w:rsid w:val="00EA1FB0"/>
    <w:rsid w:val="00EA2C93"/>
    <w:rsid w:val="00EA3296"/>
    <w:rsid w:val="00EA32F7"/>
    <w:rsid w:val="00EA343E"/>
    <w:rsid w:val="00EA42ED"/>
    <w:rsid w:val="00EA47A3"/>
    <w:rsid w:val="00EA4A0C"/>
    <w:rsid w:val="00EA4AB9"/>
    <w:rsid w:val="00EA4C61"/>
    <w:rsid w:val="00EA4FE1"/>
    <w:rsid w:val="00EA546E"/>
    <w:rsid w:val="00EA558C"/>
    <w:rsid w:val="00EA5B77"/>
    <w:rsid w:val="00EA622E"/>
    <w:rsid w:val="00EA67FC"/>
    <w:rsid w:val="00EA68AE"/>
    <w:rsid w:val="00EA69A3"/>
    <w:rsid w:val="00EA6EAB"/>
    <w:rsid w:val="00EA75CB"/>
    <w:rsid w:val="00EA7A28"/>
    <w:rsid w:val="00EA7AAE"/>
    <w:rsid w:val="00EB02E9"/>
    <w:rsid w:val="00EB0E27"/>
    <w:rsid w:val="00EB1013"/>
    <w:rsid w:val="00EB1433"/>
    <w:rsid w:val="00EB261E"/>
    <w:rsid w:val="00EB273A"/>
    <w:rsid w:val="00EB27D4"/>
    <w:rsid w:val="00EB2996"/>
    <w:rsid w:val="00EB2C29"/>
    <w:rsid w:val="00EB32B2"/>
    <w:rsid w:val="00EB342A"/>
    <w:rsid w:val="00EB3595"/>
    <w:rsid w:val="00EB3A4E"/>
    <w:rsid w:val="00EB3BE3"/>
    <w:rsid w:val="00EB4323"/>
    <w:rsid w:val="00EB434D"/>
    <w:rsid w:val="00EB4417"/>
    <w:rsid w:val="00EB44D4"/>
    <w:rsid w:val="00EB4B98"/>
    <w:rsid w:val="00EB4C40"/>
    <w:rsid w:val="00EB4F52"/>
    <w:rsid w:val="00EB4F53"/>
    <w:rsid w:val="00EB5304"/>
    <w:rsid w:val="00EB5660"/>
    <w:rsid w:val="00EB57AC"/>
    <w:rsid w:val="00EB5BA7"/>
    <w:rsid w:val="00EB5D4F"/>
    <w:rsid w:val="00EB5E0A"/>
    <w:rsid w:val="00EB6169"/>
    <w:rsid w:val="00EB6452"/>
    <w:rsid w:val="00EB6B26"/>
    <w:rsid w:val="00EB7062"/>
    <w:rsid w:val="00EB7371"/>
    <w:rsid w:val="00EB7AB9"/>
    <w:rsid w:val="00EB7D64"/>
    <w:rsid w:val="00EC00AC"/>
    <w:rsid w:val="00EC037C"/>
    <w:rsid w:val="00EC03A6"/>
    <w:rsid w:val="00EC0583"/>
    <w:rsid w:val="00EC05E0"/>
    <w:rsid w:val="00EC0CE6"/>
    <w:rsid w:val="00EC0D57"/>
    <w:rsid w:val="00EC0D91"/>
    <w:rsid w:val="00EC1908"/>
    <w:rsid w:val="00EC2709"/>
    <w:rsid w:val="00EC29A7"/>
    <w:rsid w:val="00EC2A8B"/>
    <w:rsid w:val="00EC2DAA"/>
    <w:rsid w:val="00EC2F75"/>
    <w:rsid w:val="00EC3184"/>
    <w:rsid w:val="00EC39CE"/>
    <w:rsid w:val="00EC3CF8"/>
    <w:rsid w:val="00EC4204"/>
    <w:rsid w:val="00EC487E"/>
    <w:rsid w:val="00EC4A2A"/>
    <w:rsid w:val="00EC4F1B"/>
    <w:rsid w:val="00EC5095"/>
    <w:rsid w:val="00EC59A7"/>
    <w:rsid w:val="00EC5E5A"/>
    <w:rsid w:val="00EC6043"/>
    <w:rsid w:val="00EC610E"/>
    <w:rsid w:val="00EC705C"/>
    <w:rsid w:val="00EC733B"/>
    <w:rsid w:val="00EC73FD"/>
    <w:rsid w:val="00EC7526"/>
    <w:rsid w:val="00EC7EA3"/>
    <w:rsid w:val="00ED015F"/>
    <w:rsid w:val="00ED037B"/>
    <w:rsid w:val="00ED0731"/>
    <w:rsid w:val="00ED0F96"/>
    <w:rsid w:val="00ED1131"/>
    <w:rsid w:val="00ED14A9"/>
    <w:rsid w:val="00ED20BF"/>
    <w:rsid w:val="00ED248D"/>
    <w:rsid w:val="00ED2AE6"/>
    <w:rsid w:val="00ED2BBC"/>
    <w:rsid w:val="00ED2CA3"/>
    <w:rsid w:val="00ED3309"/>
    <w:rsid w:val="00ED3A06"/>
    <w:rsid w:val="00ED3E79"/>
    <w:rsid w:val="00ED4669"/>
    <w:rsid w:val="00ED4F2F"/>
    <w:rsid w:val="00ED507C"/>
    <w:rsid w:val="00ED51AE"/>
    <w:rsid w:val="00ED5257"/>
    <w:rsid w:val="00ED5263"/>
    <w:rsid w:val="00ED56F4"/>
    <w:rsid w:val="00ED58EE"/>
    <w:rsid w:val="00ED6408"/>
    <w:rsid w:val="00ED64DF"/>
    <w:rsid w:val="00ED65B2"/>
    <w:rsid w:val="00ED6E97"/>
    <w:rsid w:val="00ED704F"/>
    <w:rsid w:val="00ED7074"/>
    <w:rsid w:val="00ED7299"/>
    <w:rsid w:val="00ED7718"/>
    <w:rsid w:val="00ED7946"/>
    <w:rsid w:val="00ED7D44"/>
    <w:rsid w:val="00EE008B"/>
    <w:rsid w:val="00EE01A9"/>
    <w:rsid w:val="00EE043D"/>
    <w:rsid w:val="00EE09FF"/>
    <w:rsid w:val="00EE0CA6"/>
    <w:rsid w:val="00EE0ECE"/>
    <w:rsid w:val="00EE102E"/>
    <w:rsid w:val="00EE109D"/>
    <w:rsid w:val="00EE112D"/>
    <w:rsid w:val="00EE2120"/>
    <w:rsid w:val="00EE2216"/>
    <w:rsid w:val="00EE247B"/>
    <w:rsid w:val="00EE2560"/>
    <w:rsid w:val="00EE257E"/>
    <w:rsid w:val="00EE2697"/>
    <w:rsid w:val="00EE28AB"/>
    <w:rsid w:val="00EE2EA5"/>
    <w:rsid w:val="00EE30D4"/>
    <w:rsid w:val="00EE3539"/>
    <w:rsid w:val="00EE3D69"/>
    <w:rsid w:val="00EE4326"/>
    <w:rsid w:val="00EE4467"/>
    <w:rsid w:val="00EE4531"/>
    <w:rsid w:val="00EE4865"/>
    <w:rsid w:val="00EE4A66"/>
    <w:rsid w:val="00EE4F36"/>
    <w:rsid w:val="00EE53A4"/>
    <w:rsid w:val="00EE58DB"/>
    <w:rsid w:val="00EE598F"/>
    <w:rsid w:val="00EE5A21"/>
    <w:rsid w:val="00EE5D8B"/>
    <w:rsid w:val="00EE614C"/>
    <w:rsid w:val="00EE664E"/>
    <w:rsid w:val="00EE6C9D"/>
    <w:rsid w:val="00EE6D58"/>
    <w:rsid w:val="00EE7444"/>
    <w:rsid w:val="00EE7601"/>
    <w:rsid w:val="00EE791E"/>
    <w:rsid w:val="00EE7DA9"/>
    <w:rsid w:val="00EF0322"/>
    <w:rsid w:val="00EF0358"/>
    <w:rsid w:val="00EF04B4"/>
    <w:rsid w:val="00EF0902"/>
    <w:rsid w:val="00EF0C2C"/>
    <w:rsid w:val="00EF0E6E"/>
    <w:rsid w:val="00EF1167"/>
    <w:rsid w:val="00EF18C0"/>
    <w:rsid w:val="00EF2BAA"/>
    <w:rsid w:val="00EF2C0B"/>
    <w:rsid w:val="00EF2F53"/>
    <w:rsid w:val="00EF314D"/>
    <w:rsid w:val="00EF31D5"/>
    <w:rsid w:val="00EF3972"/>
    <w:rsid w:val="00EF397D"/>
    <w:rsid w:val="00EF3AD0"/>
    <w:rsid w:val="00EF3EE4"/>
    <w:rsid w:val="00EF4041"/>
    <w:rsid w:val="00EF4117"/>
    <w:rsid w:val="00EF416E"/>
    <w:rsid w:val="00EF4660"/>
    <w:rsid w:val="00EF4A8D"/>
    <w:rsid w:val="00EF50E0"/>
    <w:rsid w:val="00EF577D"/>
    <w:rsid w:val="00EF5986"/>
    <w:rsid w:val="00EF5BDB"/>
    <w:rsid w:val="00EF6030"/>
    <w:rsid w:val="00EF6103"/>
    <w:rsid w:val="00EF61C1"/>
    <w:rsid w:val="00EF6706"/>
    <w:rsid w:val="00EF674F"/>
    <w:rsid w:val="00EF6A03"/>
    <w:rsid w:val="00EF71F0"/>
    <w:rsid w:val="00EF7597"/>
    <w:rsid w:val="00EF7839"/>
    <w:rsid w:val="00EF79C0"/>
    <w:rsid w:val="00F00066"/>
    <w:rsid w:val="00F00297"/>
    <w:rsid w:val="00F002EE"/>
    <w:rsid w:val="00F009E5"/>
    <w:rsid w:val="00F00C95"/>
    <w:rsid w:val="00F010C6"/>
    <w:rsid w:val="00F01118"/>
    <w:rsid w:val="00F016F8"/>
    <w:rsid w:val="00F018C2"/>
    <w:rsid w:val="00F018E2"/>
    <w:rsid w:val="00F01B46"/>
    <w:rsid w:val="00F01C5B"/>
    <w:rsid w:val="00F01D95"/>
    <w:rsid w:val="00F01FC7"/>
    <w:rsid w:val="00F021C0"/>
    <w:rsid w:val="00F0244C"/>
    <w:rsid w:val="00F02903"/>
    <w:rsid w:val="00F02D45"/>
    <w:rsid w:val="00F030DB"/>
    <w:rsid w:val="00F0356C"/>
    <w:rsid w:val="00F03828"/>
    <w:rsid w:val="00F038A4"/>
    <w:rsid w:val="00F03F40"/>
    <w:rsid w:val="00F03FCB"/>
    <w:rsid w:val="00F0440D"/>
    <w:rsid w:val="00F046DC"/>
    <w:rsid w:val="00F048B0"/>
    <w:rsid w:val="00F04FF0"/>
    <w:rsid w:val="00F05518"/>
    <w:rsid w:val="00F058E0"/>
    <w:rsid w:val="00F058FF"/>
    <w:rsid w:val="00F05981"/>
    <w:rsid w:val="00F05CE6"/>
    <w:rsid w:val="00F05E54"/>
    <w:rsid w:val="00F06407"/>
    <w:rsid w:val="00F064A4"/>
    <w:rsid w:val="00F06522"/>
    <w:rsid w:val="00F0660F"/>
    <w:rsid w:val="00F06847"/>
    <w:rsid w:val="00F06B1C"/>
    <w:rsid w:val="00F06DFC"/>
    <w:rsid w:val="00F0704D"/>
    <w:rsid w:val="00F07233"/>
    <w:rsid w:val="00F07258"/>
    <w:rsid w:val="00F078E5"/>
    <w:rsid w:val="00F07B92"/>
    <w:rsid w:val="00F07BBF"/>
    <w:rsid w:val="00F100F4"/>
    <w:rsid w:val="00F101E7"/>
    <w:rsid w:val="00F1038D"/>
    <w:rsid w:val="00F107CC"/>
    <w:rsid w:val="00F107F9"/>
    <w:rsid w:val="00F10BF3"/>
    <w:rsid w:val="00F10F4E"/>
    <w:rsid w:val="00F112F2"/>
    <w:rsid w:val="00F113EF"/>
    <w:rsid w:val="00F1156B"/>
    <w:rsid w:val="00F11D2B"/>
    <w:rsid w:val="00F11E05"/>
    <w:rsid w:val="00F127F4"/>
    <w:rsid w:val="00F12894"/>
    <w:rsid w:val="00F12DF7"/>
    <w:rsid w:val="00F130AC"/>
    <w:rsid w:val="00F131EE"/>
    <w:rsid w:val="00F13294"/>
    <w:rsid w:val="00F13899"/>
    <w:rsid w:val="00F13C29"/>
    <w:rsid w:val="00F13D00"/>
    <w:rsid w:val="00F14479"/>
    <w:rsid w:val="00F14794"/>
    <w:rsid w:val="00F14FD3"/>
    <w:rsid w:val="00F1508C"/>
    <w:rsid w:val="00F151DE"/>
    <w:rsid w:val="00F15278"/>
    <w:rsid w:val="00F15B27"/>
    <w:rsid w:val="00F15BA2"/>
    <w:rsid w:val="00F15D44"/>
    <w:rsid w:val="00F16305"/>
    <w:rsid w:val="00F16F69"/>
    <w:rsid w:val="00F1730F"/>
    <w:rsid w:val="00F1788B"/>
    <w:rsid w:val="00F17B4B"/>
    <w:rsid w:val="00F17EED"/>
    <w:rsid w:val="00F200DB"/>
    <w:rsid w:val="00F200F7"/>
    <w:rsid w:val="00F20882"/>
    <w:rsid w:val="00F2119C"/>
    <w:rsid w:val="00F2144D"/>
    <w:rsid w:val="00F214D9"/>
    <w:rsid w:val="00F21C32"/>
    <w:rsid w:val="00F220D7"/>
    <w:rsid w:val="00F221F8"/>
    <w:rsid w:val="00F22243"/>
    <w:rsid w:val="00F2258D"/>
    <w:rsid w:val="00F229CD"/>
    <w:rsid w:val="00F22C06"/>
    <w:rsid w:val="00F22DED"/>
    <w:rsid w:val="00F22F0C"/>
    <w:rsid w:val="00F230CD"/>
    <w:rsid w:val="00F23AFD"/>
    <w:rsid w:val="00F241E2"/>
    <w:rsid w:val="00F2468E"/>
    <w:rsid w:val="00F24A01"/>
    <w:rsid w:val="00F24C0C"/>
    <w:rsid w:val="00F25158"/>
    <w:rsid w:val="00F2535A"/>
    <w:rsid w:val="00F2590C"/>
    <w:rsid w:val="00F25993"/>
    <w:rsid w:val="00F25B6E"/>
    <w:rsid w:val="00F25C8C"/>
    <w:rsid w:val="00F25CDC"/>
    <w:rsid w:val="00F25D84"/>
    <w:rsid w:val="00F25E75"/>
    <w:rsid w:val="00F25FEF"/>
    <w:rsid w:val="00F260EB"/>
    <w:rsid w:val="00F2685A"/>
    <w:rsid w:val="00F2713F"/>
    <w:rsid w:val="00F2718F"/>
    <w:rsid w:val="00F277AE"/>
    <w:rsid w:val="00F27E77"/>
    <w:rsid w:val="00F301F5"/>
    <w:rsid w:val="00F30544"/>
    <w:rsid w:val="00F305E5"/>
    <w:rsid w:val="00F306D5"/>
    <w:rsid w:val="00F30EE3"/>
    <w:rsid w:val="00F31991"/>
    <w:rsid w:val="00F31D32"/>
    <w:rsid w:val="00F320BD"/>
    <w:rsid w:val="00F325CD"/>
    <w:rsid w:val="00F32DAA"/>
    <w:rsid w:val="00F33531"/>
    <w:rsid w:val="00F335BD"/>
    <w:rsid w:val="00F337C4"/>
    <w:rsid w:val="00F33933"/>
    <w:rsid w:val="00F34395"/>
    <w:rsid w:val="00F3470A"/>
    <w:rsid w:val="00F34DAF"/>
    <w:rsid w:val="00F35541"/>
    <w:rsid w:val="00F357F7"/>
    <w:rsid w:val="00F3581E"/>
    <w:rsid w:val="00F35ABC"/>
    <w:rsid w:val="00F35DFA"/>
    <w:rsid w:val="00F35E5A"/>
    <w:rsid w:val="00F368AD"/>
    <w:rsid w:val="00F36DE6"/>
    <w:rsid w:val="00F36F0A"/>
    <w:rsid w:val="00F36FF4"/>
    <w:rsid w:val="00F371EB"/>
    <w:rsid w:val="00F376E8"/>
    <w:rsid w:val="00F37C6C"/>
    <w:rsid w:val="00F37CA3"/>
    <w:rsid w:val="00F37ED3"/>
    <w:rsid w:val="00F37EF2"/>
    <w:rsid w:val="00F400D0"/>
    <w:rsid w:val="00F40133"/>
    <w:rsid w:val="00F40A59"/>
    <w:rsid w:val="00F40B6B"/>
    <w:rsid w:val="00F40D4B"/>
    <w:rsid w:val="00F4190B"/>
    <w:rsid w:val="00F41C36"/>
    <w:rsid w:val="00F41E2E"/>
    <w:rsid w:val="00F41ECC"/>
    <w:rsid w:val="00F425A0"/>
    <w:rsid w:val="00F42CC3"/>
    <w:rsid w:val="00F42D43"/>
    <w:rsid w:val="00F42DCD"/>
    <w:rsid w:val="00F43209"/>
    <w:rsid w:val="00F43507"/>
    <w:rsid w:val="00F43776"/>
    <w:rsid w:val="00F4384C"/>
    <w:rsid w:val="00F447CB"/>
    <w:rsid w:val="00F44849"/>
    <w:rsid w:val="00F44865"/>
    <w:rsid w:val="00F44E23"/>
    <w:rsid w:val="00F44EE0"/>
    <w:rsid w:val="00F44F8E"/>
    <w:rsid w:val="00F455C8"/>
    <w:rsid w:val="00F45AB7"/>
    <w:rsid w:val="00F45B1D"/>
    <w:rsid w:val="00F45C65"/>
    <w:rsid w:val="00F45CA6"/>
    <w:rsid w:val="00F460F2"/>
    <w:rsid w:val="00F4622F"/>
    <w:rsid w:val="00F4638A"/>
    <w:rsid w:val="00F46D6F"/>
    <w:rsid w:val="00F47820"/>
    <w:rsid w:val="00F5082F"/>
    <w:rsid w:val="00F50C8F"/>
    <w:rsid w:val="00F514D4"/>
    <w:rsid w:val="00F519C5"/>
    <w:rsid w:val="00F519C7"/>
    <w:rsid w:val="00F51C18"/>
    <w:rsid w:val="00F51F04"/>
    <w:rsid w:val="00F51FE3"/>
    <w:rsid w:val="00F525E4"/>
    <w:rsid w:val="00F52B7C"/>
    <w:rsid w:val="00F52CA7"/>
    <w:rsid w:val="00F53063"/>
    <w:rsid w:val="00F5419D"/>
    <w:rsid w:val="00F546BA"/>
    <w:rsid w:val="00F5470C"/>
    <w:rsid w:val="00F547C1"/>
    <w:rsid w:val="00F54DCC"/>
    <w:rsid w:val="00F5510C"/>
    <w:rsid w:val="00F5557C"/>
    <w:rsid w:val="00F55B5A"/>
    <w:rsid w:val="00F55D7B"/>
    <w:rsid w:val="00F56394"/>
    <w:rsid w:val="00F563F8"/>
    <w:rsid w:val="00F564B9"/>
    <w:rsid w:val="00F56AB7"/>
    <w:rsid w:val="00F56C01"/>
    <w:rsid w:val="00F56C6A"/>
    <w:rsid w:val="00F57214"/>
    <w:rsid w:val="00F57386"/>
    <w:rsid w:val="00F57A9D"/>
    <w:rsid w:val="00F57E7E"/>
    <w:rsid w:val="00F60264"/>
    <w:rsid w:val="00F60306"/>
    <w:rsid w:val="00F6035C"/>
    <w:rsid w:val="00F60EEF"/>
    <w:rsid w:val="00F61719"/>
    <w:rsid w:val="00F619A2"/>
    <w:rsid w:val="00F619B0"/>
    <w:rsid w:val="00F61B8C"/>
    <w:rsid w:val="00F61BAC"/>
    <w:rsid w:val="00F61FAF"/>
    <w:rsid w:val="00F6219B"/>
    <w:rsid w:val="00F621A8"/>
    <w:rsid w:val="00F623CD"/>
    <w:rsid w:val="00F62957"/>
    <w:rsid w:val="00F62FB8"/>
    <w:rsid w:val="00F63072"/>
    <w:rsid w:val="00F638AC"/>
    <w:rsid w:val="00F63961"/>
    <w:rsid w:val="00F639D8"/>
    <w:rsid w:val="00F640C0"/>
    <w:rsid w:val="00F64C76"/>
    <w:rsid w:val="00F64DA0"/>
    <w:rsid w:val="00F653C4"/>
    <w:rsid w:val="00F6557E"/>
    <w:rsid w:val="00F6559C"/>
    <w:rsid w:val="00F6574D"/>
    <w:rsid w:val="00F65774"/>
    <w:rsid w:val="00F65778"/>
    <w:rsid w:val="00F65CF6"/>
    <w:rsid w:val="00F6620E"/>
    <w:rsid w:val="00F665CE"/>
    <w:rsid w:val="00F66A3E"/>
    <w:rsid w:val="00F66B3E"/>
    <w:rsid w:val="00F6715C"/>
    <w:rsid w:val="00F67243"/>
    <w:rsid w:val="00F70D2A"/>
    <w:rsid w:val="00F71018"/>
    <w:rsid w:val="00F711D5"/>
    <w:rsid w:val="00F71858"/>
    <w:rsid w:val="00F71B11"/>
    <w:rsid w:val="00F71E11"/>
    <w:rsid w:val="00F71E49"/>
    <w:rsid w:val="00F71F32"/>
    <w:rsid w:val="00F722ED"/>
    <w:rsid w:val="00F725C0"/>
    <w:rsid w:val="00F72723"/>
    <w:rsid w:val="00F7320C"/>
    <w:rsid w:val="00F732B3"/>
    <w:rsid w:val="00F733BF"/>
    <w:rsid w:val="00F73676"/>
    <w:rsid w:val="00F73B0A"/>
    <w:rsid w:val="00F73CB2"/>
    <w:rsid w:val="00F73F29"/>
    <w:rsid w:val="00F74786"/>
    <w:rsid w:val="00F74DEF"/>
    <w:rsid w:val="00F74F20"/>
    <w:rsid w:val="00F7543C"/>
    <w:rsid w:val="00F754E0"/>
    <w:rsid w:val="00F756B0"/>
    <w:rsid w:val="00F76106"/>
    <w:rsid w:val="00F761DB"/>
    <w:rsid w:val="00F76206"/>
    <w:rsid w:val="00F763A9"/>
    <w:rsid w:val="00F7647C"/>
    <w:rsid w:val="00F77226"/>
    <w:rsid w:val="00F772BB"/>
    <w:rsid w:val="00F77CEA"/>
    <w:rsid w:val="00F77D6F"/>
    <w:rsid w:val="00F77FA5"/>
    <w:rsid w:val="00F8016D"/>
    <w:rsid w:val="00F802F1"/>
    <w:rsid w:val="00F80A89"/>
    <w:rsid w:val="00F80CB0"/>
    <w:rsid w:val="00F80F37"/>
    <w:rsid w:val="00F81794"/>
    <w:rsid w:val="00F817C8"/>
    <w:rsid w:val="00F81937"/>
    <w:rsid w:val="00F8200F"/>
    <w:rsid w:val="00F820CC"/>
    <w:rsid w:val="00F8266C"/>
    <w:rsid w:val="00F826B5"/>
    <w:rsid w:val="00F83871"/>
    <w:rsid w:val="00F8391B"/>
    <w:rsid w:val="00F8428F"/>
    <w:rsid w:val="00F84325"/>
    <w:rsid w:val="00F843D3"/>
    <w:rsid w:val="00F8442B"/>
    <w:rsid w:val="00F844A9"/>
    <w:rsid w:val="00F848F5"/>
    <w:rsid w:val="00F84A29"/>
    <w:rsid w:val="00F84CBD"/>
    <w:rsid w:val="00F85093"/>
    <w:rsid w:val="00F8518C"/>
    <w:rsid w:val="00F851A5"/>
    <w:rsid w:val="00F8573B"/>
    <w:rsid w:val="00F85CE7"/>
    <w:rsid w:val="00F86548"/>
    <w:rsid w:val="00F86832"/>
    <w:rsid w:val="00F868D6"/>
    <w:rsid w:val="00F86D1D"/>
    <w:rsid w:val="00F86DCF"/>
    <w:rsid w:val="00F8730E"/>
    <w:rsid w:val="00F876D8"/>
    <w:rsid w:val="00F87839"/>
    <w:rsid w:val="00F8783E"/>
    <w:rsid w:val="00F87C55"/>
    <w:rsid w:val="00F87DCB"/>
    <w:rsid w:val="00F87E55"/>
    <w:rsid w:val="00F87F50"/>
    <w:rsid w:val="00F9043D"/>
    <w:rsid w:val="00F905EF"/>
    <w:rsid w:val="00F90B16"/>
    <w:rsid w:val="00F916F6"/>
    <w:rsid w:val="00F919D5"/>
    <w:rsid w:val="00F925A4"/>
    <w:rsid w:val="00F927DC"/>
    <w:rsid w:val="00F92A31"/>
    <w:rsid w:val="00F92B1F"/>
    <w:rsid w:val="00F93305"/>
    <w:rsid w:val="00F93504"/>
    <w:rsid w:val="00F93838"/>
    <w:rsid w:val="00F93ECF"/>
    <w:rsid w:val="00F94216"/>
    <w:rsid w:val="00F9498E"/>
    <w:rsid w:val="00F94A35"/>
    <w:rsid w:val="00F94DCA"/>
    <w:rsid w:val="00F95155"/>
    <w:rsid w:val="00F95381"/>
    <w:rsid w:val="00F96074"/>
    <w:rsid w:val="00F961E3"/>
    <w:rsid w:val="00F96204"/>
    <w:rsid w:val="00F9674D"/>
    <w:rsid w:val="00F96A62"/>
    <w:rsid w:val="00F96AF1"/>
    <w:rsid w:val="00F96F1A"/>
    <w:rsid w:val="00F975E8"/>
    <w:rsid w:val="00F97623"/>
    <w:rsid w:val="00F977B7"/>
    <w:rsid w:val="00F97ECC"/>
    <w:rsid w:val="00FA0523"/>
    <w:rsid w:val="00FA0596"/>
    <w:rsid w:val="00FA088D"/>
    <w:rsid w:val="00FA0A79"/>
    <w:rsid w:val="00FA0B35"/>
    <w:rsid w:val="00FA1127"/>
    <w:rsid w:val="00FA116A"/>
    <w:rsid w:val="00FA1227"/>
    <w:rsid w:val="00FA14F3"/>
    <w:rsid w:val="00FA1574"/>
    <w:rsid w:val="00FA1986"/>
    <w:rsid w:val="00FA1F40"/>
    <w:rsid w:val="00FA1FA9"/>
    <w:rsid w:val="00FA1FEA"/>
    <w:rsid w:val="00FA2238"/>
    <w:rsid w:val="00FA247F"/>
    <w:rsid w:val="00FA259F"/>
    <w:rsid w:val="00FA2CA3"/>
    <w:rsid w:val="00FA319B"/>
    <w:rsid w:val="00FA31E2"/>
    <w:rsid w:val="00FA33A0"/>
    <w:rsid w:val="00FA371A"/>
    <w:rsid w:val="00FA373D"/>
    <w:rsid w:val="00FA4F83"/>
    <w:rsid w:val="00FA5203"/>
    <w:rsid w:val="00FA529A"/>
    <w:rsid w:val="00FA5B20"/>
    <w:rsid w:val="00FA5CD0"/>
    <w:rsid w:val="00FA5E9E"/>
    <w:rsid w:val="00FA63CF"/>
    <w:rsid w:val="00FA6409"/>
    <w:rsid w:val="00FA6456"/>
    <w:rsid w:val="00FA6E3D"/>
    <w:rsid w:val="00FA6E76"/>
    <w:rsid w:val="00FA6ECA"/>
    <w:rsid w:val="00FA6F78"/>
    <w:rsid w:val="00FA74BE"/>
    <w:rsid w:val="00FA7945"/>
    <w:rsid w:val="00FB014B"/>
    <w:rsid w:val="00FB0187"/>
    <w:rsid w:val="00FB03B0"/>
    <w:rsid w:val="00FB04DD"/>
    <w:rsid w:val="00FB13B6"/>
    <w:rsid w:val="00FB1883"/>
    <w:rsid w:val="00FB1A04"/>
    <w:rsid w:val="00FB1AD9"/>
    <w:rsid w:val="00FB1C0D"/>
    <w:rsid w:val="00FB22D5"/>
    <w:rsid w:val="00FB256E"/>
    <w:rsid w:val="00FB2BE1"/>
    <w:rsid w:val="00FB2D1C"/>
    <w:rsid w:val="00FB2EE8"/>
    <w:rsid w:val="00FB3080"/>
    <w:rsid w:val="00FB3152"/>
    <w:rsid w:val="00FB3481"/>
    <w:rsid w:val="00FB3FA1"/>
    <w:rsid w:val="00FB4441"/>
    <w:rsid w:val="00FB4675"/>
    <w:rsid w:val="00FB4B93"/>
    <w:rsid w:val="00FB50D9"/>
    <w:rsid w:val="00FB54F7"/>
    <w:rsid w:val="00FB5641"/>
    <w:rsid w:val="00FB5A38"/>
    <w:rsid w:val="00FB5EEF"/>
    <w:rsid w:val="00FB626F"/>
    <w:rsid w:val="00FB638C"/>
    <w:rsid w:val="00FB6CE4"/>
    <w:rsid w:val="00FB6D3E"/>
    <w:rsid w:val="00FB73F5"/>
    <w:rsid w:val="00FB74C0"/>
    <w:rsid w:val="00FB7878"/>
    <w:rsid w:val="00FB7D8C"/>
    <w:rsid w:val="00FC0225"/>
    <w:rsid w:val="00FC0265"/>
    <w:rsid w:val="00FC0C7C"/>
    <w:rsid w:val="00FC10A9"/>
    <w:rsid w:val="00FC1A92"/>
    <w:rsid w:val="00FC1B78"/>
    <w:rsid w:val="00FC1BCC"/>
    <w:rsid w:val="00FC1C38"/>
    <w:rsid w:val="00FC1D1D"/>
    <w:rsid w:val="00FC20EB"/>
    <w:rsid w:val="00FC26DA"/>
    <w:rsid w:val="00FC294E"/>
    <w:rsid w:val="00FC2B3D"/>
    <w:rsid w:val="00FC2C5B"/>
    <w:rsid w:val="00FC303E"/>
    <w:rsid w:val="00FC3141"/>
    <w:rsid w:val="00FC40A8"/>
    <w:rsid w:val="00FC433F"/>
    <w:rsid w:val="00FC43D8"/>
    <w:rsid w:val="00FC4455"/>
    <w:rsid w:val="00FC46B6"/>
    <w:rsid w:val="00FC4C8A"/>
    <w:rsid w:val="00FC51FA"/>
    <w:rsid w:val="00FC58F2"/>
    <w:rsid w:val="00FC5BD8"/>
    <w:rsid w:val="00FC5CB7"/>
    <w:rsid w:val="00FC5D31"/>
    <w:rsid w:val="00FC6600"/>
    <w:rsid w:val="00FC68B2"/>
    <w:rsid w:val="00FC6A71"/>
    <w:rsid w:val="00FC6DDD"/>
    <w:rsid w:val="00FC6FD0"/>
    <w:rsid w:val="00FC7555"/>
    <w:rsid w:val="00FC7740"/>
    <w:rsid w:val="00FC7790"/>
    <w:rsid w:val="00FD0047"/>
    <w:rsid w:val="00FD0600"/>
    <w:rsid w:val="00FD0781"/>
    <w:rsid w:val="00FD07A5"/>
    <w:rsid w:val="00FD0A3B"/>
    <w:rsid w:val="00FD0C3F"/>
    <w:rsid w:val="00FD0CA8"/>
    <w:rsid w:val="00FD0E11"/>
    <w:rsid w:val="00FD0E40"/>
    <w:rsid w:val="00FD0F1A"/>
    <w:rsid w:val="00FD19AF"/>
    <w:rsid w:val="00FD1C2B"/>
    <w:rsid w:val="00FD2140"/>
    <w:rsid w:val="00FD2229"/>
    <w:rsid w:val="00FD23EF"/>
    <w:rsid w:val="00FD2822"/>
    <w:rsid w:val="00FD2C17"/>
    <w:rsid w:val="00FD2CDF"/>
    <w:rsid w:val="00FD365B"/>
    <w:rsid w:val="00FD39CF"/>
    <w:rsid w:val="00FD3A92"/>
    <w:rsid w:val="00FD3B33"/>
    <w:rsid w:val="00FD4ABB"/>
    <w:rsid w:val="00FD4D23"/>
    <w:rsid w:val="00FD4DB3"/>
    <w:rsid w:val="00FD51FC"/>
    <w:rsid w:val="00FD52A7"/>
    <w:rsid w:val="00FD5504"/>
    <w:rsid w:val="00FD5DA6"/>
    <w:rsid w:val="00FD5DBF"/>
    <w:rsid w:val="00FD5EA7"/>
    <w:rsid w:val="00FD5EEE"/>
    <w:rsid w:val="00FD5F1F"/>
    <w:rsid w:val="00FD60FB"/>
    <w:rsid w:val="00FD6C5B"/>
    <w:rsid w:val="00FD6DB6"/>
    <w:rsid w:val="00FD6E0B"/>
    <w:rsid w:val="00FD7520"/>
    <w:rsid w:val="00FD75C0"/>
    <w:rsid w:val="00FD7A48"/>
    <w:rsid w:val="00FD7ABE"/>
    <w:rsid w:val="00FD7B38"/>
    <w:rsid w:val="00FD7B58"/>
    <w:rsid w:val="00FE033F"/>
    <w:rsid w:val="00FE0351"/>
    <w:rsid w:val="00FE03EF"/>
    <w:rsid w:val="00FE0987"/>
    <w:rsid w:val="00FE1303"/>
    <w:rsid w:val="00FE137C"/>
    <w:rsid w:val="00FE1AB7"/>
    <w:rsid w:val="00FE1CC2"/>
    <w:rsid w:val="00FE214A"/>
    <w:rsid w:val="00FE21D1"/>
    <w:rsid w:val="00FE223A"/>
    <w:rsid w:val="00FE236C"/>
    <w:rsid w:val="00FE2A43"/>
    <w:rsid w:val="00FE3B3C"/>
    <w:rsid w:val="00FE3DB2"/>
    <w:rsid w:val="00FE41CA"/>
    <w:rsid w:val="00FE4A34"/>
    <w:rsid w:val="00FE4A36"/>
    <w:rsid w:val="00FE52A5"/>
    <w:rsid w:val="00FE5440"/>
    <w:rsid w:val="00FE5AD4"/>
    <w:rsid w:val="00FE5DCB"/>
    <w:rsid w:val="00FE66DF"/>
    <w:rsid w:val="00FE6BF5"/>
    <w:rsid w:val="00FE6E8D"/>
    <w:rsid w:val="00FE73E3"/>
    <w:rsid w:val="00FE781E"/>
    <w:rsid w:val="00FE7E00"/>
    <w:rsid w:val="00FF02B4"/>
    <w:rsid w:val="00FF08CB"/>
    <w:rsid w:val="00FF0C6C"/>
    <w:rsid w:val="00FF0D49"/>
    <w:rsid w:val="00FF106F"/>
    <w:rsid w:val="00FF1229"/>
    <w:rsid w:val="00FF14D3"/>
    <w:rsid w:val="00FF18F0"/>
    <w:rsid w:val="00FF20DC"/>
    <w:rsid w:val="00FF2588"/>
    <w:rsid w:val="00FF283C"/>
    <w:rsid w:val="00FF2AE0"/>
    <w:rsid w:val="00FF2B5F"/>
    <w:rsid w:val="00FF3022"/>
    <w:rsid w:val="00FF32FC"/>
    <w:rsid w:val="00FF407F"/>
    <w:rsid w:val="00FF42A1"/>
    <w:rsid w:val="00FF4373"/>
    <w:rsid w:val="00FF475A"/>
    <w:rsid w:val="00FF4964"/>
    <w:rsid w:val="00FF4BB1"/>
    <w:rsid w:val="00FF4D17"/>
    <w:rsid w:val="00FF4F28"/>
    <w:rsid w:val="00FF53D5"/>
    <w:rsid w:val="00FF575C"/>
    <w:rsid w:val="00FF58A8"/>
    <w:rsid w:val="00FF5958"/>
    <w:rsid w:val="00FF5ABC"/>
    <w:rsid w:val="00FF5B70"/>
    <w:rsid w:val="00FF5BB9"/>
    <w:rsid w:val="00FF5DFD"/>
    <w:rsid w:val="00FF60F4"/>
    <w:rsid w:val="00FF61BE"/>
    <w:rsid w:val="00FF6243"/>
    <w:rsid w:val="00FF6337"/>
    <w:rsid w:val="00FF633C"/>
    <w:rsid w:val="00FF6567"/>
    <w:rsid w:val="00FF665F"/>
    <w:rsid w:val="00FF6CA0"/>
    <w:rsid w:val="00FF6E16"/>
    <w:rsid w:val="00FF6E45"/>
    <w:rsid w:val="00FF6EBA"/>
    <w:rsid w:val="00FF7228"/>
    <w:rsid w:val="00FF74BF"/>
    <w:rsid w:val="00FF75B0"/>
    <w:rsid w:val="00FF7819"/>
    <w:rsid w:val="00FF7C86"/>
    <w:rsid w:val="0137BBF5"/>
    <w:rsid w:val="01499D22"/>
    <w:rsid w:val="018BA5AB"/>
    <w:rsid w:val="0192D7A8"/>
    <w:rsid w:val="01C509B4"/>
    <w:rsid w:val="02B5A74D"/>
    <w:rsid w:val="02ED3CE5"/>
    <w:rsid w:val="037C1296"/>
    <w:rsid w:val="0410AB11"/>
    <w:rsid w:val="045394F3"/>
    <w:rsid w:val="045CA58B"/>
    <w:rsid w:val="04A25737"/>
    <w:rsid w:val="04CFF5E2"/>
    <w:rsid w:val="04FF2446"/>
    <w:rsid w:val="0509A8DC"/>
    <w:rsid w:val="053E71F7"/>
    <w:rsid w:val="054E1D10"/>
    <w:rsid w:val="0559DABF"/>
    <w:rsid w:val="059B43B8"/>
    <w:rsid w:val="06051A25"/>
    <w:rsid w:val="06633704"/>
    <w:rsid w:val="06861E5E"/>
    <w:rsid w:val="06D6E951"/>
    <w:rsid w:val="06F4374F"/>
    <w:rsid w:val="07AB7716"/>
    <w:rsid w:val="081CB8DD"/>
    <w:rsid w:val="083F5DA7"/>
    <w:rsid w:val="08771613"/>
    <w:rsid w:val="08A9CF56"/>
    <w:rsid w:val="0905B18E"/>
    <w:rsid w:val="0923B809"/>
    <w:rsid w:val="09823164"/>
    <w:rsid w:val="09A1B203"/>
    <w:rsid w:val="09D29569"/>
    <w:rsid w:val="0A30109A"/>
    <w:rsid w:val="0A8051D2"/>
    <w:rsid w:val="0A85A9B2"/>
    <w:rsid w:val="0ADF80B9"/>
    <w:rsid w:val="0AEE7390"/>
    <w:rsid w:val="0B00329B"/>
    <w:rsid w:val="0B1DA774"/>
    <w:rsid w:val="0B580702"/>
    <w:rsid w:val="0B5B9FAE"/>
    <w:rsid w:val="0B610F78"/>
    <w:rsid w:val="0B6FE416"/>
    <w:rsid w:val="0BB5608C"/>
    <w:rsid w:val="0BCFE964"/>
    <w:rsid w:val="0C97B5D5"/>
    <w:rsid w:val="0C9D951C"/>
    <w:rsid w:val="0CCDB5DD"/>
    <w:rsid w:val="0CD56C89"/>
    <w:rsid w:val="0CE1C628"/>
    <w:rsid w:val="0D4CC7F2"/>
    <w:rsid w:val="0DA0DE00"/>
    <w:rsid w:val="0DBCD7B7"/>
    <w:rsid w:val="0DE03998"/>
    <w:rsid w:val="0E4DD40E"/>
    <w:rsid w:val="0E68FB02"/>
    <w:rsid w:val="0F0E87A6"/>
    <w:rsid w:val="0F3E5B5E"/>
    <w:rsid w:val="0F703094"/>
    <w:rsid w:val="0F8861AA"/>
    <w:rsid w:val="10D156DD"/>
    <w:rsid w:val="10E60FD5"/>
    <w:rsid w:val="112495F8"/>
    <w:rsid w:val="114FC89D"/>
    <w:rsid w:val="119210A9"/>
    <w:rsid w:val="12142AFB"/>
    <w:rsid w:val="125DDA3E"/>
    <w:rsid w:val="12A72F46"/>
    <w:rsid w:val="13191CD7"/>
    <w:rsid w:val="132BE38D"/>
    <w:rsid w:val="13AB6988"/>
    <w:rsid w:val="13AEF2FC"/>
    <w:rsid w:val="13EDC416"/>
    <w:rsid w:val="141FC425"/>
    <w:rsid w:val="14768321"/>
    <w:rsid w:val="14ED9341"/>
    <w:rsid w:val="151B071F"/>
    <w:rsid w:val="160BEBBE"/>
    <w:rsid w:val="1696147A"/>
    <w:rsid w:val="16C7C0A8"/>
    <w:rsid w:val="16FBC158"/>
    <w:rsid w:val="174BF2CA"/>
    <w:rsid w:val="1775E698"/>
    <w:rsid w:val="17D4705F"/>
    <w:rsid w:val="1844EAEB"/>
    <w:rsid w:val="185ABA61"/>
    <w:rsid w:val="18C821BF"/>
    <w:rsid w:val="18D8A7B0"/>
    <w:rsid w:val="1915947C"/>
    <w:rsid w:val="192A80A3"/>
    <w:rsid w:val="192CB865"/>
    <w:rsid w:val="19B15FEA"/>
    <w:rsid w:val="1A1E820A"/>
    <w:rsid w:val="1A2A3714"/>
    <w:rsid w:val="1A88FB8B"/>
    <w:rsid w:val="1B1EBADA"/>
    <w:rsid w:val="1B72C72D"/>
    <w:rsid w:val="1BD4641A"/>
    <w:rsid w:val="1C007766"/>
    <w:rsid w:val="1C2EDC26"/>
    <w:rsid w:val="1C67FC73"/>
    <w:rsid w:val="1C6802B4"/>
    <w:rsid w:val="1C704AE0"/>
    <w:rsid w:val="1DDEFBBE"/>
    <w:rsid w:val="1DFBA0F7"/>
    <w:rsid w:val="1E3E1B75"/>
    <w:rsid w:val="1E93321A"/>
    <w:rsid w:val="1EDADE80"/>
    <w:rsid w:val="1EEBD6E2"/>
    <w:rsid w:val="1EF629C4"/>
    <w:rsid w:val="1EFADC69"/>
    <w:rsid w:val="1F0C35F9"/>
    <w:rsid w:val="1F0FB907"/>
    <w:rsid w:val="1F392236"/>
    <w:rsid w:val="200EFEE6"/>
    <w:rsid w:val="200FA163"/>
    <w:rsid w:val="20163640"/>
    <w:rsid w:val="20730673"/>
    <w:rsid w:val="208FBCDC"/>
    <w:rsid w:val="20F5C48E"/>
    <w:rsid w:val="215AA915"/>
    <w:rsid w:val="215D43FE"/>
    <w:rsid w:val="21836634"/>
    <w:rsid w:val="21E5812C"/>
    <w:rsid w:val="22956E98"/>
    <w:rsid w:val="2297E8AA"/>
    <w:rsid w:val="22BF0418"/>
    <w:rsid w:val="22F1B0EF"/>
    <w:rsid w:val="231B09B2"/>
    <w:rsid w:val="2321CF2F"/>
    <w:rsid w:val="2367A1EC"/>
    <w:rsid w:val="238A5856"/>
    <w:rsid w:val="23CA2BFA"/>
    <w:rsid w:val="2492CA7F"/>
    <w:rsid w:val="2498016E"/>
    <w:rsid w:val="24D65340"/>
    <w:rsid w:val="252CF76C"/>
    <w:rsid w:val="2568D9A5"/>
    <w:rsid w:val="25D97CBD"/>
    <w:rsid w:val="25F6674A"/>
    <w:rsid w:val="25FF3D85"/>
    <w:rsid w:val="266DF4AB"/>
    <w:rsid w:val="269514BA"/>
    <w:rsid w:val="26A76990"/>
    <w:rsid w:val="26E5675E"/>
    <w:rsid w:val="26F9389F"/>
    <w:rsid w:val="271CCD84"/>
    <w:rsid w:val="2780F8D5"/>
    <w:rsid w:val="279E8A2B"/>
    <w:rsid w:val="27AEFB65"/>
    <w:rsid w:val="2865942F"/>
    <w:rsid w:val="28D4CA32"/>
    <w:rsid w:val="297329B2"/>
    <w:rsid w:val="2A0385DA"/>
    <w:rsid w:val="2A07D13A"/>
    <w:rsid w:val="2A4A6194"/>
    <w:rsid w:val="2A5BEAE7"/>
    <w:rsid w:val="2A677DEC"/>
    <w:rsid w:val="2BB9AF9D"/>
    <w:rsid w:val="2BD37A5E"/>
    <w:rsid w:val="2D1C2686"/>
    <w:rsid w:val="2D690AE7"/>
    <w:rsid w:val="2DB7B342"/>
    <w:rsid w:val="2E43ECAA"/>
    <w:rsid w:val="2E48A42D"/>
    <w:rsid w:val="2E62F604"/>
    <w:rsid w:val="2E8A6E50"/>
    <w:rsid w:val="2EAAC66F"/>
    <w:rsid w:val="2EF0E7E8"/>
    <w:rsid w:val="2EFD4D3C"/>
    <w:rsid w:val="2F5B98B1"/>
    <w:rsid w:val="2FF0D22A"/>
    <w:rsid w:val="309768C3"/>
    <w:rsid w:val="31B96393"/>
    <w:rsid w:val="31DCE21A"/>
    <w:rsid w:val="32293343"/>
    <w:rsid w:val="329579E2"/>
    <w:rsid w:val="32CA3228"/>
    <w:rsid w:val="32E520FD"/>
    <w:rsid w:val="331FC7C7"/>
    <w:rsid w:val="3330C9A1"/>
    <w:rsid w:val="337DAA6B"/>
    <w:rsid w:val="33D5BCB5"/>
    <w:rsid w:val="33EE6035"/>
    <w:rsid w:val="33F1CBB8"/>
    <w:rsid w:val="33FD4134"/>
    <w:rsid w:val="341C7FC6"/>
    <w:rsid w:val="342D70B6"/>
    <w:rsid w:val="344964A7"/>
    <w:rsid w:val="346D0D07"/>
    <w:rsid w:val="350668BB"/>
    <w:rsid w:val="3575C8A9"/>
    <w:rsid w:val="35A45746"/>
    <w:rsid w:val="35EB5CD0"/>
    <w:rsid w:val="35FA817E"/>
    <w:rsid w:val="361CE327"/>
    <w:rsid w:val="3639DE54"/>
    <w:rsid w:val="36E97C22"/>
    <w:rsid w:val="37188100"/>
    <w:rsid w:val="3724E679"/>
    <w:rsid w:val="37A7DF30"/>
    <w:rsid w:val="37C41701"/>
    <w:rsid w:val="38522D59"/>
    <w:rsid w:val="388D59D1"/>
    <w:rsid w:val="38952F2D"/>
    <w:rsid w:val="38BFD034"/>
    <w:rsid w:val="38E2A1E2"/>
    <w:rsid w:val="38E4CA38"/>
    <w:rsid w:val="39C949D3"/>
    <w:rsid w:val="3A5532A0"/>
    <w:rsid w:val="3AA54AB0"/>
    <w:rsid w:val="3AD642DF"/>
    <w:rsid w:val="3AD7AAC6"/>
    <w:rsid w:val="3B11B652"/>
    <w:rsid w:val="3B1C3459"/>
    <w:rsid w:val="3B34D0B0"/>
    <w:rsid w:val="3B7CCAE3"/>
    <w:rsid w:val="3BC87B0B"/>
    <w:rsid w:val="3C249699"/>
    <w:rsid w:val="3D3D9E2C"/>
    <w:rsid w:val="3D54BDC9"/>
    <w:rsid w:val="3D838425"/>
    <w:rsid w:val="3DA5E921"/>
    <w:rsid w:val="3DCB29E5"/>
    <w:rsid w:val="3DD58687"/>
    <w:rsid w:val="3DDF9570"/>
    <w:rsid w:val="3E25018C"/>
    <w:rsid w:val="3E950976"/>
    <w:rsid w:val="3EA70396"/>
    <w:rsid w:val="3F315739"/>
    <w:rsid w:val="3FB29BA7"/>
    <w:rsid w:val="3FDAF2BC"/>
    <w:rsid w:val="3FF02B77"/>
    <w:rsid w:val="408CE8E0"/>
    <w:rsid w:val="40CB79A6"/>
    <w:rsid w:val="40CE17B5"/>
    <w:rsid w:val="4113D41C"/>
    <w:rsid w:val="41969F06"/>
    <w:rsid w:val="42AD53C5"/>
    <w:rsid w:val="432EFBB1"/>
    <w:rsid w:val="4349D7AB"/>
    <w:rsid w:val="43738396"/>
    <w:rsid w:val="437F956A"/>
    <w:rsid w:val="43A61FF9"/>
    <w:rsid w:val="43E1E15C"/>
    <w:rsid w:val="44122940"/>
    <w:rsid w:val="4462FA75"/>
    <w:rsid w:val="44B0E03A"/>
    <w:rsid w:val="44CF4419"/>
    <w:rsid w:val="44CF8ECC"/>
    <w:rsid w:val="45441BB2"/>
    <w:rsid w:val="4556C983"/>
    <w:rsid w:val="455D6489"/>
    <w:rsid w:val="45C11FD2"/>
    <w:rsid w:val="45F202B3"/>
    <w:rsid w:val="45F6A992"/>
    <w:rsid w:val="45FF712A"/>
    <w:rsid w:val="46430BA0"/>
    <w:rsid w:val="464B9824"/>
    <w:rsid w:val="46E557D7"/>
    <w:rsid w:val="47761C9A"/>
    <w:rsid w:val="47D768A7"/>
    <w:rsid w:val="47F2660E"/>
    <w:rsid w:val="486E712F"/>
    <w:rsid w:val="48792D35"/>
    <w:rsid w:val="48C87F23"/>
    <w:rsid w:val="4982ED15"/>
    <w:rsid w:val="49A7DD55"/>
    <w:rsid w:val="4A1AAB46"/>
    <w:rsid w:val="4A4BA09A"/>
    <w:rsid w:val="4A6AA9A2"/>
    <w:rsid w:val="4A8A3355"/>
    <w:rsid w:val="4B38BDED"/>
    <w:rsid w:val="4B465F9A"/>
    <w:rsid w:val="4B6B0471"/>
    <w:rsid w:val="4B90732E"/>
    <w:rsid w:val="4BCE2A7E"/>
    <w:rsid w:val="4C222A30"/>
    <w:rsid w:val="4C39F0CC"/>
    <w:rsid w:val="4C3CE572"/>
    <w:rsid w:val="4C5A7B71"/>
    <w:rsid w:val="4C9939FF"/>
    <w:rsid w:val="4CB47D6B"/>
    <w:rsid w:val="4CD5D5A8"/>
    <w:rsid w:val="4DCB1B67"/>
    <w:rsid w:val="4E25B1BF"/>
    <w:rsid w:val="4E4A8BBD"/>
    <w:rsid w:val="4E59C427"/>
    <w:rsid w:val="4E758598"/>
    <w:rsid w:val="4EB104CE"/>
    <w:rsid w:val="4EEE8BCB"/>
    <w:rsid w:val="4F163B6A"/>
    <w:rsid w:val="4F2EF725"/>
    <w:rsid w:val="4F3BF217"/>
    <w:rsid w:val="4F3C8DBD"/>
    <w:rsid w:val="4F67154D"/>
    <w:rsid w:val="4FC0D35E"/>
    <w:rsid w:val="4FD69F04"/>
    <w:rsid w:val="50178070"/>
    <w:rsid w:val="506CA0BF"/>
    <w:rsid w:val="511FBDBB"/>
    <w:rsid w:val="5167A1A2"/>
    <w:rsid w:val="51CE8DD4"/>
    <w:rsid w:val="521034F3"/>
    <w:rsid w:val="525950F9"/>
    <w:rsid w:val="5332510F"/>
    <w:rsid w:val="536C42E2"/>
    <w:rsid w:val="537084C6"/>
    <w:rsid w:val="53B028A1"/>
    <w:rsid w:val="540E06B2"/>
    <w:rsid w:val="549E8ADB"/>
    <w:rsid w:val="54A0E17C"/>
    <w:rsid w:val="54BDB421"/>
    <w:rsid w:val="54F86816"/>
    <w:rsid w:val="5577BC29"/>
    <w:rsid w:val="55BC15B1"/>
    <w:rsid w:val="55D4B018"/>
    <w:rsid w:val="56374857"/>
    <w:rsid w:val="56D26E96"/>
    <w:rsid w:val="56E59E54"/>
    <w:rsid w:val="5736544B"/>
    <w:rsid w:val="57369EAD"/>
    <w:rsid w:val="57393A4C"/>
    <w:rsid w:val="5768039B"/>
    <w:rsid w:val="578D31C6"/>
    <w:rsid w:val="5855F546"/>
    <w:rsid w:val="588714E1"/>
    <w:rsid w:val="58891B86"/>
    <w:rsid w:val="590132A2"/>
    <w:rsid w:val="590D115E"/>
    <w:rsid w:val="5945E1D9"/>
    <w:rsid w:val="599C4BBB"/>
    <w:rsid w:val="59D31B9F"/>
    <w:rsid w:val="59D6A1D6"/>
    <w:rsid w:val="5A7C366F"/>
    <w:rsid w:val="5A909382"/>
    <w:rsid w:val="5ACA3356"/>
    <w:rsid w:val="5AFC35CC"/>
    <w:rsid w:val="5BF86BA1"/>
    <w:rsid w:val="5C7A8A53"/>
    <w:rsid w:val="5C89FC2E"/>
    <w:rsid w:val="5CF0555B"/>
    <w:rsid w:val="5D2CEABA"/>
    <w:rsid w:val="5DFD7362"/>
    <w:rsid w:val="5E040901"/>
    <w:rsid w:val="5E5AE5D8"/>
    <w:rsid w:val="5E6DE3CE"/>
    <w:rsid w:val="5ED3BDF4"/>
    <w:rsid w:val="5ED62F40"/>
    <w:rsid w:val="5F0DA3FC"/>
    <w:rsid w:val="5F404682"/>
    <w:rsid w:val="5F5149FE"/>
    <w:rsid w:val="5F53CF63"/>
    <w:rsid w:val="5FF6D1FA"/>
    <w:rsid w:val="60273F0C"/>
    <w:rsid w:val="603D2B62"/>
    <w:rsid w:val="60442291"/>
    <w:rsid w:val="6047F95B"/>
    <w:rsid w:val="60A346CC"/>
    <w:rsid w:val="61AC9A13"/>
    <w:rsid w:val="62967C2E"/>
    <w:rsid w:val="631E7952"/>
    <w:rsid w:val="633453C7"/>
    <w:rsid w:val="636EC1A2"/>
    <w:rsid w:val="6440D072"/>
    <w:rsid w:val="64A32F9D"/>
    <w:rsid w:val="64B195F3"/>
    <w:rsid w:val="652D1484"/>
    <w:rsid w:val="65E2465B"/>
    <w:rsid w:val="6624954D"/>
    <w:rsid w:val="6631230A"/>
    <w:rsid w:val="668B477E"/>
    <w:rsid w:val="669045A0"/>
    <w:rsid w:val="669475FB"/>
    <w:rsid w:val="66EDC468"/>
    <w:rsid w:val="670DD049"/>
    <w:rsid w:val="6727C2FC"/>
    <w:rsid w:val="67304453"/>
    <w:rsid w:val="67631C44"/>
    <w:rsid w:val="67656FF5"/>
    <w:rsid w:val="67734B34"/>
    <w:rsid w:val="6775BA14"/>
    <w:rsid w:val="68408514"/>
    <w:rsid w:val="68EB9920"/>
    <w:rsid w:val="69751111"/>
    <w:rsid w:val="6A3F79D7"/>
    <w:rsid w:val="6A42A2B6"/>
    <w:rsid w:val="6AC69E44"/>
    <w:rsid w:val="6AF95B81"/>
    <w:rsid w:val="6B85ADC3"/>
    <w:rsid w:val="6B9395A3"/>
    <w:rsid w:val="6BC756A2"/>
    <w:rsid w:val="6C220B46"/>
    <w:rsid w:val="6C3FCF14"/>
    <w:rsid w:val="6D6EA80A"/>
    <w:rsid w:val="6DCAF3EE"/>
    <w:rsid w:val="6E264698"/>
    <w:rsid w:val="6E4DCB6A"/>
    <w:rsid w:val="6EDA371E"/>
    <w:rsid w:val="6EEA0FD3"/>
    <w:rsid w:val="6F0B8579"/>
    <w:rsid w:val="6F781FA0"/>
    <w:rsid w:val="70611F50"/>
    <w:rsid w:val="7068D9B6"/>
    <w:rsid w:val="709646E6"/>
    <w:rsid w:val="710702C6"/>
    <w:rsid w:val="71214F4D"/>
    <w:rsid w:val="71469254"/>
    <w:rsid w:val="714BF4C1"/>
    <w:rsid w:val="726FFB36"/>
    <w:rsid w:val="72957229"/>
    <w:rsid w:val="73C763D0"/>
    <w:rsid w:val="73D53E6E"/>
    <w:rsid w:val="73D70401"/>
    <w:rsid w:val="73FCB3EE"/>
    <w:rsid w:val="746B87E8"/>
    <w:rsid w:val="74A6C896"/>
    <w:rsid w:val="74BC2037"/>
    <w:rsid w:val="758D6D56"/>
    <w:rsid w:val="75CC58F7"/>
    <w:rsid w:val="765E5FD1"/>
    <w:rsid w:val="7757E1EB"/>
    <w:rsid w:val="77975317"/>
    <w:rsid w:val="77BBF6DE"/>
    <w:rsid w:val="77EBD41D"/>
    <w:rsid w:val="7825954D"/>
    <w:rsid w:val="7841E92E"/>
    <w:rsid w:val="787EE893"/>
    <w:rsid w:val="78A17680"/>
    <w:rsid w:val="78BA692C"/>
    <w:rsid w:val="78CEC46D"/>
    <w:rsid w:val="79AA9773"/>
    <w:rsid w:val="79B80727"/>
    <w:rsid w:val="7A0587D6"/>
    <w:rsid w:val="7A395434"/>
    <w:rsid w:val="7B48AA24"/>
    <w:rsid w:val="7BE16E7A"/>
    <w:rsid w:val="7C6AB6C3"/>
    <w:rsid w:val="7C7521C9"/>
    <w:rsid w:val="7C9E5CF8"/>
    <w:rsid w:val="7D1A72C1"/>
    <w:rsid w:val="7DA5F4AE"/>
    <w:rsid w:val="7DC4F324"/>
    <w:rsid w:val="7DD126D0"/>
    <w:rsid w:val="7DD340E7"/>
    <w:rsid w:val="7E3F05F0"/>
    <w:rsid w:val="7E431644"/>
    <w:rsid w:val="7E5D60E9"/>
    <w:rsid w:val="7EA67B68"/>
    <w:rsid w:val="7F470DDD"/>
    <w:rsid w:val="7F67C4CE"/>
    <w:rsid w:val="7FACF849"/>
    <w:rsid w:val="7FE0CBE6"/>
    <w:rsid w:val="7FE908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BBB4C5"/>
  <w15:docId w15:val="{14CDCEF8-0038-4F0C-AB97-979A8805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F19"/>
    <w:pPr>
      <w:spacing w:after="200" w:line="276" w:lineRule="auto"/>
    </w:pPr>
  </w:style>
  <w:style w:type="paragraph" w:styleId="Heading1">
    <w:name w:val="heading 1"/>
    <w:basedOn w:val="Normal"/>
    <w:next w:val="Normal"/>
    <w:link w:val="Heading1Char"/>
    <w:uiPriority w:val="9"/>
    <w:qFormat/>
    <w:rsid w:val="005B0984"/>
    <w:pPr>
      <w:keepNext/>
      <w:keepLines/>
      <w:numPr>
        <w:numId w:val="33"/>
      </w:numPr>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B0984"/>
    <w:pPr>
      <w:keepNext/>
      <w:keepLines/>
      <w:numPr>
        <w:ilvl w:val="1"/>
        <w:numId w:val="33"/>
      </w:numPr>
      <w:spacing w:before="240" w:after="0"/>
      <w:outlineLvl w:val="1"/>
    </w:pPr>
    <w:rPr>
      <w:rFonts w:ascii="Calibri" w:eastAsiaTheme="majorEastAsia" w:hAnsi="Calibri" w:cstheme="majorBidi"/>
      <w:b/>
      <w:color w:val="5D7A38"/>
      <w:sz w:val="30"/>
      <w:szCs w:val="26"/>
    </w:rPr>
  </w:style>
  <w:style w:type="paragraph" w:styleId="Heading3">
    <w:name w:val="heading 3"/>
    <w:basedOn w:val="Normal"/>
    <w:next w:val="Normal"/>
    <w:link w:val="Heading3Char"/>
    <w:uiPriority w:val="9"/>
    <w:unhideWhenUsed/>
    <w:qFormat/>
    <w:rsid w:val="005B0984"/>
    <w:pPr>
      <w:keepNext/>
      <w:keepLines/>
      <w:numPr>
        <w:ilvl w:val="2"/>
        <w:numId w:val="33"/>
      </w:numPr>
      <w:spacing w:before="240" w:after="0"/>
      <w:outlineLvl w:val="2"/>
    </w:pPr>
    <w:rPr>
      <w:rFonts w:ascii="Calibri" w:eastAsiaTheme="majorEastAsia" w:hAnsi="Calibri" w:cstheme="majorBidi"/>
      <w:color w:val="7A9F4C"/>
      <w:sz w:val="28"/>
      <w:szCs w:val="24"/>
    </w:rPr>
  </w:style>
  <w:style w:type="paragraph" w:styleId="Heading4">
    <w:name w:val="heading 4"/>
    <w:basedOn w:val="Normal"/>
    <w:next w:val="Normal"/>
    <w:link w:val="Heading4Char"/>
    <w:uiPriority w:val="9"/>
    <w:unhideWhenUsed/>
    <w:qFormat/>
    <w:rsid w:val="00F51C18"/>
    <w:pPr>
      <w:keepNext/>
      <w:keepLines/>
      <w:numPr>
        <w:ilvl w:val="3"/>
        <w:numId w:val="33"/>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numPr>
        <w:ilvl w:val="4"/>
        <w:numId w:val="33"/>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numPr>
        <w:ilvl w:val="5"/>
        <w:numId w:val="33"/>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CC7101"/>
    <w:pPr>
      <w:keepNext/>
      <w:keepLines/>
      <w:numPr>
        <w:ilvl w:val="6"/>
        <w:numId w:val="33"/>
      </w:numPr>
      <w:spacing w:before="40" w:after="0" w:line="240" w:lineRule="auto"/>
      <w:outlineLvl w:val="6"/>
    </w:pPr>
    <w:rPr>
      <w:rFonts w:ascii="Arial" w:eastAsiaTheme="majorEastAsia" w:hAnsi="Arial" w:cs="Arial"/>
      <w:i/>
      <w:iCs/>
      <w:color w:val="1F688D"/>
      <w:sz w:val="20"/>
    </w:rPr>
  </w:style>
  <w:style w:type="paragraph" w:styleId="Heading8">
    <w:name w:val="heading 8"/>
    <w:basedOn w:val="Normal"/>
    <w:next w:val="Normal"/>
    <w:link w:val="Heading8Char"/>
    <w:uiPriority w:val="9"/>
    <w:semiHidden/>
    <w:unhideWhenUsed/>
    <w:qFormat/>
    <w:rsid w:val="00D86F94"/>
    <w:pPr>
      <w:keepNext/>
      <w:keepLines/>
      <w:numPr>
        <w:ilvl w:val="7"/>
        <w:numId w:val="3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6F94"/>
    <w:pPr>
      <w:keepNext/>
      <w:keepLines/>
      <w:numPr>
        <w:ilvl w:val="8"/>
        <w:numId w:val="3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6E41FD"/>
    <w:rPr>
      <w:rFonts w:ascii="Calibri" w:eastAsiaTheme="majorEastAsia" w:hAnsi="Calibri" w:cstheme="majorBidi"/>
      <w:b/>
      <w:color w:val="5D7A38"/>
      <w:sz w:val="30"/>
      <w:szCs w:val="26"/>
    </w:rPr>
  </w:style>
  <w:style w:type="character" w:customStyle="1" w:styleId="Heading3Char">
    <w:name w:val="Heading 3 Char"/>
    <w:basedOn w:val="DefaultParagraphFont"/>
    <w:link w:val="Heading3"/>
    <w:uiPriority w:val="9"/>
    <w:rsid w:val="00C9255C"/>
    <w:rPr>
      <w:rFonts w:ascii="Calibri" w:eastAsiaTheme="majorEastAsia" w:hAnsi="Calibri" w:cstheme="majorBidi"/>
      <w:color w:val="7A9F4C"/>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aliases w:val="SRC 2"/>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Figure,Caption table"/>
    <w:basedOn w:val="Normal"/>
    <w:next w:val="Normal"/>
    <w:link w:val="CaptionChar"/>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B70654"/>
    <w:pPr>
      <w:spacing w:before="200" w:after="160"/>
      <w:ind w:left="567" w:right="521"/>
    </w:pPr>
    <w:rPr>
      <w:iCs/>
      <w:color w:val="595959" w:themeColor="text1" w:themeTint="A6"/>
      <w:lang w:eastAsia="en-AU"/>
    </w:rPr>
  </w:style>
  <w:style w:type="character" w:customStyle="1" w:styleId="QuoteChar">
    <w:name w:val="Quote Char"/>
    <w:basedOn w:val="DefaultParagraphFont"/>
    <w:link w:val="Quote"/>
    <w:uiPriority w:val="29"/>
    <w:rsid w:val="00B70654"/>
    <w:rPr>
      <w:iCs/>
      <w:color w:val="595959" w:themeColor="text1" w:themeTint="A6"/>
      <w:lang w:eastAsia="en-AU"/>
    </w:rPr>
  </w:style>
  <w:style w:type="paragraph" w:customStyle="1" w:styleId="Source">
    <w:name w:val="Source"/>
    <w:basedOn w:val="Normal"/>
    <w:uiPriority w:val="17"/>
    <w:rsid w:val="00FB3080"/>
    <w:pPr>
      <w:spacing w:after="0"/>
    </w:pPr>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Recommendation,List Paragraph1,List Paragraph11,L,Bullet Point,Bullet points,Content descriptions,Body Bullets 1,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Bullet2"/>
    <w:link w:val="ListBulletChar"/>
    <w:uiPriority w:val="99"/>
    <w:unhideWhenUsed/>
    <w:rsid w:val="00456C86"/>
    <w:rPr>
      <w:lang w:eastAsia="en-AU"/>
    </w:rPr>
  </w:style>
  <w:style w:type="paragraph" w:styleId="List">
    <w:name w:val="List"/>
    <w:basedOn w:val="ListBullet"/>
    <w:uiPriority w:val="99"/>
    <w:unhideWhenUsed/>
    <w:qFormat/>
    <w:rsid w:val="00A56FC7"/>
    <w:pPr>
      <w:numPr>
        <w:numId w:val="0"/>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A6102E"/>
    <w:pPr>
      <w:tabs>
        <w:tab w:val="right"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8B2565"/>
    <w:pPr>
      <w:tabs>
        <w:tab w:val="right" w:pos="9016"/>
      </w:tabs>
      <w:spacing w:after="100"/>
    </w:pPr>
    <w:rPr>
      <w:b/>
    </w:rPr>
  </w:style>
  <w:style w:type="paragraph" w:styleId="TOC2">
    <w:name w:val="toc 2"/>
    <w:basedOn w:val="Normal"/>
    <w:next w:val="Normal"/>
    <w:link w:val="TOC2Char"/>
    <w:autoRedefine/>
    <w:uiPriority w:val="39"/>
    <w:unhideWhenUsed/>
    <w:rsid w:val="008B2565"/>
    <w:pPr>
      <w:tabs>
        <w:tab w:val="left" w:pos="880"/>
        <w:tab w:val="right" w:pos="9016"/>
      </w:tabs>
      <w:spacing w:after="100"/>
      <w:ind w:left="220"/>
    </w:pPr>
  </w:style>
  <w:style w:type="paragraph" w:styleId="TOC3">
    <w:name w:val="toc 3"/>
    <w:basedOn w:val="Normal"/>
    <w:next w:val="Normal"/>
    <w:autoRedefine/>
    <w:uiPriority w:val="39"/>
    <w:unhideWhenUsed/>
    <w:rsid w:val="008B2565"/>
    <w:pPr>
      <w:tabs>
        <w:tab w:val="left" w:pos="1320"/>
        <w:tab w:val="right" w:pos="9016"/>
      </w:tabs>
      <w:spacing w:after="100"/>
      <w:ind w:left="440"/>
    </w:pPr>
  </w:style>
  <w:style w:type="paragraph" w:styleId="TOCHeading">
    <w:name w:val="TOC Heading"/>
    <w:basedOn w:val="Heading1"/>
    <w:next w:val="Normal"/>
    <w:uiPriority w:val="39"/>
    <w:unhideWhenUsed/>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3"/>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table" w:styleId="LightList-Accent1">
    <w:name w:val="Light List Accent 1"/>
    <w:basedOn w:val="TableNormal"/>
    <w:uiPriority w:val="61"/>
    <w:rsid w:val="004F65DA"/>
    <w:pPr>
      <w:spacing w:after="0" w:line="240" w:lineRule="auto"/>
    </w:p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blStylePr w:type="firstRow">
      <w:pPr>
        <w:spacing w:before="0" w:after="0" w:line="240" w:lineRule="auto"/>
      </w:pPr>
      <w:rPr>
        <w:b/>
        <w:bCs/>
        <w:color w:val="FFFFFF" w:themeColor="background1"/>
      </w:rPr>
      <w:tblPr/>
      <w:tcPr>
        <w:shd w:val="clear" w:color="auto" w:fill="002D3F" w:themeFill="accent1"/>
      </w:tcPr>
    </w:tblStylePr>
    <w:tblStylePr w:type="lastRow">
      <w:pPr>
        <w:spacing w:before="0" w:after="0" w:line="240" w:lineRule="auto"/>
      </w:pPr>
      <w:rPr>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tcBorders>
      </w:tcPr>
    </w:tblStylePr>
    <w:tblStylePr w:type="firstCol">
      <w:rPr>
        <w:b/>
        <w:bCs/>
      </w:rPr>
    </w:tblStylePr>
    <w:tblStylePr w:type="lastCol">
      <w:rPr>
        <w:b/>
        <w:bCs/>
      </w:r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iPriority w:val="99"/>
    <w:unhideWhenUsed/>
    <w:qFormat/>
    <w:rsid w:val="00000C8E"/>
    <w:pPr>
      <w:spacing w:after="0" w:line="240" w:lineRule="auto"/>
    </w:pPr>
    <w:rPr>
      <w:sz w:val="20"/>
      <w:szCs w:val="20"/>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uiPriority w:val="99"/>
    <w:rsid w:val="00000C8E"/>
    <w:rPr>
      <w:sz w:val="20"/>
      <w:szCs w:val="20"/>
    </w:rPr>
  </w:style>
  <w:style w:type="character" w:styleId="FootnoteReference">
    <w:name w:val="footnote reference"/>
    <w:aliases w:val="AFPC Footnote Reference,AFPC Footnote Reference1"/>
    <w:basedOn w:val="DefaultParagraphFont"/>
    <w:uiPriority w:val="99"/>
    <w:unhideWhenUsed/>
    <w:qFormat/>
    <w:rsid w:val="00000C8E"/>
    <w:rPr>
      <w:vertAlign w:val="superscript"/>
    </w:rPr>
  </w:style>
  <w:style w:type="paragraph" w:customStyle="1" w:styleId="Body">
    <w:name w:val="Body"/>
    <w:basedOn w:val="Normal"/>
    <w:link w:val="BodyChar"/>
    <w:qFormat/>
    <w:rsid w:val="000067B5"/>
    <w:pPr>
      <w:spacing w:before="120" w:after="120" w:line="252" w:lineRule="auto"/>
      <w:jc w:val="both"/>
    </w:pPr>
  </w:style>
  <w:style w:type="character" w:customStyle="1" w:styleId="BodyChar">
    <w:name w:val="Body Char"/>
    <w:aliases w:val="#List Paragraph Char,b1 Char,b + line Char,level 1 Char,Number Char,List Paragraph111 Char,Dot pt Char,b Char"/>
    <w:link w:val="Body"/>
    <w:qFormat/>
    <w:rsid w:val="000067B5"/>
  </w:style>
  <w:style w:type="character" w:customStyle="1" w:styleId="ListParagraphChar">
    <w:name w:val="List Paragraph Char"/>
    <w:aliases w:val="Recommendation Char,List Paragraph1 Char,List Paragraph11 Char,L Char,Bullet Point Char,Bullet points Char,Content descriptions Char,Body Bullets 1 Char,Bullet point Char,Main Char,CV text Char,Table text Char,F5 List Paragraph Char"/>
    <w:basedOn w:val="DefaultParagraphFont"/>
    <w:link w:val="ListParagraph"/>
    <w:uiPriority w:val="34"/>
    <w:qFormat/>
    <w:locked/>
    <w:rsid w:val="000067B5"/>
  </w:style>
  <w:style w:type="table" w:styleId="ListTable4-Accent1">
    <w:name w:val="List Table 4 Accent 1"/>
    <w:basedOn w:val="TableNormal"/>
    <w:uiPriority w:val="49"/>
    <w:rsid w:val="0037553B"/>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character" w:styleId="UnresolvedMention">
    <w:name w:val="Unresolved Mention"/>
    <w:basedOn w:val="DefaultParagraphFont"/>
    <w:uiPriority w:val="99"/>
    <w:semiHidden/>
    <w:unhideWhenUsed/>
    <w:rsid w:val="007B77B6"/>
    <w:rPr>
      <w:color w:val="605E5C"/>
      <w:shd w:val="clear" w:color="auto" w:fill="E1DFDD"/>
    </w:rPr>
  </w:style>
  <w:style w:type="numbering" w:customStyle="1" w:styleId="Bullets">
    <w:name w:val="Bullets"/>
    <w:basedOn w:val="NoList"/>
    <w:rsid w:val="00DC4A78"/>
    <w:pPr>
      <w:numPr>
        <w:numId w:val="4"/>
      </w:numPr>
    </w:pPr>
  </w:style>
  <w:style w:type="table" w:styleId="GridTable4">
    <w:name w:val="Grid Table 4"/>
    <w:basedOn w:val="TableNormal"/>
    <w:uiPriority w:val="49"/>
    <w:rsid w:val="00D82EF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2a">
    <w:name w:val="Heading2a"/>
    <w:basedOn w:val="Heading2"/>
    <w:link w:val="Heading2aChar"/>
    <w:qFormat/>
    <w:rsid w:val="00422826"/>
    <w:pPr>
      <w:numPr>
        <w:numId w:val="35"/>
      </w:numPr>
    </w:pPr>
  </w:style>
  <w:style w:type="paragraph" w:customStyle="1" w:styleId="Heading1a">
    <w:name w:val="Heading1a"/>
    <w:basedOn w:val="Heading1"/>
    <w:next w:val="Normal"/>
    <w:link w:val="Heading1aChar"/>
    <w:qFormat/>
    <w:rsid w:val="00422826"/>
    <w:pPr>
      <w:numPr>
        <w:numId w:val="35"/>
      </w:numPr>
    </w:pPr>
  </w:style>
  <w:style w:type="character" w:customStyle="1" w:styleId="Heading2aChar">
    <w:name w:val="Heading2a Char"/>
    <w:basedOn w:val="Heading2Char"/>
    <w:link w:val="Heading2a"/>
    <w:rsid w:val="00D455D4"/>
    <w:rPr>
      <w:rFonts w:ascii="Calibri" w:eastAsiaTheme="majorEastAsia" w:hAnsi="Calibri" w:cstheme="majorBidi"/>
      <w:b/>
      <w:color w:val="5D7A38"/>
      <w:sz w:val="30"/>
      <w:szCs w:val="26"/>
    </w:rPr>
  </w:style>
  <w:style w:type="paragraph" w:customStyle="1" w:styleId="Heading3a">
    <w:name w:val="Heading3a"/>
    <w:basedOn w:val="Heading3"/>
    <w:link w:val="Heading3aChar"/>
    <w:qFormat/>
    <w:rsid w:val="00D455D4"/>
    <w:pPr>
      <w:numPr>
        <w:numId w:val="35"/>
      </w:numPr>
    </w:pPr>
  </w:style>
  <w:style w:type="character" w:customStyle="1" w:styleId="Heading1aChar">
    <w:name w:val="Heading1a Char"/>
    <w:basedOn w:val="Heading1Char"/>
    <w:link w:val="Heading1a"/>
    <w:rsid w:val="00F241E2"/>
    <w:rPr>
      <w:rFonts w:ascii="Calibri" w:eastAsiaTheme="majorEastAsia" w:hAnsi="Calibri" w:cstheme="majorBidi"/>
      <w:b/>
      <w:color w:val="343741"/>
      <w:sz w:val="32"/>
      <w:szCs w:val="32"/>
    </w:rPr>
  </w:style>
  <w:style w:type="character" w:customStyle="1" w:styleId="Heading3aChar">
    <w:name w:val="Heading3a Char"/>
    <w:basedOn w:val="Heading3Char"/>
    <w:link w:val="Heading3a"/>
    <w:rsid w:val="00D455D4"/>
    <w:rPr>
      <w:rFonts w:ascii="Calibri" w:eastAsiaTheme="majorEastAsia" w:hAnsi="Calibri" w:cstheme="majorBidi"/>
      <w:color w:val="7A9F4C"/>
      <w:sz w:val="28"/>
      <w:szCs w:val="24"/>
    </w:rPr>
  </w:style>
  <w:style w:type="character" w:customStyle="1" w:styleId="authors">
    <w:name w:val="authors"/>
    <w:basedOn w:val="DefaultParagraphFont"/>
    <w:rsid w:val="00C93A26"/>
  </w:style>
  <w:style w:type="character" w:customStyle="1" w:styleId="arttitle">
    <w:name w:val="art_title"/>
    <w:basedOn w:val="DefaultParagraphFont"/>
    <w:rsid w:val="00C93A26"/>
  </w:style>
  <w:style w:type="character" w:customStyle="1" w:styleId="serialtitle">
    <w:name w:val="serial_title"/>
    <w:basedOn w:val="DefaultParagraphFont"/>
    <w:rsid w:val="00C93A26"/>
  </w:style>
  <w:style w:type="character" w:customStyle="1" w:styleId="volumeissue">
    <w:name w:val="volume_issue"/>
    <w:basedOn w:val="DefaultParagraphFont"/>
    <w:rsid w:val="00C93A26"/>
  </w:style>
  <w:style w:type="character" w:customStyle="1" w:styleId="doilink">
    <w:name w:val="doi_link"/>
    <w:basedOn w:val="DefaultParagraphFont"/>
    <w:rsid w:val="00C93A26"/>
  </w:style>
  <w:style w:type="character" w:customStyle="1" w:styleId="Date1">
    <w:name w:val="Date1"/>
    <w:basedOn w:val="DefaultParagraphFont"/>
    <w:rsid w:val="00C93A26"/>
  </w:style>
  <w:style w:type="character" w:customStyle="1" w:styleId="pagerange">
    <w:name w:val="page_range"/>
    <w:basedOn w:val="DefaultParagraphFont"/>
    <w:rsid w:val="00C93A26"/>
  </w:style>
  <w:style w:type="character" w:customStyle="1" w:styleId="BackgroundChar">
    <w:name w:val="Background Char"/>
    <w:basedOn w:val="DefaultParagraphFont"/>
    <w:link w:val="Background"/>
    <w:locked/>
    <w:rsid w:val="0073559F"/>
    <w:rPr>
      <w:rFonts w:ascii="Calibri" w:hAnsi="Calibri" w:cstheme="minorHAnsi"/>
      <w:color w:val="000000" w:themeColor="text1"/>
      <w:sz w:val="24"/>
      <w:szCs w:val="24"/>
    </w:rPr>
  </w:style>
  <w:style w:type="paragraph" w:customStyle="1" w:styleId="Background">
    <w:name w:val="Background"/>
    <w:basedOn w:val="Normal"/>
    <w:link w:val="BackgroundChar"/>
    <w:rsid w:val="0073559F"/>
    <w:pPr>
      <w:numPr>
        <w:ilvl w:val="1"/>
        <w:numId w:val="5"/>
      </w:numPr>
      <w:spacing w:after="0" w:line="240" w:lineRule="auto"/>
    </w:pPr>
    <w:rPr>
      <w:rFonts w:ascii="Calibri" w:hAnsi="Calibri" w:cstheme="minorHAnsi"/>
      <w:color w:val="000000" w:themeColor="text1"/>
      <w:sz w:val="24"/>
      <w:szCs w:val="24"/>
    </w:rPr>
  </w:style>
  <w:style w:type="character" w:customStyle="1" w:styleId="Background-SubpointChar">
    <w:name w:val="Background - Subpoint Char"/>
    <w:basedOn w:val="BackgroundChar"/>
    <w:link w:val="Background-Subpoint"/>
    <w:locked/>
    <w:rsid w:val="0073559F"/>
    <w:rPr>
      <w:rFonts w:ascii="Calibri" w:hAnsi="Calibri" w:cstheme="minorHAnsi"/>
      <w:color w:val="000000" w:themeColor="text1"/>
      <w:sz w:val="24"/>
      <w:szCs w:val="24"/>
    </w:rPr>
  </w:style>
  <w:style w:type="paragraph" w:customStyle="1" w:styleId="Background-Subpoint">
    <w:name w:val="Background - Subpoint"/>
    <w:basedOn w:val="Background"/>
    <w:link w:val="Background-SubpointChar"/>
    <w:rsid w:val="0073559F"/>
    <w:pPr>
      <w:numPr>
        <w:ilvl w:val="2"/>
      </w:numPr>
    </w:pPr>
  </w:style>
  <w:style w:type="table" w:styleId="ListTable2-Accent2">
    <w:name w:val="List Table 2 Accent 2"/>
    <w:basedOn w:val="TableNormal"/>
    <w:uiPriority w:val="47"/>
    <w:rsid w:val="00FF283C"/>
    <w:pPr>
      <w:spacing w:after="0" w:line="240" w:lineRule="auto"/>
    </w:pPr>
    <w:rPr>
      <w:rFonts w:eastAsiaTheme="minorEastAsia"/>
    </w:rPr>
    <w:tblPr>
      <w:tblStyleRowBandSize w:val="1"/>
      <w:tblStyleColBandSize w:val="1"/>
      <w:tblBorders>
        <w:top w:val="single" w:sz="4" w:space="0" w:color="F7A07A" w:themeColor="accent2" w:themeTint="99"/>
        <w:bottom w:val="single" w:sz="4" w:space="0" w:color="F7A07A" w:themeColor="accent2" w:themeTint="99"/>
        <w:insideH w:val="single" w:sz="4" w:space="0" w:color="F7A0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paragraph" w:customStyle="1" w:styleId="Normalafter12pt">
    <w:name w:val="Normal + after 12pt"/>
    <w:basedOn w:val="Normal"/>
    <w:uiPriority w:val="99"/>
    <w:rsid w:val="00FF283C"/>
    <w:pPr>
      <w:spacing w:after="240"/>
    </w:pPr>
    <w:rPr>
      <w:rFonts w:eastAsiaTheme="minorEastAsia"/>
    </w:rPr>
  </w:style>
  <w:style w:type="table" w:customStyle="1" w:styleId="SRC">
    <w:name w:val="SRC"/>
    <w:basedOn w:val="TableNormal"/>
    <w:uiPriority w:val="99"/>
    <w:rsid w:val="00796AC4"/>
    <w:pPr>
      <w:spacing w:before="60" w:after="60" w:line="240" w:lineRule="auto"/>
    </w:pPr>
    <w:rPr>
      <w:rFonts w:ascii="Arial" w:hAnsi="Arial"/>
      <w:sz w:val="18"/>
    </w:rPr>
    <w:tblPr>
      <w:tblStyleRowBandSize w:val="1"/>
      <w:tblStyleColBandSize w:val="1"/>
      <w:tblBorders>
        <w:bottom w:val="single" w:sz="4" w:space="0" w:color="002D3F" w:themeColor="accent1"/>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themeColor="background1"/>
        <w:sz w:val="18"/>
      </w:rPr>
      <w:tblPr/>
      <w:tcPr>
        <w:shd w:val="clear" w:color="auto" w:fill="002D3F" w:themeFill="accent1"/>
        <w:vAlign w:val="center"/>
      </w:tcPr>
    </w:tblStylePr>
    <w:tblStylePr w:type="lastRow">
      <w:pPr>
        <w:wordWrap/>
        <w:spacing w:beforeLines="0" w:before="60" w:beforeAutospacing="0" w:afterLines="0" w:after="60" w:afterAutospacing="0" w:line="240" w:lineRule="auto"/>
        <w:contextualSpacing w:val="0"/>
      </w:pPr>
    </w:tblStylePr>
    <w:tblStylePr w:type="firstCol">
      <w:pPr>
        <w:wordWrap/>
        <w:spacing w:beforeLines="0" w:before="60" w:beforeAutospacing="0" w:afterLines="0" w:after="60" w:afterAutospacing="0" w:line="240" w:lineRule="auto"/>
        <w:contextualSpacing w:val="0"/>
        <w:jc w:val="left"/>
      </w:pPr>
      <w:tblPr/>
      <w:tcPr>
        <w:vAlign w:val="center"/>
      </w:tcPr>
    </w:tblStylePr>
    <w:tblStylePr w:type="band1Vert">
      <w:pPr>
        <w:wordWrap/>
        <w:spacing w:beforeLines="0" w:before="60" w:beforeAutospacing="0" w:afterLines="0" w:after="60" w:afterAutospacing="0" w:line="240" w:lineRule="auto"/>
        <w:ind w:rightChars="0" w:right="113"/>
        <w:contextualSpacing w:val="0"/>
        <w:jc w:val="right"/>
        <w:outlineLvl w:val="9"/>
      </w:pPr>
      <w:tblPr/>
      <w:tcPr>
        <w:vAlign w:val="center"/>
      </w:tcPr>
    </w:tblStylePr>
    <w:tblStylePr w:type="band2Vert">
      <w:pPr>
        <w:wordWrap/>
        <w:spacing w:beforeLines="0" w:before="60" w:beforeAutospacing="0" w:afterLines="0" w:after="60" w:afterAutospacing="0" w:line="240" w:lineRule="auto"/>
        <w:ind w:rightChars="0" w:right="113"/>
        <w:contextualSpacing w:val="0"/>
        <w:jc w:val="right"/>
      </w:p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right"/>
      </w:pPr>
      <w:rPr>
        <w:rFonts w:ascii="Arial" w:hAnsi="Arial"/>
        <w:sz w:val="18"/>
      </w:rPr>
      <w:tblPr/>
      <w:tcPr>
        <w:shd w:val="clear" w:color="auto" w:fill="A5E5FF" w:themeFill="accent1" w:themeFillTint="33"/>
        <w:vAlign w:val="center"/>
      </w:tcPr>
    </w:tblStylePr>
    <w:tblStylePr w:type="band2Horz">
      <w:pPr>
        <w:wordWrap/>
        <w:spacing w:beforeLines="0" w:before="60" w:beforeAutospacing="0" w:afterLines="0" w:after="60" w:afterAutospacing="0"/>
        <w:contextualSpacing w:val="0"/>
        <w:jc w:val="right"/>
      </w:pPr>
      <w:tblPr/>
      <w:tcPr>
        <w:vAlign w:val="center"/>
      </w:tcPr>
    </w:tblStylePr>
  </w:style>
  <w:style w:type="paragraph" w:customStyle="1" w:styleId="Bullets1">
    <w:name w:val="Bullets 1"/>
    <w:basedOn w:val="Normal"/>
    <w:rsid w:val="00796AC4"/>
    <w:pPr>
      <w:numPr>
        <w:numId w:val="6"/>
      </w:numPr>
      <w:spacing w:before="120" w:after="120" w:line="300" w:lineRule="auto"/>
    </w:pPr>
    <w:rPr>
      <w:rFonts w:ascii="Arial" w:eastAsia="Times New Roman" w:hAnsi="Arial" w:cs="Times New Roman"/>
      <w:sz w:val="20"/>
      <w:szCs w:val="20"/>
    </w:rPr>
  </w:style>
  <w:style w:type="paragraph" w:customStyle="1" w:styleId="Bullets2">
    <w:name w:val="Bullets 2"/>
    <w:basedOn w:val="Normal"/>
    <w:autoRedefine/>
    <w:rsid w:val="008E7909"/>
    <w:pPr>
      <w:numPr>
        <w:ilvl w:val="1"/>
        <w:numId w:val="6"/>
      </w:numPr>
      <w:spacing w:before="120" w:after="120" w:line="300" w:lineRule="auto"/>
    </w:pPr>
    <w:rPr>
      <w:rFonts w:ascii="Arial" w:eastAsia="Times New Roman" w:hAnsi="Arial" w:cs="Times New Roman"/>
      <w:sz w:val="20"/>
      <w:szCs w:val="20"/>
    </w:rPr>
  </w:style>
  <w:style w:type="paragraph" w:customStyle="1" w:styleId="Bullets3">
    <w:name w:val="Bullets 3"/>
    <w:basedOn w:val="Normal"/>
    <w:rsid w:val="00796AC4"/>
    <w:pPr>
      <w:numPr>
        <w:ilvl w:val="2"/>
        <w:numId w:val="6"/>
      </w:numPr>
      <w:spacing w:before="120" w:after="120" w:line="300" w:lineRule="auto"/>
    </w:pPr>
    <w:rPr>
      <w:rFonts w:ascii="Arial" w:eastAsia="Times New Roman" w:hAnsi="Arial" w:cs="Times New Roman"/>
      <w:sz w:val="20"/>
      <w:szCs w:val="20"/>
    </w:rPr>
  </w:style>
  <w:style w:type="character" w:customStyle="1" w:styleId="CaptionChar">
    <w:name w:val="Caption Char"/>
    <w:aliases w:val="Caption Figure Char,Caption table Char"/>
    <w:basedOn w:val="DefaultParagraphFont"/>
    <w:link w:val="Caption"/>
    <w:uiPriority w:val="35"/>
    <w:locked/>
    <w:rsid w:val="00EA06E8"/>
    <w:rPr>
      <w:b/>
      <w:iCs/>
      <w:szCs w:val="18"/>
    </w:rPr>
  </w:style>
  <w:style w:type="paragraph" w:styleId="NoSpacing">
    <w:name w:val="No Spacing"/>
    <w:aliases w:val="Numbering"/>
    <w:basedOn w:val="Normal"/>
    <w:link w:val="NoSpacingChar"/>
    <w:uiPriority w:val="1"/>
    <w:rsid w:val="000D5892"/>
    <w:pPr>
      <w:spacing w:before="120" w:after="0" w:line="240" w:lineRule="auto"/>
    </w:pPr>
    <w:rPr>
      <w:rFonts w:eastAsiaTheme="minorEastAsia"/>
    </w:rPr>
  </w:style>
  <w:style w:type="character" w:customStyle="1" w:styleId="NoSpacingChar">
    <w:name w:val="No Spacing Char"/>
    <w:aliases w:val="Numbering Char"/>
    <w:basedOn w:val="DefaultParagraphFont"/>
    <w:link w:val="NoSpacing"/>
    <w:uiPriority w:val="1"/>
    <w:rsid w:val="000D5892"/>
    <w:rPr>
      <w:rFonts w:eastAsiaTheme="minorEastAsia"/>
    </w:rPr>
  </w:style>
  <w:style w:type="paragraph" w:customStyle="1" w:styleId="Tablecaption">
    <w:name w:val="Table caption"/>
    <w:basedOn w:val="Caption"/>
    <w:link w:val="TablecaptionChar"/>
    <w:qFormat/>
    <w:rsid w:val="000D5892"/>
    <w:pPr>
      <w:keepNext/>
    </w:pPr>
  </w:style>
  <w:style w:type="character" w:customStyle="1" w:styleId="TablecaptionChar">
    <w:name w:val="Table caption Char"/>
    <w:basedOn w:val="DefaultParagraphFont"/>
    <w:link w:val="Tablecaption"/>
    <w:rsid w:val="000D5892"/>
    <w:rPr>
      <w:b/>
      <w:iCs/>
      <w:szCs w:val="18"/>
    </w:rPr>
  </w:style>
  <w:style w:type="paragraph" w:customStyle="1" w:styleId="Listbullet1">
    <w:name w:val="List bullet 1"/>
    <w:basedOn w:val="ListBullet"/>
    <w:link w:val="Listbullet1Char"/>
    <w:rsid w:val="00821C10"/>
    <w:pPr>
      <w:spacing w:line="240" w:lineRule="auto"/>
      <w:contextualSpacing w:val="0"/>
    </w:pPr>
  </w:style>
  <w:style w:type="character" w:styleId="CommentReference">
    <w:name w:val="annotation reference"/>
    <w:basedOn w:val="DefaultParagraphFont"/>
    <w:uiPriority w:val="99"/>
    <w:unhideWhenUsed/>
    <w:rsid w:val="00B029B4"/>
    <w:rPr>
      <w:sz w:val="16"/>
      <w:szCs w:val="16"/>
    </w:rPr>
  </w:style>
  <w:style w:type="character" w:customStyle="1" w:styleId="ListBulletChar">
    <w:name w:val="List Bullet Char"/>
    <w:basedOn w:val="ListParagraphChar"/>
    <w:link w:val="ListBullet"/>
    <w:uiPriority w:val="99"/>
    <w:rsid w:val="00456C86"/>
    <w:rPr>
      <w:lang w:eastAsia="en-AU"/>
    </w:rPr>
  </w:style>
  <w:style w:type="character" w:customStyle="1" w:styleId="Listbullet1Char">
    <w:name w:val="List bullet 1 Char"/>
    <w:basedOn w:val="ListBulletChar"/>
    <w:link w:val="Listbullet1"/>
    <w:rsid w:val="00821C10"/>
    <w:rPr>
      <w:lang w:eastAsia="en-AU"/>
    </w:rPr>
  </w:style>
  <w:style w:type="paragraph" w:styleId="CommentText">
    <w:name w:val="annotation text"/>
    <w:basedOn w:val="Normal"/>
    <w:link w:val="CommentTextChar"/>
    <w:uiPriority w:val="99"/>
    <w:unhideWhenUsed/>
    <w:rsid w:val="00B029B4"/>
    <w:pPr>
      <w:spacing w:line="240" w:lineRule="auto"/>
    </w:pPr>
    <w:rPr>
      <w:sz w:val="20"/>
      <w:szCs w:val="20"/>
    </w:rPr>
  </w:style>
  <w:style w:type="character" w:customStyle="1" w:styleId="CommentTextChar">
    <w:name w:val="Comment Text Char"/>
    <w:basedOn w:val="DefaultParagraphFont"/>
    <w:link w:val="CommentText"/>
    <w:uiPriority w:val="99"/>
    <w:rsid w:val="00B029B4"/>
    <w:rPr>
      <w:sz w:val="20"/>
      <w:szCs w:val="20"/>
    </w:rPr>
  </w:style>
  <w:style w:type="paragraph" w:styleId="CommentSubject">
    <w:name w:val="annotation subject"/>
    <w:basedOn w:val="CommentText"/>
    <w:next w:val="CommentText"/>
    <w:link w:val="CommentSubjectChar"/>
    <w:uiPriority w:val="99"/>
    <w:semiHidden/>
    <w:unhideWhenUsed/>
    <w:rsid w:val="00B029B4"/>
    <w:rPr>
      <w:b/>
      <w:bCs/>
    </w:rPr>
  </w:style>
  <w:style w:type="character" w:customStyle="1" w:styleId="CommentSubjectChar">
    <w:name w:val="Comment Subject Char"/>
    <w:basedOn w:val="CommentTextChar"/>
    <w:link w:val="CommentSubject"/>
    <w:uiPriority w:val="99"/>
    <w:semiHidden/>
    <w:rsid w:val="00B029B4"/>
    <w:rPr>
      <w:b/>
      <w:bCs/>
      <w:sz w:val="20"/>
      <w:szCs w:val="20"/>
    </w:rPr>
  </w:style>
  <w:style w:type="character" w:customStyle="1" w:styleId="FigurefootnoteChar">
    <w:name w:val="Figure footnote Char"/>
    <w:basedOn w:val="DefaultParagraphFont"/>
    <w:link w:val="Figurefootnote"/>
    <w:locked/>
    <w:rsid w:val="00641460"/>
    <w:rPr>
      <w:rFonts w:ascii="DengXian" w:eastAsia="DengXian" w:hAnsi="DengXian"/>
    </w:rPr>
  </w:style>
  <w:style w:type="paragraph" w:customStyle="1" w:styleId="Figurefootnote">
    <w:name w:val="Figure footnote"/>
    <w:basedOn w:val="Normal"/>
    <w:link w:val="FigurefootnoteChar"/>
    <w:qFormat/>
    <w:rsid w:val="00641460"/>
    <w:pPr>
      <w:spacing w:after="0" w:line="240" w:lineRule="auto"/>
    </w:pPr>
    <w:rPr>
      <w:rFonts w:ascii="DengXian" w:eastAsia="DengXian" w:hAnsi="DengXian"/>
    </w:rPr>
  </w:style>
  <w:style w:type="paragraph" w:customStyle="1" w:styleId="Figureheadingforcontents">
    <w:name w:val="Figure heading for contents"/>
    <w:basedOn w:val="Normal"/>
    <w:qFormat/>
    <w:rsid w:val="00641460"/>
    <w:pPr>
      <w:keepNext/>
      <w:spacing w:after="0" w:line="240" w:lineRule="auto"/>
    </w:pPr>
    <w:rPr>
      <w:rFonts w:ascii="Calibri" w:hAnsi="Calibri" w:cs="Calibri"/>
      <w:b/>
      <w:bCs/>
      <w:i/>
      <w:iCs/>
      <w:sz w:val="20"/>
      <w:szCs w:val="20"/>
    </w:rPr>
  </w:style>
  <w:style w:type="paragraph" w:customStyle="1" w:styleId="3Responseframe">
    <w:name w:val="3 Response frame"/>
    <w:basedOn w:val="Normal"/>
    <w:link w:val="3ResponseframeChar"/>
    <w:rsid w:val="00465502"/>
    <w:pPr>
      <w:numPr>
        <w:numId w:val="7"/>
      </w:numPr>
      <w:suppressAutoHyphens/>
      <w:spacing w:after="0" w:line="240" w:lineRule="auto"/>
      <w:jc w:val="both"/>
    </w:pPr>
    <w:rPr>
      <w:rFonts w:ascii="Arial" w:eastAsia="Arial" w:hAnsi="Arial" w:cs="Arial"/>
      <w:noProof/>
      <w:color w:val="000000"/>
      <w:spacing w:val="-3"/>
      <w:sz w:val="20"/>
      <w:szCs w:val="20"/>
    </w:rPr>
  </w:style>
  <w:style w:type="character" w:customStyle="1" w:styleId="3ResponseframeChar">
    <w:name w:val="3 Response frame Char"/>
    <w:link w:val="3Responseframe"/>
    <w:rsid w:val="00465502"/>
    <w:rPr>
      <w:rFonts w:ascii="Arial" w:eastAsia="Arial" w:hAnsi="Arial" w:cs="Arial"/>
      <w:noProof/>
      <w:color w:val="000000"/>
      <w:spacing w:val="-3"/>
      <w:sz w:val="20"/>
      <w:szCs w:val="20"/>
    </w:rPr>
  </w:style>
  <w:style w:type="paragraph" w:customStyle="1" w:styleId="BodyIndent">
    <w:name w:val="Body Indent"/>
    <w:basedOn w:val="Body"/>
    <w:rsid w:val="007F73CD"/>
    <w:pPr>
      <w:spacing w:line="300" w:lineRule="auto"/>
      <w:ind w:left="851"/>
      <w:jc w:val="left"/>
    </w:pPr>
    <w:rPr>
      <w:rFonts w:ascii="Arial" w:eastAsia="Times New Roman" w:hAnsi="Arial" w:cs="Times New Roman"/>
      <w:sz w:val="20"/>
      <w:szCs w:val="20"/>
    </w:rPr>
  </w:style>
  <w:style w:type="paragraph" w:customStyle="1" w:styleId="2Questionstem">
    <w:name w:val="2 Question stem"/>
    <w:basedOn w:val="Normal"/>
    <w:next w:val="Normal"/>
    <w:rsid w:val="00994BFC"/>
    <w:pPr>
      <w:spacing w:after="0" w:line="240" w:lineRule="auto"/>
      <w:ind w:left="993" w:hanging="710"/>
    </w:pPr>
    <w:rPr>
      <w:rFonts w:ascii="Arial" w:eastAsia="Times New Roman" w:hAnsi="Arial" w:cs="Arial"/>
      <w:sz w:val="20"/>
      <w:szCs w:val="18"/>
      <w:lang w:eastAsia="en-AU"/>
    </w:rPr>
  </w:style>
  <w:style w:type="character" w:customStyle="1" w:styleId="2QNameChar">
    <w:name w:val="2 Q Name Char"/>
    <w:basedOn w:val="DefaultParagraphFont"/>
    <w:link w:val="2QName"/>
    <w:locked/>
    <w:rsid w:val="001F6F4E"/>
    <w:rPr>
      <w:rFonts w:ascii="Arial" w:hAnsi="Arial" w:cs="Arial"/>
      <w:sz w:val="20"/>
    </w:rPr>
  </w:style>
  <w:style w:type="paragraph" w:customStyle="1" w:styleId="2QName">
    <w:name w:val="2 Q Name"/>
    <w:basedOn w:val="Normal"/>
    <w:next w:val="Normal"/>
    <w:link w:val="2QNameChar"/>
    <w:rsid w:val="001F6F4E"/>
    <w:pPr>
      <w:spacing w:after="0" w:line="240" w:lineRule="auto"/>
      <w:ind w:left="1134" w:hanging="1134"/>
    </w:pPr>
    <w:rPr>
      <w:rFonts w:ascii="Arial" w:hAnsi="Arial" w:cs="Arial"/>
      <w:sz w:val="20"/>
    </w:rPr>
  </w:style>
  <w:style w:type="paragraph" w:customStyle="1" w:styleId="Figureheadercaption">
    <w:name w:val="Figure header caption"/>
    <w:basedOn w:val="Normal"/>
    <w:link w:val="FigureheadercaptionChar"/>
    <w:qFormat/>
    <w:rsid w:val="009F0180"/>
    <w:pPr>
      <w:keepNext/>
      <w:spacing w:after="0"/>
    </w:pPr>
    <w:rPr>
      <w:rFonts w:eastAsiaTheme="minorEastAsia"/>
      <w:b/>
    </w:rPr>
  </w:style>
  <w:style w:type="character" w:customStyle="1" w:styleId="FigureheadercaptionChar">
    <w:name w:val="Figure header caption Char"/>
    <w:basedOn w:val="DefaultParagraphFont"/>
    <w:link w:val="Figureheadercaption"/>
    <w:rsid w:val="009F0180"/>
    <w:rPr>
      <w:rFonts w:eastAsiaTheme="minorEastAsia"/>
      <w:b/>
    </w:rPr>
  </w:style>
  <w:style w:type="paragraph" w:customStyle="1" w:styleId="footnote">
    <w:name w:val="footnote"/>
    <w:basedOn w:val="Normal"/>
    <w:link w:val="footnoteChar"/>
    <w:rsid w:val="00E1798B"/>
    <w:pPr>
      <w:spacing w:after="60"/>
    </w:pPr>
    <w:rPr>
      <w:sz w:val="18"/>
      <w:szCs w:val="18"/>
    </w:rPr>
  </w:style>
  <w:style w:type="paragraph" w:customStyle="1" w:styleId="FigureNote">
    <w:name w:val="Figure Note"/>
    <w:basedOn w:val="Normal"/>
    <w:link w:val="FigureNoteChar"/>
    <w:qFormat/>
    <w:rsid w:val="00440FE1"/>
    <w:pPr>
      <w:spacing w:before="120" w:after="0" w:line="240" w:lineRule="auto"/>
      <w:jc w:val="both"/>
    </w:pPr>
    <w:rPr>
      <w:rFonts w:ascii="Arial" w:eastAsia="Calibri" w:hAnsi="Arial" w:cs="Times New Roman"/>
      <w:sz w:val="16"/>
      <w:lang w:val="en-GB"/>
    </w:rPr>
  </w:style>
  <w:style w:type="character" w:customStyle="1" w:styleId="footnoteChar">
    <w:name w:val="footnote Char"/>
    <w:basedOn w:val="DefaultParagraphFont"/>
    <w:link w:val="footnote"/>
    <w:rsid w:val="00E1798B"/>
    <w:rPr>
      <w:sz w:val="18"/>
      <w:szCs w:val="18"/>
    </w:rPr>
  </w:style>
  <w:style w:type="character" w:customStyle="1" w:styleId="FigureNoteChar">
    <w:name w:val="Figure Note Char"/>
    <w:basedOn w:val="DefaultParagraphFont"/>
    <w:link w:val="FigureNote"/>
    <w:rsid w:val="00440FE1"/>
    <w:rPr>
      <w:rFonts w:ascii="Arial" w:eastAsia="Calibri" w:hAnsi="Arial" w:cs="Times New Roman"/>
      <w:sz w:val="16"/>
      <w:lang w:val="en-GB"/>
    </w:rPr>
  </w:style>
  <w:style w:type="paragraph" w:customStyle="1" w:styleId="List1">
    <w:name w:val="List 1"/>
    <w:basedOn w:val="Body"/>
    <w:qFormat/>
    <w:rsid w:val="00A81319"/>
    <w:pPr>
      <w:numPr>
        <w:numId w:val="8"/>
      </w:numPr>
      <w:spacing w:line="300" w:lineRule="auto"/>
      <w:jc w:val="left"/>
    </w:pPr>
    <w:rPr>
      <w:rFonts w:ascii="Arial" w:eastAsia="Times New Roman" w:hAnsi="Arial" w:cs="Times New Roman"/>
      <w:sz w:val="20"/>
      <w:szCs w:val="20"/>
    </w:rPr>
  </w:style>
  <w:style w:type="character" w:customStyle="1" w:styleId="1BaseChar">
    <w:name w:val="1 Base Char"/>
    <w:basedOn w:val="DefaultParagraphFont"/>
    <w:link w:val="1Base"/>
    <w:locked/>
    <w:rsid w:val="00A81319"/>
    <w:rPr>
      <w:rFonts w:ascii="Arial" w:hAnsi="Arial" w:cs="Arial"/>
      <w:sz w:val="20"/>
    </w:rPr>
  </w:style>
  <w:style w:type="paragraph" w:customStyle="1" w:styleId="1Base">
    <w:name w:val="1 Base"/>
    <w:basedOn w:val="Normal"/>
    <w:link w:val="1BaseChar"/>
    <w:rsid w:val="00A81319"/>
    <w:pPr>
      <w:spacing w:before="120" w:after="0" w:line="240" w:lineRule="auto"/>
      <w:ind w:left="1134" w:hanging="1134"/>
    </w:pPr>
    <w:rPr>
      <w:rFonts w:ascii="Arial" w:hAnsi="Arial" w:cs="Arial"/>
      <w:sz w:val="20"/>
    </w:rPr>
  </w:style>
  <w:style w:type="paragraph" w:customStyle="1" w:styleId="Footnote0">
    <w:name w:val="Footnote"/>
    <w:basedOn w:val="Normal"/>
    <w:qFormat/>
    <w:rsid w:val="00416B80"/>
    <w:pPr>
      <w:tabs>
        <w:tab w:val="left" w:pos="426"/>
      </w:tabs>
      <w:spacing w:before="60" w:after="0" w:line="240" w:lineRule="auto"/>
    </w:pPr>
    <w:rPr>
      <w:rFonts w:ascii="Calibri" w:hAnsi="Calibri" w:cs="Times New Roman"/>
      <w:sz w:val="18"/>
      <w:szCs w:val="20"/>
      <w:lang w:eastAsia="en-AU"/>
    </w:rPr>
  </w:style>
  <w:style w:type="table" w:styleId="GridTable1Light">
    <w:name w:val="Grid Table 1 Light"/>
    <w:basedOn w:val="TableNormal"/>
    <w:uiPriority w:val="46"/>
    <w:rsid w:val="00416B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858E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igurenumbering">
    <w:name w:val="Figure numbering"/>
    <w:basedOn w:val="Normal"/>
    <w:link w:val="FigurenumberingChar"/>
    <w:qFormat/>
    <w:rsid w:val="005508E2"/>
    <w:pPr>
      <w:keepNext/>
    </w:pPr>
    <w:rPr>
      <w:rFonts w:eastAsiaTheme="minorEastAsia"/>
    </w:rPr>
  </w:style>
  <w:style w:type="character" w:customStyle="1" w:styleId="FigurenumberingChar">
    <w:name w:val="Figure numbering Char"/>
    <w:basedOn w:val="DefaultParagraphFont"/>
    <w:link w:val="Figurenumbering"/>
    <w:rsid w:val="005508E2"/>
    <w:rPr>
      <w:rFonts w:eastAsiaTheme="minorEastAsia"/>
    </w:rPr>
  </w:style>
  <w:style w:type="table" w:customStyle="1" w:styleId="TtWReportTableTemplate2">
    <w:name w:val="TtW Report Table Template 2"/>
    <w:basedOn w:val="TableNormal"/>
    <w:uiPriority w:val="99"/>
    <w:rsid w:val="00224E14"/>
    <w:pPr>
      <w:spacing w:after="0" w:line="240" w:lineRule="auto"/>
    </w:pPr>
    <w:rPr>
      <w:rFonts w:eastAsiaTheme="minorEastAsia"/>
    </w:rPr>
    <w:tblPr>
      <w:tblStyleRowBandSize w:val="1"/>
      <w:tblBorders>
        <w:bottom w:val="single" w:sz="4" w:space="0" w:color="1E3D6B"/>
      </w:tblBorders>
    </w:tblPr>
    <w:tcPr>
      <w:shd w:val="clear" w:color="auto" w:fill="FFFFFF" w:themeFill="background1"/>
    </w:tcPr>
    <w:tblStylePr w:type="firstRow">
      <w:pPr>
        <w:jc w:val="left"/>
      </w:pPr>
      <w:rPr>
        <w:rFonts w:ascii="Calibri" w:hAnsi="Calibri"/>
        <w:b/>
        <w:color w:val="FFFFFF" w:themeColor="background1"/>
        <w:sz w:val="20"/>
      </w:rPr>
      <w:tblPr/>
      <w:tcPr>
        <w:shd w:val="clear" w:color="auto" w:fill="002D3F"/>
      </w:tcPr>
    </w:tblStylePr>
    <w:tblStylePr w:type="lastRow">
      <w:rPr>
        <w:rFonts w:asciiTheme="minorHAnsi" w:hAnsiTheme="minorHAnsi"/>
        <w:b/>
        <w:sz w:val="20"/>
      </w:rPr>
    </w:tblStylePr>
    <w:tblStylePr w:type="firstCol">
      <w:rPr>
        <w:b/>
      </w:rPr>
    </w:tblStylePr>
    <w:tblStylePr w:type="band1Horz">
      <w:rPr>
        <w:rFonts w:asciiTheme="minorHAnsi" w:hAnsiTheme="minorHAnsi"/>
        <w:sz w:val="20"/>
      </w:rPr>
      <w:tblPr/>
      <w:tcPr>
        <w:shd w:val="clear" w:color="auto" w:fill="D9D9D9" w:themeFill="background1" w:themeFillShade="D9"/>
      </w:tcPr>
    </w:tblStylePr>
    <w:tblStylePr w:type="band2Horz">
      <w:rPr>
        <w:rFonts w:asciiTheme="minorHAnsi" w:hAnsiTheme="minorHAnsi"/>
        <w:color w:val="auto"/>
        <w:sz w:val="20"/>
      </w:rPr>
      <w:tblPr/>
      <w:tcPr>
        <w:shd w:val="clear" w:color="auto" w:fill="FFFFFF" w:themeFill="background1"/>
      </w:tcPr>
    </w:tblStylePr>
  </w:style>
  <w:style w:type="paragraph" w:customStyle="1" w:styleId="Dotpoint0">
    <w:name w:val="Dot point"/>
    <w:basedOn w:val="ListParagraph"/>
    <w:rsid w:val="0058132F"/>
    <w:pPr>
      <w:spacing w:line="276" w:lineRule="auto"/>
      <w:ind w:hanging="360"/>
    </w:pPr>
    <w:rPr>
      <w:rFonts w:eastAsiaTheme="minorEastAsia"/>
    </w:rPr>
  </w:style>
  <w:style w:type="paragraph" w:styleId="TOC4">
    <w:name w:val="toc 4"/>
    <w:basedOn w:val="Normal"/>
    <w:next w:val="Normal"/>
    <w:autoRedefine/>
    <w:uiPriority w:val="39"/>
    <w:unhideWhenUsed/>
    <w:rsid w:val="00B35466"/>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B35466"/>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B3546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B3546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B3546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B35466"/>
    <w:pPr>
      <w:spacing w:after="100" w:line="259" w:lineRule="auto"/>
      <w:ind w:left="1760"/>
    </w:pPr>
    <w:rPr>
      <w:rFonts w:eastAsiaTheme="minorEastAsia"/>
      <w:lang w:eastAsia="en-AU"/>
    </w:rPr>
  </w:style>
  <w:style w:type="paragraph" w:customStyle="1" w:styleId="bullet">
    <w:name w:val="bullet"/>
    <w:basedOn w:val="Normal"/>
    <w:link w:val="bulletChar"/>
    <w:rsid w:val="00A74D7B"/>
    <w:pPr>
      <w:numPr>
        <w:numId w:val="9"/>
      </w:numPr>
      <w:suppressAutoHyphens/>
      <w:autoSpaceDE w:val="0"/>
      <w:autoSpaceDN w:val="0"/>
      <w:adjustRightInd w:val="0"/>
      <w:spacing w:after="120"/>
      <w:textAlignment w:val="center"/>
    </w:pPr>
    <w:rPr>
      <w:rFonts w:eastAsiaTheme="minorEastAsia" w:cs="Garamond"/>
      <w:color w:val="000000"/>
      <w:lang w:val="en-GB"/>
    </w:rPr>
  </w:style>
  <w:style w:type="character" w:customStyle="1" w:styleId="bulletChar">
    <w:name w:val="bullet Char"/>
    <w:basedOn w:val="DefaultParagraphFont"/>
    <w:link w:val="bullet"/>
    <w:rsid w:val="00A74D7B"/>
    <w:rPr>
      <w:rFonts w:eastAsiaTheme="minorEastAsia" w:cs="Garamond"/>
      <w:color w:val="000000"/>
      <w:lang w:val="en-GB"/>
    </w:rPr>
  </w:style>
  <w:style w:type="table" w:customStyle="1" w:styleId="SRC21">
    <w:name w:val="SRC 21"/>
    <w:basedOn w:val="TableNormal"/>
    <w:next w:val="TableGrid"/>
    <w:uiPriority w:val="39"/>
    <w:rsid w:val="00061A1A"/>
    <w:pPr>
      <w:spacing w:after="0" w:line="240" w:lineRule="auto"/>
    </w:pPr>
    <w:rPr>
      <w:rFonts w:ascii="Arial" w:hAnsi="Arial"/>
      <w:sz w:val="18"/>
    </w:rPr>
    <w:tblPr>
      <w:tblStyleRowBandSize w:val="1"/>
      <w:tblStyleColBandSize w:val="1"/>
      <w:tblBorders>
        <w:bottom w:val="single" w:sz="4" w:space="0" w:color="002D3F" w:themeColor="accent1"/>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themeColor="background1"/>
        <w:sz w:val="18"/>
      </w:rPr>
      <w:tblPr/>
      <w:tcPr>
        <w:tcBorders>
          <w:top w:val="nil"/>
          <w:left w:val="nil"/>
          <w:bottom w:val="nil"/>
          <w:right w:val="nil"/>
          <w:insideH w:val="nil"/>
          <w:insideV w:val="nil"/>
          <w:tl2br w:val="nil"/>
          <w:tr2bl w:val="nil"/>
        </w:tcBorders>
        <w:shd w:val="clear" w:color="auto" w:fill="002D3F" w:themeFill="accent1"/>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002D3F" w:themeColor="accent1"/>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A5E5FF" w:themeFill="accent1" w:themeFillTint="3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character" w:customStyle="1" w:styleId="Heading7Char">
    <w:name w:val="Heading 7 Char"/>
    <w:basedOn w:val="DefaultParagraphFont"/>
    <w:link w:val="Heading7"/>
    <w:uiPriority w:val="9"/>
    <w:rsid w:val="00CC7101"/>
    <w:rPr>
      <w:rFonts w:ascii="Arial" w:eastAsiaTheme="majorEastAsia" w:hAnsi="Arial" w:cs="Arial"/>
      <w:i/>
      <w:iCs/>
      <w:color w:val="1F688D"/>
      <w:sz w:val="20"/>
    </w:rPr>
  </w:style>
  <w:style w:type="paragraph" w:customStyle="1" w:styleId="AppendixHeading">
    <w:name w:val="Appendix Heading"/>
    <w:basedOn w:val="Heading1"/>
    <w:next w:val="Body"/>
    <w:link w:val="AppendixHeadingChar"/>
    <w:rsid w:val="00CE19D4"/>
    <w:pPr>
      <w:keepNext w:val="0"/>
      <w:keepLines w:val="0"/>
      <w:pageBreakBefore/>
      <w:numPr>
        <w:numId w:val="32"/>
      </w:numPr>
      <w:spacing w:before="0" w:after="240" w:line="240" w:lineRule="auto"/>
    </w:pPr>
    <w:rPr>
      <w:rFonts w:asciiTheme="minorHAnsi" w:hAnsiTheme="minorHAnsi"/>
      <w:szCs w:val="40"/>
    </w:rPr>
  </w:style>
  <w:style w:type="character" w:customStyle="1" w:styleId="AppendixHeadingChar">
    <w:name w:val="Appendix Heading Char"/>
    <w:basedOn w:val="Heading1Char"/>
    <w:link w:val="AppendixHeading"/>
    <w:rsid w:val="00CC7101"/>
    <w:rPr>
      <w:rFonts w:ascii="Calibri" w:eastAsiaTheme="majorEastAsia" w:hAnsi="Calibri" w:cstheme="majorBidi"/>
      <w:b/>
      <w:color w:val="343741"/>
      <w:sz w:val="32"/>
      <w:szCs w:val="40"/>
    </w:rPr>
  </w:style>
  <w:style w:type="paragraph" w:customStyle="1" w:styleId="SubHeading1">
    <w:name w:val="Sub Heading 1"/>
    <w:basedOn w:val="Subtitle"/>
    <w:next w:val="Body"/>
    <w:link w:val="SubHeading1Char"/>
    <w:qFormat/>
    <w:rsid w:val="00CC7101"/>
    <w:pPr>
      <w:numPr>
        <w:ilvl w:val="0"/>
      </w:numPr>
      <w:spacing w:before="240" w:after="240" w:line="240" w:lineRule="auto"/>
      <w:outlineLvl w:val="1"/>
    </w:pPr>
    <w:rPr>
      <w:rFonts w:ascii="Arial" w:eastAsiaTheme="minorHAnsi" w:hAnsi="Arial"/>
      <w:b/>
      <w:color w:val="1F688D"/>
      <w:spacing w:val="0"/>
      <w:sz w:val="32"/>
      <w:szCs w:val="32"/>
    </w:rPr>
  </w:style>
  <w:style w:type="character" w:customStyle="1" w:styleId="SubHeading1Char">
    <w:name w:val="Sub Heading 1 Char"/>
    <w:basedOn w:val="DefaultParagraphFont"/>
    <w:link w:val="SubHeading1"/>
    <w:rsid w:val="00CC7101"/>
    <w:rPr>
      <w:rFonts w:ascii="Arial" w:hAnsi="Arial"/>
      <w:b/>
      <w:color w:val="1F688D"/>
      <w:sz w:val="32"/>
      <w:szCs w:val="32"/>
    </w:rPr>
  </w:style>
  <w:style w:type="paragraph" w:customStyle="1" w:styleId="CentreSubHeading2">
    <w:name w:val="Centre Sub Heading 2"/>
    <w:basedOn w:val="Normal"/>
    <w:next w:val="Normal"/>
    <w:rsid w:val="00CC7101"/>
    <w:pPr>
      <w:tabs>
        <w:tab w:val="center" w:pos="4678"/>
      </w:tabs>
      <w:spacing w:after="60" w:line="300" w:lineRule="auto"/>
      <w:jc w:val="center"/>
    </w:pPr>
    <w:rPr>
      <w:rFonts w:ascii="Arial Bold" w:hAnsi="Arial Bold" w:cs="Arial"/>
      <w:b/>
      <w:color w:val="1F688D"/>
    </w:rPr>
  </w:style>
  <w:style w:type="character" w:customStyle="1" w:styleId="TOC2Char">
    <w:name w:val="TOC 2 Char"/>
    <w:basedOn w:val="DefaultParagraphFont"/>
    <w:link w:val="TOC2"/>
    <w:uiPriority w:val="39"/>
    <w:rsid w:val="008B2565"/>
  </w:style>
  <w:style w:type="character" w:styleId="BookTitle">
    <w:name w:val="Book Title"/>
    <w:basedOn w:val="DefaultParagraphFont"/>
    <w:uiPriority w:val="33"/>
    <w:qFormat/>
    <w:rsid w:val="00CC7101"/>
    <w:rPr>
      <w:b/>
      <w:bCs/>
      <w:i/>
      <w:iCs/>
      <w:spacing w:val="5"/>
    </w:rPr>
  </w:style>
  <w:style w:type="character" w:styleId="PlaceholderText">
    <w:name w:val="Placeholder Text"/>
    <w:basedOn w:val="DefaultParagraphFont"/>
    <w:uiPriority w:val="99"/>
    <w:semiHidden/>
    <w:rsid w:val="00CC7101"/>
    <w:rPr>
      <w:color w:val="808080"/>
    </w:rPr>
  </w:style>
  <w:style w:type="paragraph" w:customStyle="1" w:styleId="MajorHeading">
    <w:name w:val="Major Heading"/>
    <w:basedOn w:val="Heading1"/>
    <w:next w:val="Body"/>
    <w:link w:val="MajorHeadingChar"/>
    <w:qFormat/>
    <w:rsid w:val="00CC7101"/>
    <w:pPr>
      <w:spacing w:before="0" w:after="240" w:line="240" w:lineRule="auto"/>
    </w:pPr>
    <w:rPr>
      <w:rFonts w:ascii="Arial" w:hAnsi="Arial"/>
      <w:bCs/>
      <w:color w:val="1F688D"/>
      <w:sz w:val="40"/>
      <w:szCs w:val="40"/>
    </w:rPr>
  </w:style>
  <w:style w:type="character" w:customStyle="1" w:styleId="MajorHeadingChar">
    <w:name w:val="Major Heading Char"/>
    <w:basedOn w:val="Heading1Char"/>
    <w:link w:val="MajorHeading"/>
    <w:rsid w:val="00CC7101"/>
    <w:rPr>
      <w:rFonts w:ascii="Arial" w:eastAsiaTheme="majorEastAsia" w:hAnsi="Arial" w:cstheme="majorBidi"/>
      <w:b/>
      <w:bCs/>
      <w:color w:val="1F688D"/>
      <w:sz w:val="40"/>
      <w:szCs w:val="40"/>
    </w:rPr>
  </w:style>
  <w:style w:type="table" w:styleId="ListTable4-Accent5">
    <w:name w:val="List Table 4 Accent 5"/>
    <w:basedOn w:val="TableNormal"/>
    <w:uiPriority w:val="49"/>
    <w:rsid w:val="00CC7101"/>
    <w:pPr>
      <w:spacing w:after="0" w:line="240" w:lineRule="auto"/>
    </w:p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tcBorders>
        <w:shd w:val="clear" w:color="auto" w:fill="E9A913" w:themeFill="accent5"/>
      </w:tcPr>
    </w:tblStylePr>
    <w:tblStylePr w:type="lastRow">
      <w:rPr>
        <w:b/>
        <w:bCs/>
      </w:rPr>
      <w:tblPr/>
      <w:tcPr>
        <w:tcBorders>
          <w:top w:val="double" w:sz="4" w:space="0" w:color="F3CB6F" w:themeColor="accent5" w:themeTint="99"/>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table" w:styleId="GridTable2-Accent1">
    <w:name w:val="Grid Table 2 Accent 1"/>
    <w:basedOn w:val="TableNormal"/>
    <w:uiPriority w:val="47"/>
    <w:rsid w:val="00CC7101"/>
    <w:pPr>
      <w:spacing w:after="0" w:line="240" w:lineRule="auto"/>
    </w:pPr>
    <w:tblPr>
      <w:tblStyleRowBandSize w:val="1"/>
      <w:tblStyleColBandSize w:val="1"/>
      <w:tblBorders>
        <w:top w:val="single" w:sz="2" w:space="0" w:color="00ACF1" w:themeColor="accent1" w:themeTint="99"/>
        <w:bottom w:val="single" w:sz="2" w:space="0" w:color="00ACF1" w:themeColor="accent1" w:themeTint="99"/>
        <w:insideH w:val="single" w:sz="2" w:space="0" w:color="00ACF1" w:themeColor="accent1" w:themeTint="99"/>
        <w:insideV w:val="single" w:sz="2" w:space="0" w:color="00ACF1" w:themeColor="accent1" w:themeTint="99"/>
      </w:tblBorders>
    </w:tblPr>
    <w:tblStylePr w:type="firstRow">
      <w:rPr>
        <w:b/>
        <w:bCs/>
      </w:rPr>
      <w:tblPr/>
      <w:tcPr>
        <w:tcBorders>
          <w:top w:val="nil"/>
          <w:bottom w:val="single" w:sz="12" w:space="0" w:color="00ACF1" w:themeColor="accent1" w:themeTint="99"/>
          <w:insideH w:val="nil"/>
          <w:insideV w:val="nil"/>
        </w:tcBorders>
        <w:shd w:val="clear" w:color="auto" w:fill="FFFFFF" w:themeFill="background1"/>
      </w:tcPr>
    </w:tblStylePr>
    <w:tblStylePr w:type="lastRow">
      <w:rPr>
        <w:b/>
        <w:bCs/>
      </w:rPr>
      <w:tblPr/>
      <w:tcPr>
        <w:tcBorders>
          <w:top w:val="double" w:sz="2" w:space="0" w:color="00ACF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styleId="GridTable2-Accent2">
    <w:name w:val="Grid Table 2 Accent 2"/>
    <w:basedOn w:val="TableNormal"/>
    <w:uiPriority w:val="47"/>
    <w:rsid w:val="00CC7101"/>
    <w:pPr>
      <w:spacing w:after="0" w:line="240" w:lineRule="auto"/>
    </w:pPr>
    <w:tblPr>
      <w:tblStyleRowBandSize w:val="1"/>
      <w:tblStyleColBandSize w:val="1"/>
      <w:tblBorders>
        <w:top w:val="single" w:sz="2" w:space="0" w:color="F7A07A" w:themeColor="accent2" w:themeTint="99"/>
        <w:bottom w:val="single" w:sz="2" w:space="0" w:color="F7A07A" w:themeColor="accent2" w:themeTint="99"/>
        <w:insideH w:val="single" w:sz="2" w:space="0" w:color="F7A07A" w:themeColor="accent2" w:themeTint="99"/>
        <w:insideV w:val="single" w:sz="2" w:space="0" w:color="F7A07A" w:themeColor="accent2" w:themeTint="99"/>
      </w:tblBorders>
    </w:tblPr>
    <w:tblStylePr w:type="firstRow">
      <w:rPr>
        <w:b/>
        <w:bCs/>
      </w:rPr>
      <w:tblPr/>
      <w:tcPr>
        <w:tcBorders>
          <w:top w:val="nil"/>
          <w:bottom w:val="single" w:sz="12" w:space="0" w:color="F7A07A" w:themeColor="accent2" w:themeTint="99"/>
          <w:insideH w:val="nil"/>
          <w:insideV w:val="nil"/>
        </w:tcBorders>
        <w:shd w:val="clear" w:color="auto" w:fill="FFFFFF" w:themeFill="background1"/>
      </w:tcPr>
    </w:tblStylePr>
    <w:tblStylePr w:type="lastRow">
      <w:rPr>
        <w:b/>
        <w:bCs/>
      </w:rPr>
      <w:tblPr/>
      <w:tcPr>
        <w:tcBorders>
          <w:top w:val="double" w:sz="2" w:space="0" w:color="F7A0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styleId="GridTable2-Accent3">
    <w:name w:val="Grid Table 2 Accent 3"/>
    <w:basedOn w:val="TableNormal"/>
    <w:uiPriority w:val="47"/>
    <w:rsid w:val="00CC7101"/>
    <w:pPr>
      <w:spacing w:after="0" w:line="240" w:lineRule="auto"/>
    </w:pPr>
    <w:tblPr>
      <w:tblStyleRowBandSize w:val="1"/>
      <w:tblStyleColBandSize w:val="1"/>
      <w:tblBorders>
        <w:top w:val="single" w:sz="2" w:space="0" w:color="1BFFE9" w:themeColor="accent3" w:themeTint="99"/>
        <w:bottom w:val="single" w:sz="2" w:space="0" w:color="1BFFE9" w:themeColor="accent3" w:themeTint="99"/>
        <w:insideH w:val="single" w:sz="2" w:space="0" w:color="1BFFE9" w:themeColor="accent3" w:themeTint="99"/>
        <w:insideV w:val="single" w:sz="2" w:space="0" w:color="1BFFE9" w:themeColor="accent3" w:themeTint="99"/>
      </w:tblBorders>
    </w:tblPr>
    <w:tblStylePr w:type="firstRow">
      <w:rPr>
        <w:b/>
        <w:bCs/>
      </w:rPr>
      <w:tblPr/>
      <w:tcPr>
        <w:tcBorders>
          <w:top w:val="nil"/>
          <w:bottom w:val="single" w:sz="12" w:space="0" w:color="1BFFE9" w:themeColor="accent3" w:themeTint="99"/>
          <w:insideH w:val="nil"/>
          <w:insideV w:val="nil"/>
        </w:tcBorders>
        <w:shd w:val="clear" w:color="auto" w:fill="FFFFFF" w:themeFill="background1"/>
      </w:tcPr>
    </w:tblStylePr>
    <w:tblStylePr w:type="lastRow">
      <w:rPr>
        <w:b/>
        <w:bCs/>
      </w:rPr>
      <w:tblPr/>
      <w:tcPr>
        <w:tcBorders>
          <w:top w:val="double" w:sz="2" w:space="0" w:color="1BFFE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FF7" w:themeFill="accent3" w:themeFillTint="33"/>
      </w:tcPr>
    </w:tblStylePr>
    <w:tblStylePr w:type="band1Horz">
      <w:tblPr/>
      <w:tcPr>
        <w:shd w:val="clear" w:color="auto" w:fill="B3FFF7" w:themeFill="accent3" w:themeFillTint="33"/>
      </w:tcPr>
    </w:tblStylePr>
  </w:style>
  <w:style w:type="table" w:styleId="GridTable3-Accent1">
    <w:name w:val="Grid Table 3 Accent 1"/>
    <w:basedOn w:val="TableNormal"/>
    <w:uiPriority w:val="48"/>
    <w:rsid w:val="00CC7101"/>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E5FF" w:themeFill="accent1" w:themeFillTint="33"/>
      </w:tcPr>
    </w:tblStylePr>
    <w:tblStylePr w:type="band1Horz">
      <w:tblPr/>
      <w:tcPr>
        <w:shd w:val="clear" w:color="auto" w:fill="A5E5FF" w:themeFill="accent1" w:themeFillTint="33"/>
      </w:tcPr>
    </w:tblStylePr>
    <w:tblStylePr w:type="neCell">
      <w:tblPr/>
      <w:tcPr>
        <w:tcBorders>
          <w:bottom w:val="single" w:sz="4" w:space="0" w:color="00ACF1" w:themeColor="accent1" w:themeTint="99"/>
        </w:tcBorders>
      </w:tcPr>
    </w:tblStylePr>
    <w:tblStylePr w:type="nwCell">
      <w:tblPr/>
      <w:tcPr>
        <w:tcBorders>
          <w:bottom w:val="single" w:sz="4" w:space="0" w:color="00ACF1" w:themeColor="accent1" w:themeTint="99"/>
        </w:tcBorders>
      </w:tcPr>
    </w:tblStylePr>
    <w:tblStylePr w:type="seCell">
      <w:tblPr/>
      <w:tcPr>
        <w:tcBorders>
          <w:top w:val="single" w:sz="4" w:space="0" w:color="00ACF1" w:themeColor="accent1" w:themeTint="99"/>
        </w:tcBorders>
      </w:tcPr>
    </w:tblStylePr>
    <w:tblStylePr w:type="swCell">
      <w:tblPr/>
      <w:tcPr>
        <w:tcBorders>
          <w:top w:val="single" w:sz="4" w:space="0" w:color="00ACF1" w:themeColor="accent1" w:themeTint="99"/>
        </w:tcBorders>
      </w:tcPr>
    </w:tblStylePr>
  </w:style>
  <w:style w:type="table" w:styleId="GridTable3-Accent2">
    <w:name w:val="Grid Table 3 Accent 2"/>
    <w:basedOn w:val="TableNormal"/>
    <w:uiPriority w:val="48"/>
    <w:rsid w:val="00CC7101"/>
    <w:pPr>
      <w:spacing w:after="0" w:line="240" w:lineRule="auto"/>
    </w:pPr>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insideV w:val="single" w:sz="4" w:space="0" w:color="F7A0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D2" w:themeFill="accent2" w:themeFillTint="33"/>
      </w:tcPr>
    </w:tblStylePr>
    <w:tblStylePr w:type="band1Horz">
      <w:tblPr/>
      <w:tcPr>
        <w:shd w:val="clear" w:color="auto" w:fill="FCDFD2" w:themeFill="accent2" w:themeFillTint="33"/>
      </w:tcPr>
    </w:tblStylePr>
    <w:tblStylePr w:type="neCell">
      <w:tblPr/>
      <w:tcPr>
        <w:tcBorders>
          <w:bottom w:val="single" w:sz="4" w:space="0" w:color="F7A07A" w:themeColor="accent2" w:themeTint="99"/>
        </w:tcBorders>
      </w:tcPr>
    </w:tblStylePr>
    <w:tblStylePr w:type="nwCell">
      <w:tblPr/>
      <w:tcPr>
        <w:tcBorders>
          <w:bottom w:val="single" w:sz="4" w:space="0" w:color="F7A07A" w:themeColor="accent2" w:themeTint="99"/>
        </w:tcBorders>
      </w:tcPr>
    </w:tblStylePr>
    <w:tblStylePr w:type="seCell">
      <w:tblPr/>
      <w:tcPr>
        <w:tcBorders>
          <w:top w:val="single" w:sz="4" w:space="0" w:color="F7A07A" w:themeColor="accent2" w:themeTint="99"/>
        </w:tcBorders>
      </w:tcPr>
    </w:tblStylePr>
    <w:tblStylePr w:type="swCell">
      <w:tblPr/>
      <w:tcPr>
        <w:tcBorders>
          <w:top w:val="single" w:sz="4" w:space="0" w:color="F7A07A" w:themeColor="accent2" w:themeTint="99"/>
        </w:tcBorders>
      </w:tcPr>
    </w:tblStylePr>
  </w:style>
  <w:style w:type="table" w:styleId="GridTable3-Accent6">
    <w:name w:val="Grid Table 3 Accent 6"/>
    <w:basedOn w:val="TableNormal"/>
    <w:uiPriority w:val="48"/>
    <w:rsid w:val="00CC7101"/>
    <w:pPr>
      <w:spacing w:after="0" w:line="240" w:lineRule="auto"/>
    </w:p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5F4" w:themeFill="accent6" w:themeFillTint="33"/>
      </w:tcPr>
    </w:tblStylePr>
    <w:tblStylePr w:type="band1Horz">
      <w:tblPr/>
      <w:tcPr>
        <w:shd w:val="clear" w:color="auto" w:fill="CFE5F4" w:themeFill="accent6" w:themeFillTint="33"/>
      </w:tcPr>
    </w:tblStylePr>
    <w:tblStylePr w:type="neCell">
      <w:tblPr/>
      <w:tcPr>
        <w:tcBorders>
          <w:bottom w:val="single" w:sz="4" w:space="0" w:color="6FB4DE" w:themeColor="accent6" w:themeTint="99"/>
        </w:tcBorders>
      </w:tcPr>
    </w:tblStylePr>
    <w:tblStylePr w:type="nwCell">
      <w:tblPr/>
      <w:tcPr>
        <w:tcBorders>
          <w:bottom w:val="single" w:sz="4" w:space="0" w:color="6FB4DE" w:themeColor="accent6" w:themeTint="99"/>
        </w:tcBorders>
      </w:tcPr>
    </w:tblStylePr>
    <w:tblStylePr w:type="seCell">
      <w:tblPr/>
      <w:tcPr>
        <w:tcBorders>
          <w:top w:val="single" w:sz="4" w:space="0" w:color="6FB4DE" w:themeColor="accent6" w:themeTint="99"/>
        </w:tcBorders>
      </w:tcPr>
    </w:tblStylePr>
    <w:tblStylePr w:type="swCell">
      <w:tblPr/>
      <w:tcPr>
        <w:tcBorders>
          <w:top w:val="single" w:sz="4" w:space="0" w:color="6FB4DE" w:themeColor="accent6" w:themeTint="99"/>
        </w:tcBorders>
      </w:tcPr>
    </w:tblStylePr>
  </w:style>
  <w:style w:type="table" w:styleId="GridTable4-Accent2">
    <w:name w:val="Grid Table 4 Accent 2"/>
    <w:basedOn w:val="TableNormal"/>
    <w:uiPriority w:val="49"/>
    <w:rsid w:val="00CC7101"/>
    <w:pPr>
      <w:spacing w:after="0" w:line="240" w:lineRule="auto"/>
    </w:pPr>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insideV w:val="single" w:sz="4" w:space="0" w:color="F7A07A" w:themeColor="accent2" w:themeTint="99"/>
      </w:tblBorders>
    </w:tblPr>
    <w:tblStylePr w:type="firstRow">
      <w:rPr>
        <w:b/>
        <w:bCs/>
        <w:color w:val="FFFFFF" w:themeColor="background1"/>
      </w:rPr>
      <w:tblPr/>
      <w:tcPr>
        <w:tcBorders>
          <w:top w:val="single" w:sz="4" w:space="0" w:color="F26322" w:themeColor="accent2"/>
          <w:left w:val="single" w:sz="4" w:space="0" w:color="F26322" w:themeColor="accent2"/>
          <w:bottom w:val="single" w:sz="4" w:space="0" w:color="F26322" w:themeColor="accent2"/>
          <w:right w:val="single" w:sz="4" w:space="0" w:color="F26322" w:themeColor="accent2"/>
          <w:insideH w:val="nil"/>
          <w:insideV w:val="nil"/>
        </w:tcBorders>
        <w:shd w:val="clear" w:color="auto" w:fill="F26322" w:themeFill="accent2"/>
      </w:tcPr>
    </w:tblStylePr>
    <w:tblStylePr w:type="lastRow">
      <w:rPr>
        <w:b/>
        <w:bCs/>
      </w:rPr>
      <w:tblPr/>
      <w:tcPr>
        <w:tcBorders>
          <w:top w:val="double" w:sz="4" w:space="0" w:color="F26322" w:themeColor="accent2"/>
        </w:tcBorders>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styleId="TableGridLight">
    <w:name w:val="Grid Table Light"/>
    <w:basedOn w:val="TableNormal"/>
    <w:uiPriority w:val="40"/>
    <w:rsid w:val="00CC71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Accent2">
    <w:name w:val="List Table 4 Accent 2"/>
    <w:basedOn w:val="TableNormal"/>
    <w:uiPriority w:val="49"/>
    <w:rsid w:val="00CC7101"/>
    <w:pPr>
      <w:spacing w:after="0" w:line="240" w:lineRule="auto"/>
    </w:pPr>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tblBorders>
    </w:tblPr>
    <w:tblStylePr w:type="firstRow">
      <w:rPr>
        <w:b/>
        <w:bCs/>
        <w:color w:val="FFFFFF" w:themeColor="background1"/>
      </w:rPr>
      <w:tblPr/>
      <w:tcPr>
        <w:tcBorders>
          <w:top w:val="single" w:sz="4" w:space="0" w:color="F26322" w:themeColor="accent2"/>
          <w:left w:val="single" w:sz="4" w:space="0" w:color="F26322" w:themeColor="accent2"/>
          <w:bottom w:val="single" w:sz="4" w:space="0" w:color="F26322" w:themeColor="accent2"/>
          <w:right w:val="single" w:sz="4" w:space="0" w:color="F26322" w:themeColor="accent2"/>
          <w:insideH w:val="nil"/>
        </w:tcBorders>
        <w:shd w:val="clear" w:color="auto" w:fill="F26322" w:themeFill="accent2"/>
      </w:tcPr>
    </w:tblStylePr>
    <w:tblStylePr w:type="lastRow">
      <w:rPr>
        <w:b/>
        <w:bCs/>
      </w:rPr>
      <w:tblPr/>
      <w:tcPr>
        <w:tcBorders>
          <w:top w:val="double" w:sz="4" w:space="0" w:color="F7A07A" w:themeColor="accent2" w:themeTint="99"/>
        </w:tcBorders>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customStyle="1" w:styleId="SRC1">
    <w:name w:val="SRC 1"/>
    <w:basedOn w:val="TableNormal"/>
    <w:uiPriority w:val="99"/>
    <w:rsid w:val="00CC7101"/>
    <w:pPr>
      <w:spacing w:before="60" w:after="60" w:line="240" w:lineRule="auto"/>
    </w:pPr>
    <w:rPr>
      <w:rFonts w:ascii="Arial" w:hAnsi="Arial"/>
      <w:sz w:val="18"/>
    </w:rPr>
    <w:tblPr>
      <w:tblStyleRowBandSize w:val="1"/>
      <w:tblStyleColBandSize w:val="1"/>
      <w:tblBorders>
        <w:bottom w:val="single" w:sz="4" w:space="0" w:color="002D3F" w:themeColor="accent1"/>
      </w:tblBorders>
    </w:tblPr>
    <w:tblStylePr w:type="firstRow">
      <w:pPr>
        <w:wordWrap/>
        <w:spacing w:beforeLines="0" w:before="60" w:beforeAutospacing="0" w:afterLines="0" w:after="60" w:afterAutospacing="0" w:line="240" w:lineRule="auto"/>
        <w:contextualSpacing w:val="0"/>
        <w:jc w:val="left"/>
      </w:pPr>
      <w:rPr>
        <w:rFonts w:ascii="Arial" w:hAnsi="Arial"/>
        <w:b/>
        <w:color w:val="FFFFFF" w:themeColor="background1"/>
        <w:sz w:val="18"/>
      </w:rPr>
      <w:tblPr/>
      <w:tcPr>
        <w:shd w:val="clear" w:color="auto" w:fill="002D3F" w:themeFill="accent1"/>
        <w:vAlign w:val="center"/>
      </w:tcPr>
    </w:tblStylePr>
    <w:tblStylePr w:type="lastRow">
      <w:pPr>
        <w:wordWrap/>
        <w:spacing w:beforeLines="0" w:before="60" w:beforeAutospacing="0" w:afterLines="0" w:after="60" w:afterAutospacing="0" w:line="240" w:lineRule="auto"/>
        <w:contextualSpacing w:val="0"/>
        <w:jc w:val="left"/>
      </w:pPr>
      <w:rPr>
        <w:rFonts w:ascii="Arial" w:hAnsi="Arial"/>
        <w:sz w:val="18"/>
      </w:rPr>
    </w:tblStylePr>
    <w:tblStylePr w:type="firstCol">
      <w:pPr>
        <w:wordWrap/>
        <w:spacing w:beforeLines="0" w:before="60" w:beforeAutospacing="0" w:afterLines="0" w:after="60" w:afterAutospacing="0" w:line="240" w:lineRule="auto"/>
        <w:contextualSpacing w:val="0"/>
        <w:jc w:val="left"/>
      </w:pPr>
      <w:rPr>
        <w:rFonts w:ascii="Arial" w:hAnsi="Arial"/>
        <w:sz w:val="18"/>
      </w:rPr>
      <w:tblPr/>
      <w:tcPr>
        <w:vAlign w:val="center"/>
      </w:tcPr>
    </w:tblStylePr>
    <w:tblStylePr w:type="lastCol">
      <w:rPr>
        <w:rFonts w:ascii="Arial" w:hAnsi="Arial"/>
        <w:sz w:val="18"/>
      </w:rPr>
    </w:tblStylePr>
    <w:tblStylePr w:type="band1Vert">
      <w:pPr>
        <w:wordWrap/>
        <w:spacing w:beforeLines="0" w:before="60" w:beforeAutospacing="0" w:afterLines="0" w:after="60" w:afterAutospacing="0" w:line="240" w:lineRule="auto"/>
        <w:ind w:rightChars="0" w:right="113"/>
        <w:contextualSpacing w:val="0"/>
        <w:jc w:val="left"/>
        <w:outlineLvl w:val="9"/>
      </w:pPr>
      <w:rPr>
        <w:rFonts w:ascii="Arial" w:hAnsi="Arial"/>
        <w:sz w:val="18"/>
      </w:rPr>
      <w:tblPr/>
      <w:tcPr>
        <w:vAlign w:val="center"/>
      </w:tcPr>
    </w:tblStylePr>
    <w:tblStylePr w:type="band2Vert">
      <w:pPr>
        <w:wordWrap/>
        <w:spacing w:beforeLines="0" w:before="60" w:beforeAutospacing="0" w:afterLines="0" w:after="60" w:afterAutospacing="0" w:line="240" w:lineRule="auto"/>
        <w:ind w:rightChars="0" w:right="113"/>
        <w:contextualSpacing w:val="0"/>
        <w:jc w:val="left"/>
      </w:pPr>
      <w:rPr>
        <w:rFonts w:ascii="Arial" w:hAnsi="Arial"/>
        <w:sz w:val="18"/>
      </w:r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left"/>
      </w:pPr>
      <w:rPr>
        <w:rFonts w:ascii="Arial" w:hAnsi="Arial"/>
        <w:sz w:val="18"/>
      </w:rPr>
      <w:tblPr/>
      <w:tcPr>
        <w:shd w:val="clear" w:color="auto" w:fill="A5E5FF" w:themeFill="accent1" w:themeFillTint="33"/>
        <w:vAlign w:val="center"/>
      </w:tcPr>
    </w:tblStylePr>
    <w:tblStylePr w:type="band2Horz">
      <w:pPr>
        <w:wordWrap/>
        <w:spacing w:beforeLines="0" w:before="60" w:beforeAutospacing="0" w:afterLines="0" w:after="60" w:afterAutospacing="0"/>
        <w:contextualSpacing w:val="0"/>
        <w:jc w:val="left"/>
      </w:pPr>
      <w:rPr>
        <w:rFonts w:ascii="Arial" w:hAnsi="Arial"/>
        <w:sz w:val="18"/>
      </w:rPr>
      <w:tblPr/>
      <w:tcPr>
        <w:vAlign w:val="center"/>
      </w:tcPr>
    </w:tblStylePr>
    <w:tblStylePr w:type="neCell">
      <w:rPr>
        <w:rFonts w:ascii="Arial" w:hAnsi="Arial"/>
        <w:sz w:val="18"/>
      </w:rPr>
    </w:tblStylePr>
    <w:tblStylePr w:type="nwCell">
      <w:rPr>
        <w:rFonts w:ascii="Arial" w:hAnsi="Arial"/>
        <w:sz w:val="18"/>
      </w:rPr>
    </w:tblStylePr>
    <w:tblStylePr w:type="seCell">
      <w:rPr>
        <w:rFonts w:ascii="Arial" w:hAnsi="Arial"/>
        <w:sz w:val="18"/>
      </w:rPr>
    </w:tblStylePr>
    <w:tblStylePr w:type="swCell">
      <w:rPr>
        <w:rFonts w:ascii="Arial" w:hAnsi="Arial"/>
        <w:sz w:val="18"/>
      </w:rPr>
    </w:tblStylePr>
  </w:style>
  <w:style w:type="table" w:styleId="GridTable4-Accent1">
    <w:name w:val="Grid Table 4 Accent 1"/>
    <w:basedOn w:val="TableNormal"/>
    <w:uiPriority w:val="49"/>
    <w:rsid w:val="00CC7101"/>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insideV w:val="nil"/>
        </w:tcBorders>
        <w:shd w:val="clear" w:color="auto" w:fill="002D3F" w:themeFill="accent1"/>
      </w:tcPr>
    </w:tblStylePr>
    <w:tblStylePr w:type="lastRow">
      <w:rPr>
        <w:b/>
        <w:bCs/>
      </w:rPr>
      <w:tblPr/>
      <w:tcPr>
        <w:tcBorders>
          <w:top w:val="double" w:sz="4" w:space="0" w:color="002D3F" w:themeColor="accent1"/>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styleId="GridTable4-Accent3">
    <w:name w:val="Grid Table 4 Accent 3"/>
    <w:basedOn w:val="TableNormal"/>
    <w:uiPriority w:val="49"/>
    <w:rsid w:val="00CC7101"/>
    <w:pPr>
      <w:spacing w:after="0" w:line="240" w:lineRule="auto"/>
    </w:pPr>
    <w:tblPr>
      <w:tblStyleRowBandSize w:val="1"/>
      <w:tblStyleColBandSize w:val="1"/>
      <w:tblBorders>
        <w:top w:val="single" w:sz="4" w:space="0" w:color="1BFFE9" w:themeColor="accent3" w:themeTint="99"/>
        <w:left w:val="single" w:sz="4" w:space="0" w:color="1BFFE9" w:themeColor="accent3" w:themeTint="99"/>
        <w:bottom w:val="single" w:sz="4" w:space="0" w:color="1BFFE9" w:themeColor="accent3" w:themeTint="99"/>
        <w:right w:val="single" w:sz="4" w:space="0" w:color="1BFFE9" w:themeColor="accent3" w:themeTint="99"/>
        <w:insideH w:val="single" w:sz="4" w:space="0" w:color="1BFFE9" w:themeColor="accent3" w:themeTint="99"/>
        <w:insideV w:val="single" w:sz="4" w:space="0" w:color="1BFFE9" w:themeColor="accent3" w:themeTint="99"/>
      </w:tblBorders>
    </w:tblPr>
    <w:tblStylePr w:type="firstRow">
      <w:rPr>
        <w:b/>
        <w:bCs/>
        <w:color w:val="FFFFFF" w:themeColor="background1"/>
      </w:rPr>
      <w:tblPr/>
      <w:tcPr>
        <w:tcBorders>
          <w:top w:val="single" w:sz="4" w:space="0" w:color="008276" w:themeColor="accent3"/>
          <w:left w:val="single" w:sz="4" w:space="0" w:color="008276" w:themeColor="accent3"/>
          <w:bottom w:val="single" w:sz="4" w:space="0" w:color="008276" w:themeColor="accent3"/>
          <w:right w:val="single" w:sz="4" w:space="0" w:color="008276" w:themeColor="accent3"/>
          <w:insideH w:val="nil"/>
          <w:insideV w:val="nil"/>
        </w:tcBorders>
        <w:shd w:val="clear" w:color="auto" w:fill="008276" w:themeFill="accent3"/>
      </w:tcPr>
    </w:tblStylePr>
    <w:tblStylePr w:type="lastRow">
      <w:rPr>
        <w:b/>
        <w:bCs/>
      </w:rPr>
      <w:tblPr/>
      <w:tcPr>
        <w:tcBorders>
          <w:top w:val="double" w:sz="4" w:space="0" w:color="008276" w:themeColor="accent3"/>
        </w:tcBorders>
      </w:tcPr>
    </w:tblStylePr>
    <w:tblStylePr w:type="firstCol">
      <w:rPr>
        <w:b/>
        <w:bCs/>
      </w:rPr>
    </w:tblStylePr>
    <w:tblStylePr w:type="lastCol">
      <w:rPr>
        <w:b/>
        <w:bCs/>
      </w:rPr>
    </w:tblStylePr>
    <w:tblStylePr w:type="band1Vert">
      <w:tblPr/>
      <w:tcPr>
        <w:shd w:val="clear" w:color="auto" w:fill="B3FFF7" w:themeFill="accent3" w:themeFillTint="33"/>
      </w:tcPr>
    </w:tblStylePr>
    <w:tblStylePr w:type="band1Horz">
      <w:tblPr/>
      <w:tcPr>
        <w:shd w:val="clear" w:color="auto" w:fill="B3FFF7" w:themeFill="accent3" w:themeFillTint="33"/>
      </w:tcPr>
    </w:tblStylePr>
  </w:style>
  <w:style w:type="table" w:styleId="GridTable4-Accent4">
    <w:name w:val="Grid Table 4 Accent 4"/>
    <w:basedOn w:val="TableNormal"/>
    <w:uiPriority w:val="49"/>
    <w:rsid w:val="00CC7101"/>
    <w:pPr>
      <w:spacing w:after="0" w:line="240" w:lineRule="auto"/>
    </w:pPr>
    <w:tblPr>
      <w:tblStyleRowBandSize w:val="1"/>
      <w:tblStyleColBandSize w:val="1"/>
      <w:tblBorders>
        <w:top w:val="single" w:sz="4" w:space="0" w:color="FF3AAC" w:themeColor="accent4" w:themeTint="99"/>
        <w:left w:val="single" w:sz="4" w:space="0" w:color="FF3AAC" w:themeColor="accent4" w:themeTint="99"/>
        <w:bottom w:val="single" w:sz="4" w:space="0" w:color="FF3AAC" w:themeColor="accent4" w:themeTint="99"/>
        <w:right w:val="single" w:sz="4" w:space="0" w:color="FF3AAC" w:themeColor="accent4" w:themeTint="99"/>
        <w:insideH w:val="single" w:sz="4" w:space="0" w:color="FF3AAC" w:themeColor="accent4" w:themeTint="99"/>
        <w:insideV w:val="single" w:sz="4" w:space="0" w:color="FF3AAC" w:themeColor="accent4" w:themeTint="99"/>
      </w:tblBorders>
    </w:tblPr>
    <w:tblStylePr w:type="firstRow">
      <w:rPr>
        <w:b/>
        <w:bCs/>
        <w:color w:val="FFFFFF" w:themeColor="background1"/>
      </w:rPr>
      <w:tblPr/>
      <w:tcPr>
        <w:tcBorders>
          <w:top w:val="single" w:sz="4" w:space="0" w:color="B6006A" w:themeColor="accent4"/>
          <w:left w:val="single" w:sz="4" w:space="0" w:color="B6006A" w:themeColor="accent4"/>
          <w:bottom w:val="single" w:sz="4" w:space="0" w:color="B6006A" w:themeColor="accent4"/>
          <w:right w:val="single" w:sz="4" w:space="0" w:color="B6006A" w:themeColor="accent4"/>
          <w:insideH w:val="nil"/>
          <w:insideV w:val="nil"/>
        </w:tcBorders>
        <w:shd w:val="clear" w:color="auto" w:fill="B6006A" w:themeFill="accent4"/>
      </w:tcPr>
    </w:tblStylePr>
    <w:tblStylePr w:type="lastRow">
      <w:rPr>
        <w:b/>
        <w:bCs/>
      </w:rPr>
      <w:tblPr/>
      <w:tcPr>
        <w:tcBorders>
          <w:top w:val="double" w:sz="4" w:space="0" w:color="B6006A" w:themeColor="accent4"/>
        </w:tcBorders>
      </w:tcPr>
    </w:tblStylePr>
    <w:tblStylePr w:type="firstCol">
      <w:rPr>
        <w:b/>
        <w:bCs/>
      </w:rPr>
    </w:tblStylePr>
    <w:tblStylePr w:type="lastCol">
      <w:rPr>
        <w:b/>
        <w:bCs/>
      </w:rPr>
    </w:tblStylePr>
    <w:tblStylePr w:type="band1Vert">
      <w:tblPr/>
      <w:tcPr>
        <w:shd w:val="clear" w:color="auto" w:fill="FFBDE3" w:themeFill="accent4" w:themeFillTint="33"/>
      </w:tcPr>
    </w:tblStylePr>
    <w:tblStylePr w:type="band1Horz">
      <w:tblPr/>
      <w:tcPr>
        <w:shd w:val="clear" w:color="auto" w:fill="FFBDE3" w:themeFill="accent4" w:themeFillTint="33"/>
      </w:tcPr>
    </w:tblStylePr>
  </w:style>
  <w:style w:type="table" w:styleId="GridTable4-Accent5">
    <w:name w:val="Grid Table 4 Accent 5"/>
    <w:basedOn w:val="TableNormal"/>
    <w:uiPriority w:val="49"/>
    <w:rsid w:val="00CC7101"/>
    <w:pPr>
      <w:spacing w:after="0" w:line="240" w:lineRule="auto"/>
    </w:p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insideV w:val="nil"/>
        </w:tcBorders>
        <w:shd w:val="clear" w:color="auto" w:fill="E9A913" w:themeFill="accent5"/>
      </w:tcPr>
    </w:tblStylePr>
    <w:tblStylePr w:type="lastRow">
      <w:rPr>
        <w:b/>
        <w:bCs/>
      </w:rPr>
      <w:tblPr/>
      <w:tcPr>
        <w:tcBorders>
          <w:top w:val="double" w:sz="4" w:space="0" w:color="E9A913" w:themeColor="accent5"/>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table" w:styleId="GridTable4-Accent6">
    <w:name w:val="Grid Table 4 Accent 6"/>
    <w:basedOn w:val="TableNormal"/>
    <w:uiPriority w:val="49"/>
    <w:rsid w:val="00CC7101"/>
    <w:pPr>
      <w:spacing w:after="0" w:line="240" w:lineRule="auto"/>
    </w:p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color w:val="FFFFFF" w:themeColor="background1"/>
      </w:rPr>
      <w:tblPr/>
      <w:tcPr>
        <w:tcBorders>
          <w:top w:val="single" w:sz="4" w:space="0" w:color="287DB2" w:themeColor="accent6"/>
          <w:left w:val="single" w:sz="4" w:space="0" w:color="287DB2" w:themeColor="accent6"/>
          <w:bottom w:val="single" w:sz="4" w:space="0" w:color="287DB2" w:themeColor="accent6"/>
          <w:right w:val="single" w:sz="4" w:space="0" w:color="287DB2" w:themeColor="accent6"/>
          <w:insideH w:val="nil"/>
          <w:insideV w:val="nil"/>
        </w:tcBorders>
        <w:shd w:val="clear" w:color="auto" w:fill="287DB2" w:themeFill="accent6"/>
      </w:tcPr>
    </w:tblStylePr>
    <w:tblStylePr w:type="lastRow">
      <w:rPr>
        <w:b/>
        <w:bCs/>
      </w:rPr>
      <w:tblPr/>
      <w:tcPr>
        <w:tcBorders>
          <w:top w:val="double" w:sz="4" w:space="0" w:color="287DB2" w:themeColor="accent6"/>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 w:type="table" w:styleId="GridTable5Dark">
    <w:name w:val="Grid Table 5 Dark"/>
    <w:basedOn w:val="TableNormal"/>
    <w:uiPriority w:val="50"/>
    <w:rsid w:val="00CC71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2">
    <w:name w:val="Grid Table 5 Dark Accent 2"/>
    <w:basedOn w:val="TableNormal"/>
    <w:uiPriority w:val="50"/>
    <w:rsid w:val="00CC71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F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63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63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63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6322" w:themeFill="accent2"/>
      </w:tcPr>
    </w:tblStylePr>
    <w:tblStylePr w:type="band1Vert">
      <w:tblPr/>
      <w:tcPr>
        <w:shd w:val="clear" w:color="auto" w:fill="F9C0A6" w:themeFill="accent2" w:themeFillTint="66"/>
      </w:tcPr>
    </w:tblStylePr>
    <w:tblStylePr w:type="band1Horz">
      <w:tblPr/>
      <w:tcPr>
        <w:shd w:val="clear" w:color="auto" w:fill="F9C0A6" w:themeFill="accent2" w:themeFillTint="66"/>
      </w:tcPr>
    </w:tblStylePr>
  </w:style>
  <w:style w:type="table" w:styleId="GridTable5Dark-Accent3">
    <w:name w:val="Grid Table 5 Dark Accent 3"/>
    <w:basedOn w:val="TableNormal"/>
    <w:uiPriority w:val="50"/>
    <w:rsid w:val="00CC71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F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7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7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7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76" w:themeFill="accent3"/>
      </w:tcPr>
    </w:tblStylePr>
    <w:tblStylePr w:type="band1Vert">
      <w:tblPr/>
      <w:tcPr>
        <w:shd w:val="clear" w:color="auto" w:fill="67FFF0" w:themeFill="accent3" w:themeFillTint="66"/>
      </w:tcPr>
    </w:tblStylePr>
    <w:tblStylePr w:type="band1Horz">
      <w:tblPr/>
      <w:tcPr>
        <w:shd w:val="clear" w:color="auto" w:fill="67FFF0" w:themeFill="accent3" w:themeFillTint="66"/>
      </w:tcPr>
    </w:tblStylePr>
  </w:style>
  <w:style w:type="table" w:styleId="GridTable5Dark-Accent4">
    <w:name w:val="Grid Table 5 Dark Accent 4"/>
    <w:basedOn w:val="TableNormal"/>
    <w:uiPriority w:val="50"/>
    <w:rsid w:val="00CC71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D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006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006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006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006A" w:themeFill="accent4"/>
      </w:tcPr>
    </w:tblStylePr>
    <w:tblStylePr w:type="band1Vert">
      <w:tblPr/>
      <w:tcPr>
        <w:shd w:val="clear" w:color="auto" w:fill="FF7BC7" w:themeFill="accent4" w:themeFillTint="66"/>
      </w:tcPr>
    </w:tblStylePr>
    <w:tblStylePr w:type="band1Horz">
      <w:tblPr/>
      <w:tcPr>
        <w:shd w:val="clear" w:color="auto" w:fill="FF7BC7" w:themeFill="accent4" w:themeFillTint="66"/>
      </w:tcPr>
    </w:tblStylePr>
  </w:style>
  <w:style w:type="table" w:styleId="GridTable5Dark-Accent5">
    <w:name w:val="Grid Table 5 Dark Accent 5"/>
    <w:basedOn w:val="TableNormal"/>
    <w:uiPriority w:val="50"/>
    <w:rsid w:val="00CC71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A91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A91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A91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A913" w:themeFill="accent5"/>
      </w:tcPr>
    </w:tblStylePr>
    <w:tblStylePr w:type="band1Vert">
      <w:tblPr/>
      <w:tcPr>
        <w:shd w:val="clear" w:color="auto" w:fill="F7DC9F" w:themeFill="accent5" w:themeFillTint="66"/>
      </w:tcPr>
    </w:tblStylePr>
    <w:tblStylePr w:type="band1Horz">
      <w:tblPr/>
      <w:tcPr>
        <w:shd w:val="clear" w:color="auto" w:fill="F7DC9F" w:themeFill="accent5" w:themeFillTint="66"/>
      </w:tcPr>
    </w:tblStylePr>
  </w:style>
  <w:style w:type="table" w:styleId="GridTable5Dark-Accent6">
    <w:name w:val="Grid Table 5 Dark Accent 6"/>
    <w:basedOn w:val="TableNormal"/>
    <w:uiPriority w:val="50"/>
    <w:rsid w:val="00CC71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5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DB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DB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DB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DB2" w:themeFill="accent6"/>
      </w:tcPr>
    </w:tblStylePr>
    <w:tblStylePr w:type="band1Vert">
      <w:tblPr/>
      <w:tcPr>
        <w:shd w:val="clear" w:color="auto" w:fill="9FCDE9" w:themeFill="accent6" w:themeFillTint="66"/>
      </w:tcPr>
    </w:tblStylePr>
    <w:tblStylePr w:type="band1Horz">
      <w:tblPr/>
      <w:tcPr>
        <w:shd w:val="clear" w:color="auto" w:fill="9FCDE9" w:themeFill="accent6" w:themeFillTint="66"/>
      </w:tcPr>
    </w:tblStylePr>
  </w:style>
  <w:style w:type="table" w:styleId="GridTable6Colorful">
    <w:name w:val="Grid Table 6 Colorful"/>
    <w:basedOn w:val="TableNormal"/>
    <w:uiPriority w:val="51"/>
    <w:rsid w:val="00CC71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C7101"/>
    <w:pPr>
      <w:spacing w:after="0" w:line="240" w:lineRule="auto"/>
    </w:pPr>
    <w:rPr>
      <w:color w:val="00212F" w:themeColor="accent1" w:themeShade="BF"/>
    </w:r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bottom w:val="single" w:sz="12" w:space="0" w:color="00ACF1" w:themeColor="accent1" w:themeTint="99"/>
        </w:tcBorders>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styleId="GridTable6Colorful-Accent2">
    <w:name w:val="Grid Table 6 Colorful Accent 2"/>
    <w:basedOn w:val="TableNormal"/>
    <w:uiPriority w:val="51"/>
    <w:rsid w:val="00CC7101"/>
    <w:pPr>
      <w:spacing w:after="0" w:line="240" w:lineRule="auto"/>
    </w:pPr>
    <w:rPr>
      <w:color w:val="C3440B" w:themeColor="accent2" w:themeShade="BF"/>
    </w:rPr>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insideV w:val="single" w:sz="4" w:space="0" w:color="F7A07A" w:themeColor="accent2" w:themeTint="99"/>
      </w:tblBorders>
    </w:tblPr>
    <w:tblStylePr w:type="firstRow">
      <w:rPr>
        <w:b/>
        <w:bCs/>
      </w:rPr>
      <w:tblPr/>
      <w:tcPr>
        <w:tcBorders>
          <w:bottom w:val="single" w:sz="12" w:space="0" w:color="F7A07A" w:themeColor="accent2" w:themeTint="99"/>
        </w:tcBorders>
      </w:tcPr>
    </w:tblStylePr>
    <w:tblStylePr w:type="lastRow">
      <w:rPr>
        <w:b/>
        <w:bCs/>
      </w:rPr>
      <w:tblPr/>
      <w:tcPr>
        <w:tcBorders>
          <w:top w:val="double" w:sz="4" w:space="0" w:color="F7A07A" w:themeColor="accent2" w:themeTint="99"/>
        </w:tcBorders>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table" w:styleId="GridTable6Colorful-Accent3">
    <w:name w:val="Grid Table 6 Colorful Accent 3"/>
    <w:basedOn w:val="TableNormal"/>
    <w:uiPriority w:val="51"/>
    <w:rsid w:val="00CC7101"/>
    <w:pPr>
      <w:spacing w:after="0" w:line="240" w:lineRule="auto"/>
    </w:pPr>
    <w:rPr>
      <w:color w:val="006158" w:themeColor="accent3" w:themeShade="BF"/>
    </w:rPr>
    <w:tblPr>
      <w:tblStyleRowBandSize w:val="1"/>
      <w:tblStyleColBandSize w:val="1"/>
      <w:tblBorders>
        <w:top w:val="single" w:sz="4" w:space="0" w:color="1BFFE9" w:themeColor="accent3" w:themeTint="99"/>
        <w:left w:val="single" w:sz="4" w:space="0" w:color="1BFFE9" w:themeColor="accent3" w:themeTint="99"/>
        <w:bottom w:val="single" w:sz="4" w:space="0" w:color="1BFFE9" w:themeColor="accent3" w:themeTint="99"/>
        <w:right w:val="single" w:sz="4" w:space="0" w:color="1BFFE9" w:themeColor="accent3" w:themeTint="99"/>
        <w:insideH w:val="single" w:sz="4" w:space="0" w:color="1BFFE9" w:themeColor="accent3" w:themeTint="99"/>
        <w:insideV w:val="single" w:sz="4" w:space="0" w:color="1BFFE9" w:themeColor="accent3" w:themeTint="99"/>
      </w:tblBorders>
    </w:tblPr>
    <w:tblStylePr w:type="firstRow">
      <w:rPr>
        <w:b/>
        <w:bCs/>
      </w:rPr>
      <w:tblPr/>
      <w:tcPr>
        <w:tcBorders>
          <w:bottom w:val="single" w:sz="12" w:space="0" w:color="1BFFE9" w:themeColor="accent3" w:themeTint="99"/>
        </w:tcBorders>
      </w:tcPr>
    </w:tblStylePr>
    <w:tblStylePr w:type="lastRow">
      <w:rPr>
        <w:b/>
        <w:bCs/>
      </w:rPr>
      <w:tblPr/>
      <w:tcPr>
        <w:tcBorders>
          <w:top w:val="double" w:sz="4" w:space="0" w:color="1BFFE9" w:themeColor="accent3" w:themeTint="99"/>
        </w:tcBorders>
      </w:tcPr>
    </w:tblStylePr>
    <w:tblStylePr w:type="firstCol">
      <w:rPr>
        <w:b/>
        <w:bCs/>
      </w:rPr>
    </w:tblStylePr>
    <w:tblStylePr w:type="lastCol">
      <w:rPr>
        <w:b/>
        <w:bCs/>
      </w:rPr>
    </w:tblStylePr>
    <w:tblStylePr w:type="band1Vert">
      <w:tblPr/>
      <w:tcPr>
        <w:shd w:val="clear" w:color="auto" w:fill="B3FFF7" w:themeFill="accent3" w:themeFillTint="33"/>
      </w:tcPr>
    </w:tblStylePr>
    <w:tblStylePr w:type="band1Horz">
      <w:tblPr/>
      <w:tcPr>
        <w:shd w:val="clear" w:color="auto" w:fill="B3FFF7" w:themeFill="accent3" w:themeFillTint="33"/>
      </w:tcPr>
    </w:tblStylePr>
  </w:style>
  <w:style w:type="table" w:styleId="GridTable6Colorful-Accent4">
    <w:name w:val="Grid Table 6 Colorful Accent 4"/>
    <w:basedOn w:val="TableNormal"/>
    <w:uiPriority w:val="51"/>
    <w:rsid w:val="00CC7101"/>
    <w:pPr>
      <w:spacing w:after="0" w:line="240" w:lineRule="auto"/>
    </w:pPr>
    <w:rPr>
      <w:color w:val="88004E" w:themeColor="accent4" w:themeShade="BF"/>
    </w:rPr>
    <w:tblPr>
      <w:tblStyleRowBandSize w:val="1"/>
      <w:tblStyleColBandSize w:val="1"/>
      <w:tblBorders>
        <w:top w:val="single" w:sz="4" w:space="0" w:color="FF3AAC" w:themeColor="accent4" w:themeTint="99"/>
        <w:left w:val="single" w:sz="4" w:space="0" w:color="FF3AAC" w:themeColor="accent4" w:themeTint="99"/>
        <w:bottom w:val="single" w:sz="4" w:space="0" w:color="FF3AAC" w:themeColor="accent4" w:themeTint="99"/>
        <w:right w:val="single" w:sz="4" w:space="0" w:color="FF3AAC" w:themeColor="accent4" w:themeTint="99"/>
        <w:insideH w:val="single" w:sz="4" w:space="0" w:color="FF3AAC" w:themeColor="accent4" w:themeTint="99"/>
        <w:insideV w:val="single" w:sz="4" w:space="0" w:color="FF3AAC" w:themeColor="accent4" w:themeTint="99"/>
      </w:tblBorders>
    </w:tblPr>
    <w:tblStylePr w:type="firstRow">
      <w:rPr>
        <w:b/>
        <w:bCs/>
      </w:rPr>
      <w:tblPr/>
      <w:tcPr>
        <w:tcBorders>
          <w:bottom w:val="single" w:sz="12" w:space="0" w:color="FF3AAC" w:themeColor="accent4" w:themeTint="99"/>
        </w:tcBorders>
      </w:tcPr>
    </w:tblStylePr>
    <w:tblStylePr w:type="lastRow">
      <w:rPr>
        <w:b/>
        <w:bCs/>
      </w:rPr>
      <w:tblPr/>
      <w:tcPr>
        <w:tcBorders>
          <w:top w:val="double" w:sz="4" w:space="0" w:color="FF3AAC" w:themeColor="accent4" w:themeTint="99"/>
        </w:tcBorders>
      </w:tcPr>
    </w:tblStylePr>
    <w:tblStylePr w:type="firstCol">
      <w:rPr>
        <w:b/>
        <w:bCs/>
      </w:rPr>
    </w:tblStylePr>
    <w:tblStylePr w:type="lastCol">
      <w:rPr>
        <w:b/>
        <w:bCs/>
      </w:rPr>
    </w:tblStylePr>
    <w:tblStylePr w:type="band1Vert">
      <w:tblPr/>
      <w:tcPr>
        <w:shd w:val="clear" w:color="auto" w:fill="FFBDE3" w:themeFill="accent4" w:themeFillTint="33"/>
      </w:tcPr>
    </w:tblStylePr>
    <w:tblStylePr w:type="band1Horz">
      <w:tblPr/>
      <w:tcPr>
        <w:shd w:val="clear" w:color="auto" w:fill="FFBDE3" w:themeFill="accent4" w:themeFillTint="33"/>
      </w:tcPr>
    </w:tblStylePr>
  </w:style>
  <w:style w:type="table" w:styleId="GridTable6Colorful-Accent5">
    <w:name w:val="Grid Table 6 Colorful Accent 5"/>
    <w:basedOn w:val="TableNormal"/>
    <w:uiPriority w:val="51"/>
    <w:rsid w:val="00CC7101"/>
    <w:pPr>
      <w:spacing w:after="0" w:line="240" w:lineRule="auto"/>
    </w:pPr>
    <w:rPr>
      <w:color w:val="AE7E0E" w:themeColor="accent5" w:themeShade="BF"/>
    </w:r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rPr>
      <w:tblPr/>
      <w:tcPr>
        <w:tcBorders>
          <w:bottom w:val="single" w:sz="12" w:space="0" w:color="F3CB6F" w:themeColor="accent5" w:themeTint="99"/>
        </w:tcBorders>
      </w:tcPr>
    </w:tblStylePr>
    <w:tblStylePr w:type="lastRow">
      <w:rPr>
        <w:b/>
        <w:bCs/>
      </w:rPr>
      <w:tblPr/>
      <w:tcPr>
        <w:tcBorders>
          <w:top w:val="double" w:sz="4" w:space="0" w:color="F3CB6F" w:themeColor="accent5" w:themeTint="99"/>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table" w:styleId="GridTable6Colorful-Accent6">
    <w:name w:val="Grid Table 6 Colorful Accent 6"/>
    <w:basedOn w:val="TableNormal"/>
    <w:uiPriority w:val="51"/>
    <w:rsid w:val="00CC7101"/>
    <w:pPr>
      <w:spacing w:after="0" w:line="240" w:lineRule="auto"/>
    </w:pPr>
    <w:rPr>
      <w:color w:val="1E5D85" w:themeColor="accent6" w:themeShade="BF"/>
    </w:r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rPr>
      <w:tblPr/>
      <w:tcPr>
        <w:tcBorders>
          <w:bottom w:val="single" w:sz="12" w:space="0" w:color="6FB4DE" w:themeColor="accent6" w:themeTint="99"/>
        </w:tcBorders>
      </w:tcPr>
    </w:tblStylePr>
    <w:tblStylePr w:type="lastRow">
      <w:rPr>
        <w:b/>
        <w:bCs/>
      </w:rPr>
      <w:tblPr/>
      <w:tcPr>
        <w:tcBorders>
          <w:top w:val="double" w:sz="4" w:space="0" w:color="6FB4DE" w:themeColor="accent6" w:themeTint="99"/>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 w:type="table" w:styleId="GridTable7Colorful">
    <w:name w:val="Grid Table 7 Colorful"/>
    <w:basedOn w:val="TableNormal"/>
    <w:uiPriority w:val="52"/>
    <w:rsid w:val="00CC71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C7101"/>
    <w:pPr>
      <w:spacing w:after="0" w:line="240" w:lineRule="auto"/>
    </w:pPr>
    <w:rPr>
      <w:color w:val="00212F" w:themeColor="accent1" w:themeShade="BF"/>
    </w:r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E5FF" w:themeFill="accent1" w:themeFillTint="33"/>
      </w:tcPr>
    </w:tblStylePr>
    <w:tblStylePr w:type="band1Horz">
      <w:tblPr/>
      <w:tcPr>
        <w:shd w:val="clear" w:color="auto" w:fill="A5E5FF" w:themeFill="accent1" w:themeFillTint="33"/>
      </w:tcPr>
    </w:tblStylePr>
    <w:tblStylePr w:type="neCell">
      <w:tblPr/>
      <w:tcPr>
        <w:tcBorders>
          <w:bottom w:val="single" w:sz="4" w:space="0" w:color="00ACF1" w:themeColor="accent1" w:themeTint="99"/>
        </w:tcBorders>
      </w:tcPr>
    </w:tblStylePr>
    <w:tblStylePr w:type="nwCell">
      <w:tblPr/>
      <w:tcPr>
        <w:tcBorders>
          <w:bottom w:val="single" w:sz="4" w:space="0" w:color="00ACF1" w:themeColor="accent1" w:themeTint="99"/>
        </w:tcBorders>
      </w:tcPr>
    </w:tblStylePr>
    <w:tblStylePr w:type="seCell">
      <w:tblPr/>
      <w:tcPr>
        <w:tcBorders>
          <w:top w:val="single" w:sz="4" w:space="0" w:color="00ACF1" w:themeColor="accent1" w:themeTint="99"/>
        </w:tcBorders>
      </w:tcPr>
    </w:tblStylePr>
    <w:tblStylePr w:type="swCell">
      <w:tblPr/>
      <w:tcPr>
        <w:tcBorders>
          <w:top w:val="single" w:sz="4" w:space="0" w:color="00ACF1" w:themeColor="accent1" w:themeTint="99"/>
        </w:tcBorders>
      </w:tcPr>
    </w:tblStylePr>
  </w:style>
  <w:style w:type="table" w:styleId="GridTable7Colorful-Accent2">
    <w:name w:val="Grid Table 7 Colorful Accent 2"/>
    <w:basedOn w:val="TableNormal"/>
    <w:uiPriority w:val="52"/>
    <w:rsid w:val="00CC7101"/>
    <w:pPr>
      <w:spacing w:after="0" w:line="240" w:lineRule="auto"/>
    </w:pPr>
    <w:rPr>
      <w:color w:val="C3440B" w:themeColor="accent2" w:themeShade="BF"/>
    </w:rPr>
    <w:tblPr>
      <w:tblStyleRowBandSize w:val="1"/>
      <w:tblStyleColBandSize w:val="1"/>
      <w:tblBorders>
        <w:top w:val="single" w:sz="4" w:space="0" w:color="F7A07A" w:themeColor="accent2" w:themeTint="99"/>
        <w:left w:val="single" w:sz="4" w:space="0" w:color="F7A07A" w:themeColor="accent2" w:themeTint="99"/>
        <w:bottom w:val="single" w:sz="4" w:space="0" w:color="F7A07A" w:themeColor="accent2" w:themeTint="99"/>
        <w:right w:val="single" w:sz="4" w:space="0" w:color="F7A07A" w:themeColor="accent2" w:themeTint="99"/>
        <w:insideH w:val="single" w:sz="4" w:space="0" w:color="F7A07A" w:themeColor="accent2" w:themeTint="99"/>
        <w:insideV w:val="single" w:sz="4" w:space="0" w:color="F7A0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D2" w:themeFill="accent2" w:themeFillTint="33"/>
      </w:tcPr>
    </w:tblStylePr>
    <w:tblStylePr w:type="band1Horz">
      <w:tblPr/>
      <w:tcPr>
        <w:shd w:val="clear" w:color="auto" w:fill="FCDFD2" w:themeFill="accent2" w:themeFillTint="33"/>
      </w:tcPr>
    </w:tblStylePr>
    <w:tblStylePr w:type="neCell">
      <w:tblPr/>
      <w:tcPr>
        <w:tcBorders>
          <w:bottom w:val="single" w:sz="4" w:space="0" w:color="F7A07A" w:themeColor="accent2" w:themeTint="99"/>
        </w:tcBorders>
      </w:tcPr>
    </w:tblStylePr>
    <w:tblStylePr w:type="nwCell">
      <w:tblPr/>
      <w:tcPr>
        <w:tcBorders>
          <w:bottom w:val="single" w:sz="4" w:space="0" w:color="F7A07A" w:themeColor="accent2" w:themeTint="99"/>
        </w:tcBorders>
      </w:tcPr>
    </w:tblStylePr>
    <w:tblStylePr w:type="seCell">
      <w:tblPr/>
      <w:tcPr>
        <w:tcBorders>
          <w:top w:val="single" w:sz="4" w:space="0" w:color="F7A07A" w:themeColor="accent2" w:themeTint="99"/>
        </w:tcBorders>
      </w:tcPr>
    </w:tblStylePr>
    <w:tblStylePr w:type="swCell">
      <w:tblPr/>
      <w:tcPr>
        <w:tcBorders>
          <w:top w:val="single" w:sz="4" w:space="0" w:color="F7A07A" w:themeColor="accent2" w:themeTint="99"/>
        </w:tcBorders>
      </w:tcPr>
    </w:tblStylePr>
  </w:style>
  <w:style w:type="table" w:styleId="GridTable7Colorful-Accent3">
    <w:name w:val="Grid Table 7 Colorful Accent 3"/>
    <w:basedOn w:val="TableNormal"/>
    <w:uiPriority w:val="52"/>
    <w:rsid w:val="00CC7101"/>
    <w:pPr>
      <w:spacing w:after="0" w:line="240" w:lineRule="auto"/>
    </w:pPr>
    <w:rPr>
      <w:color w:val="006158" w:themeColor="accent3" w:themeShade="BF"/>
    </w:rPr>
    <w:tblPr>
      <w:tblStyleRowBandSize w:val="1"/>
      <w:tblStyleColBandSize w:val="1"/>
      <w:tblBorders>
        <w:top w:val="single" w:sz="4" w:space="0" w:color="1BFFE9" w:themeColor="accent3" w:themeTint="99"/>
        <w:left w:val="single" w:sz="4" w:space="0" w:color="1BFFE9" w:themeColor="accent3" w:themeTint="99"/>
        <w:bottom w:val="single" w:sz="4" w:space="0" w:color="1BFFE9" w:themeColor="accent3" w:themeTint="99"/>
        <w:right w:val="single" w:sz="4" w:space="0" w:color="1BFFE9" w:themeColor="accent3" w:themeTint="99"/>
        <w:insideH w:val="single" w:sz="4" w:space="0" w:color="1BFFE9" w:themeColor="accent3" w:themeTint="99"/>
        <w:insideV w:val="single" w:sz="4" w:space="0" w:color="1BFFE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FF7" w:themeFill="accent3" w:themeFillTint="33"/>
      </w:tcPr>
    </w:tblStylePr>
    <w:tblStylePr w:type="band1Horz">
      <w:tblPr/>
      <w:tcPr>
        <w:shd w:val="clear" w:color="auto" w:fill="B3FFF7" w:themeFill="accent3" w:themeFillTint="33"/>
      </w:tcPr>
    </w:tblStylePr>
    <w:tblStylePr w:type="neCell">
      <w:tblPr/>
      <w:tcPr>
        <w:tcBorders>
          <w:bottom w:val="single" w:sz="4" w:space="0" w:color="1BFFE9" w:themeColor="accent3" w:themeTint="99"/>
        </w:tcBorders>
      </w:tcPr>
    </w:tblStylePr>
    <w:tblStylePr w:type="nwCell">
      <w:tblPr/>
      <w:tcPr>
        <w:tcBorders>
          <w:bottom w:val="single" w:sz="4" w:space="0" w:color="1BFFE9" w:themeColor="accent3" w:themeTint="99"/>
        </w:tcBorders>
      </w:tcPr>
    </w:tblStylePr>
    <w:tblStylePr w:type="seCell">
      <w:tblPr/>
      <w:tcPr>
        <w:tcBorders>
          <w:top w:val="single" w:sz="4" w:space="0" w:color="1BFFE9" w:themeColor="accent3" w:themeTint="99"/>
        </w:tcBorders>
      </w:tcPr>
    </w:tblStylePr>
    <w:tblStylePr w:type="swCell">
      <w:tblPr/>
      <w:tcPr>
        <w:tcBorders>
          <w:top w:val="single" w:sz="4" w:space="0" w:color="1BFFE9" w:themeColor="accent3" w:themeTint="99"/>
        </w:tcBorders>
      </w:tcPr>
    </w:tblStylePr>
  </w:style>
  <w:style w:type="table" w:styleId="GridTable7Colorful-Accent4">
    <w:name w:val="Grid Table 7 Colorful Accent 4"/>
    <w:basedOn w:val="TableNormal"/>
    <w:uiPriority w:val="52"/>
    <w:rsid w:val="00CC7101"/>
    <w:pPr>
      <w:spacing w:after="0" w:line="240" w:lineRule="auto"/>
    </w:pPr>
    <w:rPr>
      <w:color w:val="88004E" w:themeColor="accent4" w:themeShade="BF"/>
    </w:rPr>
    <w:tblPr>
      <w:tblStyleRowBandSize w:val="1"/>
      <w:tblStyleColBandSize w:val="1"/>
      <w:tblBorders>
        <w:top w:val="single" w:sz="4" w:space="0" w:color="FF3AAC" w:themeColor="accent4" w:themeTint="99"/>
        <w:left w:val="single" w:sz="4" w:space="0" w:color="FF3AAC" w:themeColor="accent4" w:themeTint="99"/>
        <w:bottom w:val="single" w:sz="4" w:space="0" w:color="FF3AAC" w:themeColor="accent4" w:themeTint="99"/>
        <w:right w:val="single" w:sz="4" w:space="0" w:color="FF3AAC" w:themeColor="accent4" w:themeTint="99"/>
        <w:insideH w:val="single" w:sz="4" w:space="0" w:color="FF3AAC" w:themeColor="accent4" w:themeTint="99"/>
        <w:insideV w:val="single" w:sz="4" w:space="0" w:color="FF3AA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DE3" w:themeFill="accent4" w:themeFillTint="33"/>
      </w:tcPr>
    </w:tblStylePr>
    <w:tblStylePr w:type="band1Horz">
      <w:tblPr/>
      <w:tcPr>
        <w:shd w:val="clear" w:color="auto" w:fill="FFBDE3" w:themeFill="accent4" w:themeFillTint="33"/>
      </w:tcPr>
    </w:tblStylePr>
    <w:tblStylePr w:type="neCell">
      <w:tblPr/>
      <w:tcPr>
        <w:tcBorders>
          <w:bottom w:val="single" w:sz="4" w:space="0" w:color="FF3AAC" w:themeColor="accent4" w:themeTint="99"/>
        </w:tcBorders>
      </w:tcPr>
    </w:tblStylePr>
    <w:tblStylePr w:type="nwCell">
      <w:tblPr/>
      <w:tcPr>
        <w:tcBorders>
          <w:bottom w:val="single" w:sz="4" w:space="0" w:color="FF3AAC" w:themeColor="accent4" w:themeTint="99"/>
        </w:tcBorders>
      </w:tcPr>
    </w:tblStylePr>
    <w:tblStylePr w:type="seCell">
      <w:tblPr/>
      <w:tcPr>
        <w:tcBorders>
          <w:top w:val="single" w:sz="4" w:space="0" w:color="FF3AAC" w:themeColor="accent4" w:themeTint="99"/>
        </w:tcBorders>
      </w:tcPr>
    </w:tblStylePr>
    <w:tblStylePr w:type="swCell">
      <w:tblPr/>
      <w:tcPr>
        <w:tcBorders>
          <w:top w:val="single" w:sz="4" w:space="0" w:color="FF3AAC" w:themeColor="accent4" w:themeTint="99"/>
        </w:tcBorders>
      </w:tcPr>
    </w:tblStylePr>
  </w:style>
  <w:style w:type="table" w:styleId="GridTable7Colorful-Accent5">
    <w:name w:val="Grid Table 7 Colorful Accent 5"/>
    <w:basedOn w:val="TableNormal"/>
    <w:uiPriority w:val="52"/>
    <w:rsid w:val="00CC7101"/>
    <w:pPr>
      <w:spacing w:after="0" w:line="240" w:lineRule="auto"/>
    </w:pPr>
    <w:rPr>
      <w:color w:val="AE7E0E" w:themeColor="accent5" w:themeShade="BF"/>
    </w:r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CF" w:themeFill="accent5" w:themeFillTint="33"/>
      </w:tcPr>
    </w:tblStylePr>
    <w:tblStylePr w:type="band1Horz">
      <w:tblPr/>
      <w:tcPr>
        <w:shd w:val="clear" w:color="auto" w:fill="FBEDCF" w:themeFill="accent5" w:themeFillTint="33"/>
      </w:tcPr>
    </w:tblStylePr>
    <w:tblStylePr w:type="neCell">
      <w:tblPr/>
      <w:tcPr>
        <w:tcBorders>
          <w:bottom w:val="single" w:sz="4" w:space="0" w:color="F3CB6F" w:themeColor="accent5" w:themeTint="99"/>
        </w:tcBorders>
      </w:tcPr>
    </w:tblStylePr>
    <w:tblStylePr w:type="nwCell">
      <w:tblPr/>
      <w:tcPr>
        <w:tcBorders>
          <w:bottom w:val="single" w:sz="4" w:space="0" w:color="F3CB6F" w:themeColor="accent5" w:themeTint="99"/>
        </w:tcBorders>
      </w:tcPr>
    </w:tblStylePr>
    <w:tblStylePr w:type="seCell">
      <w:tblPr/>
      <w:tcPr>
        <w:tcBorders>
          <w:top w:val="single" w:sz="4" w:space="0" w:color="F3CB6F" w:themeColor="accent5" w:themeTint="99"/>
        </w:tcBorders>
      </w:tcPr>
    </w:tblStylePr>
    <w:tblStylePr w:type="swCell">
      <w:tblPr/>
      <w:tcPr>
        <w:tcBorders>
          <w:top w:val="single" w:sz="4" w:space="0" w:color="F3CB6F" w:themeColor="accent5" w:themeTint="99"/>
        </w:tcBorders>
      </w:tcPr>
    </w:tblStylePr>
  </w:style>
  <w:style w:type="table" w:styleId="ListTable7Colorful-Accent6">
    <w:name w:val="List Table 7 Colorful Accent 6"/>
    <w:basedOn w:val="TableNormal"/>
    <w:uiPriority w:val="52"/>
    <w:rsid w:val="00CC7101"/>
    <w:pPr>
      <w:spacing w:after="0" w:line="240" w:lineRule="auto"/>
    </w:pPr>
    <w:rPr>
      <w:color w:val="1E5D8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7DB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7DB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7DB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7DB2" w:themeColor="accent6"/>
        </w:tcBorders>
        <w:shd w:val="clear" w:color="auto" w:fill="FFFFFF" w:themeFill="background1"/>
      </w:tcPr>
    </w:tblStylePr>
    <w:tblStylePr w:type="band1Vert">
      <w:tblPr/>
      <w:tcPr>
        <w:shd w:val="clear" w:color="auto" w:fill="CFE5F4" w:themeFill="accent6" w:themeFillTint="33"/>
      </w:tcPr>
    </w:tblStylePr>
    <w:tblStylePr w:type="band1Horz">
      <w:tblPr/>
      <w:tcPr>
        <w:shd w:val="clear" w:color="auto" w:fill="CFE5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C7101"/>
    <w:pPr>
      <w:spacing w:after="0" w:line="240" w:lineRule="auto"/>
    </w:pPr>
    <w:rPr>
      <w:color w:val="AE7E0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A91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A91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A91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A913" w:themeColor="accent5"/>
        </w:tcBorders>
        <w:shd w:val="clear" w:color="auto" w:fill="FFFFFF" w:themeFill="background1"/>
      </w:tcPr>
    </w:tblStylePr>
    <w:tblStylePr w:type="band1Vert">
      <w:tblPr/>
      <w:tcPr>
        <w:shd w:val="clear" w:color="auto" w:fill="FBEDCF" w:themeFill="accent5" w:themeFillTint="33"/>
      </w:tcPr>
    </w:tblStylePr>
    <w:tblStylePr w:type="band1Horz">
      <w:tblPr/>
      <w:tcPr>
        <w:shd w:val="clear" w:color="auto" w:fill="FBEDC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C7101"/>
    <w:pPr>
      <w:spacing w:after="0" w:line="240" w:lineRule="auto"/>
    </w:pPr>
    <w:rPr>
      <w:color w:val="8800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6006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6006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6006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6006A" w:themeColor="accent4"/>
        </w:tcBorders>
        <w:shd w:val="clear" w:color="auto" w:fill="FFFFFF" w:themeFill="background1"/>
      </w:tcPr>
    </w:tblStylePr>
    <w:tblStylePr w:type="band1Vert">
      <w:tblPr/>
      <w:tcPr>
        <w:shd w:val="clear" w:color="auto" w:fill="FFBDE3" w:themeFill="accent4" w:themeFillTint="33"/>
      </w:tcPr>
    </w:tblStylePr>
    <w:tblStylePr w:type="band1Horz">
      <w:tblPr/>
      <w:tcPr>
        <w:shd w:val="clear" w:color="auto" w:fill="FFBD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C7101"/>
    <w:pPr>
      <w:spacing w:after="0" w:line="240" w:lineRule="auto"/>
    </w:pPr>
    <w:rPr>
      <w:color w:val="00615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27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27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27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276" w:themeColor="accent3"/>
        </w:tcBorders>
        <w:shd w:val="clear" w:color="auto" w:fill="FFFFFF" w:themeFill="background1"/>
      </w:tcPr>
    </w:tblStylePr>
    <w:tblStylePr w:type="band1Vert">
      <w:tblPr/>
      <w:tcPr>
        <w:shd w:val="clear" w:color="auto" w:fill="B3FFF7" w:themeFill="accent3" w:themeFillTint="33"/>
      </w:tcPr>
    </w:tblStylePr>
    <w:tblStylePr w:type="band1Horz">
      <w:tblPr/>
      <w:tcPr>
        <w:shd w:val="clear" w:color="auto" w:fill="B3FF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Format">
    <w:name w:val="Table Format"/>
    <w:basedOn w:val="Body"/>
    <w:next w:val="Body"/>
    <w:qFormat/>
    <w:rsid w:val="003109FD"/>
    <w:pPr>
      <w:spacing w:before="60" w:after="60" w:line="240" w:lineRule="auto"/>
      <w:jc w:val="left"/>
    </w:pPr>
    <w:rPr>
      <w:rFonts w:eastAsia="Times New Roman" w:cs="Times New Roman"/>
      <w:sz w:val="20"/>
      <w:szCs w:val="20"/>
    </w:rPr>
  </w:style>
  <w:style w:type="paragraph" w:styleId="TableofFigures">
    <w:name w:val="table of figures"/>
    <w:basedOn w:val="Normal"/>
    <w:next w:val="Normal"/>
    <w:uiPriority w:val="99"/>
    <w:unhideWhenUsed/>
    <w:rsid w:val="00CC7101"/>
    <w:pPr>
      <w:spacing w:before="60" w:after="60" w:line="240" w:lineRule="auto"/>
      <w:ind w:left="1418" w:right="567" w:hanging="1418"/>
    </w:pPr>
    <w:rPr>
      <w:rFonts w:ascii="Arial" w:hAnsi="Arial"/>
      <w:sz w:val="20"/>
    </w:rPr>
  </w:style>
  <w:style w:type="table" w:styleId="PlainTable1">
    <w:name w:val="Plain Table 1"/>
    <w:basedOn w:val="TableNormal"/>
    <w:uiPriority w:val="41"/>
    <w:rsid w:val="00CC71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StatementChar">
    <w:name w:val="4 Statement Char"/>
    <w:link w:val="4Statement"/>
    <w:locked/>
    <w:rsid w:val="00CC7101"/>
    <w:rPr>
      <w:rFonts w:ascii="Arial" w:eastAsia="Arial" w:hAnsi="Arial" w:cs="Arial"/>
      <w:noProof/>
      <w:color w:val="000000"/>
      <w:spacing w:val="-3"/>
      <w:sz w:val="20"/>
      <w:szCs w:val="20"/>
    </w:rPr>
  </w:style>
  <w:style w:type="paragraph" w:customStyle="1" w:styleId="4Statement">
    <w:name w:val="4 Statement"/>
    <w:basedOn w:val="Normal"/>
    <w:link w:val="4StatementChar"/>
    <w:rsid w:val="00CC7101"/>
    <w:pPr>
      <w:numPr>
        <w:ilvl w:val="1"/>
        <w:numId w:val="10"/>
      </w:numPr>
      <w:suppressAutoHyphens/>
      <w:spacing w:after="0" w:line="240" w:lineRule="auto"/>
      <w:jc w:val="both"/>
    </w:pPr>
    <w:rPr>
      <w:rFonts w:ascii="Arial" w:eastAsia="Arial" w:hAnsi="Arial" w:cs="Arial"/>
      <w:noProof/>
      <w:color w:val="000000"/>
      <w:spacing w:val="-3"/>
      <w:sz w:val="20"/>
      <w:szCs w:val="20"/>
    </w:rPr>
  </w:style>
  <w:style w:type="character" w:customStyle="1" w:styleId="FootnoteTextChar1">
    <w:name w:val="Footnote Text Char1"/>
    <w:basedOn w:val="DefaultParagraphFont"/>
    <w:uiPriority w:val="99"/>
    <w:semiHidden/>
    <w:rsid w:val="00CC7101"/>
    <w:rPr>
      <w:rFonts w:ascii="Arial" w:hAnsi="Arial"/>
      <w:sz w:val="20"/>
      <w:szCs w:val="20"/>
    </w:rPr>
  </w:style>
  <w:style w:type="paragraph" w:customStyle="1" w:styleId="Default">
    <w:name w:val="Default"/>
    <w:rsid w:val="00CC7101"/>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C7101"/>
    <w:pPr>
      <w:spacing w:after="0" w:line="240" w:lineRule="auto"/>
    </w:pPr>
    <w:rPr>
      <w:rFonts w:ascii="Arial" w:hAnsi="Arial"/>
      <w:sz w:val="20"/>
    </w:rPr>
  </w:style>
  <w:style w:type="paragraph" w:customStyle="1" w:styleId="msonormal0">
    <w:name w:val="msonormal"/>
    <w:basedOn w:val="Normal"/>
    <w:rsid w:val="00CC710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Indent">
    <w:name w:val="Body Text Indent"/>
    <w:basedOn w:val="Normal"/>
    <w:link w:val="BodyTextIndentChar"/>
    <w:unhideWhenUsed/>
    <w:rsid w:val="00CC7101"/>
    <w:pPr>
      <w:spacing w:before="80" w:after="0" w:line="240" w:lineRule="auto"/>
      <w:ind w:left="51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CC7101"/>
    <w:rPr>
      <w:rFonts w:ascii="Arial" w:eastAsia="Times New Roman" w:hAnsi="Arial" w:cs="Times New Roman"/>
      <w:sz w:val="20"/>
      <w:szCs w:val="20"/>
    </w:rPr>
  </w:style>
  <w:style w:type="paragraph" w:styleId="BodyText2">
    <w:name w:val="Body Text 2"/>
    <w:basedOn w:val="Normal"/>
    <w:link w:val="BodyText2Char"/>
    <w:uiPriority w:val="99"/>
    <w:semiHidden/>
    <w:unhideWhenUsed/>
    <w:rsid w:val="00CC7101"/>
    <w:pPr>
      <w:spacing w:after="120" w:line="480" w:lineRule="auto"/>
    </w:pPr>
    <w:rPr>
      <w:rFonts w:ascii="Arial" w:eastAsia="Calibri" w:hAnsi="Arial" w:cs="Times New Roman"/>
      <w:sz w:val="20"/>
    </w:rPr>
  </w:style>
  <w:style w:type="character" w:customStyle="1" w:styleId="BodyText2Char">
    <w:name w:val="Body Text 2 Char"/>
    <w:basedOn w:val="DefaultParagraphFont"/>
    <w:link w:val="BodyText2"/>
    <w:uiPriority w:val="99"/>
    <w:semiHidden/>
    <w:rsid w:val="00CC7101"/>
    <w:rPr>
      <w:rFonts w:ascii="Arial" w:eastAsia="Calibri" w:hAnsi="Arial" w:cs="Times New Roman"/>
      <w:sz w:val="20"/>
    </w:rPr>
  </w:style>
  <w:style w:type="paragraph" w:customStyle="1" w:styleId="TOCHeading1">
    <w:name w:val="TOC Heading1"/>
    <w:basedOn w:val="Heading1"/>
    <w:next w:val="Normal"/>
    <w:uiPriority w:val="39"/>
    <w:semiHidden/>
    <w:unhideWhenUsed/>
    <w:qFormat/>
    <w:rsid w:val="00CC7101"/>
    <w:pPr>
      <w:spacing w:line="256" w:lineRule="auto"/>
      <w:outlineLvl w:val="9"/>
    </w:pPr>
    <w:rPr>
      <w:rFonts w:ascii="Calibri Light" w:eastAsia="DengXian Light" w:hAnsi="Calibri Light" w:cs="Times New Roman"/>
      <w:b w:val="0"/>
      <w:color w:val="2F5496"/>
      <w:lang w:val="en-US"/>
    </w:rPr>
  </w:style>
  <w:style w:type="paragraph" w:customStyle="1" w:styleId="InterviewerNote">
    <w:name w:val="Interviewer Note"/>
    <w:basedOn w:val="Normal"/>
    <w:next w:val="Normal"/>
    <w:rsid w:val="00CC7101"/>
    <w:pPr>
      <w:spacing w:before="60" w:after="60" w:line="240" w:lineRule="auto"/>
      <w:ind w:left="1134"/>
    </w:pPr>
    <w:rPr>
      <w:rFonts w:ascii="Arial" w:eastAsia="Calibri" w:hAnsi="Arial" w:cs="Times New Roman"/>
      <w:sz w:val="20"/>
    </w:rPr>
  </w:style>
  <w:style w:type="paragraph" w:customStyle="1" w:styleId="1ResponseFrame">
    <w:name w:val="1. Response Frame"/>
    <w:basedOn w:val="Normal"/>
    <w:rsid w:val="00CC7101"/>
    <w:pPr>
      <w:spacing w:after="0" w:line="240" w:lineRule="auto"/>
      <w:ind w:left="1701" w:hanging="567"/>
    </w:pPr>
    <w:rPr>
      <w:rFonts w:ascii="Arial" w:eastAsia="Calibri" w:hAnsi="Arial" w:cs="Arial"/>
      <w:sz w:val="20"/>
      <w:szCs w:val="20"/>
    </w:rPr>
  </w:style>
  <w:style w:type="paragraph" w:customStyle="1" w:styleId="BaseDescription">
    <w:name w:val="Base Description"/>
    <w:basedOn w:val="Normal"/>
    <w:next w:val="Normal"/>
    <w:rsid w:val="00CC7101"/>
    <w:pPr>
      <w:spacing w:before="120" w:after="0" w:line="240" w:lineRule="auto"/>
      <w:ind w:left="1134" w:hanging="1134"/>
    </w:pPr>
    <w:rPr>
      <w:rFonts w:ascii="Arial" w:eastAsia="Calibri" w:hAnsi="Arial" w:cs="Times New Roman"/>
      <w:sz w:val="20"/>
    </w:rPr>
  </w:style>
  <w:style w:type="paragraph" w:customStyle="1" w:styleId="QNameText">
    <w:name w:val="Q Name &amp; Text"/>
    <w:basedOn w:val="Normal"/>
    <w:next w:val="Normal"/>
    <w:rsid w:val="00CC7101"/>
    <w:pPr>
      <w:spacing w:after="0" w:line="240" w:lineRule="auto"/>
      <w:ind w:left="1134" w:hanging="1134"/>
    </w:pPr>
    <w:rPr>
      <w:rFonts w:ascii="Arial" w:eastAsia="Calibri" w:hAnsi="Arial" w:cs="Times New Roman"/>
      <w:sz w:val="20"/>
    </w:rPr>
  </w:style>
  <w:style w:type="paragraph" w:customStyle="1" w:styleId="5Notes">
    <w:name w:val="5 Notes"/>
    <w:basedOn w:val="NoSpacing"/>
    <w:next w:val="Normal"/>
    <w:rsid w:val="00CC7101"/>
    <w:pPr>
      <w:spacing w:before="0"/>
      <w:ind w:left="993"/>
    </w:pPr>
    <w:rPr>
      <w:rFonts w:ascii="Arial" w:eastAsia="Times New Roman" w:hAnsi="Arial" w:cs="Arial"/>
      <w:sz w:val="20"/>
      <w:szCs w:val="18"/>
      <w:lang w:eastAsia="en-AU"/>
    </w:rPr>
  </w:style>
  <w:style w:type="character" w:customStyle="1" w:styleId="CodesChar">
    <w:name w:val="Codes Char"/>
    <w:basedOn w:val="DefaultParagraphFont"/>
    <w:link w:val="Codes"/>
    <w:uiPriority w:val="99"/>
    <w:locked/>
    <w:rsid w:val="00CC7101"/>
    <w:rPr>
      <w:rFonts w:ascii="Arial" w:eastAsia="Times New Roman" w:hAnsi="Arial" w:cs="Arial"/>
      <w:sz w:val="18"/>
      <w:szCs w:val="20"/>
    </w:rPr>
  </w:style>
  <w:style w:type="paragraph" w:customStyle="1" w:styleId="Codes">
    <w:name w:val="Codes"/>
    <w:basedOn w:val="Normal"/>
    <w:link w:val="CodesChar"/>
    <w:uiPriority w:val="99"/>
    <w:rsid w:val="00CC7101"/>
    <w:pPr>
      <w:tabs>
        <w:tab w:val="left" w:pos="5103"/>
        <w:tab w:val="left" w:pos="6300"/>
      </w:tabs>
      <w:spacing w:after="0" w:line="240" w:lineRule="auto"/>
    </w:pPr>
    <w:rPr>
      <w:rFonts w:ascii="Arial" w:eastAsia="Times New Roman" w:hAnsi="Arial" w:cs="Arial"/>
      <w:sz w:val="18"/>
      <w:szCs w:val="20"/>
    </w:rPr>
  </w:style>
  <w:style w:type="paragraph" w:customStyle="1" w:styleId="QText">
    <w:name w:val="Q Text"/>
    <w:basedOn w:val="Normal"/>
    <w:next w:val="Normal"/>
    <w:rsid w:val="00CC7101"/>
    <w:pPr>
      <w:spacing w:after="0" w:line="240" w:lineRule="auto"/>
      <w:ind w:left="1134"/>
    </w:pPr>
    <w:rPr>
      <w:rFonts w:ascii="Arial" w:eastAsia="Calibri" w:hAnsi="Arial" w:cs="Arial"/>
      <w:sz w:val="20"/>
    </w:rPr>
  </w:style>
  <w:style w:type="paragraph" w:customStyle="1" w:styleId="ModuleHeading">
    <w:name w:val="Module Heading"/>
    <w:basedOn w:val="Normal"/>
    <w:next w:val="Normal"/>
    <w:rsid w:val="00CC7101"/>
    <w:pPr>
      <w:shd w:val="clear" w:color="auto" w:fill="D9D9D9"/>
      <w:spacing w:after="0" w:line="240" w:lineRule="auto"/>
      <w:ind w:left="851" w:hanging="851"/>
      <w:outlineLvl w:val="0"/>
    </w:pPr>
    <w:rPr>
      <w:rFonts w:ascii="Arial" w:eastAsia="Calibri" w:hAnsi="Arial" w:cs="Arial"/>
      <w:b/>
      <w:sz w:val="20"/>
      <w:szCs w:val="20"/>
    </w:rPr>
  </w:style>
  <w:style w:type="paragraph" w:customStyle="1" w:styleId="ProgrammerNote">
    <w:name w:val="Programmer Note"/>
    <w:basedOn w:val="Normal"/>
    <w:next w:val="Normal"/>
    <w:rsid w:val="00CC7101"/>
    <w:pPr>
      <w:spacing w:before="60" w:after="60" w:line="240" w:lineRule="auto"/>
      <w:ind w:left="1134"/>
    </w:pPr>
    <w:rPr>
      <w:rFonts w:ascii="Arial" w:eastAsia="Calibri" w:hAnsi="Arial" w:cs="Arial"/>
      <w:caps/>
      <w:sz w:val="20"/>
      <w:szCs w:val="18"/>
    </w:rPr>
  </w:style>
  <w:style w:type="paragraph" w:customStyle="1" w:styleId="Editorsnote">
    <w:name w:val="Editor's note"/>
    <w:basedOn w:val="Normal"/>
    <w:rsid w:val="00CC7101"/>
    <w:pPr>
      <w:spacing w:after="0" w:line="240" w:lineRule="auto"/>
      <w:ind w:left="709" w:hanging="709"/>
    </w:pPr>
    <w:rPr>
      <w:rFonts w:ascii="Arial" w:eastAsia="Times New Roman" w:hAnsi="Arial" w:cs="Arial"/>
      <w:bCs/>
      <w:color w:val="FF0000"/>
      <w:sz w:val="24"/>
      <w:szCs w:val="24"/>
      <w:lang w:eastAsia="en-AU"/>
    </w:rPr>
  </w:style>
  <w:style w:type="character" w:customStyle="1" w:styleId="QuestionChar">
    <w:name w:val="Question Char"/>
    <w:link w:val="Question"/>
    <w:locked/>
    <w:rsid w:val="00CC7101"/>
    <w:rPr>
      <w:rFonts w:ascii="Arial" w:eastAsia="Times New Roman" w:hAnsi="Arial" w:cs="Times New Roman"/>
      <w:sz w:val="20"/>
      <w:szCs w:val="24"/>
      <w:lang w:val="en-US"/>
    </w:rPr>
  </w:style>
  <w:style w:type="paragraph" w:customStyle="1" w:styleId="Question">
    <w:name w:val="Question"/>
    <w:basedOn w:val="Normal"/>
    <w:link w:val="QuestionChar"/>
    <w:rsid w:val="00CC7101"/>
    <w:pPr>
      <w:spacing w:after="0" w:line="240" w:lineRule="auto"/>
      <w:ind w:left="720" w:hanging="720"/>
    </w:pPr>
    <w:rPr>
      <w:rFonts w:ascii="Arial" w:eastAsia="Times New Roman" w:hAnsi="Arial" w:cs="Times New Roman"/>
      <w:sz w:val="20"/>
      <w:szCs w:val="24"/>
      <w:lang w:val="en-US"/>
    </w:rPr>
  </w:style>
  <w:style w:type="paragraph" w:customStyle="1" w:styleId="CODEFRAME">
    <w:name w:val="CODE FRAME"/>
    <w:basedOn w:val="Normal"/>
    <w:rsid w:val="00CC7101"/>
    <w:pPr>
      <w:spacing w:after="0" w:line="240" w:lineRule="auto"/>
      <w:ind w:left="709" w:hanging="709"/>
    </w:pPr>
    <w:rPr>
      <w:rFonts w:ascii="Arial" w:eastAsia="Times New Roman" w:hAnsi="Arial" w:cs="Arial"/>
      <w:b/>
      <w:sz w:val="20"/>
      <w:szCs w:val="20"/>
      <w:lang w:eastAsia="en-AU"/>
    </w:rPr>
  </w:style>
  <w:style w:type="paragraph" w:customStyle="1" w:styleId="QuestionCharCharCharChar">
    <w:name w:val="Question Char Char Char Char"/>
    <w:basedOn w:val="Normal"/>
    <w:rsid w:val="00CC7101"/>
    <w:pPr>
      <w:spacing w:after="0" w:line="240" w:lineRule="auto"/>
      <w:ind w:left="720" w:hanging="720"/>
    </w:pPr>
    <w:rPr>
      <w:rFonts w:ascii="Arial" w:eastAsia="Times New Roman" w:hAnsi="Arial" w:cs="Arial"/>
      <w:sz w:val="20"/>
      <w:szCs w:val="20"/>
    </w:rPr>
  </w:style>
  <w:style w:type="character" w:customStyle="1" w:styleId="SRCCodeframeChar">
    <w:name w:val="SRC Codeframe Char"/>
    <w:basedOn w:val="DefaultParagraphFont"/>
    <w:link w:val="SRCCodeframe"/>
    <w:locked/>
    <w:rsid w:val="00CC7101"/>
    <w:rPr>
      <w:rFonts w:ascii="Arial" w:hAnsi="Arial" w:cs="Arial"/>
    </w:rPr>
  </w:style>
  <w:style w:type="paragraph" w:customStyle="1" w:styleId="SRCCodeframe">
    <w:name w:val="SRC Codeframe"/>
    <w:basedOn w:val="Normal"/>
    <w:link w:val="SRCCodeframeChar"/>
    <w:rsid w:val="00CC7101"/>
    <w:pPr>
      <w:numPr>
        <w:numId w:val="11"/>
      </w:numPr>
      <w:spacing w:before="120" w:after="120" w:line="240" w:lineRule="auto"/>
    </w:pPr>
    <w:rPr>
      <w:rFonts w:ascii="Arial" w:hAnsi="Arial" w:cs="Arial"/>
    </w:rPr>
  </w:style>
  <w:style w:type="character" w:customStyle="1" w:styleId="SnapbackChar">
    <w:name w:val="Snapback Char"/>
    <w:basedOn w:val="DefaultParagraphFont"/>
    <w:link w:val="Snapback"/>
    <w:locked/>
    <w:rsid w:val="00CC7101"/>
    <w:rPr>
      <w:rFonts w:ascii="Arial" w:eastAsia="Times New Roman" w:hAnsi="Arial" w:cs="Arial"/>
      <w:i/>
      <w:sz w:val="20"/>
      <w:szCs w:val="20"/>
      <w:shd w:val="clear" w:color="auto" w:fill="E7E6E6"/>
      <w:lang w:val="en-US"/>
    </w:rPr>
  </w:style>
  <w:style w:type="paragraph" w:customStyle="1" w:styleId="Snapback">
    <w:name w:val="Snapback"/>
    <w:basedOn w:val="Normal"/>
    <w:link w:val="SnapbackChar"/>
    <w:rsid w:val="00CC7101"/>
    <w:pPr>
      <w:numPr>
        <w:numId w:val="12"/>
      </w:numPr>
      <w:shd w:val="clear" w:color="auto" w:fill="E7E6E6"/>
      <w:spacing w:after="0"/>
      <w:ind w:left="1134" w:right="708" w:hanging="425"/>
    </w:pPr>
    <w:rPr>
      <w:rFonts w:ascii="Arial" w:eastAsia="Times New Roman" w:hAnsi="Arial" w:cs="Arial"/>
      <w:i/>
      <w:sz w:val="20"/>
      <w:szCs w:val="20"/>
      <w:lang w:val="en-US"/>
    </w:rPr>
  </w:style>
  <w:style w:type="character" w:customStyle="1" w:styleId="823QuestionChar">
    <w:name w:val="823 Question Char"/>
    <w:link w:val="823Question"/>
    <w:uiPriority w:val="99"/>
    <w:locked/>
    <w:rsid w:val="00CC7101"/>
    <w:rPr>
      <w:rFonts w:ascii="Arial" w:hAnsi="Arial" w:cs="Arial"/>
    </w:rPr>
  </w:style>
  <w:style w:type="paragraph" w:customStyle="1" w:styleId="823Question">
    <w:name w:val="823 Question"/>
    <w:basedOn w:val="Normal"/>
    <w:link w:val="823QuestionChar"/>
    <w:uiPriority w:val="99"/>
    <w:rsid w:val="00CC7101"/>
    <w:pPr>
      <w:spacing w:after="0" w:line="240" w:lineRule="auto"/>
      <w:ind w:left="851" w:hanging="851"/>
    </w:pPr>
    <w:rPr>
      <w:rFonts w:ascii="Arial" w:hAnsi="Arial" w:cs="Arial"/>
    </w:rPr>
  </w:style>
  <w:style w:type="character" w:customStyle="1" w:styleId="SRCQnChar">
    <w:name w:val="SRC Qn Char"/>
    <w:basedOn w:val="DefaultParagraphFont"/>
    <w:link w:val="SRCQn"/>
    <w:locked/>
    <w:rsid w:val="00CC7101"/>
    <w:rPr>
      <w:rFonts w:ascii="Arial" w:hAnsi="Arial" w:cs="Arial"/>
      <w:sz w:val="20"/>
      <w:szCs w:val="20"/>
    </w:rPr>
  </w:style>
  <w:style w:type="paragraph" w:customStyle="1" w:styleId="SRCQn">
    <w:name w:val="SRC Qn"/>
    <w:basedOn w:val="Normal"/>
    <w:link w:val="SRCQnChar"/>
    <w:rsid w:val="00CC7101"/>
    <w:pPr>
      <w:spacing w:after="0" w:line="240" w:lineRule="auto"/>
      <w:ind w:left="851" w:hanging="851"/>
    </w:pPr>
    <w:rPr>
      <w:rFonts w:ascii="Arial" w:hAnsi="Arial" w:cs="Arial"/>
      <w:sz w:val="20"/>
      <w:szCs w:val="20"/>
    </w:rPr>
  </w:style>
  <w:style w:type="character" w:customStyle="1" w:styleId="SRCCodeframe1Char">
    <w:name w:val="SRC Codeframe 1 Char"/>
    <w:basedOn w:val="DefaultParagraphFont"/>
    <w:link w:val="SRCCodeframe1"/>
    <w:locked/>
    <w:rsid w:val="00CC7101"/>
    <w:rPr>
      <w:rFonts w:ascii="Arial" w:hAnsi="Arial" w:cs="Arial"/>
      <w:sz w:val="20"/>
      <w:szCs w:val="20"/>
    </w:rPr>
  </w:style>
  <w:style w:type="paragraph" w:customStyle="1" w:styleId="SRCCodeframe1">
    <w:name w:val="SRC Codeframe 1"/>
    <w:basedOn w:val="Normal"/>
    <w:link w:val="SRCCodeframe1Char"/>
    <w:rsid w:val="00CC7101"/>
    <w:pPr>
      <w:spacing w:after="0" w:line="240" w:lineRule="auto"/>
      <w:ind w:left="1418" w:hanging="567"/>
    </w:pPr>
    <w:rPr>
      <w:rFonts w:ascii="Arial" w:hAnsi="Arial" w:cs="Arial"/>
      <w:sz w:val="20"/>
      <w:szCs w:val="20"/>
    </w:rPr>
  </w:style>
  <w:style w:type="character" w:customStyle="1" w:styleId="questionChar0">
    <w:name w:val="question Char"/>
    <w:basedOn w:val="DefaultParagraphFont"/>
    <w:link w:val="question0"/>
    <w:locked/>
    <w:rsid w:val="00CC7101"/>
    <w:rPr>
      <w:rFonts w:ascii="Arial" w:hAnsi="Arial" w:cs="Arial"/>
      <w:sz w:val="20"/>
      <w:szCs w:val="20"/>
    </w:rPr>
  </w:style>
  <w:style w:type="paragraph" w:customStyle="1" w:styleId="question0">
    <w:name w:val="question"/>
    <w:basedOn w:val="Normal"/>
    <w:link w:val="questionChar0"/>
    <w:rsid w:val="00CC7101"/>
    <w:pPr>
      <w:spacing w:after="0" w:line="240" w:lineRule="auto"/>
      <w:ind w:left="709" w:hanging="709"/>
    </w:pPr>
    <w:rPr>
      <w:rFonts w:ascii="Arial" w:hAnsi="Arial" w:cs="Arial"/>
      <w:sz w:val="20"/>
      <w:szCs w:val="20"/>
    </w:rPr>
  </w:style>
  <w:style w:type="character" w:customStyle="1" w:styleId="SRCSectionChar">
    <w:name w:val="SRC Section Char"/>
    <w:basedOn w:val="DefaultParagraphFont"/>
    <w:link w:val="SRCSection"/>
    <w:locked/>
    <w:rsid w:val="00CC7101"/>
    <w:rPr>
      <w:rFonts w:ascii="Arial" w:hAnsi="Arial" w:cs="Arial"/>
      <w:b/>
      <w:sz w:val="20"/>
      <w:szCs w:val="20"/>
      <w:shd w:val="clear" w:color="auto" w:fill="D9D9D9"/>
    </w:rPr>
  </w:style>
  <w:style w:type="paragraph" w:customStyle="1" w:styleId="SRCSection">
    <w:name w:val="SRC Section"/>
    <w:basedOn w:val="Normal"/>
    <w:link w:val="SRCSectionChar"/>
    <w:rsid w:val="00CC7101"/>
    <w:pPr>
      <w:shd w:val="clear" w:color="auto" w:fill="D9D9D9"/>
      <w:spacing w:after="0" w:line="240" w:lineRule="auto"/>
      <w:ind w:left="851" w:hanging="851"/>
      <w:outlineLvl w:val="0"/>
    </w:pPr>
    <w:rPr>
      <w:rFonts w:ascii="Arial" w:hAnsi="Arial" w:cs="Arial"/>
      <w:b/>
      <w:sz w:val="20"/>
      <w:szCs w:val="20"/>
    </w:rPr>
  </w:style>
  <w:style w:type="table" w:customStyle="1" w:styleId="TableGrid1">
    <w:name w:val="Table Grid1"/>
    <w:basedOn w:val="TableNormal"/>
    <w:next w:val="TableGrid"/>
    <w:uiPriority w:val="39"/>
    <w:rsid w:val="00CC71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ndedTable1">
    <w:name w:val="Banded Table1"/>
    <w:basedOn w:val="TableGrid"/>
    <w:uiPriority w:val="99"/>
    <w:rsid w:val="00CC7101"/>
    <w:pPr>
      <w:spacing w:before="60" w:after="60"/>
    </w:pPr>
    <w:rPr>
      <w:rFonts w:ascii="Arial" w:eastAsia="Calibri" w:hAnsi="Arial" w:cs="Times New Roman"/>
      <w:color w:val="000000"/>
      <w:sz w:val="20"/>
      <w:szCs w:val="20"/>
    </w:rPr>
    <w:tblPr>
      <w:tblStyleRowBandSize w:val="1"/>
      <w:tblInd w:w="0" w:type="nil"/>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Pr>
    <w:tblStylePr w:type="firstRow">
      <w:pPr>
        <w:wordWrap/>
        <w:spacing w:beforeLines="0" w:before="100" w:beforeAutospacing="1" w:afterLines="0" w:after="100" w:afterAutospacing="1" w:line="240" w:lineRule="auto"/>
        <w:contextualSpacing w:val="0"/>
        <w:jc w:val="left"/>
      </w:pPr>
      <w:rPr>
        <w:rFonts w:ascii="Arial" w:hAnsi="Arial"/>
        <w:b/>
        <w:color w:val="FFFFFF"/>
        <w:sz w:val="20"/>
        <w:szCs w:val="20"/>
      </w:rPr>
      <w:tblPr/>
      <w:tcPr>
        <w:tcBorders>
          <w:top w:val="nil"/>
          <w:left w:val="nil"/>
          <w:bottom w:val="nil"/>
          <w:right w:val="nil"/>
          <w:insideH w:val="nil"/>
          <w:insideV w:val="nil"/>
          <w:tl2br w:val="nil"/>
          <w:tr2bl w:val="nil"/>
        </w:tcBorders>
        <w:shd w:val="clear" w:color="auto" w:fill="1F688D"/>
      </w:tcPr>
    </w:tblStylePr>
    <w:tblStylePr w:type="lastRow">
      <w:pPr>
        <w:wordWrap/>
        <w:spacing w:beforeLines="0" w:before="60" w:beforeAutospacing="0" w:afterLines="0" w:after="60" w:afterAutospacing="0" w:line="240" w:lineRule="auto"/>
        <w:contextualSpacing w:val="0"/>
      </w:pPr>
      <w:rPr>
        <w:b w:val="0"/>
      </w:rPr>
      <w:tblPr/>
      <w:tcPr>
        <w:tcBorders>
          <w:top w:val="nil"/>
          <w:left w:val="nil"/>
          <w:bottom w:val="single" w:sz="6" w:space="0" w:color="002D3F" w:themeColor="accent1"/>
          <w:right w:val="nil"/>
          <w:insideH w:val="nil"/>
          <w:insideV w:val="nil"/>
          <w:tl2br w:val="nil"/>
          <w:tr2bl w:val="nil"/>
        </w:tcBorders>
        <w:shd w:val="clear" w:color="auto" w:fill="D9D9D9"/>
      </w:tcPr>
    </w:tblStylePr>
    <w:tblStylePr w:type="firstCol">
      <w:pPr>
        <w:jc w:val="left"/>
      </w:pPr>
      <w:rPr>
        <w:rFonts w:ascii="Arial" w:hAnsi="Arial"/>
        <w:b w:val="0"/>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A5E5FF" w:themeFill="accent1" w:themeFillTint="3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character" w:styleId="Emphasis">
    <w:name w:val="Emphasis"/>
    <w:basedOn w:val="DefaultParagraphFont"/>
    <w:uiPriority w:val="20"/>
    <w:qFormat/>
    <w:rsid w:val="00CC7101"/>
    <w:rPr>
      <w:i/>
      <w:iCs/>
    </w:rPr>
  </w:style>
  <w:style w:type="paragraph" w:customStyle="1" w:styleId="TOCHeading2">
    <w:name w:val="TOC Heading2"/>
    <w:basedOn w:val="Heading1"/>
    <w:next w:val="Normal"/>
    <w:uiPriority w:val="39"/>
    <w:unhideWhenUsed/>
    <w:rsid w:val="00CC7101"/>
    <w:pPr>
      <w:spacing w:line="259" w:lineRule="auto"/>
      <w:outlineLvl w:val="9"/>
    </w:pPr>
    <w:rPr>
      <w:rFonts w:ascii="Calibri Light" w:eastAsia="DengXian Light" w:hAnsi="Calibri Light" w:cs="Times New Roman"/>
      <w:b w:val="0"/>
      <w:color w:val="2F5496"/>
      <w:lang w:val="en-US"/>
    </w:rPr>
  </w:style>
  <w:style w:type="table" w:customStyle="1" w:styleId="TableGrid2">
    <w:name w:val="Table Grid2"/>
    <w:basedOn w:val="TableNormal"/>
    <w:next w:val="TableGrid"/>
    <w:uiPriority w:val="59"/>
    <w:rsid w:val="00CC7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ndedTable11">
    <w:name w:val="Banded Table11"/>
    <w:basedOn w:val="TableGrid"/>
    <w:uiPriority w:val="99"/>
    <w:rsid w:val="00CC7101"/>
    <w:pPr>
      <w:spacing w:before="60" w:after="60"/>
    </w:pPr>
    <w:rPr>
      <w:rFonts w:ascii="Arial" w:eastAsia="Calibri" w:hAnsi="Arial" w:cs="Times New Roman"/>
      <w:color w:val="000000"/>
      <w:sz w:val="20"/>
      <w:szCs w:val="20"/>
    </w:rPr>
    <w:tblPr>
      <w:tblStyleRowBandSize w:val="1"/>
      <w:tblInd w:w="0" w:type="nil"/>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Pr>
    <w:tblStylePr w:type="firstRow">
      <w:pPr>
        <w:wordWrap/>
        <w:spacing w:beforeLines="0" w:before="100" w:beforeAutospacing="1" w:afterLines="0" w:after="100" w:afterAutospacing="1" w:line="240" w:lineRule="auto"/>
        <w:contextualSpacing w:val="0"/>
        <w:jc w:val="left"/>
      </w:pPr>
      <w:rPr>
        <w:rFonts w:ascii="Arial" w:hAnsi="Arial"/>
        <w:b/>
        <w:color w:val="FFFFFF"/>
        <w:sz w:val="20"/>
        <w:szCs w:val="20"/>
      </w:rPr>
      <w:tblPr/>
      <w:tcPr>
        <w:tcBorders>
          <w:top w:val="nil"/>
          <w:left w:val="nil"/>
          <w:bottom w:val="nil"/>
          <w:right w:val="nil"/>
          <w:insideH w:val="nil"/>
          <w:insideV w:val="nil"/>
          <w:tl2br w:val="nil"/>
          <w:tr2bl w:val="nil"/>
        </w:tcBorders>
        <w:shd w:val="clear" w:color="auto" w:fill="1F688D"/>
      </w:tcPr>
    </w:tblStylePr>
    <w:tblStylePr w:type="lastRow">
      <w:pPr>
        <w:wordWrap/>
        <w:spacing w:beforeLines="0" w:before="60" w:beforeAutospacing="0" w:afterLines="0" w:after="60" w:afterAutospacing="0" w:line="240" w:lineRule="auto"/>
        <w:contextualSpacing w:val="0"/>
      </w:pPr>
      <w:rPr>
        <w:b w:val="0"/>
      </w:rPr>
      <w:tblPr/>
      <w:tcPr>
        <w:tcBorders>
          <w:top w:val="nil"/>
          <w:left w:val="nil"/>
          <w:bottom w:val="single" w:sz="6" w:space="0" w:color="002D3F" w:themeColor="accent1"/>
          <w:right w:val="nil"/>
          <w:insideH w:val="nil"/>
          <w:insideV w:val="nil"/>
          <w:tl2br w:val="nil"/>
          <w:tr2bl w:val="nil"/>
        </w:tcBorders>
        <w:shd w:val="clear" w:color="auto" w:fill="D9D9D9"/>
      </w:tcPr>
    </w:tblStylePr>
    <w:tblStylePr w:type="firstCol">
      <w:pPr>
        <w:jc w:val="left"/>
      </w:pPr>
      <w:rPr>
        <w:rFonts w:ascii="Arial" w:hAnsi="Arial"/>
        <w:b w:val="0"/>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A5E5FF" w:themeFill="accent1" w:themeFillTint="3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paragraph" w:customStyle="1" w:styleId="SourceandNotes">
    <w:name w:val="Source and Notes"/>
    <w:basedOn w:val="Normal"/>
    <w:qFormat/>
    <w:rsid w:val="00D04B6A"/>
    <w:pPr>
      <w:spacing w:before="120" w:after="240" w:line="240" w:lineRule="auto"/>
      <w:contextualSpacing/>
    </w:pPr>
    <w:rPr>
      <w:rFonts w:ascii="Calibri" w:eastAsia="Times New Roman" w:hAnsi="Calibri" w:cs="Calibri"/>
      <w:color w:val="000000"/>
      <w:sz w:val="16"/>
      <w:szCs w:val="20"/>
      <w:lang w:eastAsia="en-AU"/>
    </w:rPr>
  </w:style>
  <w:style w:type="paragraph" w:customStyle="1" w:styleId="Notesnumbered">
    <w:name w:val="Notes numbered"/>
    <w:basedOn w:val="ListParagraph"/>
    <w:qFormat/>
    <w:rsid w:val="00D04B6A"/>
    <w:pPr>
      <w:spacing w:before="240" w:after="0" w:line="276" w:lineRule="auto"/>
      <w:ind w:left="0"/>
    </w:pPr>
    <w:rPr>
      <w:rFonts w:eastAsiaTheme="minorEastAsia"/>
      <w:sz w:val="18"/>
      <w:szCs w:val="18"/>
    </w:rPr>
  </w:style>
  <w:style w:type="character" w:customStyle="1" w:styleId="SourceandnotetextmultiplenotesChar">
    <w:name w:val="Source and note text multiple notes Char"/>
    <w:basedOn w:val="DefaultParagraphFont"/>
    <w:link w:val="Sourceandnotetextmultiplenotes"/>
    <w:locked/>
    <w:rsid w:val="00D04B6A"/>
    <w:rPr>
      <w:sz w:val="18"/>
      <w:szCs w:val="20"/>
    </w:rPr>
  </w:style>
  <w:style w:type="paragraph" w:customStyle="1" w:styleId="Sourceandnotetextmultiplenotes">
    <w:name w:val="Source and note text multiple notes"/>
    <w:basedOn w:val="Normal"/>
    <w:link w:val="SourceandnotetextmultiplenotesChar"/>
    <w:qFormat/>
    <w:rsid w:val="00D04B6A"/>
    <w:pPr>
      <w:numPr>
        <w:numId w:val="13"/>
      </w:numPr>
      <w:tabs>
        <w:tab w:val="left" w:pos="454"/>
      </w:tabs>
      <w:spacing w:after="0"/>
      <w:contextualSpacing/>
    </w:pPr>
    <w:rPr>
      <w:sz w:val="18"/>
      <w:szCs w:val="20"/>
    </w:rPr>
  </w:style>
  <w:style w:type="paragraph" w:customStyle="1" w:styleId="dotpoint">
    <w:name w:val="dot_point"/>
    <w:basedOn w:val="Normal"/>
    <w:rsid w:val="009A785D"/>
    <w:pPr>
      <w:widowControl w:val="0"/>
      <w:numPr>
        <w:numId w:val="14"/>
      </w:numPr>
      <w:spacing w:after="0" w:line="240" w:lineRule="auto"/>
    </w:pPr>
    <w:rPr>
      <w:rFonts w:ascii="Times New Roman" w:eastAsia="Times New Roman" w:hAnsi="Times New Roman" w:cs="Times New Roman"/>
      <w:snapToGrid w:val="0"/>
      <w:sz w:val="24"/>
      <w:szCs w:val="20"/>
    </w:rPr>
  </w:style>
  <w:style w:type="paragraph" w:customStyle="1" w:styleId="Respondent">
    <w:name w:val="Respondent"/>
    <w:basedOn w:val="Header"/>
    <w:uiPriority w:val="99"/>
    <w:rsid w:val="00892423"/>
    <w:pPr>
      <w:tabs>
        <w:tab w:val="clear" w:pos="4513"/>
        <w:tab w:val="clear" w:pos="9026"/>
        <w:tab w:val="left" w:pos="2127"/>
      </w:tabs>
      <w:autoSpaceDE w:val="0"/>
      <w:autoSpaceDN w:val="0"/>
      <w:adjustRightInd w:val="0"/>
      <w:spacing w:before="120" w:after="120" w:line="360" w:lineRule="auto"/>
    </w:pPr>
    <w:rPr>
      <w:rFonts w:ascii="Arial" w:hAnsi="Arial" w:cs="Arial"/>
    </w:rPr>
  </w:style>
  <w:style w:type="paragraph" w:customStyle="1" w:styleId="Moderator">
    <w:name w:val="Moderator"/>
    <w:basedOn w:val="Header"/>
    <w:uiPriority w:val="99"/>
    <w:rsid w:val="008F781F"/>
    <w:pPr>
      <w:tabs>
        <w:tab w:val="clear" w:pos="4513"/>
        <w:tab w:val="clear" w:pos="9026"/>
        <w:tab w:val="left" w:pos="2127"/>
      </w:tabs>
      <w:autoSpaceDE w:val="0"/>
      <w:autoSpaceDN w:val="0"/>
      <w:adjustRightInd w:val="0"/>
      <w:spacing w:before="120" w:after="120" w:line="360" w:lineRule="auto"/>
    </w:pPr>
    <w:rPr>
      <w:rFonts w:ascii="Arial" w:hAnsi="Arial" w:cs="Arial"/>
      <w:b/>
      <w:bCs/>
    </w:rPr>
  </w:style>
  <w:style w:type="table" w:customStyle="1" w:styleId="DEEWRTable2">
    <w:name w:val="DEEWR Table2"/>
    <w:basedOn w:val="TableNormal"/>
    <w:uiPriority w:val="99"/>
    <w:rsid w:val="00FF6E16"/>
    <w:pPr>
      <w:spacing w:after="0" w:line="240" w:lineRule="auto"/>
    </w:pPr>
    <w:rPr>
      <w:rFonts w:eastAsia="Times New Roman"/>
      <w:color w:val="000000"/>
      <w:sz w:val="20"/>
    </w:rPr>
    <w:tblPr>
      <w:tblStyleRowBandSize w:val="1"/>
      <w:tblBorders>
        <w:bottom w:val="single" w:sz="4" w:space="0" w:color="auto"/>
      </w:tblBorders>
    </w:tblPr>
    <w:trPr>
      <w:cantSplit/>
    </w:trPr>
    <w:tblStylePr w:type="firstRow">
      <w:pPr>
        <w:wordWrap/>
        <w:ind w:leftChars="0" w:left="0" w:rightChars="0" w:right="0"/>
        <w:jc w:val="left"/>
      </w:pPr>
      <w:rPr>
        <w:rFonts w:ascii="Calibri" w:hAnsi="Calibri"/>
        <w:b/>
        <w:color w:val="E7E6E6"/>
        <w:sz w:val="20"/>
      </w:rPr>
      <w:tblPr/>
      <w:trPr>
        <w:tblHeader/>
      </w:trPr>
      <w:tcPr>
        <w:shd w:val="clear" w:color="auto" w:fill="000000"/>
      </w:tcPr>
    </w:tblStylePr>
    <w:tblStylePr w:type="firstCol">
      <w:pPr>
        <w:jc w:val="left"/>
      </w:pPr>
      <w:rPr>
        <w:b/>
      </w:rPr>
    </w:tblStylePr>
  </w:style>
  <w:style w:type="character" w:customStyle="1" w:styleId="Heading8Char">
    <w:name w:val="Heading 8 Char"/>
    <w:basedOn w:val="DefaultParagraphFont"/>
    <w:link w:val="Heading8"/>
    <w:uiPriority w:val="9"/>
    <w:semiHidden/>
    <w:rsid w:val="00D86F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86F94"/>
    <w:rPr>
      <w:rFonts w:asciiTheme="majorHAnsi" w:eastAsiaTheme="majorEastAsia" w:hAnsiTheme="majorHAnsi" w:cstheme="majorBidi"/>
      <w:i/>
      <w:iCs/>
      <w:color w:val="272727" w:themeColor="text1" w:themeTint="D8"/>
      <w:sz w:val="21"/>
      <w:szCs w:val="21"/>
    </w:rPr>
  </w:style>
  <w:style w:type="table" w:styleId="GridTable5Dark-Accent1">
    <w:name w:val="Grid Table 5 Dark Accent 1"/>
    <w:basedOn w:val="TableNormal"/>
    <w:uiPriority w:val="50"/>
    <w:rsid w:val="00D86F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5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D3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D3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D3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D3F" w:themeFill="accent1"/>
      </w:tcPr>
    </w:tblStylePr>
    <w:tblStylePr w:type="band1Vert">
      <w:tblPr/>
      <w:tcPr>
        <w:shd w:val="clear" w:color="auto" w:fill="4CCBFF" w:themeFill="accent1" w:themeFillTint="66"/>
      </w:tcPr>
    </w:tblStylePr>
    <w:tblStylePr w:type="band1Horz">
      <w:tblPr/>
      <w:tcPr>
        <w:shd w:val="clear" w:color="auto" w:fill="4CCBFF" w:themeFill="accent1" w:themeFillTint="66"/>
      </w:tcPr>
    </w:tblStylePr>
  </w:style>
  <w:style w:type="paragraph" w:customStyle="1" w:styleId="footnotedescription">
    <w:name w:val="footnote description"/>
    <w:next w:val="Normal"/>
    <w:link w:val="footnotedescriptionChar"/>
    <w:hidden/>
    <w:rsid w:val="002549DB"/>
    <w:pPr>
      <w:spacing w:after="0" w:line="253" w:lineRule="auto"/>
    </w:pPr>
    <w:rPr>
      <w:rFonts w:ascii="Calibri" w:eastAsia="Calibri" w:hAnsi="Calibri" w:cs="Calibri"/>
      <w:color w:val="000000"/>
      <w:sz w:val="20"/>
      <w:lang w:eastAsia="en-AU"/>
    </w:rPr>
  </w:style>
  <w:style w:type="character" w:customStyle="1" w:styleId="footnotedescriptionChar">
    <w:name w:val="footnote description Char"/>
    <w:link w:val="footnotedescription"/>
    <w:rsid w:val="002549DB"/>
    <w:rPr>
      <w:rFonts w:ascii="Calibri" w:eastAsia="Calibri" w:hAnsi="Calibri" w:cs="Calibri"/>
      <w:color w:val="000000"/>
      <w:sz w:val="20"/>
      <w:lang w:eastAsia="en-AU"/>
    </w:rPr>
  </w:style>
  <w:style w:type="character" w:customStyle="1" w:styleId="footnotemark">
    <w:name w:val="footnote mark"/>
    <w:hidden/>
    <w:rsid w:val="002549DB"/>
    <w:rPr>
      <w:rFonts w:ascii="Calibri" w:eastAsia="Calibri" w:hAnsi="Calibri" w:cs="Calibri"/>
      <w:color w:val="000000"/>
      <w:sz w:val="20"/>
      <w:vertAlign w:val="superscript"/>
    </w:rPr>
  </w:style>
  <w:style w:type="table" w:customStyle="1" w:styleId="TableGrid0">
    <w:name w:val="TableGrid"/>
    <w:rsid w:val="002549DB"/>
    <w:pPr>
      <w:spacing w:after="0" w:line="240" w:lineRule="auto"/>
    </w:pPr>
    <w:rPr>
      <w:rFonts w:eastAsiaTheme="minorEastAsia"/>
      <w:lang w:eastAsia="en-AU"/>
    </w:rPr>
    <w:tblPr>
      <w:tblCellMar>
        <w:top w:w="0" w:type="dxa"/>
        <w:left w:w="0" w:type="dxa"/>
        <w:bottom w:w="0" w:type="dxa"/>
        <w:right w:w="0" w:type="dxa"/>
      </w:tblCellMar>
    </w:tblPr>
  </w:style>
  <w:style w:type="paragraph" w:styleId="ListBullet2">
    <w:name w:val="List Bullet 2"/>
    <w:basedOn w:val="Normal"/>
    <w:uiPriority w:val="99"/>
    <w:unhideWhenUsed/>
    <w:qFormat/>
    <w:rsid w:val="002549DB"/>
    <w:pPr>
      <w:numPr>
        <w:numId w:val="17"/>
      </w:numPr>
      <w:contextualSpacing/>
    </w:pPr>
  </w:style>
  <w:style w:type="paragraph" w:styleId="ListBullet3">
    <w:name w:val="List Bullet 3"/>
    <w:basedOn w:val="Normal"/>
    <w:uiPriority w:val="99"/>
    <w:unhideWhenUsed/>
    <w:rsid w:val="002549DB"/>
    <w:pPr>
      <w:numPr>
        <w:numId w:val="18"/>
      </w:numPr>
      <w:contextualSpacing/>
    </w:pPr>
  </w:style>
  <w:style w:type="character" w:customStyle="1" w:styleId="guidelinetextChar">
    <w:name w:val="guideline text Char"/>
    <w:basedOn w:val="DefaultParagraphFont"/>
    <w:link w:val="guidelinetext"/>
    <w:locked/>
    <w:rsid w:val="002549DB"/>
  </w:style>
  <w:style w:type="paragraph" w:customStyle="1" w:styleId="guidelinetext">
    <w:name w:val="guideline text"/>
    <w:basedOn w:val="Normal"/>
    <w:link w:val="guidelinetextChar"/>
    <w:rsid w:val="002549DB"/>
    <w:pPr>
      <w:spacing w:before="120" w:after="0" w:line="264" w:lineRule="auto"/>
      <w:ind w:left="1440"/>
    </w:pPr>
  </w:style>
  <w:style w:type="paragraph" w:styleId="ListBullet4">
    <w:name w:val="List Bullet 4"/>
    <w:basedOn w:val="Normal"/>
    <w:uiPriority w:val="99"/>
    <w:unhideWhenUsed/>
    <w:qFormat/>
    <w:rsid w:val="002549DB"/>
    <w:pPr>
      <w:spacing w:before="120" w:after="120"/>
      <w:ind w:left="1531" w:hanging="397"/>
      <w:contextualSpacing/>
    </w:pPr>
    <w:rPr>
      <w:rFonts w:eastAsiaTheme="minorEastAsia"/>
    </w:rPr>
  </w:style>
  <w:style w:type="numbering" w:customStyle="1" w:styleId="BulletList">
    <w:name w:val="Bullet List"/>
    <w:uiPriority w:val="99"/>
    <w:rsid w:val="002549DB"/>
    <w:pPr>
      <w:numPr>
        <w:numId w:val="19"/>
      </w:numPr>
    </w:pPr>
  </w:style>
  <w:style w:type="paragraph" w:styleId="ListBullet5">
    <w:name w:val="List Bullet 5"/>
    <w:basedOn w:val="Normal"/>
    <w:uiPriority w:val="99"/>
    <w:unhideWhenUsed/>
    <w:rsid w:val="002549DB"/>
    <w:pPr>
      <w:spacing w:before="120" w:after="120"/>
      <w:ind w:left="3240" w:hanging="360"/>
      <w:contextualSpacing/>
    </w:pPr>
    <w:rPr>
      <w:rFonts w:eastAsiaTheme="minorEastAsia"/>
    </w:rPr>
  </w:style>
  <w:style w:type="paragraph" w:customStyle="1" w:styleId="Ebullet">
    <w:name w:val="Ebullet"/>
    <w:basedOn w:val="Normal"/>
    <w:link w:val="EbulletChar"/>
    <w:rsid w:val="002549DB"/>
    <w:pPr>
      <w:numPr>
        <w:numId w:val="20"/>
      </w:numPr>
      <w:spacing w:after="60" w:line="240" w:lineRule="auto"/>
      <w:ind w:left="357" w:hanging="357"/>
    </w:pPr>
    <w:rPr>
      <w:rFonts w:eastAsia="Times New Roman" w:cs="Times New Roman"/>
      <w:szCs w:val="24"/>
      <w:lang w:eastAsia="en-AU"/>
    </w:rPr>
  </w:style>
  <w:style w:type="character" w:customStyle="1" w:styleId="EbulletChar">
    <w:name w:val="Ebullet Char"/>
    <w:basedOn w:val="DefaultParagraphFont"/>
    <w:link w:val="Ebullet"/>
    <w:rsid w:val="002549DB"/>
    <w:rPr>
      <w:rFonts w:eastAsia="Times New Roman" w:cs="Times New Roman"/>
      <w:szCs w:val="24"/>
      <w:lang w:eastAsia="en-AU"/>
    </w:rPr>
  </w:style>
  <w:style w:type="paragraph" w:customStyle="1" w:styleId="FigureCaption">
    <w:name w:val="Figure Caption"/>
    <w:basedOn w:val="Normal"/>
    <w:link w:val="FigureCaptionChar"/>
    <w:uiPriority w:val="99"/>
    <w:qFormat/>
    <w:rsid w:val="002549DB"/>
    <w:pPr>
      <w:keepNext/>
      <w:spacing w:before="200" w:after="40" w:line="240" w:lineRule="auto"/>
    </w:pPr>
    <w:rPr>
      <w:rFonts w:ascii="Calibri" w:eastAsia="Times New Roman" w:hAnsi="Calibri" w:cs="Times New Roman"/>
      <w:b/>
      <w:i/>
      <w:szCs w:val="24"/>
      <w:lang w:eastAsia="en-AU"/>
    </w:rPr>
  </w:style>
  <w:style w:type="character" w:customStyle="1" w:styleId="FigureCaptionChar">
    <w:name w:val="Figure Caption Char"/>
    <w:basedOn w:val="DefaultParagraphFont"/>
    <w:link w:val="FigureCaption"/>
    <w:uiPriority w:val="99"/>
    <w:rsid w:val="002549DB"/>
    <w:rPr>
      <w:rFonts w:ascii="Calibri" w:eastAsia="Times New Roman" w:hAnsi="Calibri" w:cs="Times New Roman"/>
      <w:b/>
      <w:i/>
      <w:szCs w:val="24"/>
      <w:lang w:eastAsia="en-AU"/>
    </w:rPr>
  </w:style>
  <w:style w:type="numbering" w:customStyle="1" w:styleId="NumberedList">
    <w:name w:val="Numbered List"/>
    <w:uiPriority w:val="99"/>
    <w:rsid w:val="002549DB"/>
    <w:pPr>
      <w:numPr>
        <w:numId w:val="21"/>
      </w:numPr>
    </w:pPr>
  </w:style>
  <w:style w:type="paragraph" w:customStyle="1" w:styleId="smallcaps">
    <w:name w:val="smallcaps"/>
    <w:basedOn w:val="Normal"/>
    <w:rsid w:val="002549DB"/>
    <w:pPr>
      <w:spacing w:before="100" w:beforeAutospacing="1" w:after="100" w:afterAutospacing="1" w:line="240" w:lineRule="auto"/>
      <w:ind w:left="-74"/>
    </w:pPr>
    <w:rPr>
      <w:rFonts w:ascii="Times New Roman" w:eastAsia="Times New Roman" w:hAnsi="Times New Roman" w:cs="Times New Roman"/>
      <w:sz w:val="24"/>
      <w:szCs w:val="24"/>
      <w:lang w:eastAsia="en-AU"/>
    </w:rPr>
  </w:style>
  <w:style w:type="table" w:styleId="GridTable2-Accent5">
    <w:name w:val="Grid Table 2 Accent 5"/>
    <w:basedOn w:val="TableNormal"/>
    <w:uiPriority w:val="47"/>
    <w:rsid w:val="002549DB"/>
    <w:pPr>
      <w:spacing w:after="0" w:line="240" w:lineRule="auto"/>
    </w:pPr>
    <w:tblPr>
      <w:tblStyleRowBandSize w:val="1"/>
      <w:tblStyleColBandSize w:val="1"/>
      <w:tblBorders>
        <w:top w:val="single" w:sz="2" w:space="0" w:color="F3CB6F" w:themeColor="accent5" w:themeTint="99"/>
        <w:bottom w:val="single" w:sz="2" w:space="0" w:color="F3CB6F" w:themeColor="accent5" w:themeTint="99"/>
        <w:insideH w:val="single" w:sz="2" w:space="0" w:color="F3CB6F" w:themeColor="accent5" w:themeTint="99"/>
        <w:insideV w:val="single" w:sz="2" w:space="0" w:color="F3CB6F" w:themeColor="accent5" w:themeTint="99"/>
      </w:tblBorders>
    </w:tblPr>
    <w:tblStylePr w:type="firstRow">
      <w:rPr>
        <w:b/>
        <w:bCs/>
      </w:rPr>
      <w:tblPr/>
      <w:tcPr>
        <w:tcBorders>
          <w:top w:val="nil"/>
          <w:bottom w:val="single" w:sz="12" w:space="0" w:color="F3CB6F" w:themeColor="accent5" w:themeTint="99"/>
          <w:insideH w:val="nil"/>
          <w:insideV w:val="nil"/>
        </w:tcBorders>
        <w:shd w:val="clear" w:color="auto" w:fill="FFFFFF" w:themeFill="background1"/>
      </w:tcPr>
    </w:tblStylePr>
    <w:tblStylePr w:type="lastRow">
      <w:rPr>
        <w:b/>
        <w:bCs/>
      </w:rPr>
      <w:tblPr/>
      <w:tcPr>
        <w:tcBorders>
          <w:top w:val="double" w:sz="2" w:space="0" w:color="F3CB6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table" w:styleId="ListTable1Light-Accent5">
    <w:name w:val="List Table 1 Light Accent 5"/>
    <w:basedOn w:val="TableNormal"/>
    <w:uiPriority w:val="46"/>
    <w:rsid w:val="002549DB"/>
    <w:pPr>
      <w:spacing w:after="0" w:line="240" w:lineRule="auto"/>
    </w:pPr>
    <w:tblPr>
      <w:tblStyleRowBandSize w:val="1"/>
      <w:tblStyleColBandSize w:val="1"/>
    </w:tblPr>
    <w:tblStylePr w:type="firstRow">
      <w:rPr>
        <w:b/>
        <w:bCs/>
      </w:rPr>
      <w:tblPr/>
      <w:tcPr>
        <w:tcBorders>
          <w:bottom w:val="single" w:sz="4" w:space="0" w:color="F3CB6F" w:themeColor="accent5" w:themeTint="99"/>
        </w:tcBorders>
      </w:tcPr>
    </w:tblStylePr>
    <w:tblStylePr w:type="lastRow">
      <w:rPr>
        <w:b/>
        <w:bCs/>
      </w:rPr>
      <w:tblPr/>
      <w:tcPr>
        <w:tcBorders>
          <w:top w:val="single" w:sz="4" w:space="0" w:color="F3CB6F" w:themeColor="accent5" w:themeTint="99"/>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paragraph" w:customStyle="1" w:styleId="Normal0">
    <w:name w:val="[Normal]"/>
    <w:basedOn w:val="Normal"/>
    <w:uiPriority w:val="99"/>
    <w:rsid w:val="00B1703E"/>
    <w:pPr>
      <w:spacing w:before="240" w:after="40" w:line="240" w:lineRule="auto"/>
    </w:pPr>
  </w:style>
  <w:style w:type="table" w:styleId="ListTable4">
    <w:name w:val="List Table 4"/>
    <w:basedOn w:val="TableNormal"/>
    <w:uiPriority w:val="49"/>
    <w:rsid w:val="00C807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ext">
    <w:name w:val="Table Text"/>
    <w:basedOn w:val="Normal"/>
    <w:uiPriority w:val="99"/>
    <w:rsid w:val="00825E4A"/>
    <w:pPr>
      <w:spacing w:before="100" w:beforeAutospacing="1" w:after="120" w:line="240" w:lineRule="auto"/>
      <w:contextualSpacing/>
    </w:pPr>
    <w:rPr>
      <w:rFonts w:ascii="Calibri" w:hAnsi="Calibri" w:cs="Calibri"/>
      <w:sz w:val="20"/>
      <w:szCs w:val="20"/>
      <w:lang w:eastAsia="en-AU"/>
    </w:rPr>
  </w:style>
  <w:style w:type="table" w:styleId="PlainTable5">
    <w:name w:val="Plain Table 5"/>
    <w:basedOn w:val="TableNormal"/>
    <w:uiPriority w:val="45"/>
    <w:rsid w:val="008346F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Number2">
    <w:name w:val="List Number 2"/>
    <w:basedOn w:val="Normal"/>
    <w:uiPriority w:val="99"/>
    <w:unhideWhenUsed/>
    <w:rsid w:val="00DD632E"/>
    <w:pPr>
      <w:numPr>
        <w:numId w:val="28"/>
      </w:numPr>
      <w:contextualSpacing/>
    </w:pPr>
  </w:style>
  <w:style w:type="paragraph" w:styleId="ListNumber3">
    <w:name w:val="List Number 3"/>
    <w:basedOn w:val="ListParagraph"/>
    <w:uiPriority w:val="99"/>
    <w:unhideWhenUsed/>
    <w:rsid w:val="007F37E0"/>
    <w:pPr>
      <w:numPr>
        <w:numId w:val="27"/>
      </w:numPr>
      <w:spacing w:after="160" w:line="259" w:lineRule="auto"/>
    </w:pPr>
  </w:style>
  <w:style w:type="paragraph" w:styleId="ListNumber4">
    <w:name w:val="List Number 4"/>
    <w:basedOn w:val="Normal"/>
    <w:uiPriority w:val="99"/>
    <w:unhideWhenUsed/>
    <w:rsid w:val="007D32B8"/>
    <w:pPr>
      <w:numPr>
        <w:numId w:val="30"/>
      </w:numPr>
      <w:contextualSpacing/>
    </w:pPr>
  </w:style>
  <w:style w:type="paragraph" w:customStyle="1" w:styleId="Heading4a">
    <w:name w:val="Heading4a"/>
    <w:basedOn w:val="Heading4"/>
    <w:next w:val="Normal"/>
    <w:link w:val="Heading4aChar"/>
    <w:qFormat/>
    <w:rsid w:val="00A7011B"/>
    <w:pPr>
      <w:numPr>
        <w:numId w:val="35"/>
      </w:numPr>
    </w:pPr>
  </w:style>
  <w:style w:type="character" w:customStyle="1" w:styleId="Heading4aChar">
    <w:name w:val="Heading4a Char"/>
    <w:basedOn w:val="Heading4Char"/>
    <w:link w:val="Heading4a"/>
    <w:rsid w:val="00F975E8"/>
    <w:rPr>
      <w:rFonts w:ascii="Calibri" w:eastAsiaTheme="majorEastAsia" w:hAnsi="Calibri" w:cstheme="majorBidi"/>
      <w:iCs/>
      <w:color w:val="5F6369"/>
      <w:sz w:val="26"/>
    </w:rPr>
  </w:style>
  <w:style w:type="character" w:customStyle="1" w:styleId="cf01">
    <w:name w:val="cf01"/>
    <w:basedOn w:val="DefaultParagraphFont"/>
    <w:rsid w:val="00224375"/>
    <w:rPr>
      <w:rFonts w:ascii="Segoe UI" w:hAnsi="Segoe UI" w:cs="Segoe UI" w:hint="default"/>
      <w:sz w:val="18"/>
      <w:szCs w:val="18"/>
    </w:rPr>
  </w:style>
  <w:style w:type="character" w:customStyle="1" w:styleId="ui-provider">
    <w:name w:val="ui-provider"/>
    <w:basedOn w:val="DefaultParagraphFont"/>
    <w:rsid w:val="00091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39">
      <w:bodyDiv w:val="1"/>
      <w:marLeft w:val="0"/>
      <w:marRight w:val="0"/>
      <w:marTop w:val="0"/>
      <w:marBottom w:val="0"/>
      <w:divBdr>
        <w:top w:val="none" w:sz="0" w:space="0" w:color="auto"/>
        <w:left w:val="none" w:sz="0" w:space="0" w:color="auto"/>
        <w:bottom w:val="none" w:sz="0" w:space="0" w:color="auto"/>
        <w:right w:val="none" w:sz="0" w:space="0" w:color="auto"/>
      </w:divBdr>
    </w:div>
    <w:div w:id="14691759">
      <w:bodyDiv w:val="1"/>
      <w:marLeft w:val="0"/>
      <w:marRight w:val="0"/>
      <w:marTop w:val="0"/>
      <w:marBottom w:val="0"/>
      <w:divBdr>
        <w:top w:val="none" w:sz="0" w:space="0" w:color="auto"/>
        <w:left w:val="none" w:sz="0" w:space="0" w:color="auto"/>
        <w:bottom w:val="none" w:sz="0" w:space="0" w:color="auto"/>
        <w:right w:val="none" w:sz="0" w:space="0" w:color="auto"/>
      </w:divBdr>
      <w:divsChild>
        <w:div w:id="940721991">
          <w:marLeft w:val="547"/>
          <w:marRight w:val="0"/>
          <w:marTop w:val="0"/>
          <w:marBottom w:val="0"/>
          <w:divBdr>
            <w:top w:val="none" w:sz="0" w:space="0" w:color="auto"/>
            <w:left w:val="none" w:sz="0" w:space="0" w:color="auto"/>
            <w:bottom w:val="none" w:sz="0" w:space="0" w:color="auto"/>
            <w:right w:val="none" w:sz="0" w:space="0" w:color="auto"/>
          </w:divBdr>
        </w:div>
      </w:divsChild>
    </w:div>
    <w:div w:id="23485203">
      <w:bodyDiv w:val="1"/>
      <w:marLeft w:val="0"/>
      <w:marRight w:val="0"/>
      <w:marTop w:val="0"/>
      <w:marBottom w:val="0"/>
      <w:divBdr>
        <w:top w:val="none" w:sz="0" w:space="0" w:color="auto"/>
        <w:left w:val="none" w:sz="0" w:space="0" w:color="auto"/>
        <w:bottom w:val="none" w:sz="0" w:space="0" w:color="auto"/>
        <w:right w:val="none" w:sz="0" w:space="0" w:color="auto"/>
      </w:divBdr>
      <w:divsChild>
        <w:div w:id="339280497">
          <w:marLeft w:val="274"/>
          <w:marRight w:val="0"/>
          <w:marTop w:val="0"/>
          <w:marBottom w:val="0"/>
          <w:divBdr>
            <w:top w:val="none" w:sz="0" w:space="0" w:color="auto"/>
            <w:left w:val="none" w:sz="0" w:space="0" w:color="auto"/>
            <w:bottom w:val="none" w:sz="0" w:space="0" w:color="auto"/>
            <w:right w:val="none" w:sz="0" w:space="0" w:color="auto"/>
          </w:divBdr>
        </w:div>
        <w:div w:id="1855917921">
          <w:marLeft w:val="274"/>
          <w:marRight w:val="0"/>
          <w:marTop w:val="0"/>
          <w:marBottom w:val="0"/>
          <w:divBdr>
            <w:top w:val="none" w:sz="0" w:space="0" w:color="auto"/>
            <w:left w:val="none" w:sz="0" w:space="0" w:color="auto"/>
            <w:bottom w:val="none" w:sz="0" w:space="0" w:color="auto"/>
            <w:right w:val="none" w:sz="0" w:space="0" w:color="auto"/>
          </w:divBdr>
        </w:div>
        <w:div w:id="2099251903">
          <w:marLeft w:val="274"/>
          <w:marRight w:val="0"/>
          <w:marTop w:val="0"/>
          <w:marBottom w:val="0"/>
          <w:divBdr>
            <w:top w:val="none" w:sz="0" w:space="0" w:color="auto"/>
            <w:left w:val="none" w:sz="0" w:space="0" w:color="auto"/>
            <w:bottom w:val="none" w:sz="0" w:space="0" w:color="auto"/>
            <w:right w:val="none" w:sz="0" w:space="0" w:color="auto"/>
          </w:divBdr>
        </w:div>
      </w:divsChild>
    </w:div>
    <w:div w:id="44108979">
      <w:bodyDiv w:val="1"/>
      <w:marLeft w:val="0"/>
      <w:marRight w:val="0"/>
      <w:marTop w:val="0"/>
      <w:marBottom w:val="0"/>
      <w:divBdr>
        <w:top w:val="none" w:sz="0" w:space="0" w:color="auto"/>
        <w:left w:val="none" w:sz="0" w:space="0" w:color="auto"/>
        <w:bottom w:val="none" w:sz="0" w:space="0" w:color="auto"/>
        <w:right w:val="none" w:sz="0" w:space="0" w:color="auto"/>
      </w:divBdr>
    </w:div>
    <w:div w:id="49772709">
      <w:bodyDiv w:val="1"/>
      <w:marLeft w:val="0"/>
      <w:marRight w:val="0"/>
      <w:marTop w:val="0"/>
      <w:marBottom w:val="0"/>
      <w:divBdr>
        <w:top w:val="none" w:sz="0" w:space="0" w:color="auto"/>
        <w:left w:val="none" w:sz="0" w:space="0" w:color="auto"/>
        <w:bottom w:val="none" w:sz="0" w:space="0" w:color="auto"/>
        <w:right w:val="none" w:sz="0" w:space="0" w:color="auto"/>
      </w:divBdr>
    </w:div>
    <w:div w:id="86463071">
      <w:bodyDiv w:val="1"/>
      <w:marLeft w:val="0"/>
      <w:marRight w:val="0"/>
      <w:marTop w:val="0"/>
      <w:marBottom w:val="0"/>
      <w:divBdr>
        <w:top w:val="none" w:sz="0" w:space="0" w:color="auto"/>
        <w:left w:val="none" w:sz="0" w:space="0" w:color="auto"/>
        <w:bottom w:val="none" w:sz="0" w:space="0" w:color="auto"/>
        <w:right w:val="none" w:sz="0" w:space="0" w:color="auto"/>
      </w:divBdr>
    </w:div>
    <w:div w:id="131289483">
      <w:bodyDiv w:val="1"/>
      <w:marLeft w:val="0"/>
      <w:marRight w:val="0"/>
      <w:marTop w:val="0"/>
      <w:marBottom w:val="0"/>
      <w:divBdr>
        <w:top w:val="none" w:sz="0" w:space="0" w:color="auto"/>
        <w:left w:val="none" w:sz="0" w:space="0" w:color="auto"/>
        <w:bottom w:val="none" w:sz="0" w:space="0" w:color="auto"/>
        <w:right w:val="none" w:sz="0" w:space="0" w:color="auto"/>
      </w:divBdr>
    </w:div>
    <w:div w:id="203101300">
      <w:bodyDiv w:val="1"/>
      <w:marLeft w:val="0"/>
      <w:marRight w:val="0"/>
      <w:marTop w:val="0"/>
      <w:marBottom w:val="0"/>
      <w:divBdr>
        <w:top w:val="none" w:sz="0" w:space="0" w:color="auto"/>
        <w:left w:val="none" w:sz="0" w:space="0" w:color="auto"/>
        <w:bottom w:val="none" w:sz="0" w:space="0" w:color="auto"/>
        <w:right w:val="none" w:sz="0" w:space="0" w:color="auto"/>
      </w:divBdr>
    </w:div>
    <w:div w:id="269121757">
      <w:bodyDiv w:val="1"/>
      <w:marLeft w:val="0"/>
      <w:marRight w:val="0"/>
      <w:marTop w:val="0"/>
      <w:marBottom w:val="0"/>
      <w:divBdr>
        <w:top w:val="none" w:sz="0" w:space="0" w:color="auto"/>
        <w:left w:val="none" w:sz="0" w:space="0" w:color="auto"/>
        <w:bottom w:val="none" w:sz="0" w:space="0" w:color="auto"/>
        <w:right w:val="none" w:sz="0" w:space="0" w:color="auto"/>
      </w:divBdr>
    </w:div>
    <w:div w:id="279655983">
      <w:bodyDiv w:val="1"/>
      <w:marLeft w:val="0"/>
      <w:marRight w:val="0"/>
      <w:marTop w:val="0"/>
      <w:marBottom w:val="0"/>
      <w:divBdr>
        <w:top w:val="none" w:sz="0" w:space="0" w:color="auto"/>
        <w:left w:val="none" w:sz="0" w:space="0" w:color="auto"/>
        <w:bottom w:val="none" w:sz="0" w:space="0" w:color="auto"/>
        <w:right w:val="none" w:sz="0" w:space="0" w:color="auto"/>
      </w:divBdr>
    </w:div>
    <w:div w:id="400105581">
      <w:bodyDiv w:val="1"/>
      <w:marLeft w:val="0"/>
      <w:marRight w:val="0"/>
      <w:marTop w:val="0"/>
      <w:marBottom w:val="0"/>
      <w:divBdr>
        <w:top w:val="none" w:sz="0" w:space="0" w:color="auto"/>
        <w:left w:val="none" w:sz="0" w:space="0" w:color="auto"/>
        <w:bottom w:val="none" w:sz="0" w:space="0" w:color="auto"/>
        <w:right w:val="none" w:sz="0" w:space="0" w:color="auto"/>
      </w:divBdr>
    </w:div>
    <w:div w:id="501511447">
      <w:bodyDiv w:val="1"/>
      <w:marLeft w:val="0"/>
      <w:marRight w:val="0"/>
      <w:marTop w:val="0"/>
      <w:marBottom w:val="0"/>
      <w:divBdr>
        <w:top w:val="none" w:sz="0" w:space="0" w:color="auto"/>
        <w:left w:val="none" w:sz="0" w:space="0" w:color="auto"/>
        <w:bottom w:val="none" w:sz="0" w:space="0" w:color="auto"/>
        <w:right w:val="none" w:sz="0" w:space="0" w:color="auto"/>
      </w:divBdr>
      <w:divsChild>
        <w:div w:id="1799302525">
          <w:marLeft w:val="274"/>
          <w:marRight w:val="0"/>
          <w:marTop w:val="0"/>
          <w:marBottom w:val="0"/>
          <w:divBdr>
            <w:top w:val="none" w:sz="0" w:space="0" w:color="auto"/>
            <w:left w:val="none" w:sz="0" w:space="0" w:color="auto"/>
            <w:bottom w:val="none" w:sz="0" w:space="0" w:color="auto"/>
            <w:right w:val="none" w:sz="0" w:space="0" w:color="auto"/>
          </w:divBdr>
        </w:div>
      </w:divsChild>
    </w:div>
    <w:div w:id="523324560">
      <w:bodyDiv w:val="1"/>
      <w:marLeft w:val="0"/>
      <w:marRight w:val="0"/>
      <w:marTop w:val="0"/>
      <w:marBottom w:val="0"/>
      <w:divBdr>
        <w:top w:val="none" w:sz="0" w:space="0" w:color="auto"/>
        <w:left w:val="none" w:sz="0" w:space="0" w:color="auto"/>
        <w:bottom w:val="none" w:sz="0" w:space="0" w:color="auto"/>
        <w:right w:val="none" w:sz="0" w:space="0" w:color="auto"/>
      </w:divBdr>
    </w:div>
    <w:div w:id="548417981">
      <w:bodyDiv w:val="1"/>
      <w:marLeft w:val="0"/>
      <w:marRight w:val="0"/>
      <w:marTop w:val="0"/>
      <w:marBottom w:val="0"/>
      <w:divBdr>
        <w:top w:val="none" w:sz="0" w:space="0" w:color="auto"/>
        <w:left w:val="none" w:sz="0" w:space="0" w:color="auto"/>
        <w:bottom w:val="none" w:sz="0" w:space="0" w:color="auto"/>
        <w:right w:val="none" w:sz="0" w:space="0" w:color="auto"/>
      </w:divBdr>
    </w:div>
    <w:div w:id="554195724">
      <w:bodyDiv w:val="1"/>
      <w:marLeft w:val="0"/>
      <w:marRight w:val="0"/>
      <w:marTop w:val="0"/>
      <w:marBottom w:val="0"/>
      <w:divBdr>
        <w:top w:val="none" w:sz="0" w:space="0" w:color="auto"/>
        <w:left w:val="none" w:sz="0" w:space="0" w:color="auto"/>
        <w:bottom w:val="none" w:sz="0" w:space="0" w:color="auto"/>
        <w:right w:val="none" w:sz="0" w:space="0" w:color="auto"/>
      </w:divBdr>
    </w:div>
    <w:div w:id="556012290">
      <w:bodyDiv w:val="1"/>
      <w:marLeft w:val="0"/>
      <w:marRight w:val="0"/>
      <w:marTop w:val="0"/>
      <w:marBottom w:val="0"/>
      <w:divBdr>
        <w:top w:val="none" w:sz="0" w:space="0" w:color="auto"/>
        <w:left w:val="none" w:sz="0" w:space="0" w:color="auto"/>
        <w:bottom w:val="none" w:sz="0" w:space="0" w:color="auto"/>
        <w:right w:val="none" w:sz="0" w:space="0" w:color="auto"/>
      </w:divBdr>
    </w:div>
    <w:div w:id="631011440">
      <w:bodyDiv w:val="1"/>
      <w:marLeft w:val="0"/>
      <w:marRight w:val="0"/>
      <w:marTop w:val="0"/>
      <w:marBottom w:val="0"/>
      <w:divBdr>
        <w:top w:val="none" w:sz="0" w:space="0" w:color="auto"/>
        <w:left w:val="none" w:sz="0" w:space="0" w:color="auto"/>
        <w:bottom w:val="none" w:sz="0" w:space="0" w:color="auto"/>
        <w:right w:val="none" w:sz="0" w:space="0" w:color="auto"/>
      </w:divBdr>
      <w:divsChild>
        <w:div w:id="736822055">
          <w:marLeft w:val="274"/>
          <w:marRight w:val="0"/>
          <w:marTop w:val="0"/>
          <w:marBottom w:val="0"/>
          <w:divBdr>
            <w:top w:val="none" w:sz="0" w:space="0" w:color="auto"/>
            <w:left w:val="none" w:sz="0" w:space="0" w:color="auto"/>
            <w:bottom w:val="none" w:sz="0" w:space="0" w:color="auto"/>
            <w:right w:val="none" w:sz="0" w:space="0" w:color="auto"/>
          </w:divBdr>
        </w:div>
        <w:div w:id="841971237">
          <w:marLeft w:val="274"/>
          <w:marRight w:val="0"/>
          <w:marTop w:val="0"/>
          <w:marBottom w:val="0"/>
          <w:divBdr>
            <w:top w:val="none" w:sz="0" w:space="0" w:color="auto"/>
            <w:left w:val="none" w:sz="0" w:space="0" w:color="auto"/>
            <w:bottom w:val="none" w:sz="0" w:space="0" w:color="auto"/>
            <w:right w:val="none" w:sz="0" w:space="0" w:color="auto"/>
          </w:divBdr>
        </w:div>
        <w:div w:id="998843572">
          <w:marLeft w:val="274"/>
          <w:marRight w:val="0"/>
          <w:marTop w:val="0"/>
          <w:marBottom w:val="0"/>
          <w:divBdr>
            <w:top w:val="none" w:sz="0" w:space="0" w:color="auto"/>
            <w:left w:val="none" w:sz="0" w:space="0" w:color="auto"/>
            <w:bottom w:val="none" w:sz="0" w:space="0" w:color="auto"/>
            <w:right w:val="none" w:sz="0" w:space="0" w:color="auto"/>
          </w:divBdr>
        </w:div>
        <w:div w:id="2053308880">
          <w:marLeft w:val="274"/>
          <w:marRight w:val="0"/>
          <w:marTop w:val="0"/>
          <w:marBottom w:val="0"/>
          <w:divBdr>
            <w:top w:val="none" w:sz="0" w:space="0" w:color="auto"/>
            <w:left w:val="none" w:sz="0" w:space="0" w:color="auto"/>
            <w:bottom w:val="none" w:sz="0" w:space="0" w:color="auto"/>
            <w:right w:val="none" w:sz="0" w:space="0" w:color="auto"/>
          </w:divBdr>
        </w:div>
      </w:divsChild>
    </w:div>
    <w:div w:id="664091661">
      <w:bodyDiv w:val="1"/>
      <w:marLeft w:val="0"/>
      <w:marRight w:val="0"/>
      <w:marTop w:val="0"/>
      <w:marBottom w:val="0"/>
      <w:divBdr>
        <w:top w:val="none" w:sz="0" w:space="0" w:color="auto"/>
        <w:left w:val="none" w:sz="0" w:space="0" w:color="auto"/>
        <w:bottom w:val="none" w:sz="0" w:space="0" w:color="auto"/>
        <w:right w:val="none" w:sz="0" w:space="0" w:color="auto"/>
      </w:divBdr>
    </w:div>
    <w:div w:id="684987521">
      <w:bodyDiv w:val="1"/>
      <w:marLeft w:val="0"/>
      <w:marRight w:val="0"/>
      <w:marTop w:val="0"/>
      <w:marBottom w:val="0"/>
      <w:divBdr>
        <w:top w:val="none" w:sz="0" w:space="0" w:color="auto"/>
        <w:left w:val="none" w:sz="0" w:space="0" w:color="auto"/>
        <w:bottom w:val="none" w:sz="0" w:space="0" w:color="auto"/>
        <w:right w:val="none" w:sz="0" w:space="0" w:color="auto"/>
      </w:divBdr>
    </w:div>
    <w:div w:id="721290878">
      <w:bodyDiv w:val="1"/>
      <w:marLeft w:val="0"/>
      <w:marRight w:val="0"/>
      <w:marTop w:val="0"/>
      <w:marBottom w:val="0"/>
      <w:divBdr>
        <w:top w:val="none" w:sz="0" w:space="0" w:color="auto"/>
        <w:left w:val="none" w:sz="0" w:space="0" w:color="auto"/>
        <w:bottom w:val="none" w:sz="0" w:space="0" w:color="auto"/>
        <w:right w:val="none" w:sz="0" w:space="0" w:color="auto"/>
      </w:divBdr>
      <w:divsChild>
        <w:div w:id="11342585">
          <w:marLeft w:val="994"/>
          <w:marRight w:val="0"/>
          <w:marTop w:val="0"/>
          <w:marBottom w:val="0"/>
          <w:divBdr>
            <w:top w:val="none" w:sz="0" w:space="0" w:color="auto"/>
            <w:left w:val="none" w:sz="0" w:space="0" w:color="auto"/>
            <w:bottom w:val="none" w:sz="0" w:space="0" w:color="auto"/>
            <w:right w:val="none" w:sz="0" w:space="0" w:color="auto"/>
          </w:divBdr>
        </w:div>
        <w:div w:id="380640166">
          <w:marLeft w:val="994"/>
          <w:marRight w:val="0"/>
          <w:marTop w:val="0"/>
          <w:marBottom w:val="0"/>
          <w:divBdr>
            <w:top w:val="none" w:sz="0" w:space="0" w:color="auto"/>
            <w:left w:val="none" w:sz="0" w:space="0" w:color="auto"/>
            <w:bottom w:val="none" w:sz="0" w:space="0" w:color="auto"/>
            <w:right w:val="none" w:sz="0" w:space="0" w:color="auto"/>
          </w:divBdr>
        </w:div>
        <w:div w:id="842822101">
          <w:marLeft w:val="994"/>
          <w:marRight w:val="0"/>
          <w:marTop w:val="0"/>
          <w:marBottom w:val="0"/>
          <w:divBdr>
            <w:top w:val="none" w:sz="0" w:space="0" w:color="auto"/>
            <w:left w:val="none" w:sz="0" w:space="0" w:color="auto"/>
            <w:bottom w:val="none" w:sz="0" w:space="0" w:color="auto"/>
            <w:right w:val="none" w:sz="0" w:space="0" w:color="auto"/>
          </w:divBdr>
        </w:div>
        <w:div w:id="864365450">
          <w:marLeft w:val="994"/>
          <w:marRight w:val="0"/>
          <w:marTop w:val="0"/>
          <w:marBottom w:val="0"/>
          <w:divBdr>
            <w:top w:val="none" w:sz="0" w:space="0" w:color="auto"/>
            <w:left w:val="none" w:sz="0" w:space="0" w:color="auto"/>
            <w:bottom w:val="none" w:sz="0" w:space="0" w:color="auto"/>
            <w:right w:val="none" w:sz="0" w:space="0" w:color="auto"/>
          </w:divBdr>
        </w:div>
        <w:div w:id="906302825">
          <w:marLeft w:val="994"/>
          <w:marRight w:val="0"/>
          <w:marTop w:val="0"/>
          <w:marBottom w:val="0"/>
          <w:divBdr>
            <w:top w:val="none" w:sz="0" w:space="0" w:color="auto"/>
            <w:left w:val="none" w:sz="0" w:space="0" w:color="auto"/>
            <w:bottom w:val="none" w:sz="0" w:space="0" w:color="auto"/>
            <w:right w:val="none" w:sz="0" w:space="0" w:color="auto"/>
          </w:divBdr>
        </w:div>
        <w:div w:id="1309751088">
          <w:marLeft w:val="994"/>
          <w:marRight w:val="0"/>
          <w:marTop w:val="0"/>
          <w:marBottom w:val="0"/>
          <w:divBdr>
            <w:top w:val="none" w:sz="0" w:space="0" w:color="auto"/>
            <w:left w:val="none" w:sz="0" w:space="0" w:color="auto"/>
            <w:bottom w:val="none" w:sz="0" w:space="0" w:color="auto"/>
            <w:right w:val="none" w:sz="0" w:space="0" w:color="auto"/>
          </w:divBdr>
        </w:div>
        <w:div w:id="1490949204">
          <w:marLeft w:val="274"/>
          <w:marRight w:val="0"/>
          <w:marTop w:val="0"/>
          <w:marBottom w:val="0"/>
          <w:divBdr>
            <w:top w:val="none" w:sz="0" w:space="0" w:color="auto"/>
            <w:left w:val="none" w:sz="0" w:space="0" w:color="auto"/>
            <w:bottom w:val="none" w:sz="0" w:space="0" w:color="auto"/>
            <w:right w:val="none" w:sz="0" w:space="0" w:color="auto"/>
          </w:divBdr>
        </w:div>
        <w:div w:id="1560509180">
          <w:marLeft w:val="994"/>
          <w:marRight w:val="0"/>
          <w:marTop w:val="0"/>
          <w:marBottom w:val="0"/>
          <w:divBdr>
            <w:top w:val="none" w:sz="0" w:space="0" w:color="auto"/>
            <w:left w:val="none" w:sz="0" w:space="0" w:color="auto"/>
            <w:bottom w:val="none" w:sz="0" w:space="0" w:color="auto"/>
            <w:right w:val="none" w:sz="0" w:space="0" w:color="auto"/>
          </w:divBdr>
        </w:div>
        <w:div w:id="1616710039">
          <w:marLeft w:val="994"/>
          <w:marRight w:val="0"/>
          <w:marTop w:val="0"/>
          <w:marBottom w:val="0"/>
          <w:divBdr>
            <w:top w:val="none" w:sz="0" w:space="0" w:color="auto"/>
            <w:left w:val="none" w:sz="0" w:space="0" w:color="auto"/>
            <w:bottom w:val="none" w:sz="0" w:space="0" w:color="auto"/>
            <w:right w:val="none" w:sz="0" w:space="0" w:color="auto"/>
          </w:divBdr>
        </w:div>
        <w:div w:id="1639339000">
          <w:marLeft w:val="274"/>
          <w:marRight w:val="0"/>
          <w:marTop w:val="0"/>
          <w:marBottom w:val="0"/>
          <w:divBdr>
            <w:top w:val="none" w:sz="0" w:space="0" w:color="auto"/>
            <w:left w:val="none" w:sz="0" w:space="0" w:color="auto"/>
            <w:bottom w:val="none" w:sz="0" w:space="0" w:color="auto"/>
            <w:right w:val="none" w:sz="0" w:space="0" w:color="auto"/>
          </w:divBdr>
        </w:div>
      </w:divsChild>
    </w:div>
    <w:div w:id="766732821">
      <w:bodyDiv w:val="1"/>
      <w:marLeft w:val="0"/>
      <w:marRight w:val="0"/>
      <w:marTop w:val="0"/>
      <w:marBottom w:val="0"/>
      <w:divBdr>
        <w:top w:val="none" w:sz="0" w:space="0" w:color="auto"/>
        <w:left w:val="none" w:sz="0" w:space="0" w:color="auto"/>
        <w:bottom w:val="none" w:sz="0" w:space="0" w:color="auto"/>
        <w:right w:val="none" w:sz="0" w:space="0" w:color="auto"/>
      </w:divBdr>
    </w:div>
    <w:div w:id="814221837">
      <w:bodyDiv w:val="1"/>
      <w:marLeft w:val="0"/>
      <w:marRight w:val="0"/>
      <w:marTop w:val="0"/>
      <w:marBottom w:val="0"/>
      <w:divBdr>
        <w:top w:val="none" w:sz="0" w:space="0" w:color="auto"/>
        <w:left w:val="none" w:sz="0" w:space="0" w:color="auto"/>
        <w:bottom w:val="none" w:sz="0" w:space="0" w:color="auto"/>
        <w:right w:val="none" w:sz="0" w:space="0" w:color="auto"/>
      </w:divBdr>
    </w:div>
    <w:div w:id="842814638">
      <w:bodyDiv w:val="1"/>
      <w:marLeft w:val="0"/>
      <w:marRight w:val="0"/>
      <w:marTop w:val="0"/>
      <w:marBottom w:val="0"/>
      <w:divBdr>
        <w:top w:val="none" w:sz="0" w:space="0" w:color="auto"/>
        <w:left w:val="none" w:sz="0" w:space="0" w:color="auto"/>
        <w:bottom w:val="none" w:sz="0" w:space="0" w:color="auto"/>
        <w:right w:val="none" w:sz="0" w:space="0" w:color="auto"/>
      </w:divBdr>
    </w:div>
    <w:div w:id="871504172">
      <w:bodyDiv w:val="1"/>
      <w:marLeft w:val="0"/>
      <w:marRight w:val="0"/>
      <w:marTop w:val="0"/>
      <w:marBottom w:val="0"/>
      <w:divBdr>
        <w:top w:val="none" w:sz="0" w:space="0" w:color="auto"/>
        <w:left w:val="none" w:sz="0" w:space="0" w:color="auto"/>
        <w:bottom w:val="none" w:sz="0" w:space="0" w:color="auto"/>
        <w:right w:val="none" w:sz="0" w:space="0" w:color="auto"/>
      </w:divBdr>
    </w:div>
    <w:div w:id="873616275">
      <w:bodyDiv w:val="1"/>
      <w:marLeft w:val="0"/>
      <w:marRight w:val="0"/>
      <w:marTop w:val="0"/>
      <w:marBottom w:val="0"/>
      <w:divBdr>
        <w:top w:val="none" w:sz="0" w:space="0" w:color="auto"/>
        <w:left w:val="none" w:sz="0" w:space="0" w:color="auto"/>
        <w:bottom w:val="none" w:sz="0" w:space="0" w:color="auto"/>
        <w:right w:val="none" w:sz="0" w:space="0" w:color="auto"/>
      </w:divBdr>
    </w:div>
    <w:div w:id="893470156">
      <w:bodyDiv w:val="1"/>
      <w:marLeft w:val="0"/>
      <w:marRight w:val="0"/>
      <w:marTop w:val="0"/>
      <w:marBottom w:val="0"/>
      <w:divBdr>
        <w:top w:val="none" w:sz="0" w:space="0" w:color="auto"/>
        <w:left w:val="none" w:sz="0" w:space="0" w:color="auto"/>
        <w:bottom w:val="none" w:sz="0" w:space="0" w:color="auto"/>
        <w:right w:val="none" w:sz="0" w:space="0" w:color="auto"/>
      </w:divBdr>
    </w:div>
    <w:div w:id="903222585">
      <w:bodyDiv w:val="1"/>
      <w:marLeft w:val="0"/>
      <w:marRight w:val="0"/>
      <w:marTop w:val="0"/>
      <w:marBottom w:val="0"/>
      <w:divBdr>
        <w:top w:val="none" w:sz="0" w:space="0" w:color="auto"/>
        <w:left w:val="none" w:sz="0" w:space="0" w:color="auto"/>
        <w:bottom w:val="none" w:sz="0" w:space="0" w:color="auto"/>
        <w:right w:val="none" w:sz="0" w:space="0" w:color="auto"/>
      </w:divBdr>
    </w:div>
    <w:div w:id="918245633">
      <w:bodyDiv w:val="1"/>
      <w:marLeft w:val="0"/>
      <w:marRight w:val="0"/>
      <w:marTop w:val="0"/>
      <w:marBottom w:val="0"/>
      <w:divBdr>
        <w:top w:val="none" w:sz="0" w:space="0" w:color="auto"/>
        <w:left w:val="none" w:sz="0" w:space="0" w:color="auto"/>
        <w:bottom w:val="none" w:sz="0" w:space="0" w:color="auto"/>
        <w:right w:val="none" w:sz="0" w:space="0" w:color="auto"/>
      </w:divBdr>
    </w:div>
    <w:div w:id="939525101">
      <w:bodyDiv w:val="1"/>
      <w:marLeft w:val="0"/>
      <w:marRight w:val="0"/>
      <w:marTop w:val="0"/>
      <w:marBottom w:val="0"/>
      <w:divBdr>
        <w:top w:val="none" w:sz="0" w:space="0" w:color="auto"/>
        <w:left w:val="none" w:sz="0" w:space="0" w:color="auto"/>
        <w:bottom w:val="none" w:sz="0" w:space="0" w:color="auto"/>
        <w:right w:val="none" w:sz="0" w:space="0" w:color="auto"/>
      </w:divBdr>
    </w:div>
    <w:div w:id="942424198">
      <w:bodyDiv w:val="1"/>
      <w:marLeft w:val="0"/>
      <w:marRight w:val="0"/>
      <w:marTop w:val="0"/>
      <w:marBottom w:val="0"/>
      <w:divBdr>
        <w:top w:val="none" w:sz="0" w:space="0" w:color="auto"/>
        <w:left w:val="none" w:sz="0" w:space="0" w:color="auto"/>
        <w:bottom w:val="none" w:sz="0" w:space="0" w:color="auto"/>
        <w:right w:val="none" w:sz="0" w:space="0" w:color="auto"/>
      </w:divBdr>
    </w:div>
    <w:div w:id="989137016">
      <w:bodyDiv w:val="1"/>
      <w:marLeft w:val="0"/>
      <w:marRight w:val="0"/>
      <w:marTop w:val="0"/>
      <w:marBottom w:val="0"/>
      <w:divBdr>
        <w:top w:val="none" w:sz="0" w:space="0" w:color="auto"/>
        <w:left w:val="none" w:sz="0" w:space="0" w:color="auto"/>
        <w:bottom w:val="none" w:sz="0" w:space="0" w:color="auto"/>
        <w:right w:val="none" w:sz="0" w:space="0" w:color="auto"/>
      </w:divBdr>
    </w:div>
    <w:div w:id="1142424108">
      <w:bodyDiv w:val="1"/>
      <w:marLeft w:val="0"/>
      <w:marRight w:val="0"/>
      <w:marTop w:val="0"/>
      <w:marBottom w:val="0"/>
      <w:divBdr>
        <w:top w:val="none" w:sz="0" w:space="0" w:color="auto"/>
        <w:left w:val="none" w:sz="0" w:space="0" w:color="auto"/>
        <w:bottom w:val="none" w:sz="0" w:space="0" w:color="auto"/>
        <w:right w:val="none" w:sz="0" w:space="0" w:color="auto"/>
      </w:divBdr>
    </w:div>
    <w:div w:id="1205485703">
      <w:bodyDiv w:val="1"/>
      <w:marLeft w:val="0"/>
      <w:marRight w:val="0"/>
      <w:marTop w:val="0"/>
      <w:marBottom w:val="0"/>
      <w:divBdr>
        <w:top w:val="none" w:sz="0" w:space="0" w:color="auto"/>
        <w:left w:val="none" w:sz="0" w:space="0" w:color="auto"/>
        <w:bottom w:val="none" w:sz="0" w:space="0" w:color="auto"/>
        <w:right w:val="none" w:sz="0" w:space="0" w:color="auto"/>
      </w:divBdr>
    </w:div>
    <w:div w:id="1209685277">
      <w:bodyDiv w:val="1"/>
      <w:marLeft w:val="0"/>
      <w:marRight w:val="0"/>
      <w:marTop w:val="0"/>
      <w:marBottom w:val="0"/>
      <w:divBdr>
        <w:top w:val="none" w:sz="0" w:space="0" w:color="auto"/>
        <w:left w:val="none" w:sz="0" w:space="0" w:color="auto"/>
        <w:bottom w:val="none" w:sz="0" w:space="0" w:color="auto"/>
        <w:right w:val="none" w:sz="0" w:space="0" w:color="auto"/>
      </w:divBdr>
    </w:div>
    <w:div w:id="1269964959">
      <w:bodyDiv w:val="1"/>
      <w:marLeft w:val="0"/>
      <w:marRight w:val="0"/>
      <w:marTop w:val="0"/>
      <w:marBottom w:val="0"/>
      <w:divBdr>
        <w:top w:val="none" w:sz="0" w:space="0" w:color="auto"/>
        <w:left w:val="none" w:sz="0" w:space="0" w:color="auto"/>
        <w:bottom w:val="none" w:sz="0" w:space="0" w:color="auto"/>
        <w:right w:val="none" w:sz="0" w:space="0" w:color="auto"/>
      </w:divBdr>
    </w:div>
    <w:div w:id="1288389006">
      <w:bodyDiv w:val="1"/>
      <w:marLeft w:val="0"/>
      <w:marRight w:val="0"/>
      <w:marTop w:val="0"/>
      <w:marBottom w:val="0"/>
      <w:divBdr>
        <w:top w:val="none" w:sz="0" w:space="0" w:color="auto"/>
        <w:left w:val="none" w:sz="0" w:space="0" w:color="auto"/>
        <w:bottom w:val="none" w:sz="0" w:space="0" w:color="auto"/>
        <w:right w:val="none" w:sz="0" w:space="0" w:color="auto"/>
      </w:divBdr>
    </w:div>
    <w:div w:id="1322350400">
      <w:bodyDiv w:val="1"/>
      <w:marLeft w:val="0"/>
      <w:marRight w:val="0"/>
      <w:marTop w:val="0"/>
      <w:marBottom w:val="0"/>
      <w:divBdr>
        <w:top w:val="none" w:sz="0" w:space="0" w:color="auto"/>
        <w:left w:val="none" w:sz="0" w:space="0" w:color="auto"/>
        <w:bottom w:val="none" w:sz="0" w:space="0" w:color="auto"/>
        <w:right w:val="none" w:sz="0" w:space="0" w:color="auto"/>
      </w:divBdr>
    </w:div>
    <w:div w:id="1368486577">
      <w:bodyDiv w:val="1"/>
      <w:marLeft w:val="0"/>
      <w:marRight w:val="0"/>
      <w:marTop w:val="0"/>
      <w:marBottom w:val="0"/>
      <w:divBdr>
        <w:top w:val="none" w:sz="0" w:space="0" w:color="auto"/>
        <w:left w:val="none" w:sz="0" w:space="0" w:color="auto"/>
        <w:bottom w:val="none" w:sz="0" w:space="0" w:color="auto"/>
        <w:right w:val="none" w:sz="0" w:space="0" w:color="auto"/>
      </w:divBdr>
    </w:div>
    <w:div w:id="1426881384">
      <w:bodyDiv w:val="1"/>
      <w:marLeft w:val="0"/>
      <w:marRight w:val="0"/>
      <w:marTop w:val="0"/>
      <w:marBottom w:val="0"/>
      <w:divBdr>
        <w:top w:val="none" w:sz="0" w:space="0" w:color="auto"/>
        <w:left w:val="none" w:sz="0" w:space="0" w:color="auto"/>
        <w:bottom w:val="none" w:sz="0" w:space="0" w:color="auto"/>
        <w:right w:val="none" w:sz="0" w:space="0" w:color="auto"/>
      </w:divBdr>
    </w:div>
    <w:div w:id="1541353953">
      <w:bodyDiv w:val="1"/>
      <w:marLeft w:val="0"/>
      <w:marRight w:val="0"/>
      <w:marTop w:val="0"/>
      <w:marBottom w:val="0"/>
      <w:divBdr>
        <w:top w:val="none" w:sz="0" w:space="0" w:color="auto"/>
        <w:left w:val="none" w:sz="0" w:space="0" w:color="auto"/>
        <w:bottom w:val="none" w:sz="0" w:space="0" w:color="auto"/>
        <w:right w:val="none" w:sz="0" w:space="0" w:color="auto"/>
      </w:divBdr>
    </w:div>
    <w:div w:id="1628006596">
      <w:bodyDiv w:val="1"/>
      <w:marLeft w:val="0"/>
      <w:marRight w:val="0"/>
      <w:marTop w:val="0"/>
      <w:marBottom w:val="0"/>
      <w:divBdr>
        <w:top w:val="none" w:sz="0" w:space="0" w:color="auto"/>
        <w:left w:val="none" w:sz="0" w:space="0" w:color="auto"/>
        <w:bottom w:val="none" w:sz="0" w:space="0" w:color="auto"/>
        <w:right w:val="none" w:sz="0" w:space="0" w:color="auto"/>
      </w:divBdr>
    </w:div>
    <w:div w:id="1648434854">
      <w:bodyDiv w:val="1"/>
      <w:marLeft w:val="0"/>
      <w:marRight w:val="0"/>
      <w:marTop w:val="0"/>
      <w:marBottom w:val="0"/>
      <w:divBdr>
        <w:top w:val="none" w:sz="0" w:space="0" w:color="auto"/>
        <w:left w:val="none" w:sz="0" w:space="0" w:color="auto"/>
        <w:bottom w:val="none" w:sz="0" w:space="0" w:color="auto"/>
        <w:right w:val="none" w:sz="0" w:space="0" w:color="auto"/>
      </w:divBdr>
    </w:div>
    <w:div w:id="1691376734">
      <w:bodyDiv w:val="1"/>
      <w:marLeft w:val="0"/>
      <w:marRight w:val="0"/>
      <w:marTop w:val="0"/>
      <w:marBottom w:val="0"/>
      <w:divBdr>
        <w:top w:val="none" w:sz="0" w:space="0" w:color="auto"/>
        <w:left w:val="none" w:sz="0" w:space="0" w:color="auto"/>
        <w:bottom w:val="none" w:sz="0" w:space="0" w:color="auto"/>
        <w:right w:val="none" w:sz="0" w:space="0" w:color="auto"/>
      </w:divBdr>
    </w:div>
    <w:div w:id="1709647274">
      <w:bodyDiv w:val="1"/>
      <w:marLeft w:val="0"/>
      <w:marRight w:val="0"/>
      <w:marTop w:val="0"/>
      <w:marBottom w:val="0"/>
      <w:divBdr>
        <w:top w:val="none" w:sz="0" w:space="0" w:color="auto"/>
        <w:left w:val="none" w:sz="0" w:space="0" w:color="auto"/>
        <w:bottom w:val="none" w:sz="0" w:space="0" w:color="auto"/>
        <w:right w:val="none" w:sz="0" w:space="0" w:color="auto"/>
      </w:divBdr>
    </w:div>
    <w:div w:id="1711110819">
      <w:bodyDiv w:val="1"/>
      <w:marLeft w:val="0"/>
      <w:marRight w:val="0"/>
      <w:marTop w:val="0"/>
      <w:marBottom w:val="0"/>
      <w:divBdr>
        <w:top w:val="none" w:sz="0" w:space="0" w:color="auto"/>
        <w:left w:val="none" w:sz="0" w:space="0" w:color="auto"/>
        <w:bottom w:val="none" w:sz="0" w:space="0" w:color="auto"/>
        <w:right w:val="none" w:sz="0" w:space="0" w:color="auto"/>
      </w:divBdr>
    </w:div>
    <w:div w:id="1713189500">
      <w:bodyDiv w:val="1"/>
      <w:marLeft w:val="0"/>
      <w:marRight w:val="0"/>
      <w:marTop w:val="0"/>
      <w:marBottom w:val="0"/>
      <w:divBdr>
        <w:top w:val="none" w:sz="0" w:space="0" w:color="auto"/>
        <w:left w:val="none" w:sz="0" w:space="0" w:color="auto"/>
        <w:bottom w:val="none" w:sz="0" w:space="0" w:color="auto"/>
        <w:right w:val="none" w:sz="0" w:space="0" w:color="auto"/>
      </w:divBdr>
      <w:divsChild>
        <w:div w:id="844517921">
          <w:marLeft w:val="994"/>
          <w:marRight w:val="0"/>
          <w:marTop w:val="0"/>
          <w:marBottom w:val="0"/>
          <w:divBdr>
            <w:top w:val="none" w:sz="0" w:space="0" w:color="auto"/>
            <w:left w:val="none" w:sz="0" w:space="0" w:color="auto"/>
            <w:bottom w:val="none" w:sz="0" w:space="0" w:color="auto"/>
            <w:right w:val="none" w:sz="0" w:space="0" w:color="auto"/>
          </w:divBdr>
        </w:div>
        <w:div w:id="1394234305">
          <w:marLeft w:val="274"/>
          <w:marRight w:val="0"/>
          <w:marTop w:val="0"/>
          <w:marBottom w:val="0"/>
          <w:divBdr>
            <w:top w:val="none" w:sz="0" w:space="0" w:color="auto"/>
            <w:left w:val="none" w:sz="0" w:space="0" w:color="auto"/>
            <w:bottom w:val="none" w:sz="0" w:space="0" w:color="auto"/>
            <w:right w:val="none" w:sz="0" w:space="0" w:color="auto"/>
          </w:divBdr>
        </w:div>
      </w:divsChild>
    </w:div>
    <w:div w:id="1745758352">
      <w:bodyDiv w:val="1"/>
      <w:marLeft w:val="0"/>
      <w:marRight w:val="0"/>
      <w:marTop w:val="0"/>
      <w:marBottom w:val="0"/>
      <w:divBdr>
        <w:top w:val="none" w:sz="0" w:space="0" w:color="auto"/>
        <w:left w:val="none" w:sz="0" w:space="0" w:color="auto"/>
        <w:bottom w:val="none" w:sz="0" w:space="0" w:color="auto"/>
        <w:right w:val="none" w:sz="0" w:space="0" w:color="auto"/>
      </w:divBdr>
    </w:div>
    <w:div w:id="1784302072">
      <w:bodyDiv w:val="1"/>
      <w:marLeft w:val="0"/>
      <w:marRight w:val="0"/>
      <w:marTop w:val="0"/>
      <w:marBottom w:val="0"/>
      <w:divBdr>
        <w:top w:val="none" w:sz="0" w:space="0" w:color="auto"/>
        <w:left w:val="none" w:sz="0" w:space="0" w:color="auto"/>
        <w:bottom w:val="none" w:sz="0" w:space="0" w:color="auto"/>
        <w:right w:val="none" w:sz="0" w:space="0" w:color="auto"/>
      </w:divBdr>
    </w:div>
    <w:div w:id="1827550842">
      <w:bodyDiv w:val="1"/>
      <w:marLeft w:val="0"/>
      <w:marRight w:val="0"/>
      <w:marTop w:val="0"/>
      <w:marBottom w:val="0"/>
      <w:divBdr>
        <w:top w:val="none" w:sz="0" w:space="0" w:color="auto"/>
        <w:left w:val="none" w:sz="0" w:space="0" w:color="auto"/>
        <w:bottom w:val="none" w:sz="0" w:space="0" w:color="auto"/>
        <w:right w:val="none" w:sz="0" w:space="0" w:color="auto"/>
      </w:divBdr>
    </w:div>
    <w:div w:id="2005550988">
      <w:bodyDiv w:val="1"/>
      <w:marLeft w:val="0"/>
      <w:marRight w:val="0"/>
      <w:marTop w:val="0"/>
      <w:marBottom w:val="0"/>
      <w:divBdr>
        <w:top w:val="none" w:sz="0" w:space="0" w:color="auto"/>
        <w:left w:val="none" w:sz="0" w:space="0" w:color="auto"/>
        <w:bottom w:val="none" w:sz="0" w:space="0" w:color="auto"/>
        <w:right w:val="none" w:sz="0" w:space="0" w:color="auto"/>
      </w:divBdr>
      <w:divsChild>
        <w:div w:id="1036349951">
          <w:marLeft w:val="547"/>
          <w:marRight w:val="0"/>
          <w:marTop w:val="0"/>
          <w:marBottom w:val="0"/>
          <w:divBdr>
            <w:top w:val="none" w:sz="0" w:space="0" w:color="auto"/>
            <w:left w:val="none" w:sz="0" w:space="0" w:color="auto"/>
            <w:bottom w:val="none" w:sz="0" w:space="0" w:color="auto"/>
            <w:right w:val="none" w:sz="0" w:space="0" w:color="auto"/>
          </w:divBdr>
        </w:div>
        <w:div w:id="1451436436">
          <w:marLeft w:val="547"/>
          <w:marRight w:val="0"/>
          <w:marTop w:val="0"/>
          <w:marBottom w:val="0"/>
          <w:divBdr>
            <w:top w:val="none" w:sz="0" w:space="0" w:color="auto"/>
            <w:left w:val="none" w:sz="0" w:space="0" w:color="auto"/>
            <w:bottom w:val="none" w:sz="0" w:space="0" w:color="auto"/>
            <w:right w:val="none" w:sz="0" w:space="0" w:color="auto"/>
          </w:divBdr>
        </w:div>
        <w:div w:id="1975989631">
          <w:marLeft w:val="547"/>
          <w:marRight w:val="0"/>
          <w:marTop w:val="0"/>
          <w:marBottom w:val="0"/>
          <w:divBdr>
            <w:top w:val="none" w:sz="0" w:space="0" w:color="auto"/>
            <w:left w:val="none" w:sz="0" w:space="0" w:color="auto"/>
            <w:bottom w:val="none" w:sz="0" w:space="0" w:color="auto"/>
            <w:right w:val="none" w:sz="0" w:space="0" w:color="auto"/>
          </w:divBdr>
        </w:div>
      </w:divsChild>
    </w:div>
    <w:div w:id="2029335465">
      <w:bodyDiv w:val="1"/>
      <w:marLeft w:val="0"/>
      <w:marRight w:val="0"/>
      <w:marTop w:val="0"/>
      <w:marBottom w:val="0"/>
      <w:divBdr>
        <w:top w:val="none" w:sz="0" w:space="0" w:color="auto"/>
        <w:left w:val="none" w:sz="0" w:space="0" w:color="auto"/>
        <w:bottom w:val="none" w:sz="0" w:space="0" w:color="auto"/>
        <w:right w:val="none" w:sz="0" w:space="0" w:color="auto"/>
      </w:divBdr>
    </w:div>
    <w:div w:id="2058116869">
      <w:bodyDiv w:val="1"/>
      <w:marLeft w:val="0"/>
      <w:marRight w:val="0"/>
      <w:marTop w:val="0"/>
      <w:marBottom w:val="0"/>
      <w:divBdr>
        <w:top w:val="none" w:sz="0" w:space="0" w:color="auto"/>
        <w:left w:val="none" w:sz="0" w:space="0" w:color="auto"/>
        <w:bottom w:val="none" w:sz="0" w:space="0" w:color="auto"/>
        <w:right w:val="none" w:sz="0" w:space="0" w:color="auto"/>
      </w:divBdr>
    </w:div>
    <w:div w:id="2084642013">
      <w:bodyDiv w:val="1"/>
      <w:marLeft w:val="0"/>
      <w:marRight w:val="0"/>
      <w:marTop w:val="0"/>
      <w:marBottom w:val="0"/>
      <w:divBdr>
        <w:top w:val="none" w:sz="0" w:space="0" w:color="auto"/>
        <w:left w:val="none" w:sz="0" w:space="0" w:color="auto"/>
        <w:bottom w:val="none" w:sz="0" w:space="0" w:color="auto"/>
        <w:right w:val="none" w:sz="0" w:space="0" w:color="auto"/>
      </w:divBdr>
    </w:div>
    <w:div w:id="2125683928">
      <w:bodyDiv w:val="1"/>
      <w:marLeft w:val="0"/>
      <w:marRight w:val="0"/>
      <w:marTop w:val="0"/>
      <w:marBottom w:val="0"/>
      <w:divBdr>
        <w:top w:val="none" w:sz="0" w:space="0" w:color="auto"/>
        <w:left w:val="none" w:sz="0" w:space="0" w:color="auto"/>
        <w:bottom w:val="none" w:sz="0" w:space="0" w:color="auto"/>
        <w:right w:val="none" w:sz="0" w:space="0" w:color="auto"/>
      </w:divBdr>
    </w:div>
    <w:div w:id="2137987116">
      <w:bodyDiv w:val="1"/>
      <w:marLeft w:val="0"/>
      <w:marRight w:val="0"/>
      <w:marTop w:val="0"/>
      <w:marBottom w:val="0"/>
      <w:divBdr>
        <w:top w:val="none" w:sz="0" w:space="0" w:color="auto"/>
        <w:left w:val="none" w:sz="0" w:space="0" w:color="auto"/>
        <w:bottom w:val="none" w:sz="0" w:space="0" w:color="auto"/>
        <w:right w:val="none" w:sz="0" w:space="0" w:color="auto"/>
      </w:divBdr>
    </w:div>
    <w:div w:id="2140027271">
      <w:bodyDiv w:val="1"/>
      <w:marLeft w:val="0"/>
      <w:marRight w:val="0"/>
      <w:marTop w:val="0"/>
      <w:marBottom w:val="0"/>
      <w:divBdr>
        <w:top w:val="none" w:sz="0" w:space="0" w:color="auto"/>
        <w:left w:val="none" w:sz="0" w:space="0" w:color="auto"/>
        <w:bottom w:val="none" w:sz="0" w:space="0" w:color="auto"/>
        <w:right w:val="none" w:sz="0" w:space="0" w:color="auto"/>
      </w:divBdr>
    </w:div>
    <w:div w:id="2146963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4.png"/><Relationship Id="rId21" Type="http://schemas.openxmlformats.org/officeDocument/2006/relationships/hyperlink" Target="https://www.dewr.gov.au/employment-services-evaluations/resources/transition-work-final-evaluation-report" TargetMode="External"/><Relationship Id="rId42" Type="http://schemas.openxmlformats.org/officeDocument/2006/relationships/image" Target="media/image23.png"/><Relationship Id="rId63" Type="http://schemas.openxmlformats.org/officeDocument/2006/relationships/image" Target="media/image42.png"/><Relationship Id="rId84" Type="http://schemas.openxmlformats.org/officeDocument/2006/relationships/hyperlink" Target="https://www.aihw.gov.au/reports/children-youth/subjective-wellbeing" TargetMode="External"/><Relationship Id="rId138" Type="http://schemas.openxmlformats.org/officeDocument/2006/relationships/image" Target="media/image72.png"/><Relationship Id="rId16" Type="http://schemas.openxmlformats.org/officeDocument/2006/relationships/image" Target="cid:image001.png@01CC5B5E.C6C84990" TargetMode="External"/><Relationship Id="rId107" Type="http://schemas.openxmlformats.org/officeDocument/2006/relationships/hyperlink" Target="https://www.mckinsey.com/industries/public-and-social-sector/our-insights/education-to-employment-designing-a-system-that-works" TargetMode="External"/><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chart" Target="charts/chart1.xml"/><Relationship Id="rId74" Type="http://schemas.openxmlformats.org/officeDocument/2006/relationships/header" Target="header3.xml"/><Relationship Id="rId79" Type="http://schemas.openxmlformats.org/officeDocument/2006/relationships/hyperlink" Target="https://www.abs.gov.au/websitedbs/censushome.nsf/home/2016" TargetMode="External"/><Relationship Id="rId102" Type="http://schemas.openxmlformats.org/officeDocument/2006/relationships/hyperlink" Target="https://assets.publishing.service.gov.uk/government/uploads/system/uploads/attachment_data/file/1005389/Wellbeing_guidance_for_appraisal_-_background_paper_reviewing_methods_and_approaches.pdf" TargetMode="External"/><Relationship Id="rId123" Type="http://schemas.openxmlformats.org/officeDocument/2006/relationships/image" Target="media/image59.png"/><Relationship Id="rId128" Type="http://schemas.openxmlformats.org/officeDocument/2006/relationships/image" Target="media/image62.png"/><Relationship Id="rId5" Type="http://schemas.openxmlformats.org/officeDocument/2006/relationships/numbering" Target="numbering.xml"/><Relationship Id="rId90" Type="http://schemas.openxmlformats.org/officeDocument/2006/relationships/hyperlink" Target="https://law.uq.edu.au/files/1227/Cost-effectiveness-analysis_Nov-2014.pdf" TargetMode="External"/><Relationship Id="rId95" Type="http://schemas.openxmlformats.org/officeDocument/2006/relationships/hyperlink" Target="https://parlinfo.aph.gov.au/parlInfo/download/library/prspub/4036352/upload_binary/4036352.pdf;fileType=application/pdf" TargetMode="External"/><Relationship Id="rId22" Type="http://schemas.openxmlformats.org/officeDocument/2006/relationships/image" Target="media/image6.png"/><Relationship Id="rId27" Type="http://schemas.openxmlformats.org/officeDocument/2006/relationships/hyperlink" Target="https://srcentre.sharepoint.com/sites/TtW/Shared%20Documents/General/6759a8f6-4d5b-4050-aed9-1ac24efd5656" TargetMode="External"/><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3.png"/><Relationship Id="rId69" Type="http://schemas.openxmlformats.org/officeDocument/2006/relationships/image" Target="media/image48.jpeg"/><Relationship Id="rId113" Type="http://schemas.openxmlformats.org/officeDocument/2006/relationships/hyperlink" Target="https://www.pc.gov.au/research/ongoing/report-on-government-services" TargetMode="External"/><Relationship Id="rId118" Type="http://schemas.openxmlformats.org/officeDocument/2006/relationships/image" Target="media/image55.png"/><Relationship Id="rId134" Type="http://schemas.openxmlformats.org/officeDocument/2006/relationships/image" Target="media/image68.png"/><Relationship Id="rId139" Type="http://schemas.openxmlformats.org/officeDocument/2006/relationships/fontTable" Target="fontTable.xml"/><Relationship Id="rId80" Type="http://schemas.openxmlformats.org/officeDocument/2006/relationships/hyperlink" Target="https://www.abs.gov.au/statistics/labour/employment-and-unemployment/labour-force-australia-detailed/latest-release" TargetMode="External"/><Relationship Id="rId85" Type="http://schemas.openxmlformats.org/officeDocument/2006/relationships/hyperlink" Target="https://www.aihw.gov.au/reports/youth-justice/young-people-returning-youth-justice-2019-20/summary" TargetMode="Externa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chart" Target="charts/chart2.xml"/><Relationship Id="rId103" Type="http://schemas.openxmlformats.org/officeDocument/2006/relationships/hyperlink" Target="https://assets.publishing.service.gov.uk/government/uploads/system/uploads/attachment_data/file/1005388/Wellbeing_guidance_for_appraisal_-_supplementary_Green_Book_guidance.pdf" TargetMode="External"/><Relationship Id="rId108" Type="http://schemas.openxmlformats.org/officeDocument/2006/relationships/hyperlink" Target="http://dx.doi.org/10.1787/9789264261488-en" TargetMode="External"/><Relationship Id="rId124" Type="http://schemas.openxmlformats.org/officeDocument/2006/relationships/image" Target="media/image60.png"/><Relationship Id="rId129" Type="http://schemas.openxmlformats.org/officeDocument/2006/relationships/image" Target="media/image63.png"/><Relationship Id="rId54" Type="http://schemas.openxmlformats.org/officeDocument/2006/relationships/image" Target="media/image35.png"/><Relationship Id="rId70" Type="http://schemas.openxmlformats.org/officeDocument/2006/relationships/image" Target="media/image49.jpeg"/><Relationship Id="rId75" Type="http://schemas.openxmlformats.org/officeDocument/2006/relationships/hyperlink" Target="https://www.ato.gov.au/rates/consumer-price-index/" TargetMode="External"/><Relationship Id="rId91" Type="http://schemas.openxmlformats.org/officeDocument/2006/relationships/hyperlink" Target="https://onlinelibrary.wiley.com/doi/abs/10.1111/gwao.12563" TargetMode="External"/><Relationship Id="rId96" Type="http://schemas.openxmlformats.org/officeDocument/2006/relationships/hyperlink" Target="http://doi.org/10.1007/s11205-009-9493-y"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png"/><Relationship Id="rId28" Type="http://schemas.openxmlformats.org/officeDocument/2006/relationships/image" Target="media/image9.png"/><Relationship Id="rId49" Type="http://schemas.openxmlformats.org/officeDocument/2006/relationships/image" Target="media/image30.png"/><Relationship Id="rId114" Type="http://schemas.openxmlformats.org/officeDocument/2006/relationships/hyperlink" Target="https://cica.org.au/wp-content/uploads/Fundamental-principles-for-youth-employment-report-FINAL.pdf" TargetMode="External"/><Relationship Id="rId119" Type="http://schemas.openxmlformats.org/officeDocument/2006/relationships/image" Target="media/image56.png"/><Relationship Id="rId44" Type="http://schemas.openxmlformats.org/officeDocument/2006/relationships/image" Target="media/image25.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hyperlink" Target="https://www.abs.gov.au/statistics/people/education/education-and-work-australia/latest-release" TargetMode="External"/><Relationship Id="rId86" Type="http://schemas.openxmlformats.org/officeDocument/2006/relationships/hyperlink" Target="https://parlinfo.aph.gov.au/parlInfo/download/library/prspub/4036352/upload_binary/4036352.pdf;fileType=application/pdf" TargetMode="External"/><Relationship Id="rId130" Type="http://schemas.openxmlformats.org/officeDocument/2006/relationships/image" Target="media/image64.png"/><Relationship Id="rId135" Type="http://schemas.openxmlformats.org/officeDocument/2006/relationships/image" Target="media/image69.png"/><Relationship Id="rId13" Type="http://schemas.openxmlformats.org/officeDocument/2006/relationships/image" Target="media/image3.png"/><Relationship Id="rId18" Type="http://schemas.openxmlformats.org/officeDocument/2006/relationships/hyperlink" Target="https://creativecommons.org/licenses/by/4.0/legalcode" TargetMode="External"/><Relationship Id="rId39" Type="http://schemas.openxmlformats.org/officeDocument/2006/relationships/image" Target="media/image20.png"/><Relationship Id="rId109" Type="http://schemas.openxmlformats.org/officeDocument/2006/relationships/hyperlink" Target="https://read.oecd-ilibrary.org/social-issues-migration-health/investing-in-youth-australia_9789264257498-en" TargetMode="External"/><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header" Target="header4.xml"/><Relationship Id="rId97" Type="http://schemas.openxmlformats.org/officeDocument/2006/relationships/hyperlink" Target="https://aus01.safelinks.protection.outlook.com/?url=https%3A%2F%2Fresearchportal.northumbria.ac.uk%2Fen%2Fresearchers%2Fvalerie-egdell(6178b7a8-666c-414d-9144-b43634fa99c4).html&amp;data=04%7C01%7CRoss.Goodin%40protected.dese.gov.au%7C5058671c05034459441b08d8d95e6f9d%7C8c0aa3fabaaf4713a02e487637cf14be%7C0%7C0%7C637498347778100706%7CUnknown%7CTWFpbGZsb3d8eyJWIjoiMC4wLjAwMDAiLCJQIjoiV2luMzIiLCJBTiI6Ik1haWwiLCJXVCI6Mn0%3D%7C1000&amp;sdata=7bpiyvvXpBtBd7g2sXczYcBrjQOKs10czLxicxTmiNs%3D&amp;reserved=0" TargetMode="External"/><Relationship Id="rId104" Type="http://schemas.openxmlformats.org/officeDocument/2006/relationships/hyperlink" Target="http://www.acqol.com.au/instruments" TargetMode="External"/><Relationship Id="rId120" Type="http://schemas.openxmlformats.org/officeDocument/2006/relationships/image" Target="media/image57.png"/><Relationship Id="rId125" Type="http://schemas.openxmlformats.org/officeDocument/2006/relationships/image" Target="media/image61.png"/><Relationship Id="rId7" Type="http://schemas.openxmlformats.org/officeDocument/2006/relationships/settings" Target="settings.xml"/><Relationship Id="rId71" Type="http://schemas.openxmlformats.org/officeDocument/2006/relationships/image" Target="media/image50.jpeg"/><Relationship Id="rId92" Type="http://schemas.openxmlformats.org/officeDocument/2006/relationships/hyperlink" Target="https://www.aihw.gov.au/getmedia/37c2c8b7-328c-41e1-bace-87ed7a551777/Australias-Welfare-Chapter-2-summary-18Sept2019.pdf.aspx" TargetMode="Externa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header" Target="header2.xm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5.png"/><Relationship Id="rId87" Type="http://schemas.openxmlformats.org/officeDocument/2006/relationships/hyperlink" Target="https://asvb.com.au/asvb-helps-measure-social-impact/what-is-the-asvb/" TargetMode="External"/><Relationship Id="rId110" Type="http://schemas.openxmlformats.org/officeDocument/2006/relationships/hyperlink" Target="https://www.oecd.org/g20/topics/employment-and-social-policy/OECD-ILO-Youth-Apprenticeships-G20.pdf" TargetMode="External"/><Relationship Id="rId115" Type="http://schemas.openxmlformats.org/officeDocument/2006/relationships/image" Target="media/image52.png"/><Relationship Id="rId131" Type="http://schemas.openxmlformats.org/officeDocument/2006/relationships/image" Target="media/image65.png"/><Relationship Id="rId136" Type="http://schemas.openxmlformats.org/officeDocument/2006/relationships/image" Target="media/image70.png"/><Relationship Id="rId61" Type="http://schemas.openxmlformats.org/officeDocument/2006/relationships/image" Target="media/image40.png"/><Relationship Id="rId82" Type="http://schemas.openxmlformats.org/officeDocument/2006/relationships/hyperlink" Target="https://www.abs.gov.au/statistics/people/crime-and-justice/prisoners-australia/latest-release" TargetMode="External"/><Relationship Id="rId19" Type="http://schemas.openxmlformats.org/officeDocument/2006/relationships/header" Target="header1.xml"/><Relationship Id="rId14" Type="http://schemas.openxmlformats.org/officeDocument/2006/relationships/image" Target="media/image4.svg"/><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hyperlink" Target="http://norden.diva-portal.org/smash/record.jsf?pid=diva2%3A852123&amp;dswid=6740" TargetMode="External"/><Relationship Id="rId100" Type="http://schemas.openxmlformats.org/officeDocument/2006/relationships/hyperlink" Target="https://cep.lse.ac.uk/pubs/download/dp1233.pdf" TargetMode="External"/><Relationship Id="rId105" Type="http://schemas.openxmlformats.org/officeDocument/2006/relationships/hyperlink" Target="https://files.eric.ed.gov/fulltext/ED524663.pdf" TargetMode="External"/><Relationship Id="rId126" Type="http://schemas.openxmlformats.org/officeDocument/2006/relationships/hyperlink" Target="https://labourmarketinsights.gov.au/our-research/internet-vacancy-index/" TargetMode="External"/><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image" Target="media/image51.jpeg"/><Relationship Id="rId93" Type="http://schemas.openxmlformats.org/officeDocument/2006/relationships/hyperlink" Target="https://www.tandfonline.com/doi/full/10.1080/13676261.2018.1562161" TargetMode="External"/><Relationship Id="rId98" Type="http://schemas.openxmlformats.org/officeDocument/2006/relationships/hyperlink" Target="https://onlinelibrary.wiley.com/doi/abs/10.1111/spol.12108" TargetMode="External"/><Relationship Id="rId121" Type="http://schemas.openxmlformats.org/officeDocument/2006/relationships/image" Target="media/image58.png"/><Relationship Id="rId3" Type="http://schemas.openxmlformats.org/officeDocument/2006/relationships/customXml" Target="../customXml/item3.xml"/><Relationship Id="rId25" Type="http://schemas.openxmlformats.org/officeDocument/2006/relationships/footer" Target="footer2.xml"/><Relationship Id="rId46" Type="http://schemas.openxmlformats.org/officeDocument/2006/relationships/image" Target="media/image27.png"/><Relationship Id="rId67" Type="http://schemas.openxmlformats.org/officeDocument/2006/relationships/image" Target="media/image46.jpeg"/><Relationship Id="rId116" Type="http://schemas.openxmlformats.org/officeDocument/2006/relationships/image" Target="media/image53.png"/><Relationship Id="rId137" Type="http://schemas.openxmlformats.org/officeDocument/2006/relationships/image" Target="media/image71.png"/><Relationship Id="rId20" Type="http://schemas.openxmlformats.org/officeDocument/2006/relationships/footer" Target="footer1.xml"/><Relationship Id="rId41" Type="http://schemas.openxmlformats.org/officeDocument/2006/relationships/image" Target="media/image22.png"/><Relationship Id="rId62" Type="http://schemas.openxmlformats.org/officeDocument/2006/relationships/image" Target="media/image41.png"/><Relationship Id="rId83" Type="http://schemas.openxmlformats.org/officeDocument/2006/relationships/hyperlink" Target="http://www.acqol.com.au/publications" TargetMode="External"/><Relationship Id="rId88" Type="http://schemas.openxmlformats.org/officeDocument/2006/relationships/hyperlink" Target="https://academic.oup.com/poq/article/74/5/817/1815551" TargetMode="External"/><Relationship Id="rId111" Type="http://schemas.openxmlformats.org/officeDocument/2006/relationships/hyperlink" Target="https://pubmed.ncbi.nlm.nih.gov/26854968/" TargetMode="External"/><Relationship Id="rId132" Type="http://schemas.openxmlformats.org/officeDocument/2006/relationships/image" Target="media/image66.png"/><Relationship Id="rId15" Type="http://schemas.openxmlformats.org/officeDocument/2006/relationships/image" Target="media/image5.png"/><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hyperlink" Target="https://www.missionaustralia.com.au/publications/youth-survey" TargetMode="External"/><Relationship Id="rId127" Type="http://schemas.openxmlformats.org/officeDocument/2006/relationships/hyperlink" Target="https://www.ato.gov.au/rates/consumer-price-index/" TargetMode="External"/><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hyperlink" Target="https://www.abs.gov.au/ausstats/abs@.nsf/Lookup/by%20Subject/1370.0.00.003~2013~Main%20Features~Section%20three:%20Proposed%20indicator%20list%20for%20MAP%202013~114" TargetMode="External"/><Relationship Id="rId78" Type="http://schemas.openxmlformats.org/officeDocument/2006/relationships/hyperlink" Target="https://www.ncver.edu.au/__data/assets/file/0017/8126/lsay_briefingreport24_2342.pdf" TargetMode="External"/><Relationship Id="rId94" Type="http://schemas.openxmlformats.org/officeDocument/2006/relationships/hyperlink" Target="http://www.acqol.com.au/uploads/surveys/20yr-anniversary-report.pdf" TargetMode="External"/><Relationship Id="rId99" Type="http://schemas.openxmlformats.org/officeDocument/2006/relationships/hyperlink" Target="https://aus01.safelinks.protection.outlook.com/?url=https%3A%2F%2Fresearchportal.northumbria.ac.uk%2Fen%2Fjournals%2Fsocial-policy-and-administration(b658a4b8-5113-49f3-a6ae-7294da83136d).html&amp;data=04%7C01%7CRoss.Goodin%40protected.dese.gov.au%7C5058671c05034459441b08d8d95e6f9d%7C8c0aa3fabaaf4713a02e487637cf14be%7C0%7C0%7C637498347778110664%7CUnknown%7CTWFpbGZsb3d8eyJWIjoiMC4wLjAwMDAiLCJQIjoiV2luMzIiLCJBTiI6Ik1haWwiLCJXVCI6Mn0%3D%7C1000&amp;sdata=hhD1kqBhU2bVdjlBpvMCh3Mtx%2F%2B0S0i%2Fe9Ugq5Ag6cQ%3D&amp;reserved=0" TargetMode="External"/><Relationship Id="rId101" Type="http://schemas.openxmlformats.org/officeDocument/2006/relationships/hyperlink" Target="https://headspace.org.au/takeastep/" TargetMode="External"/><Relationship Id="rId122" Type="http://schemas.openxmlformats.org/officeDocument/2006/relationships/hyperlink" Target="https://www.abs.gov.au/statistics/people/education/education-and-work-australia/latest-releas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8.png"/><Relationship Id="rId47" Type="http://schemas.openxmlformats.org/officeDocument/2006/relationships/image" Target="media/image28.png"/><Relationship Id="rId68" Type="http://schemas.openxmlformats.org/officeDocument/2006/relationships/image" Target="media/image47.jpeg"/><Relationship Id="rId89" Type="http://schemas.openxmlformats.org/officeDocument/2006/relationships/hyperlink" Target="https://apo.org.au/node/54014" TargetMode="External"/><Relationship Id="rId112" Type="http://schemas.openxmlformats.org/officeDocument/2006/relationships/hyperlink" Target="https://positivepsychology.com/connor-davidson-brief-resilience-scale/" TargetMode="External"/><Relationship Id="rId133" Type="http://schemas.openxmlformats.org/officeDocument/2006/relationships/image" Target="media/image67.png"/></Relationships>
</file>

<file path=word/_rels/footnotes.xml.rels><?xml version="1.0" encoding="UTF-8" standalone="yes"?>
<Relationships xmlns="http://schemas.openxmlformats.org/package/2006/relationships"><Relationship Id="rId8" Type="http://schemas.openxmlformats.org/officeDocument/2006/relationships/hyperlink" Target="https://guides.dss.gov.au/social-security-guide/5/2" TargetMode="External"/><Relationship Id="rId3" Type="http://schemas.openxmlformats.org/officeDocument/2006/relationships/hyperlink" Target="https://arp.nsw.gov.au/tpp17-03-nsw-government-guide-cost-benefit-analysis/" TargetMode="External"/><Relationship Id="rId7" Type="http://schemas.openxmlformats.org/officeDocument/2006/relationships/hyperlink" Target="https://www.ato.gov.au/tax-professionals/TP/Calendar-year-ending-31-December-2019/" TargetMode="External"/><Relationship Id="rId2" Type="http://schemas.openxmlformats.org/officeDocument/2006/relationships/hyperlink" Target="https://www.treasury.govt.nz/publications/guide/guide-social-cost-benefit-analysis" TargetMode="External"/><Relationship Id="rId1" Type="http://schemas.openxmlformats.org/officeDocument/2006/relationships/hyperlink" Target="https://www.aihw.gov.au/reports/children-youth/subjective-wellbeing" TargetMode="External"/><Relationship Id="rId6" Type="http://schemas.openxmlformats.org/officeDocument/2006/relationships/hyperlink" Target="https://csrm.cass.anu.edu.au/research/publications/hardship-distress-and-resilience-initial-impacts-covid-19-australia-1" TargetMode="External"/><Relationship Id="rId5" Type="http://schemas.openxmlformats.org/officeDocument/2006/relationships/hyperlink" Target="http://darp.lse.ac.uk/papersdb/Layard_etal_(JPubEcon08).pdf" TargetMode="External"/><Relationship Id="rId4" Type="http://schemas.openxmlformats.org/officeDocument/2006/relationships/hyperlink" Target="http://www.acqol.com.au/uploads/surveys/20yr-anniversary-report.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CCESS.application.enet\SPECIAL$\ERE%20Branch\Specialist%20Program%20Evaluation%20Section\TtW%20Phase%203%20Evaluation\6.%20Report\drafts%20and%20figures\Figures%20for%20final%20report%2020220610%20(version%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CCESS.application.enet\SPECIAL$\ERE%20Branch\Specialist%20Program%20Evaluation%20Section\TtW%20Phase%203%20Evaluation\6.%20Report\drafts%20and%20figures\Figures%20for%20final%20report%2020220610%20(version%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AU">
                <a:solidFill>
                  <a:sysClr val="windowText" lastClr="000000"/>
                </a:solidFill>
              </a:rPr>
              <a:t>MD18</a:t>
            </a:r>
          </a:p>
        </c:rich>
      </c:tx>
      <c:layout>
        <c:manualLayout>
          <c:xMode val="edge"/>
          <c:yMode val="edge"/>
          <c:x val="0.43551954642807639"/>
          <c:y val="0.2119658119658119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'duration outcomes'!$D$159</c:f>
              <c:strCache>
                <c:ptCount val="1"/>
                <c:pt idx="0">
                  <c:v>&lt;12 months</c:v>
                </c:pt>
              </c:strCache>
            </c:strRef>
          </c:tx>
          <c:spPr>
            <a:solidFill>
              <a:srgbClr val="5D7A3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'duration outcomes'!$M$167:$N$167</c:f>
              <c:strCache>
                <c:ptCount val="2"/>
                <c:pt idx="0">
                  <c:v>% of moderate JSCI</c:v>
                </c:pt>
                <c:pt idx="1">
                  <c:v>% of high JSCI </c:v>
                </c:pt>
              </c:strCache>
            </c:strRef>
          </c:cat>
          <c:val>
            <c:numRef>
              <c:f>'duration outcomes'!$M$169:$N$169</c:f>
              <c:numCache>
                <c:formatCode>0.0</c:formatCode>
                <c:ptCount val="2"/>
                <c:pt idx="0">
                  <c:v>50.566318275243802</c:v>
                </c:pt>
                <c:pt idx="1">
                  <c:v>48.011321316847905</c:v>
                </c:pt>
              </c:numCache>
            </c:numRef>
          </c:val>
          <c:extLst>
            <c:ext xmlns:c16="http://schemas.microsoft.com/office/drawing/2014/chart" uri="{C3380CC4-5D6E-409C-BE32-E72D297353CC}">
              <c16:uniqueId val="{00000000-2AEB-4D07-BA36-89C50A4C3659}"/>
            </c:ext>
          </c:extLst>
        </c:ser>
        <c:ser>
          <c:idx val="1"/>
          <c:order val="1"/>
          <c:tx>
            <c:strRef>
              <c:f>'duration outcomes'!$D$160</c:f>
              <c:strCache>
                <c:ptCount val="1"/>
                <c:pt idx="0">
                  <c:v>12-18 months</c:v>
                </c:pt>
              </c:strCache>
            </c:strRef>
          </c:tx>
          <c:spPr>
            <a:solidFill>
              <a:srgbClr val="62165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'duration outcomes'!$M$167:$N$167</c:f>
              <c:strCache>
                <c:ptCount val="2"/>
                <c:pt idx="0">
                  <c:v>% of moderate JSCI</c:v>
                </c:pt>
                <c:pt idx="1">
                  <c:v>% of high JSCI </c:v>
                </c:pt>
              </c:strCache>
            </c:strRef>
          </c:cat>
          <c:val>
            <c:numRef>
              <c:f>'duration outcomes'!$M$170:$N$170</c:f>
              <c:numCache>
                <c:formatCode>0.0</c:formatCode>
                <c:ptCount val="2"/>
                <c:pt idx="0">
                  <c:v>27.506887654698915</c:v>
                </c:pt>
                <c:pt idx="1">
                  <c:v>24.013108893192314</c:v>
                </c:pt>
              </c:numCache>
            </c:numRef>
          </c:val>
          <c:extLst>
            <c:ext xmlns:c16="http://schemas.microsoft.com/office/drawing/2014/chart" uri="{C3380CC4-5D6E-409C-BE32-E72D297353CC}">
              <c16:uniqueId val="{00000001-2AEB-4D07-BA36-89C50A4C3659}"/>
            </c:ext>
          </c:extLst>
        </c:ser>
        <c:ser>
          <c:idx val="2"/>
          <c:order val="2"/>
          <c:tx>
            <c:strRef>
              <c:f>'duration outcomes'!$D$161</c:f>
              <c:strCache>
                <c:ptCount val="1"/>
                <c:pt idx="0">
                  <c:v>&gt;18 months</c:v>
                </c:pt>
              </c:strCache>
            </c:strRef>
          </c:tx>
          <c:spPr>
            <a:solidFill>
              <a:srgbClr val="A4A7A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'duration outcomes'!$M$167:$N$167</c:f>
              <c:strCache>
                <c:ptCount val="2"/>
                <c:pt idx="0">
                  <c:v>% of moderate JSCI</c:v>
                </c:pt>
                <c:pt idx="1">
                  <c:v>% of high JSCI </c:v>
                </c:pt>
              </c:strCache>
            </c:strRef>
          </c:cat>
          <c:val>
            <c:numRef>
              <c:f>'duration outcomes'!$M$171:$N$171</c:f>
              <c:numCache>
                <c:formatCode>0.0</c:formatCode>
                <c:ptCount val="2"/>
                <c:pt idx="0">
                  <c:v>21.926794070057287</c:v>
                </c:pt>
                <c:pt idx="1">
                  <c:v>27.975569789959781</c:v>
                </c:pt>
              </c:numCache>
            </c:numRef>
          </c:val>
          <c:extLst>
            <c:ext xmlns:c16="http://schemas.microsoft.com/office/drawing/2014/chart" uri="{C3380CC4-5D6E-409C-BE32-E72D297353CC}">
              <c16:uniqueId val="{00000002-2AEB-4D07-BA36-89C50A4C3659}"/>
            </c:ext>
          </c:extLst>
        </c:ser>
        <c:dLbls>
          <c:dLblPos val="ctr"/>
          <c:showLegendKey val="0"/>
          <c:showVal val="1"/>
          <c:showCatName val="0"/>
          <c:showSerName val="0"/>
          <c:showPercent val="0"/>
          <c:showBubbleSize val="0"/>
        </c:dLbls>
        <c:gapWidth val="150"/>
        <c:overlap val="100"/>
        <c:axId val="487059280"/>
        <c:axId val="487057616"/>
      </c:barChart>
      <c:catAx>
        <c:axId val="487059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7057616"/>
        <c:crosses val="autoZero"/>
        <c:auto val="1"/>
        <c:lblAlgn val="ctr"/>
        <c:lblOffset val="100"/>
        <c:noMultiLvlLbl val="0"/>
      </c:catAx>
      <c:valAx>
        <c:axId val="487057616"/>
        <c:scaling>
          <c:orientation val="minMax"/>
          <c:max val="100"/>
        </c:scaling>
        <c:delete val="1"/>
        <c:axPos val="b"/>
        <c:numFmt formatCode="0" sourceLinked="0"/>
        <c:majorTickMark val="none"/>
        <c:minorTickMark val="none"/>
        <c:tickLblPos val="nextTo"/>
        <c:crossAx val="487059280"/>
        <c:crosses val="autoZero"/>
        <c:crossBetween val="between"/>
        <c:majorUnit val="20"/>
      </c:valAx>
      <c:spPr>
        <a:noFill/>
        <a:ln>
          <a:noFill/>
        </a:ln>
        <a:effectLst/>
      </c:spPr>
    </c:plotArea>
    <c:legend>
      <c:legendPos val="t"/>
      <c:layout>
        <c:manualLayout>
          <c:xMode val="edge"/>
          <c:yMode val="edge"/>
          <c:x val="0.27137980835870812"/>
          <c:y val="4.8478632478632502E-2"/>
          <c:w val="0.44"/>
          <c:h val="9.183737747067331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AU">
                <a:solidFill>
                  <a:sysClr val="windowText" lastClr="000000"/>
                </a:solidFill>
              </a:rPr>
              <a:t>MD12</a:t>
            </a:r>
          </a:p>
        </c:rich>
      </c:tx>
      <c:layout>
        <c:manualLayout>
          <c:xMode val="edge"/>
          <c:yMode val="edge"/>
          <c:x val="0.44056856068667094"/>
          <c:y val="0.1753171856978085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9873170819400998"/>
          <c:y val="0.23890499194847023"/>
          <c:w val="0.76510390824434615"/>
          <c:h val="0.61166977316241267"/>
        </c:manualLayout>
      </c:layout>
      <c:barChart>
        <c:barDir val="bar"/>
        <c:grouping val="stacked"/>
        <c:varyColors val="0"/>
        <c:ser>
          <c:idx val="0"/>
          <c:order val="0"/>
          <c:tx>
            <c:strRef>
              <c:f>'duration outcomes'!$D$159</c:f>
              <c:strCache>
                <c:ptCount val="1"/>
                <c:pt idx="0">
                  <c:v>&lt;12 months</c:v>
                </c:pt>
              </c:strCache>
            </c:strRef>
          </c:tx>
          <c:spPr>
            <a:solidFill>
              <a:srgbClr val="5D7A38"/>
            </a:solidFill>
            <a:ln>
              <a:noFill/>
            </a:ln>
            <a:effectLst/>
          </c:spPr>
          <c:invertIfNegative val="0"/>
          <c:dLbls>
            <c:dLbl>
              <c:idx val="0"/>
              <c:tx>
                <c:rich>
                  <a:bodyPr/>
                  <a:lstStyle/>
                  <a:p>
                    <a:fld id="{5F7AEF6F-2359-4F4A-AD58-7D55C5EDA0DF}" type="VALUE">
                      <a:rPr lang="en-US">
                        <a:solidFill>
                          <a:schemeClr val="bg1"/>
                        </a:solidFill>
                      </a:rPr>
                      <a:pPr/>
                      <a:t>[VALUE]</a:t>
                    </a:fld>
                    <a:endParaRPr lang="en-AU"/>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992-4C02-A939-27BD97023A3D}"/>
                </c:ext>
              </c:extLst>
            </c:dLbl>
            <c:dLbl>
              <c:idx val="1"/>
              <c:tx>
                <c:rich>
                  <a:bodyPr/>
                  <a:lstStyle/>
                  <a:p>
                    <a:fld id="{2A38D77D-8AAB-49F6-9B3A-69341DDC59F3}" type="VALUE">
                      <a:rPr lang="en-US">
                        <a:solidFill>
                          <a:schemeClr val="bg1"/>
                        </a:solidFill>
                      </a:rPr>
                      <a:pPr/>
                      <a:t>[VALUE]</a:t>
                    </a:fld>
                    <a:endParaRPr lang="en-AU"/>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992-4C02-A939-27BD97023A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'duration outcomes'!$M$158:$N$158</c:f>
              <c:strCache>
                <c:ptCount val="2"/>
                <c:pt idx="0">
                  <c:v>% of moderate JSCI</c:v>
                </c:pt>
                <c:pt idx="1">
                  <c:v>% of high JSCI</c:v>
                </c:pt>
              </c:strCache>
            </c:strRef>
          </c:cat>
          <c:val>
            <c:numRef>
              <c:f>'duration outcomes'!$M$159:$N$159</c:f>
              <c:numCache>
                <c:formatCode>0.0</c:formatCode>
                <c:ptCount val="2"/>
                <c:pt idx="0">
                  <c:v>77.597970608817363</c:v>
                </c:pt>
                <c:pt idx="1">
                  <c:v>72.158498435870698</c:v>
                </c:pt>
              </c:numCache>
            </c:numRef>
          </c:val>
          <c:extLst>
            <c:ext xmlns:c16="http://schemas.microsoft.com/office/drawing/2014/chart" uri="{C3380CC4-5D6E-409C-BE32-E72D297353CC}">
              <c16:uniqueId val="{00000002-4992-4C02-A939-27BD97023A3D}"/>
            </c:ext>
          </c:extLst>
        </c:ser>
        <c:ser>
          <c:idx val="1"/>
          <c:order val="1"/>
          <c:tx>
            <c:strRef>
              <c:f>'duration outcomes'!$D$160</c:f>
              <c:strCache>
                <c:ptCount val="1"/>
                <c:pt idx="0">
                  <c:v>12-18 months</c:v>
                </c:pt>
              </c:strCache>
            </c:strRef>
          </c:tx>
          <c:spPr>
            <a:solidFill>
              <a:srgbClr val="62165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'duration outcomes'!$M$158:$N$158</c:f>
              <c:strCache>
                <c:ptCount val="2"/>
                <c:pt idx="0">
                  <c:v>% of moderate JSCI</c:v>
                </c:pt>
                <c:pt idx="1">
                  <c:v>% of high JSCI</c:v>
                </c:pt>
              </c:strCache>
            </c:strRef>
          </c:cat>
          <c:val>
            <c:numRef>
              <c:f>'duration outcomes'!$M$160:$N$160</c:f>
              <c:numCache>
                <c:formatCode>0.0</c:formatCode>
                <c:ptCount val="2"/>
                <c:pt idx="0">
                  <c:v>18.487578726382083</c:v>
                </c:pt>
                <c:pt idx="1">
                  <c:v>21.719052584537465</c:v>
                </c:pt>
              </c:numCache>
            </c:numRef>
          </c:val>
          <c:extLst>
            <c:ext xmlns:c16="http://schemas.microsoft.com/office/drawing/2014/chart" uri="{C3380CC4-5D6E-409C-BE32-E72D297353CC}">
              <c16:uniqueId val="{00000003-4992-4C02-A939-27BD97023A3D}"/>
            </c:ext>
          </c:extLst>
        </c:ser>
        <c:ser>
          <c:idx val="2"/>
          <c:order val="2"/>
          <c:tx>
            <c:strRef>
              <c:f>'duration outcomes'!$D$161</c:f>
              <c:strCache>
                <c:ptCount val="1"/>
                <c:pt idx="0">
                  <c:v>&gt;18 months</c:v>
                </c:pt>
              </c:strCache>
            </c:strRef>
          </c:tx>
          <c:spPr>
            <a:solidFill>
              <a:srgbClr val="A4A7A9"/>
            </a:solidFill>
            <a:ln>
              <a:noFill/>
            </a:ln>
            <a:effectLst/>
          </c:spPr>
          <c:invertIfNegative val="0"/>
          <c:dLbls>
            <c:dLbl>
              <c:idx val="1"/>
              <c:layout>
                <c:manualLayout>
                  <c:x val="-2.2114069912115256E-3"/>
                  <c:y val="3.787109944590259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4.2408015580966955E-2"/>
                      <c:h val="0.11998775153105862"/>
                    </c:manualLayout>
                  </c15:layout>
                </c:ext>
                <c:ext xmlns:c16="http://schemas.microsoft.com/office/drawing/2014/chart" uri="{C3380CC4-5D6E-409C-BE32-E72D297353CC}">
                  <c16:uniqueId val="{00000004-4992-4C02-A939-27BD97023A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'duration outcomes'!$M$158:$N$158</c:f>
              <c:strCache>
                <c:ptCount val="2"/>
                <c:pt idx="0">
                  <c:v>% of moderate JSCI</c:v>
                </c:pt>
                <c:pt idx="1">
                  <c:v>% of high JSCI</c:v>
                </c:pt>
              </c:strCache>
            </c:strRef>
          </c:cat>
          <c:val>
            <c:numRef>
              <c:f>'duration outcomes'!$M$161:$N$161</c:f>
              <c:numCache>
                <c:formatCode>0.0</c:formatCode>
                <c:ptCount val="2"/>
                <c:pt idx="0">
                  <c:v>3.9144506648005595</c:v>
                </c:pt>
                <c:pt idx="1">
                  <c:v>6.1224489795918364</c:v>
                </c:pt>
              </c:numCache>
            </c:numRef>
          </c:val>
          <c:extLst>
            <c:ext xmlns:c16="http://schemas.microsoft.com/office/drawing/2014/chart" uri="{C3380CC4-5D6E-409C-BE32-E72D297353CC}">
              <c16:uniqueId val="{00000005-4992-4C02-A939-27BD97023A3D}"/>
            </c:ext>
          </c:extLst>
        </c:ser>
        <c:dLbls>
          <c:dLblPos val="ctr"/>
          <c:showLegendKey val="0"/>
          <c:showVal val="1"/>
          <c:showCatName val="0"/>
          <c:showSerName val="0"/>
          <c:showPercent val="0"/>
          <c:showBubbleSize val="0"/>
        </c:dLbls>
        <c:gapWidth val="150"/>
        <c:overlap val="100"/>
        <c:axId val="480085984"/>
        <c:axId val="480089312"/>
      </c:barChart>
      <c:catAx>
        <c:axId val="480085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0089312"/>
        <c:crosses val="autoZero"/>
        <c:auto val="1"/>
        <c:lblAlgn val="ctr"/>
        <c:lblOffset val="100"/>
        <c:noMultiLvlLbl val="0"/>
      </c:catAx>
      <c:valAx>
        <c:axId val="480089312"/>
        <c:scaling>
          <c:orientation val="minMax"/>
          <c:max val="100"/>
        </c:scaling>
        <c:delete val="1"/>
        <c:axPos val="b"/>
        <c:numFmt formatCode="General" sourceLinked="0"/>
        <c:majorTickMark val="none"/>
        <c:minorTickMark val="none"/>
        <c:tickLblPos val="nextTo"/>
        <c:crossAx val="480085984"/>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af1c27-cd1d-49c2-8191-211c011c7f64" xsi:nil="true"/>
    <lcf76f155ced4ddcb4097134ff3c332f xmlns="14fe0010-992a-48a6-9b4f-40abca115722">
      <Terms xmlns="http://schemas.microsoft.com/office/infopath/2007/PartnerControls"/>
    </lcf76f155ced4ddcb4097134ff3c332f>
    <_Flow_SignoffStatus xmlns="14fe0010-992a-48a6-9b4f-40abca1157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764CEA69185B4895F6B616BCE4DA64" ma:contentTypeVersion="15" ma:contentTypeDescription="Create a new document." ma:contentTypeScope="" ma:versionID="b3d50c9118c3a0ee212d0e1189a58907">
  <xsd:schema xmlns:xsd="http://www.w3.org/2001/XMLSchema" xmlns:xs="http://www.w3.org/2001/XMLSchema" xmlns:p="http://schemas.microsoft.com/office/2006/metadata/properties" xmlns:ns2="14fe0010-992a-48a6-9b4f-40abca115722" xmlns:ns3="adaf1c27-cd1d-49c2-8191-211c011c7f64" targetNamespace="http://schemas.microsoft.com/office/2006/metadata/properties" ma:root="true" ma:fieldsID="1887c8e9b4e581d7b6b50246aa6e254e" ns2:_="" ns3:_="">
    <xsd:import namespace="14fe0010-992a-48a6-9b4f-40abca115722"/>
    <xsd:import namespace="adaf1c27-cd1d-49c2-8191-211c011c7f64"/>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e0010-992a-48a6-9b4f-40abca115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format="Dropdown" ma:internalName="Sign_x002d_off_x0020_status">
      <xsd:simpleType>
        <xsd:union memberTypes="dms:Text">
          <xsd:simpleType>
            <xsd:restriction base="dms:Choice">
              <xsd:enumeration value="Draft"/>
              <xsd:enumeration value="Final"/>
            </xsd:restriction>
          </xsd:simpleType>
        </xsd:un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af1c27-cd1d-49c2-8191-211c011c7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136285-236b-402c-be96-22136ce5baea}" ma:internalName="TaxCatchAll" ma:showField="CatchAllData" ma:web="adaf1c27-cd1d-49c2-8191-211c011c7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adaf1c27-cd1d-49c2-8191-211c011c7f64"/>
    <ds:schemaRef ds:uri="14fe0010-992a-48a6-9b4f-40abca115722"/>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10E1960D-D277-462B-80FD-294A9D4BB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e0010-992a-48a6-9b4f-40abca115722"/>
    <ds:schemaRef ds:uri="adaf1c27-cd1d-49c2-8191-211c011c7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BEF4ED-BB25-4E62-92CC-06A817B6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218</Pages>
  <Words>68025</Words>
  <Characters>387744</Characters>
  <Application>Microsoft Office Word</Application>
  <DocSecurity>0</DocSecurity>
  <Lines>3231</Lines>
  <Paragraphs>909</Paragraphs>
  <ScaleCrop>false</ScaleCrop>
  <HeadingPairs>
    <vt:vector size="2" baseType="variant">
      <vt:variant>
        <vt:lpstr>Title</vt:lpstr>
      </vt:variant>
      <vt:variant>
        <vt:i4>1</vt:i4>
      </vt:variant>
    </vt:vector>
  </HeadingPairs>
  <TitlesOfParts>
    <vt:vector size="1" baseType="lpstr">
      <vt:lpstr>TtW Supplementary Evaluation Report</vt:lpstr>
    </vt:vector>
  </TitlesOfParts>
  <Company/>
  <LinksUpToDate>false</LinksUpToDate>
  <CharactersWithSpaces>454860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TtW Supplementary Evaluation Report</dc:title>
  <dc:subject/>
  <dc:creator>INGLIS,Alison</dc:creator>
  <cp:keywords/>
  <dc:description/>
  <cp:lastModifiedBy>RADCLIFFE,Julia</cp:lastModifiedBy>
  <cp:revision>33</cp:revision>
  <cp:lastPrinted>2024-06-26T06:10:00Z</cp:lastPrinted>
  <dcterms:created xsi:type="dcterms:W3CDTF">2024-06-26T06:07:00Z</dcterms:created>
  <dcterms:modified xsi:type="dcterms:W3CDTF">2024-12-18T23:31:00Z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0x010100F3764CEA69185B4895F6B616BCE4DA64</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y fmtid="{D5CDD505-2E9C-101B-9397-08002B2CF9AE}" pid="11" name="MSIP_Label_79d889eb-932f-4752-8739-64d25806ef64_Enabled">
    <vt:lpwstr>true</vt:lpwstr>
  </property>
  <property fmtid="{D5CDD505-2E9C-101B-9397-08002B2CF9AE}" pid="12" name="MSIP_Label_79d889eb-932f-4752-8739-64d25806ef64_SetDate">
    <vt:lpwstr>2022-04-11T05:17:52Z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0b70adc1-9a12-4ad6-84a6-a3589f0efb4f</vt:lpwstr>
  </property>
  <property fmtid="{D5CDD505-2E9C-101B-9397-08002B2CF9AE}" pid="17" name="MSIP_Label_79d889eb-932f-4752-8739-64d25806ef64_ContentBits">
    <vt:lpwstr>0</vt:lpwstr>
  </property>
  <property fmtid="{D5CDD505-2E9C-101B-9397-08002B2CF9AE}" pid="18" name="_DocHome">
    <vt:i4>426963081</vt:i4>
  </property>
  <property fmtid="{D5CDD505-2E9C-101B-9397-08002B2CF9AE}" pid="19" name="MediaServiceImageTags">
    <vt:lpwstr/>
  </property>
</Properties>
</file>