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drawings/drawing2.xml" ContentType="application/vnd.openxmlformats-officedocument.drawingml.chartshapes+xml"/>
  <Override PartName="/word/charts/chart10.xml" ContentType="application/vnd.openxmlformats-officedocument.drawingml.chart+xml"/>
  <Override PartName="/word/drawings/drawing3.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CB016" w14:textId="77777777" w:rsidR="00473688" w:rsidRDefault="002A312B" w:rsidP="000E21BF">
      <w:pPr>
        <w:pStyle w:val="SpaceAbove"/>
      </w:pPr>
      <w:bookmarkStart w:id="0" w:name="_GoBack"/>
      <w:bookmarkEnd w:id="0"/>
      <w:r>
        <w:tab/>
      </w:r>
    </w:p>
    <w:sdt>
      <w:sdtPr>
        <w:rPr>
          <w:rFonts w:ascii="Times New Roman" w:eastAsiaTheme="minorEastAsia" w:hAnsi="Times New Roman" w:cstheme="minorBidi"/>
          <w:sz w:val="22"/>
          <w:szCs w:val="22"/>
        </w:rPr>
        <w:id w:val="2123191448"/>
        <w:docPartObj>
          <w:docPartGallery w:val="Cover Pages"/>
          <w:docPartUnique/>
        </w:docPartObj>
      </w:sdtPr>
      <w:sdtEndPr>
        <w:rPr>
          <w:rFonts w:asciiTheme="minorHAnsi" w:eastAsia="Times New Roman" w:hAnsiTheme="minorHAnsi" w:cs="Times New Roman"/>
          <w:sz w:val="24"/>
          <w:szCs w:val="24"/>
        </w:rPr>
      </w:sdtEndPr>
      <w:sdtContent>
        <w:tbl>
          <w:tblPr>
            <w:tblStyle w:val="TableGrid"/>
            <w:tblW w:w="1020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3"/>
            <w:gridCol w:w="6023"/>
          </w:tblGrid>
          <w:tr w:rsidR="00473688" w14:paraId="66863DD5" w14:textId="77777777" w:rsidTr="003C37AA">
            <w:trPr>
              <w:cantSplit/>
              <w:trHeight w:hRule="exact" w:val="454"/>
            </w:trPr>
            <w:tc>
              <w:tcPr>
                <w:tcW w:w="4183" w:type="dxa"/>
                <w:shd w:val="clear" w:color="auto" w:fill="000000" w:themeFill="text1"/>
                <w:vAlign w:val="center"/>
              </w:tcPr>
              <w:p w14:paraId="649BFBFB" w14:textId="77777777" w:rsidR="00473688" w:rsidRDefault="00473688" w:rsidP="000E21BF"/>
            </w:tc>
            <w:tc>
              <w:tcPr>
                <w:tcW w:w="6023" w:type="dxa"/>
                <w:shd w:val="clear" w:color="auto" w:fill="000000" w:themeFill="text1"/>
                <w:vAlign w:val="center"/>
              </w:tcPr>
              <w:p w14:paraId="4F1EAAAB" w14:textId="77777777" w:rsidR="00473688" w:rsidRPr="005E798E" w:rsidRDefault="00473688" w:rsidP="003C37AA">
                <w:pPr>
                  <w:pStyle w:val="TextBrandingPurple"/>
                </w:pPr>
                <w:r w:rsidRPr="005E798E">
                  <w:t xml:space="preserve">Acil allen </w:t>
                </w:r>
                <w:r w:rsidRPr="005E798E">
                  <w:rPr>
                    <w:rStyle w:val="ACILAllenYellow"/>
                  </w:rPr>
                  <w:t>Consulting</w:t>
                </w:r>
              </w:p>
            </w:tc>
          </w:tr>
          <w:tr w:rsidR="00473688" w14:paraId="7BDA6C78" w14:textId="77777777" w:rsidTr="003C37AA">
            <w:trPr>
              <w:cantSplit/>
              <w:trHeight w:hRule="exact" w:val="794"/>
            </w:trPr>
            <w:tc>
              <w:tcPr>
                <w:tcW w:w="4183" w:type="dxa"/>
              </w:tcPr>
              <w:p w14:paraId="46FEFACE" w14:textId="77777777" w:rsidR="00473688" w:rsidRDefault="00473688"/>
            </w:tc>
            <w:tc>
              <w:tcPr>
                <w:tcW w:w="6023" w:type="dxa"/>
                <w:vAlign w:val="bottom"/>
              </w:tcPr>
              <w:p w14:paraId="3EE8964A" w14:textId="4906FD9D" w:rsidR="00473688" w:rsidRPr="00323B84" w:rsidRDefault="00675D2C" w:rsidP="000E21BF">
                <w:pPr>
                  <w:pStyle w:val="ReportTo"/>
                </w:pPr>
                <w:r>
                  <w:t xml:space="preserve">final </w:t>
                </w:r>
                <w:r w:rsidR="00473688">
                  <w:t>Report to</w:t>
                </w:r>
              </w:p>
            </w:tc>
          </w:tr>
          <w:tr w:rsidR="00473688" w14:paraId="64FBE5A9" w14:textId="77777777" w:rsidTr="003C37AA">
            <w:trPr>
              <w:cantSplit/>
              <w:trHeight w:val="737"/>
            </w:trPr>
            <w:tc>
              <w:tcPr>
                <w:tcW w:w="4183" w:type="dxa"/>
              </w:tcPr>
              <w:p w14:paraId="058044C3" w14:textId="77777777" w:rsidR="00473688" w:rsidRPr="00323B84" w:rsidRDefault="00473688" w:rsidP="000E21BF">
                <w:pPr>
                  <w:rPr>
                    <w:rFonts w:ascii="Novecento Book" w:hAnsi="Novecento Book"/>
                    <w:sz w:val="22"/>
                  </w:rPr>
                </w:pPr>
              </w:p>
            </w:tc>
            <w:tc>
              <w:tcPr>
                <w:tcW w:w="6023" w:type="dxa"/>
                <w:tcBorders>
                  <w:bottom w:val="single" w:sz="4" w:space="0" w:color="auto"/>
                </w:tcBorders>
              </w:tcPr>
              <w:p w14:paraId="24DAA869" w14:textId="77777777" w:rsidR="00473688" w:rsidRDefault="00473688" w:rsidP="000E21BF">
                <w:pPr>
                  <w:pStyle w:val="PreparedFor0"/>
                </w:pPr>
                <w:r>
                  <w:t xml:space="preserve">Department of </w:t>
                </w:r>
                <w:r w:rsidR="00FC46F3">
                  <w:t>Education and training</w:t>
                </w:r>
              </w:p>
              <w:p w14:paraId="737B8721" w14:textId="77777777" w:rsidR="00473688" w:rsidRPr="00323B84" w:rsidRDefault="00473688" w:rsidP="000E21BF">
                <w:pPr>
                  <w:pStyle w:val="PreparedFor0"/>
                </w:pPr>
              </w:p>
            </w:tc>
          </w:tr>
          <w:tr w:rsidR="00473688" w14:paraId="0AF67FC8" w14:textId="77777777" w:rsidTr="003C37AA">
            <w:trPr>
              <w:cantSplit/>
              <w:trHeight w:hRule="exact" w:val="567"/>
            </w:trPr>
            <w:tc>
              <w:tcPr>
                <w:tcW w:w="4183" w:type="dxa"/>
              </w:tcPr>
              <w:p w14:paraId="2EA67B28" w14:textId="77777777" w:rsidR="00473688" w:rsidRDefault="00473688" w:rsidP="000E21BF"/>
            </w:tc>
            <w:tc>
              <w:tcPr>
                <w:tcW w:w="6023" w:type="dxa"/>
                <w:tcBorders>
                  <w:top w:val="single" w:sz="4" w:space="0" w:color="auto"/>
                </w:tcBorders>
              </w:tcPr>
              <w:p w14:paraId="43CF838D" w14:textId="383AC256" w:rsidR="00473688" w:rsidRPr="004E6210" w:rsidRDefault="00BA215B" w:rsidP="00BA215B">
                <w:pPr>
                  <w:pStyle w:val="Date"/>
                </w:pPr>
                <w:r>
                  <w:t>22</w:t>
                </w:r>
                <w:r w:rsidR="00473688" w:rsidRPr="004E6210">
                  <w:t xml:space="preserve"> </w:t>
                </w:r>
                <w:sdt>
                  <w:sdtPr>
                    <w:id w:val="881214001"/>
                    <w:date w:fullDate="2015-05-01T00:00:00Z">
                      <w:dateFormat w:val="MMMM yyyy"/>
                      <w:lid w:val="en-AU"/>
                      <w:storeMappedDataAs w:val="dateTime"/>
                      <w:calendar w:val="gregorian"/>
                    </w:date>
                  </w:sdtPr>
                  <w:sdtEndPr/>
                  <w:sdtContent>
                    <w:r>
                      <w:t>May 2015</w:t>
                    </w:r>
                  </w:sdtContent>
                </w:sdt>
              </w:p>
            </w:tc>
          </w:tr>
          <w:tr w:rsidR="00473688" w14:paraId="2D8E2470" w14:textId="77777777" w:rsidTr="003C37AA">
            <w:trPr>
              <w:cantSplit/>
              <w:trHeight w:hRule="exact" w:val="2461"/>
            </w:trPr>
            <w:tc>
              <w:tcPr>
                <w:tcW w:w="4183" w:type="dxa"/>
                <w:tcBorders>
                  <w:bottom w:val="single" w:sz="4" w:space="0" w:color="auto"/>
                </w:tcBorders>
              </w:tcPr>
              <w:p w14:paraId="2D90E10B" w14:textId="77777777" w:rsidR="00473688" w:rsidRDefault="00473688"/>
            </w:tc>
            <w:tc>
              <w:tcPr>
                <w:tcW w:w="6023" w:type="dxa"/>
                <w:tcBorders>
                  <w:bottom w:val="single" w:sz="4" w:space="0" w:color="auto"/>
                </w:tcBorders>
              </w:tcPr>
              <w:p w14:paraId="2A161E1E" w14:textId="002B5186" w:rsidR="00473688" w:rsidRPr="000E21BF" w:rsidRDefault="006A28F2" w:rsidP="000E21BF">
                <w:pPr>
                  <w:pStyle w:val="TitleShort"/>
                </w:pPr>
                <w:r>
                  <w:t xml:space="preserve">SEE Programme </w:t>
                </w:r>
                <w:r w:rsidR="00473688">
                  <w:t>evaluation</w:t>
                </w:r>
              </w:p>
            </w:tc>
          </w:tr>
          <w:tr w:rsidR="00473688" w14:paraId="671D261E" w14:textId="77777777" w:rsidTr="003C37AA">
            <w:trPr>
              <w:cantSplit/>
              <w:trHeight w:hRule="exact" w:val="386"/>
            </w:trPr>
            <w:tc>
              <w:tcPr>
                <w:tcW w:w="4183" w:type="dxa"/>
                <w:tcBorders>
                  <w:top w:val="single" w:sz="4" w:space="0" w:color="auto"/>
                </w:tcBorders>
              </w:tcPr>
              <w:p w14:paraId="4118B7BA" w14:textId="03EDAB2F" w:rsidR="00473688" w:rsidRPr="00D64897" w:rsidRDefault="00133D7F" w:rsidP="000E21BF">
                <w:pPr>
                  <w:pStyle w:val="CoverPageDeltas"/>
                </w:pPr>
                <w:r>
                  <w:rPr>
                    <w:noProof/>
                    <w:lang w:eastAsia="en-AU"/>
                  </w:rPr>
                  <w:drawing>
                    <wp:inline distT="0" distB="0" distL="0" distR="0" wp14:anchorId="23B8384A" wp14:editId="0D6CA7F6">
                      <wp:extent cx="539290" cy="264017"/>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805" cy="279446"/>
                              </a:xfrm>
                              <a:prstGeom prst="rect">
                                <a:avLst/>
                              </a:prstGeom>
                            </pic:spPr>
                          </pic:pic>
                        </a:graphicData>
                      </a:graphic>
                    </wp:inline>
                  </w:drawing>
                </w:r>
              </w:p>
            </w:tc>
            <w:tc>
              <w:tcPr>
                <w:tcW w:w="6023" w:type="dxa"/>
                <w:tcBorders>
                  <w:top w:val="single" w:sz="4" w:space="0" w:color="auto"/>
                </w:tcBorders>
              </w:tcPr>
              <w:p w14:paraId="6C4D28A5" w14:textId="77777777" w:rsidR="00473688" w:rsidRPr="00A9191A" w:rsidRDefault="00473688" w:rsidP="000E21BF">
                <w:pPr>
                  <w:pStyle w:val="CoverPageDeltas"/>
                </w:pPr>
              </w:p>
            </w:tc>
          </w:tr>
          <w:tr w:rsidR="00473688" w14:paraId="12B4AC62" w14:textId="77777777" w:rsidTr="003C37AA">
            <w:trPr>
              <w:cantSplit/>
              <w:trHeight w:hRule="exact" w:val="1134"/>
            </w:trPr>
            <w:tc>
              <w:tcPr>
                <w:tcW w:w="4183" w:type="dxa"/>
              </w:tcPr>
              <w:p w14:paraId="644C478E" w14:textId="369431C6" w:rsidR="00473688" w:rsidRDefault="00473688" w:rsidP="000E21BF">
                <w:pPr>
                  <w:jc w:val="right"/>
                </w:pPr>
              </w:p>
            </w:tc>
            <w:tc>
              <w:tcPr>
                <w:tcW w:w="6023" w:type="dxa"/>
              </w:tcPr>
              <w:p w14:paraId="5D61F9B0" w14:textId="77777777" w:rsidR="00473688" w:rsidRPr="003D3E12" w:rsidRDefault="00473688" w:rsidP="003C37AA">
                <w:pPr>
                  <w:pStyle w:val="Title"/>
                </w:pPr>
              </w:p>
            </w:tc>
          </w:tr>
          <w:tr w:rsidR="00473688" w14:paraId="54BB16FF" w14:textId="77777777" w:rsidTr="003C37AA">
            <w:trPr>
              <w:cantSplit/>
              <w:trHeight w:hRule="exact" w:val="794"/>
            </w:trPr>
            <w:tc>
              <w:tcPr>
                <w:tcW w:w="4183" w:type="dxa"/>
                <w:vAlign w:val="bottom"/>
              </w:tcPr>
              <w:p w14:paraId="3845DE1B" w14:textId="77777777" w:rsidR="00473688" w:rsidRDefault="00473688" w:rsidP="000E21BF"/>
            </w:tc>
            <w:tc>
              <w:tcPr>
                <w:tcW w:w="6023" w:type="dxa"/>
              </w:tcPr>
              <w:p w14:paraId="6B66759E" w14:textId="77777777" w:rsidR="00473688" w:rsidRPr="003D3E12" w:rsidRDefault="00473688" w:rsidP="000E21BF">
                <w:pPr>
                  <w:pStyle w:val="Subtitle0"/>
                </w:pPr>
              </w:p>
            </w:tc>
          </w:tr>
          <w:tr w:rsidR="00473688" w14:paraId="24758A3B" w14:textId="77777777" w:rsidTr="003C37AA">
            <w:trPr>
              <w:cantSplit/>
              <w:trHeight w:hRule="exact" w:val="6803"/>
            </w:trPr>
            <w:tc>
              <w:tcPr>
                <w:tcW w:w="10206" w:type="dxa"/>
                <w:gridSpan w:val="2"/>
                <w:vAlign w:val="bottom"/>
              </w:tcPr>
              <w:p w14:paraId="286E245B" w14:textId="77777777" w:rsidR="00473688" w:rsidRDefault="00473688" w:rsidP="000E21BF">
                <w:pPr>
                  <w:pStyle w:val="Image"/>
                </w:pPr>
                <w:r>
                  <w:drawing>
                    <wp:inline distT="0" distB="0" distL="0" distR="0" wp14:anchorId="00B1C52F" wp14:editId="50338E58">
                      <wp:extent cx="5939790" cy="427545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urp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790" cy="4275455"/>
                              </a:xfrm>
                              <a:prstGeom prst="rect">
                                <a:avLst/>
                              </a:prstGeom>
                            </pic:spPr>
                          </pic:pic>
                        </a:graphicData>
                      </a:graphic>
                    </wp:inline>
                  </w:drawing>
                </w:r>
              </w:p>
            </w:tc>
          </w:tr>
        </w:tbl>
        <w:p w14:paraId="4C44C4BC" w14:textId="77777777" w:rsidR="00473688" w:rsidRDefault="00473688">
          <w:pPr>
            <w:spacing w:before="180" w:line="300" w:lineRule="exact"/>
          </w:pPr>
          <w:r>
            <w:br w:type="page"/>
          </w:r>
        </w:p>
        <w:tbl>
          <w:tblPr>
            <w:tblStyle w:val="TableGrid"/>
            <w:tblW w:w="0" w:type="auto"/>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7"/>
            <w:gridCol w:w="2687"/>
          </w:tblGrid>
          <w:tr w:rsidR="00473688" w14:paraId="037144A2" w14:textId="77777777" w:rsidTr="003C37AA">
            <w:trPr>
              <w:cantSplit/>
              <w:trHeight w:hRule="exact" w:val="778"/>
            </w:trPr>
            <w:tc>
              <w:tcPr>
                <w:tcW w:w="5622" w:type="dxa"/>
                <w:tcBorders>
                  <w:bottom w:val="single" w:sz="8" w:space="0" w:color="A6A6A6" w:themeColor="background1" w:themeShade="A6"/>
                </w:tcBorders>
              </w:tcPr>
              <w:p w14:paraId="053C4F32" w14:textId="77777777" w:rsidR="00473688" w:rsidRDefault="00473688" w:rsidP="000E21BF">
                <w:pPr>
                  <w:pStyle w:val="ContactPageDeltas"/>
                </w:pPr>
              </w:p>
            </w:tc>
            <w:tc>
              <w:tcPr>
                <w:tcW w:w="2717" w:type="dxa"/>
                <w:tcBorders>
                  <w:bottom w:val="single" w:sz="8" w:space="0" w:color="A6A6A6" w:themeColor="background1" w:themeShade="A6"/>
                </w:tcBorders>
              </w:tcPr>
              <w:p w14:paraId="75B6DE0B" w14:textId="77777777" w:rsidR="00473688" w:rsidRDefault="00473688" w:rsidP="000E21BF">
                <w:pPr>
                  <w:pStyle w:val="ContactPageDeltas"/>
                </w:pPr>
                <w:r>
                  <w:rPr>
                    <w:noProof/>
                    <w:lang w:eastAsia="en-AU"/>
                  </w:rPr>
                  <w:drawing>
                    <wp:inline distT="0" distB="0" distL="0" distR="0" wp14:anchorId="237B51ED" wp14:editId="4D02AF36">
                      <wp:extent cx="882595" cy="44129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2184" cy="441092"/>
                              </a:xfrm>
                              <a:prstGeom prst="rect">
                                <a:avLst/>
                              </a:prstGeom>
                            </pic:spPr>
                          </pic:pic>
                        </a:graphicData>
                      </a:graphic>
                    </wp:inline>
                  </w:drawing>
                </w:r>
              </w:p>
            </w:tc>
          </w:tr>
          <w:tr w:rsidR="00473688" w:rsidRPr="008614D0" w14:paraId="50AEC4F0" w14:textId="77777777" w:rsidTr="003C37AA">
            <w:trPr>
              <w:cantSplit/>
              <w:trHeight w:hRule="exact" w:val="8347"/>
            </w:trPr>
            <w:tc>
              <w:tcPr>
                <w:tcW w:w="5622" w:type="dxa"/>
                <w:tcBorders>
                  <w:top w:val="single" w:sz="8" w:space="0" w:color="A6A6A6" w:themeColor="background1" w:themeShade="A6"/>
                </w:tcBorders>
                <w:vAlign w:val="bottom"/>
              </w:tcPr>
              <w:p w14:paraId="2B62BF6A" w14:textId="77777777" w:rsidR="00473688" w:rsidRPr="008614D0" w:rsidRDefault="00473688" w:rsidP="003C37AA">
                <w:pPr>
                  <w:pStyle w:val="CoverInfo"/>
                  <w:ind w:left="1068" w:hanging="1068"/>
                  <w:rPr>
                    <w:lang w:val="en-AU"/>
                  </w:rPr>
                </w:pPr>
              </w:p>
            </w:tc>
            <w:tc>
              <w:tcPr>
                <w:tcW w:w="2717" w:type="dxa"/>
                <w:tcBorders>
                  <w:top w:val="single" w:sz="8" w:space="0" w:color="A6A6A6" w:themeColor="background1" w:themeShade="A6"/>
                </w:tcBorders>
              </w:tcPr>
              <w:p w14:paraId="065600B4" w14:textId="77777777" w:rsidR="00473688" w:rsidRPr="008614D0" w:rsidRDefault="00473688" w:rsidP="003C37AA">
                <w:pPr>
                  <w:pStyle w:val="Contact"/>
                </w:pPr>
                <w:r w:rsidRPr="008614D0">
                  <w:t>ACIL ALLEN CONSULTING PTY LTD</w:t>
                </w:r>
                <w:r w:rsidRPr="008614D0">
                  <w:br/>
                  <w:t>ABN 68 102 652 148</w:t>
                </w:r>
              </w:p>
              <w:p w14:paraId="2C65BFE6" w14:textId="77777777" w:rsidR="00473688" w:rsidRPr="008614D0" w:rsidRDefault="00473688" w:rsidP="003C37AA">
                <w:pPr>
                  <w:pStyle w:val="Contact"/>
                </w:pPr>
                <w:r w:rsidRPr="008614D0">
                  <w:t>Level FIFTEEN</w:t>
                </w:r>
                <w:r w:rsidRPr="008614D0">
                  <w:br/>
                  <w:t>127 Creek Street</w:t>
                </w:r>
                <w:r w:rsidRPr="008614D0">
                  <w:br/>
                  <w:t>Brisbane QLD 4000</w:t>
                </w:r>
                <w:r w:rsidRPr="008614D0">
                  <w:br/>
                  <w:t>Australia</w:t>
                </w:r>
                <w:r w:rsidRPr="008614D0">
                  <w:br/>
                  <w:t>T+61 7 3009 8700</w:t>
                </w:r>
                <w:r w:rsidRPr="008614D0">
                  <w:br/>
                  <w:t>F+61 7 3009 8799</w:t>
                </w:r>
              </w:p>
              <w:p w14:paraId="567FB178" w14:textId="77777777" w:rsidR="00473688" w:rsidRPr="008614D0" w:rsidRDefault="00473688" w:rsidP="003C37AA">
                <w:pPr>
                  <w:pStyle w:val="Contact"/>
                </w:pPr>
                <w:r w:rsidRPr="008614D0">
                  <w:t>Level TWO</w:t>
                </w:r>
                <w:r w:rsidRPr="008614D0">
                  <w:br/>
                  <w:t>33 Ainslie Place</w:t>
                </w:r>
                <w:r w:rsidRPr="008614D0">
                  <w:br/>
                  <w:t>CANBERRA ACT 2600</w:t>
                </w:r>
                <w:r w:rsidRPr="008614D0">
                  <w:br/>
                  <w:t>AUSTRALIA</w:t>
                </w:r>
                <w:r w:rsidRPr="008614D0">
                  <w:br/>
                  <w:t>T+61 2 6103 8200</w:t>
                </w:r>
                <w:r w:rsidRPr="008614D0">
                  <w:br/>
                  <w:t>F+61 2 6103 8233</w:t>
                </w:r>
              </w:p>
              <w:p w14:paraId="7BC83D67" w14:textId="77777777" w:rsidR="00473688" w:rsidRPr="008614D0" w:rsidRDefault="00473688" w:rsidP="003C37AA">
                <w:pPr>
                  <w:pStyle w:val="Contact"/>
                </w:pPr>
                <w:r w:rsidRPr="008614D0">
                  <w:t>Level NINE</w:t>
                </w:r>
                <w:r w:rsidRPr="008614D0">
                  <w:br/>
                  <w:t>60 Collins Street</w:t>
                </w:r>
                <w:r w:rsidRPr="008614D0">
                  <w:br/>
                  <w:t>MELBOURNE VIC 3000</w:t>
                </w:r>
                <w:r w:rsidRPr="008614D0">
                  <w:br/>
                  <w:t>AUSTRALIA</w:t>
                </w:r>
                <w:r w:rsidRPr="008614D0">
                  <w:br/>
                  <w:t>T+61 3 8650 6000</w:t>
                </w:r>
                <w:r w:rsidRPr="008614D0">
                  <w:br/>
                  <w:t>F+61 3 9654 6363</w:t>
                </w:r>
              </w:p>
              <w:p w14:paraId="4BE89F70" w14:textId="77777777" w:rsidR="00473688" w:rsidRPr="008614D0" w:rsidRDefault="00473688" w:rsidP="003C37AA">
                <w:pPr>
                  <w:pStyle w:val="Contact"/>
                </w:pPr>
                <w:r w:rsidRPr="008614D0">
                  <w:t>Level one</w:t>
                </w:r>
                <w:r w:rsidRPr="008614D0">
                  <w:br/>
                  <w:t>50 Pitt Street</w:t>
                </w:r>
                <w:r w:rsidRPr="008614D0">
                  <w:br/>
                  <w:t>SYDNEY NSW 2000</w:t>
                </w:r>
                <w:r w:rsidRPr="008614D0">
                  <w:br/>
                  <w:t>AUSTRALIA</w:t>
                </w:r>
                <w:r w:rsidRPr="008614D0">
                  <w:br/>
                  <w:t>T+61 2 8272 5100</w:t>
                </w:r>
                <w:r w:rsidRPr="008614D0">
                  <w:br/>
                  <w:t>F+61 2 9247 2455</w:t>
                </w:r>
              </w:p>
              <w:p w14:paraId="363971D1" w14:textId="77777777" w:rsidR="00473688" w:rsidRPr="008614D0" w:rsidRDefault="00473688" w:rsidP="003C37AA">
                <w:pPr>
                  <w:pStyle w:val="Contact"/>
                </w:pPr>
                <w:r w:rsidRPr="008614D0">
                  <w:t>Suite C2 Centa Building</w:t>
                </w:r>
                <w:r w:rsidRPr="008614D0">
                  <w:br/>
                  <w:t>118 Railway Street</w:t>
                </w:r>
                <w:r w:rsidRPr="008614D0">
                  <w:br/>
                  <w:t>WEST PERTH WA 6005</w:t>
                </w:r>
                <w:r w:rsidRPr="008614D0">
                  <w:br/>
                  <w:t>AUSTRALIA</w:t>
                </w:r>
                <w:r w:rsidRPr="008614D0">
                  <w:br/>
                  <w:t>T+61 8 9449 9600</w:t>
                </w:r>
                <w:r w:rsidRPr="008614D0">
                  <w:br/>
                  <w:t>F+61 8 9322 3955</w:t>
                </w:r>
              </w:p>
              <w:p w14:paraId="54D02881" w14:textId="77777777" w:rsidR="00473688" w:rsidRPr="008614D0" w:rsidRDefault="00473688" w:rsidP="003C37AA">
                <w:pPr>
                  <w:pStyle w:val="Contact"/>
                </w:pPr>
                <w:r w:rsidRPr="008614D0">
                  <w:t>Acilallen.com.au</w:t>
                </w:r>
              </w:p>
            </w:tc>
          </w:tr>
          <w:tr w:rsidR="00473688" w:rsidRPr="008614D0" w14:paraId="4659BBC3" w14:textId="77777777" w:rsidTr="009F6656">
            <w:trPr>
              <w:cantSplit/>
              <w:trHeight w:hRule="exact" w:val="1567"/>
            </w:trPr>
            <w:tc>
              <w:tcPr>
                <w:tcW w:w="5622" w:type="dxa"/>
                <w:vAlign w:val="bottom"/>
              </w:tcPr>
              <w:p w14:paraId="5BC6107D" w14:textId="77777777" w:rsidR="009F6656" w:rsidRPr="008614D0" w:rsidRDefault="00473688" w:rsidP="003C37AA">
                <w:pPr>
                  <w:pStyle w:val="CoverInfo"/>
                  <w:rPr>
                    <w:lang w:val="en-AU"/>
                  </w:rPr>
                </w:pPr>
                <w:bookmarkStart w:id="1" w:name="Consultant_Contact"/>
                <w:r>
                  <w:rPr>
                    <w:lang w:val="en-AU"/>
                  </w:rPr>
                  <w:t xml:space="preserve"> </w:t>
                </w:r>
                <w:bookmarkStart w:id="2" w:name="Contributing_Team_Members"/>
                <w:bookmarkEnd w:id="1"/>
                <w:r>
                  <w:rPr>
                    <w:lang w:val="en-AU"/>
                  </w:rPr>
                  <w:t xml:space="preserve"> </w:t>
                </w:r>
                <w:bookmarkEnd w:id="2"/>
              </w:p>
            </w:tc>
            <w:tc>
              <w:tcPr>
                <w:tcW w:w="2717" w:type="dxa"/>
                <w:tcBorders>
                  <w:top w:val="single" w:sz="8" w:space="0" w:color="A6A6A6" w:themeColor="background1" w:themeShade="A6"/>
                </w:tcBorders>
                <w:vAlign w:val="bottom"/>
              </w:tcPr>
              <w:p w14:paraId="58737B6D" w14:textId="77777777" w:rsidR="00473688" w:rsidRPr="008614D0" w:rsidRDefault="00473688" w:rsidP="003C37AA">
                <w:pPr>
                  <w:pStyle w:val="Contact"/>
                </w:pPr>
                <w:r w:rsidRPr="008614D0">
                  <w:t>suggested citation for this report</w:t>
                </w:r>
                <w:r>
                  <w:t>:</w:t>
                </w:r>
              </w:p>
              <w:p w14:paraId="6152F3A4" w14:textId="4FE17C9B" w:rsidR="00473688" w:rsidRPr="008614D0" w:rsidRDefault="00473688" w:rsidP="00CE4AF4">
                <w:pPr>
                  <w:pStyle w:val="Contact"/>
                </w:pPr>
                <w:r>
                  <w:t>Acil allen consulting 2015,</w:t>
                </w:r>
                <w:r>
                  <w:br/>
                  <w:t>‘</w:t>
                </w:r>
                <w:r w:rsidR="006A28F2">
                  <w:t xml:space="preserve">SEE Programme </w:t>
                </w:r>
                <w:r>
                  <w:t xml:space="preserve">evaluation’, </w:t>
                </w:r>
                <w:r w:rsidR="002B0621">
                  <w:br/>
                </w:r>
                <w:r>
                  <w:t xml:space="preserve">for the department of </w:t>
                </w:r>
                <w:r w:rsidR="002B0621">
                  <w:br/>
                </w:r>
                <w:r w:rsidR="00FC46F3">
                  <w:t>educat</w:t>
                </w:r>
                <w:r w:rsidR="00CE4AF4">
                  <w:t>i</w:t>
                </w:r>
                <w:r w:rsidR="00FC46F3">
                  <w:t>on and training</w:t>
                </w:r>
                <w:r>
                  <w:t xml:space="preserve">, </w:t>
                </w:r>
                <w:r>
                  <w:br/>
                  <w:t>Melbourne.</w:t>
                </w:r>
              </w:p>
            </w:tc>
          </w:tr>
          <w:tr w:rsidR="00473688" w:rsidRPr="008614D0" w14:paraId="4D90729E" w14:textId="77777777" w:rsidTr="00757900">
            <w:trPr>
              <w:cantSplit/>
              <w:trHeight w:hRule="exact" w:val="3132"/>
            </w:trPr>
            <w:tc>
              <w:tcPr>
                <w:tcW w:w="8339" w:type="dxa"/>
                <w:gridSpan w:val="2"/>
              </w:tcPr>
              <w:p w14:paraId="7B84F1DE" w14:textId="77777777" w:rsidR="009F6656" w:rsidRDefault="009F6656" w:rsidP="000E21BF">
                <w:pPr>
                  <w:spacing w:after="40"/>
                  <w:rPr>
                    <w:rFonts w:asciiTheme="majorHAnsi" w:hAnsiTheme="majorHAnsi" w:cstheme="majorHAnsi"/>
                    <w:caps/>
                    <w:sz w:val="14"/>
                    <w:szCs w:val="16"/>
                  </w:rPr>
                </w:pPr>
              </w:p>
              <w:p w14:paraId="363FBD2C" w14:textId="77777777" w:rsidR="009F6656" w:rsidRDefault="009F6656" w:rsidP="000E21BF">
                <w:pPr>
                  <w:spacing w:after="40"/>
                  <w:rPr>
                    <w:rFonts w:asciiTheme="majorHAnsi" w:hAnsiTheme="majorHAnsi" w:cstheme="majorHAnsi"/>
                    <w:caps/>
                    <w:sz w:val="14"/>
                    <w:szCs w:val="16"/>
                  </w:rPr>
                </w:pPr>
              </w:p>
              <w:p w14:paraId="46490DA3" w14:textId="77777777" w:rsidR="009F6656" w:rsidRDefault="009F6656" w:rsidP="000E21BF">
                <w:pPr>
                  <w:spacing w:after="40"/>
                  <w:rPr>
                    <w:rFonts w:asciiTheme="majorHAnsi" w:hAnsiTheme="majorHAnsi" w:cstheme="majorHAnsi"/>
                    <w:caps/>
                    <w:sz w:val="14"/>
                    <w:szCs w:val="16"/>
                  </w:rPr>
                </w:pPr>
              </w:p>
              <w:p w14:paraId="7B9CF915" w14:textId="77777777" w:rsidR="009F6656" w:rsidRDefault="009F6656" w:rsidP="000E21BF">
                <w:pPr>
                  <w:spacing w:after="40"/>
                  <w:rPr>
                    <w:rFonts w:asciiTheme="majorHAnsi" w:hAnsiTheme="majorHAnsi" w:cstheme="majorHAnsi"/>
                    <w:caps/>
                    <w:sz w:val="14"/>
                    <w:szCs w:val="16"/>
                  </w:rPr>
                </w:pPr>
              </w:p>
              <w:p w14:paraId="500C96C9" w14:textId="77777777" w:rsidR="009F6656" w:rsidRDefault="009F6656" w:rsidP="000E21BF">
                <w:pPr>
                  <w:spacing w:after="40"/>
                  <w:rPr>
                    <w:rFonts w:asciiTheme="majorHAnsi" w:hAnsiTheme="majorHAnsi" w:cstheme="majorHAnsi"/>
                    <w:caps/>
                    <w:sz w:val="14"/>
                    <w:szCs w:val="16"/>
                  </w:rPr>
                </w:pPr>
              </w:p>
              <w:p w14:paraId="0E01761D" w14:textId="2027DFDF" w:rsidR="009F6656" w:rsidRDefault="009F6656" w:rsidP="000E21BF">
                <w:pPr>
                  <w:spacing w:after="40"/>
                  <w:rPr>
                    <w:rFonts w:asciiTheme="majorHAnsi" w:hAnsiTheme="majorHAnsi" w:cstheme="majorHAnsi"/>
                    <w:caps/>
                    <w:sz w:val="14"/>
                    <w:szCs w:val="16"/>
                  </w:rPr>
                </w:pPr>
              </w:p>
              <w:p w14:paraId="6BDD3597" w14:textId="77777777" w:rsidR="00757900" w:rsidRDefault="00757900" w:rsidP="00FB6784">
                <w:pPr>
                  <w:spacing w:after="40"/>
                  <w:jc w:val="right"/>
                  <w:rPr>
                    <w:rFonts w:asciiTheme="majorHAnsi" w:hAnsiTheme="majorHAnsi" w:cstheme="majorHAnsi"/>
                    <w:caps/>
                    <w:sz w:val="14"/>
                    <w:szCs w:val="16"/>
                  </w:rPr>
                </w:pPr>
              </w:p>
              <w:p w14:paraId="67694BDE" w14:textId="77777777" w:rsidR="009F6656" w:rsidRPr="009F6656" w:rsidRDefault="009F6656" w:rsidP="00FB6784">
                <w:pPr>
                  <w:spacing w:after="40"/>
                  <w:jc w:val="right"/>
                  <w:rPr>
                    <w:rFonts w:asciiTheme="majorHAnsi" w:hAnsiTheme="majorHAnsi" w:cstheme="majorHAnsi"/>
                    <w:caps/>
                    <w:sz w:val="14"/>
                    <w:szCs w:val="16"/>
                  </w:rPr>
                </w:pPr>
                <w:r w:rsidRPr="00DF595B">
                  <w:rPr>
                    <w:rFonts w:asciiTheme="majorHAnsi" w:hAnsiTheme="majorHAnsi" w:cstheme="majorHAnsi"/>
                    <w:caps/>
                    <w:sz w:val="14"/>
                    <w:szCs w:val="16"/>
                  </w:rPr>
                  <w:t>© Acil allen consulting 201</w:t>
                </w:r>
                <w:r w:rsidR="00FC46F3">
                  <w:rPr>
                    <w:rFonts w:asciiTheme="majorHAnsi" w:hAnsiTheme="majorHAnsi" w:cstheme="majorHAnsi"/>
                    <w:caps/>
                    <w:sz w:val="14"/>
                    <w:szCs w:val="16"/>
                  </w:rPr>
                  <w:t>5</w:t>
                </w:r>
              </w:p>
            </w:tc>
          </w:tr>
        </w:tbl>
        <w:p w14:paraId="3989F19D" w14:textId="77777777" w:rsidR="00473688" w:rsidRDefault="006A2396" w:rsidP="000E21BF">
          <w:pPr>
            <w:sectPr w:rsidR="00473688" w:rsidSect="000E21BF">
              <w:headerReference w:type="default" r:id="rId14"/>
              <w:pgSz w:w="11906" w:h="16838" w:code="9"/>
              <w:pgMar w:top="1134" w:right="851" w:bottom="907" w:left="1134" w:header="709" w:footer="567" w:gutter="567"/>
              <w:pgNumType w:start="0"/>
              <w:cols w:space="708"/>
              <w:titlePg/>
              <w:docGrid w:linePitch="360"/>
            </w:sectPr>
          </w:pPr>
        </w:p>
      </w:sdtContent>
    </w:sdt>
    <w:p w14:paraId="7C06E22F" w14:textId="77777777" w:rsidR="00473688" w:rsidRPr="00B4627C" w:rsidRDefault="00473688" w:rsidP="00B4627C">
      <w:pPr>
        <w:pStyle w:val="BodyText"/>
      </w:pPr>
    </w:p>
    <w:p w14:paraId="2F201039" w14:textId="77777777" w:rsidR="00473688" w:rsidRDefault="00473688" w:rsidP="003C37AA">
      <w:pPr>
        <w:pStyle w:val="SpaceAbove"/>
      </w:pPr>
    </w:p>
    <w:p w14:paraId="7C1B2AF4" w14:textId="77777777" w:rsidR="00473688" w:rsidRPr="00A33AF3" w:rsidRDefault="00473688" w:rsidP="003C37AA">
      <w:pPr>
        <w:pStyle w:val="Contents"/>
      </w:pPr>
      <w:r w:rsidRPr="00A33AF3">
        <w:t>Contents</w:t>
      </w:r>
    </w:p>
    <w:p w14:paraId="2585B5F3" w14:textId="77777777" w:rsidR="00B66B50" w:rsidRDefault="00473688">
      <w:pPr>
        <w:pStyle w:val="TOC6"/>
        <w:rPr>
          <w:rFonts w:asciiTheme="minorHAnsi" w:eastAsiaTheme="minorEastAsia" w:hAnsiTheme="minorHAnsi" w:cstheme="minorBidi"/>
          <w:noProof/>
          <w:szCs w:val="22"/>
          <w:lang w:eastAsia="en-AU"/>
        </w:rPr>
      </w:pPr>
      <w:r w:rsidRPr="00A33AF3">
        <w:fldChar w:fldCharType="begin"/>
      </w:r>
      <w:r w:rsidRPr="00A33AF3">
        <w:instrText xml:space="preserve"> TOC \h \z \t "</w:instrText>
      </w:r>
      <w:r>
        <w:instrText>Exec Summary Heading</w:instrText>
      </w:r>
      <w:r w:rsidRPr="00A33AF3">
        <w:instrText xml:space="preserve">,6" </w:instrText>
      </w:r>
      <w:r w:rsidRPr="00A33AF3">
        <w:fldChar w:fldCharType="separate"/>
      </w:r>
      <w:hyperlink w:anchor="_Toc420065425" w:history="1">
        <w:r w:rsidR="00B66B50" w:rsidRPr="00533D36">
          <w:rPr>
            <w:rStyle w:val="Hyperlink"/>
            <w:noProof/>
          </w:rPr>
          <w:t>Executive summary</w:t>
        </w:r>
        <w:r w:rsidR="00B66B50">
          <w:rPr>
            <w:noProof/>
            <w:webHidden/>
          </w:rPr>
          <w:tab/>
        </w:r>
        <w:r w:rsidR="00B66B50">
          <w:rPr>
            <w:noProof/>
            <w:webHidden/>
          </w:rPr>
          <w:fldChar w:fldCharType="begin"/>
        </w:r>
        <w:r w:rsidR="00B66B50">
          <w:rPr>
            <w:noProof/>
            <w:webHidden/>
          </w:rPr>
          <w:instrText xml:space="preserve"> PAGEREF _Toc420065425 \h </w:instrText>
        </w:r>
        <w:r w:rsidR="00B66B50">
          <w:rPr>
            <w:noProof/>
            <w:webHidden/>
          </w:rPr>
        </w:r>
        <w:r w:rsidR="00B66B50">
          <w:rPr>
            <w:noProof/>
            <w:webHidden/>
          </w:rPr>
          <w:fldChar w:fldCharType="separate"/>
        </w:r>
        <w:r w:rsidR="00294A5A">
          <w:rPr>
            <w:noProof/>
            <w:webHidden/>
          </w:rPr>
          <w:t>viii</w:t>
        </w:r>
        <w:r w:rsidR="00B66B50">
          <w:rPr>
            <w:noProof/>
            <w:webHidden/>
          </w:rPr>
          <w:fldChar w:fldCharType="end"/>
        </w:r>
      </w:hyperlink>
    </w:p>
    <w:p w14:paraId="15A1E3B4" w14:textId="77777777" w:rsidR="00B66B50" w:rsidRDefault="006A2396">
      <w:pPr>
        <w:pStyle w:val="TOC6"/>
        <w:rPr>
          <w:rFonts w:asciiTheme="minorHAnsi" w:eastAsiaTheme="minorEastAsia" w:hAnsiTheme="minorHAnsi" w:cstheme="minorBidi"/>
          <w:noProof/>
          <w:szCs w:val="22"/>
          <w:lang w:eastAsia="en-AU"/>
        </w:rPr>
      </w:pPr>
      <w:hyperlink w:anchor="_Toc420065426" w:history="1">
        <w:r w:rsidR="00B66B50" w:rsidRPr="00533D36">
          <w:rPr>
            <w:rStyle w:val="Hyperlink"/>
            <w:noProof/>
          </w:rPr>
          <w:t>Recommendations list</w:t>
        </w:r>
        <w:r w:rsidR="00B66B50">
          <w:rPr>
            <w:noProof/>
            <w:webHidden/>
          </w:rPr>
          <w:tab/>
        </w:r>
        <w:r w:rsidR="00B66B50">
          <w:rPr>
            <w:noProof/>
            <w:webHidden/>
          </w:rPr>
          <w:fldChar w:fldCharType="begin"/>
        </w:r>
        <w:r w:rsidR="00B66B50">
          <w:rPr>
            <w:noProof/>
            <w:webHidden/>
          </w:rPr>
          <w:instrText xml:space="preserve"> PAGEREF _Toc420065426 \h </w:instrText>
        </w:r>
        <w:r w:rsidR="00B66B50">
          <w:rPr>
            <w:noProof/>
            <w:webHidden/>
          </w:rPr>
        </w:r>
        <w:r w:rsidR="00B66B50">
          <w:rPr>
            <w:noProof/>
            <w:webHidden/>
          </w:rPr>
          <w:fldChar w:fldCharType="separate"/>
        </w:r>
        <w:r w:rsidR="00294A5A">
          <w:rPr>
            <w:noProof/>
            <w:webHidden/>
          </w:rPr>
          <w:t>xvi</w:t>
        </w:r>
        <w:r w:rsidR="00B66B50">
          <w:rPr>
            <w:noProof/>
            <w:webHidden/>
          </w:rPr>
          <w:fldChar w:fldCharType="end"/>
        </w:r>
      </w:hyperlink>
    </w:p>
    <w:p w14:paraId="2A3B38F1" w14:textId="77777777" w:rsidR="00473688" w:rsidRDefault="00473688" w:rsidP="003C37AA">
      <w:pPr>
        <w:pStyle w:val="TOC6"/>
      </w:pPr>
      <w:r w:rsidRPr="00A33AF3">
        <w:fldChar w:fldCharType="end"/>
      </w:r>
    </w:p>
    <w:sdt>
      <w:sdtPr>
        <w:rPr>
          <w:rFonts w:asciiTheme="minorHAnsi" w:hAnsiTheme="minorHAnsi"/>
          <w:b w:val="0"/>
          <w:smallCaps/>
          <w:noProof w:val="0"/>
          <w:color w:val="9757A6" w:themeColor="text2"/>
          <w:sz w:val="24"/>
          <w:szCs w:val="24"/>
          <w:lang w:eastAsia="en-US"/>
        </w:rPr>
        <w:id w:val="-1083910452"/>
        <w:docPartObj>
          <w:docPartGallery w:val="Table of Contents"/>
          <w:docPartUnique/>
        </w:docPartObj>
      </w:sdtPr>
      <w:sdtEndPr>
        <w:rPr>
          <w:smallCaps w:val="0"/>
          <w:color w:val="auto"/>
        </w:rPr>
      </w:sdtEndPr>
      <w:sdtContent>
        <w:p w14:paraId="6DFC3F7B" w14:textId="77777777" w:rsidR="00B66B50" w:rsidRDefault="00B4178F">
          <w:pPr>
            <w:pStyle w:val="TOC1"/>
            <w:rPr>
              <w:rFonts w:asciiTheme="minorHAnsi" w:eastAsiaTheme="minorEastAsia" w:hAnsiTheme="minorHAnsi" w:cstheme="minorBidi"/>
              <w:b w:val="0"/>
              <w:color w:val="auto"/>
            </w:rPr>
          </w:pPr>
          <w:r>
            <w:rPr>
              <w:smallCaps/>
              <w:color w:val="9757A6" w:themeColor="text2"/>
            </w:rPr>
            <w:fldChar w:fldCharType="begin"/>
          </w:r>
          <w:r>
            <w:instrText xml:space="preserve"> TOC \h \z \t "Heading 1,1,Heading 2,2,</w:instrText>
          </w:r>
          <w:r w:rsidRPr="005E7B6E">
            <w:instrText xml:space="preserve"> </w:instrText>
          </w:r>
          <w:r>
            <w:instrText xml:space="preserve">Part,5," </w:instrText>
          </w:r>
          <w:r>
            <w:rPr>
              <w:smallCaps/>
              <w:color w:val="9757A6" w:themeColor="text2"/>
            </w:rPr>
            <w:fldChar w:fldCharType="separate"/>
          </w:r>
          <w:hyperlink w:anchor="_Toc420065427" w:history="1">
            <w:r w:rsidR="00B66B50" w:rsidRPr="001C7034">
              <w:rPr>
                <w:rStyle w:val="Hyperlink"/>
              </w:rPr>
              <w:t>1</w:t>
            </w:r>
            <w:r w:rsidR="00B66B50">
              <w:rPr>
                <w:rFonts w:asciiTheme="minorHAnsi" w:eastAsiaTheme="minorEastAsia" w:hAnsiTheme="minorHAnsi" w:cstheme="minorBidi"/>
                <w:b w:val="0"/>
                <w:color w:val="auto"/>
              </w:rPr>
              <w:tab/>
            </w:r>
            <w:r w:rsidR="00B66B50" w:rsidRPr="001C7034">
              <w:rPr>
                <w:rStyle w:val="Hyperlink"/>
              </w:rPr>
              <w:t>Introduction</w:t>
            </w:r>
            <w:r w:rsidR="00B66B50">
              <w:rPr>
                <w:webHidden/>
              </w:rPr>
              <w:tab/>
            </w:r>
            <w:r w:rsidR="00B66B50">
              <w:rPr>
                <w:webHidden/>
              </w:rPr>
              <w:fldChar w:fldCharType="begin"/>
            </w:r>
            <w:r w:rsidR="00B66B50">
              <w:rPr>
                <w:webHidden/>
              </w:rPr>
              <w:instrText xml:space="preserve"> PAGEREF _Toc420065427 \h </w:instrText>
            </w:r>
            <w:r w:rsidR="00B66B50">
              <w:rPr>
                <w:webHidden/>
              </w:rPr>
            </w:r>
            <w:r w:rsidR="00B66B50">
              <w:rPr>
                <w:webHidden/>
              </w:rPr>
              <w:fldChar w:fldCharType="separate"/>
            </w:r>
            <w:r w:rsidR="00294A5A">
              <w:rPr>
                <w:webHidden/>
              </w:rPr>
              <w:t>1</w:t>
            </w:r>
            <w:r w:rsidR="00B66B50">
              <w:rPr>
                <w:webHidden/>
              </w:rPr>
              <w:fldChar w:fldCharType="end"/>
            </w:r>
          </w:hyperlink>
        </w:p>
        <w:p w14:paraId="011C3F15" w14:textId="77777777" w:rsidR="00B66B50" w:rsidRDefault="006A2396">
          <w:pPr>
            <w:pStyle w:val="TOC2"/>
            <w:rPr>
              <w:rFonts w:asciiTheme="minorHAnsi" w:eastAsiaTheme="minorEastAsia" w:hAnsiTheme="minorHAnsi" w:cstheme="minorBidi"/>
              <w:szCs w:val="22"/>
            </w:rPr>
          </w:pPr>
          <w:hyperlink w:anchor="_Toc420065428" w:history="1">
            <w:r w:rsidR="00B66B50" w:rsidRPr="001C7034">
              <w:rPr>
                <w:rStyle w:val="Hyperlink"/>
              </w:rPr>
              <w:t>1.1</w:t>
            </w:r>
            <w:r w:rsidR="00B66B50">
              <w:rPr>
                <w:rFonts w:asciiTheme="minorHAnsi" w:eastAsiaTheme="minorEastAsia" w:hAnsiTheme="minorHAnsi" w:cstheme="minorBidi"/>
                <w:szCs w:val="22"/>
              </w:rPr>
              <w:tab/>
            </w:r>
            <w:r w:rsidR="00B66B50" w:rsidRPr="001C7034">
              <w:rPr>
                <w:rStyle w:val="Hyperlink"/>
              </w:rPr>
              <w:t>Evaluation overview</w:t>
            </w:r>
            <w:r w:rsidR="00B66B50">
              <w:rPr>
                <w:webHidden/>
              </w:rPr>
              <w:tab/>
            </w:r>
            <w:r w:rsidR="00B66B50">
              <w:rPr>
                <w:webHidden/>
              </w:rPr>
              <w:fldChar w:fldCharType="begin"/>
            </w:r>
            <w:r w:rsidR="00B66B50">
              <w:rPr>
                <w:webHidden/>
              </w:rPr>
              <w:instrText xml:space="preserve"> PAGEREF _Toc420065428 \h </w:instrText>
            </w:r>
            <w:r w:rsidR="00B66B50">
              <w:rPr>
                <w:webHidden/>
              </w:rPr>
            </w:r>
            <w:r w:rsidR="00B66B50">
              <w:rPr>
                <w:webHidden/>
              </w:rPr>
              <w:fldChar w:fldCharType="separate"/>
            </w:r>
            <w:r w:rsidR="00294A5A">
              <w:rPr>
                <w:webHidden/>
              </w:rPr>
              <w:t>1</w:t>
            </w:r>
            <w:r w:rsidR="00B66B50">
              <w:rPr>
                <w:webHidden/>
              </w:rPr>
              <w:fldChar w:fldCharType="end"/>
            </w:r>
          </w:hyperlink>
        </w:p>
        <w:p w14:paraId="33ACC399" w14:textId="77777777" w:rsidR="00B66B50" w:rsidRDefault="006A2396">
          <w:pPr>
            <w:pStyle w:val="TOC2"/>
            <w:rPr>
              <w:rFonts w:asciiTheme="minorHAnsi" w:eastAsiaTheme="minorEastAsia" w:hAnsiTheme="minorHAnsi" w:cstheme="minorBidi"/>
              <w:szCs w:val="22"/>
            </w:rPr>
          </w:pPr>
          <w:hyperlink w:anchor="_Toc420065429" w:history="1">
            <w:r w:rsidR="00B66B50" w:rsidRPr="001C7034">
              <w:rPr>
                <w:rStyle w:val="Hyperlink"/>
              </w:rPr>
              <w:t>1.2</w:t>
            </w:r>
            <w:r w:rsidR="00B66B50">
              <w:rPr>
                <w:rFonts w:asciiTheme="minorHAnsi" w:eastAsiaTheme="minorEastAsia" w:hAnsiTheme="minorHAnsi" w:cstheme="minorBidi"/>
                <w:szCs w:val="22"/>
              </w:rPr>
              <w:tab/>
            </w:r>
            <w:r w:rsidR="00B66B50" w:rsidRPr="001C7034">
              <w:rPr>
                <w:rStyle w:val="Hyperlink"/>
              </w:rPr>
              <w:t>Research questions</w:t>
            </w:r>
            <w:r w:rsidR="00B66B50">
              <w:rPr>
                <w:webHidden/>
              </w:rPr>
              <w:tab/>
            </w:r>
            <w:r w:rsidR="00B66B50">
              <w:rPr>
                <w:webHidden/>
              </w:rPr>
              <w:fldChar w:fldCharType="begin"/>
            </w:r>
            <w:r w:rsidR="00B66B50">
              <w:rPr>
                <w:webHidden/>
              </w:rPr>
              <w:instrText xml:space="preserve"> PAGEREF _Toc420065429 \h </w:instrText>
            </w:r>
            <w:r w:rsidR="00B66B50">
              <w:rPr>
                <w:webHidden/>
              </w:rPr>
            </w:r>
            <w:r w:rsidR="00B66B50">
              <w:rPr>
                <w:webHidden/>
              </w:rPr>
              <w:fldChar w:fldCharType="separate"/>
            </w:r>
            <w:r w:rsidR="00294A5A">
              <w:rPr>
                <w:webHidden/>
              </w:rPr>
              <w:t>1</w:t>
            </w:r>
            <w:r w:rsidR="00B66B50">
              <w:rPr>
                <w:webHidden/>
              </w:rPr>
              <w:fldChar w:fldCharType="end"/>
            </w:r>
          </w:hyperlink>
        </w:p>
        <w:p w14:paraId="05D89C8E" w14:textId="77777777" w:rsidR="00B66B50" w:rsidRDefault="006A2396">
          <w:pPr>
            <w:pStyle w:val="TOC2"/>
            <w:rPr>
              <w:rFonts w:asciiTheme="minorHAnsi" w:eastAsiaTheme="minorEastAsia" w:hAnsiTheme="minorHAnsi" w:cstheme="minorBidi"/>
              <w:szCs w:val="22"/>
            </w:rPr>
          </w:pPr>
          <w:hyperlink w:anchor="_Toc420065430" w:history="1">
            <w:r w:rsidR="00B66B50" w:rsidRPr="001C7034">
              <w:rPr>
                <w:rStyle w:val="Hyperlink"/>
              </w:rPr>
              <w:t>1.3</w:t>
            </w:r>
            <w:r w:rsidR="00B66B50">
              <w:rPr>
                <w:rFonts w:asciiTheme="minorHAnsi" w:eastAsiaTheme="minorEastAsia" w:hAnsiTheme="minorHAnsi" w:cstheme="minorBidi"/>
                <w:szCs w:val="22"/>
              </w:rPr>
              <w:tab/>
            </w:r>
            <w:r w:rsidR="00B66B50" w:rsidRPr="001C7034">
              <w:rPr>
                <w:rStyle w:val="Hyperlink"/>
              </w:rPr>
              <w:t>Evaluation method</w:t>
            </w:r>
            <w:r w:rsidR="00B66B50">
              <w:rPr>
                <w:webHidden/>
              </w:rPr>
              <w:tab/>
            </w:r>
            <w:r w:rsidR="00B66B50">
              <w:rPr>
                <w:webHidden/>
              </w:rPr>
              <w:fldChar w:fldCharType="begin"/>
            </w:r>
            <w:r w:rsidR="00B66B50">
              <w:rPr>
                <w:webHidden/>
              </w:rPr>
              <w:instrText xml:space="preserve"> PAGEREF _Toc420065430 \h </w:instrText>
            </w:r>
            <w:r w:rsidR="00B66B50">
              <w:rPr>
                <w:webHidden/>
              </w:rPr>
            </w:r>
            <w:r w:rsidR="00B66B50">
              <w:rPr>
                <w:webHidden/>
              </w:rPr>
              <w:fldChar w:fldCharType="separate"/>
            </w:r>
            <w:r w:rsidR="00294A5A">
              <w:rPr>
                <w:webHidden/>
              </w:rPr>
              <w:t>2</w:t>
            </w:r>
            <w:r w:rsidR="00B66B50">
              <w:rPr>
                <w:webHidden/>
              </w:rPr>
              <w:fldChar w:fldCharType="end"/>
            </w:r>
          </w:hyperlink>
        </w:p>
        <w:p w14:paraId="61FA95A4" w14:textId="77777777" w:rsidR="00B66B50" w:rsidRDefault="006A2396">
          <w:pPr>
            <w:pStyle w:val="TOC2"/>
            <w:rPr>
              <w:rFonts w:asciiTheme="minorHAnsi" w:eastAsiaTheme="minorEastAsia" w:hAnsiTheme="minorHAnsi" w:cstheme="minorBidi"/>
              <w:szCs w:val="22"/>
            </w:rPr>
          </w:pPr>
          <w:hyperlink w:anchor="_Toc420065431" w:history="1">
            <w:r w:rsidR="00B66B50" w:rsidRPr="001C7034">
              <w:rPr>
                <w:rStyle w:val="Hyperlink"/>
              </w:rPr>
              <w:t>1.4</w:t>
            </w:r>
            <w:r w:rsidR="00B66B50">
              <w:rPr>
                <w:rFonts w:asciiTheme="minorHAnsi" w:eastAsiaTheme="minorEastAsia" w:hAnsiTheme="minorHAnsi" w:cstheme="minorBidi"/>
                <w:szCs w:val="22"/>
              </w:rPr>
              <w:tab/>
            </w:r>
            <w:r w:rsidR="00B66B50" w:rsidRPr="001C7034">
              <w:rPr>
                <w:rStyle w:val="Hyperlink"/>
              </w:rPr>
              <w:t>Report structure</w:t>
            </w:r>
            <w:r w:rsidR="00B66B50">
              <w:rPr>
                <w:webHidden/>
              </w:rPr>
              <w:tab/>
            </w:r>
            <w:r w:rsidR="00B66B50">
              <w:rPr>
                <w:webHidden/>
              </w:rPr>
              <w:fldChar w:fldCharType="begin"/>
            </w:r>
            <w:r w:rsidR="00B66B50">
              <w:rPr>
                <w:webHidden/>
              </w:rPr>
              <w:instrText xml:space="preserve"> PAGEREF _Toc420065431 \h </w:instrText>
            </w:r>
            <w:r w:rsidR="00B66B50">
              <w:rPr>
                <w:webHidden/>
              </w:rPr>
            </w:r>
            <w:r w:rsidR="00B66B50">
              <w:rPr>
                <w:webHidden/>
              </w:rPr>
              <w:fldChar w:fldCharType="separate"/>
            </w:r>
            <w:r w:rsidR="00294A5A">
              <w:rPr>
                <w:webHidden/>
              </w:rPr>
              <w:t>5</w:t>
            </w:r>
            <w:r w:rsidR="00B66B50">
              <w:rPr>
                <w:webHidden/>
              </w:rPr>
              <w:fldChar w:fldCharType="end"/>
            </w:r>
          </w:hyperlink>
        </w:p>
        <w:p w14:paraId="654B908D" w14:textId="77777777" w:rsidR="00B66B50" w:rsidRDefault="006A2396">
          <w:pPr>
            <w:pStyle w:val="TOC1"/>
            <w:rPr>
              <w:rFonts w:asciiTheme="minorHAnsi" w:eastAsiaTheme="minorEastAsia" w:hAnsiTheme="minorHAnsi" w:cstheme="minorBidi"/>
              <w:b w:val="0"/>
              <w:color w:val="auto"/>
            </w:rPr>
          </w:pPr>
          <w:hyperlink w:anchor="_Toc420065432" w:history="1">
            <w:r w:rsidR="00B66B50" w:rsidRPr="001C7034">
              <w:rPr>
                <w:rStyle w:val="Hyperlink"/>
              </w:rPr>
              <w:t>2</w:t>
            </w:r>
            <w:r w:rsidR="00B66B50">
              <w:rPr>
                <w:rFonts w:asciiTheme="minorHAnsi" w:eastAsiaTheme="minorEastAsia" w:hAnsiTheme="minorHAnsi" w:cstheme="minorBidi"/>
                <w:b w:val="0"/>
                <w:color w:val="auto"/>
              </w:rPr>
              <w:tab/>
            </w:r>
            <w:r w:rsidR="00B66B50" w:rsidRPr="001C7034">
              <w:rPr>
                <w:rStyle w:val="Hyperlink"/>
              </w:rPr>
              <w:t>The current design of the SEE programme</w:t>
            </w:r>
            <w:r w:rsidR="00B66B50">
              <w:rPr>
                <w:webHidden/>
              </w:rPr>
              <w:tab/>
            </w:r>
            <w:r w:rsidR="00B66B50">
              <w:rPr>
                <w:webHidden/>
              </w:rPr>
              <w:fldChar w:fldCharType="begin"/>
            </w:r>
            <w:r w:rsidR="00B66B50">
              <w:rPr>
                <w:webHidden/>
              </w:rPr>
              <w:instrText xml:space="preserve"> PAGEREF _Toc420065432 \h </w:instrText>
            </w:r>
            <w:r w:rsidR="00B66B50">
              <w:rPr>
                <w:webHidden/>
              </w:rPr>
            </w:r>
            <w:r w:rsidR="00B66B50">
              <w:rPr>
                <w:webHidden/>
              </w:rPr>
              <w:fldChar w:fldCharType="separate"/>
            </w:r>
            <w:r w:rsidR="00294A5A">
              <w:rPr>
                <w:webHidden/>
              </w:rPr>
              <w:t>6</w:t>
            </w:r>
            <w:r w:rsidR="00B66B50">
              <w:rPr>
                <w:webHidden/>
              </w:rPr>
              <w:fldChar w:fldCharType="end"/>
            </w:r>
          </w:hyperlink>
        </w:p>
        <w:p w14:paraId="1EF55CD2" w14:textId="77777777" w:rsidR="00B66B50" w:rsidRDefault="006A2396">
          <w:pPr>
            <w:pStyle w:val="TOC2"/>
            <w:rPr>
              <w:rFonts w:asciiTheme="minorHAnsi" w:eastAsiaTheme="minorEastAsia" w:hAnsiTheme="minorHAnsi" w:cstheme="minorBidi"/>
              <w:szCs w:val="22"/>
            </w:rPr>
          </w:pPr>
          <w:hyperlink w:anchor="_Toc420065433" w:history="1">
            <w:r w:rsidR="00B66B50" w:rsidRPr="001C7034">
              <w:rPr>
                <w:rStyle w:val="Hyperlink"/>
              </w:rPr>
              <w:t>2.1</w:t>
            </w:r>
            <w:r w:rsidR="00B66B50">
              <w:rPr>
                <w:rFonts w:asciiTheme="minorHAnsi" w:eastAsiaTheme="minorEastAsia" w:hAnsiTheme="minorHAnsi" w:cstheme="minorBidi"/>
                <w:szCs w:val="22"/>
              </w:rPr>
              <w:tab/>
            </w:r>
            <w:r w:rsidR="00B66B50" w:rsidRPr="001C7034">
              <w:rPr>
                <w:rStyle w:val="Hyperlink"/>
              </w:rPr>
              <w:t>Programme overview, objectives and eligibility</w:t>
            </w:r>
            <w:r w:rsidR="00B66B50">
              <w:rPr>
                <w:webHidden/>
              </w:rPr>
              <w:tab/>
            </w:r>
            <w:r w:rsidR="00B66B50">
              <w:rPr>
                <w:webHidden/>
              </w:rPr>
              <w:fldChar w:fldCharType="begin"/>
            </w:r>
            <w:r w:rsidR="00B66B50">
              <w:rPr>
                <w:webHidden/>
              </w:rPr>
              <w:instrText xml:space="preserve"> PAGEREF _Toc420065433 \h </w:instrText>
            </w:r>
            <w:r w:rsidR="00B66B50">
              <w:rPr>
                <w:webHidden/>
              </w:rPr>
            </w:r>
            <w:r w:rsidR="00B66B50">
              <w:rPr>
                <w:webHidden/>
              </w:rPr>
              <w:fldChar w:fldCharType="separate"/>
            </w:r>
            <w:r w:rsidR="00294A5A">
              <w:rPr>
                <w:webHidden/>
              </w:rPr>
              <w:t>6</w:t>
            </w:r>
            <w:r w:rsidR="00B66B50">
              <w:rPr>
                <w:webHidden/>
              </w:rPr>
              <w:fldChar w:fldCharType="end"/>
            </w:r>
          </w:hyperlink>
        </w:p>
        <w:p w14:paraId="45F6B7D6" w14:textId="77777777" w:rsidR="00B66B50" w:rsidRDefault="006A2396">
          <w:pPr>
            <w:pStyle w:val="TOC2"/>
            <w:rPr>
              <w:rFonts w:asciiTheme="minorHAnsi" w:eastAsiaTheme="minorEastAsia" w:hAnsiTheme="minorHAnsi" w:cstheme="minorBidi"/>
              <w:szCs w:val="22"/>
            </w:rPr>
          </w:pPr>
          <w:hyperlink w:anchor="_Toc420065434" w:history="1">
            <w:r w:rsidR="00B66B50" w:rsidRPr="001C7034">
              <w:rPr>
                <w:rStyle w:val="Hyperlink"/>
              </w:rPr>
              <w:t>2.2</w:t>
            </w:r>
            <w:r w:rsidR="00B66B50">
              <w:rPr>
                <w:rFonts w:asciiTheme="minorHAnsi" w:eastAsiaTheme="minorEastAsia" w:hAnsiTheme="minorHAnsi" w:cstheme="minorBidi"/>
                <w:szCs w:val="22"/>
              </w:rPr>
              <w:tab/>
            </w:r>
            <w:r w:rsidR="00B66B50" w:rsidRPr="001C7034">
              <w:rPr>
                <w:rStyle w:val="Hyperlink"/>
              </w:rPr>
              <w:t>Services provided under the SEE programme</w:t>
            </w:r>
            <w:r w:rsidR="00B66B50">
              <w:rPr>
                <w:webHidden/>
              </w:rPr>
              <w:tab/>
            </w:r>
            <w:r w:rsidR="00B66B50">
              <w:rPr>
                <w:webHidden/>
              </w:rPr>
              <w:fldChar w:fldCharType="begin"/>
            </w:r>
            <w:r w:rsidR="00B66B50">
              <w:rPr>
                <w:webHidden/>
              </w:rPr>
              <w:instrText xml:space="preserve"> PAGEREF _Toc420065434 \h </w:instrText>
            </w:r>
            <w:r w:rsidR="00B66B50">
              <w:rPr>
                <w:webHidden/>
              </w:rPr>
            </w:r>
            <w:r w:rsidR="00B66B50">
              <w:rPr>
                <w:webHidden/>
              </w:rPr>
              <w:fldChar w:fldCharType="separate"/>
            </w:r>
            <w:r w:rsidR="00294A5A">
              <w:rPr>
                <w:webHidden/>
              </w:rPr>
              <w:t>7</w:t>
            </w:r>
            <w:r w:rsidR="00B66B50">
              <w:rPr>
                <w:webHidden/>
              </w:rPr>
              <w:fldChar w:fldCharType="end"/>
            </w:r>
          </w:hyperlink>
        </w:p>
        <w:p w14:paraId="24F75487" w14:textId="77777777" w:rsidR="00B66B50" w:rsidRDefault="006A2396">
          <w:pPr>
            <w:pStyle w:val="TOC2"/>
            <w:rPr>
              <w:rFonts w:asciiTheme="minorHAnsi" w:eastAsiaTheme="minorEastAsia" w:hAnsiTheme="minorHAnsi" w:cstheme="minorBidi"/>
              <w:szCs w:val="22"/>
            </w:rPr>
          </w:pPr>
          <w:hyperlink w:anchor="_Toc420065435" w:history="1">
            <w:r w:rsidR="00B66B50" w:rsidRPr="001C7034">
              <w:rPr>
                <w:rStyle w:val="Hyperlink"/>
              </w:rPr>
              <w:t>2.3</w:t>
            </w:r>
            <w:r w:rsidR="00B66B50">
              <w:rPr>
                <w:rFonts w:asciiTheme="minorHAnsi" w:eastAsiaTheme="minorEastAsia" w:hAnsiTheme="minorHAnsi" w:cstheme="minorBidi"/>
                <w:szCs w:val="22"/>
              </w:rPr>
              <w:tab/>
            </w:r>
            <w:r w:rsidR="00B66B50" w:rsidRPr="001C7034">
              <w:rPr>
                <w:rStyle w:val="Hyperlink"/>
              </w:rPr>
              <w:t>SEE programme curriculum</w:t>
            </w:r>
            <w:r w:rsidR="00B66B50">
              <w:rPr>
                <w:webHidden/>
              </w:rPr>
              <w:tab/>
            </w:r>
            <w:r w:rsidR="00B66B50">
              <w:rPr>
                <w:webHidden/>
              </w:rPr>
              <w:fldChar w:fldCharType="begin"/>
            </w:r>
            <w:r w:rsidR="00B66B50">
              <w:rPr>
                <w:webHidden/>
              </w:rPr>
              <w:instrText xml:space="preserve"> PAGEREF _Toc420065435 \h </w:instrText>
            </w:r>
            <w:r w:rsidR="00B66B50">
              <w:rPr>
                <w:webHidden/>
              </w:rPr>
            </w:r>
            <w:r w:rsidR="00B66B50">
              <w:rPr>
                <w:webHidden/>
              </w:rPr>
              <w:fldChar w:fldCharType="separate"/>
            </w:r>
            <w:r w:rsidR="00294A5A">
              <w:rPr>
                <w:webHidden/>
              </w:rPr>
              <w:t>10</w:t>
            </w:r>
            <w:r w:rsidR="00B66B50">
              <w:rPr>
                <w:webHidden/>
              </w:rPr>
              <w:fldChar w:fldCharType="end"/>
            </w:r>
          </w:hyperlink>
        </w:p>
        <w:p w14:paraId="3F7272F8" w14:textId="77777777" w:rsidR="00B66B50" w:rsidRDefault="006A2396">
          <w:pPr>
            <w:pStyle w:val="TOC2"/>
            <w:rPr>
              <w:rFonts w:asciiTheme="minorHAnsi" w:eastAsiaTheme="minorEastAsia" w:hAnsiTheme="minorHAnsi" w:cstheme="minorBidi"/>
              <w:szCs w:val="22"/>
            </w:rPr>
          </w:pPr>
          <w:hyperlink w:anchor="_Toc420065436" w:history="1">
            <w:r w:rsidR="00B66B50" w:rsidRPr="001C7034">
              <w:rPr>
                <w:rStyle w:val="Hyperlink"/>
              </w:rPr>
              <w:t>2.4</w:t>
            </w:r>
            <w:r w:rsidR="00B66B50">
              <w:rPr>
                <w:rFonts w:asciiTheme="minorHAnsi" w:eastAsiaTheme="minorEastAsia" w:hAnsiTheme="minorHAnsi" w:cstheme="minorBidi"/>
                <w:szCs w:val="22"/>
              </w:rPr>
              <w:tab/>
            </w:r>
            <w:r w:rsidR="00B66B50" w:rsidRPr="001C7034">
              <w:rPr>
                <w:rStyle w:val="Hyperlink"/>
              </w:rPr>
              <w:t>SEE providers</w:t>
            </w:r>
            <w:r w:rsidR="00B66B50">
              <w:rPr>
                <w:webHidden/>
              </w:rPr>
              <w:tab/>
            </w:r>
            <w:r w:rsidR="00B66B50">
              <w:rPr>
                <w:webHidden/>
              </w:rPr>
              <w:fldChar w:fldCharType="begin"/>
            </w:r>
            <w:r w:rsidR="00B66B50">
              <w:rPr>
                <w:webHidden/>
              </w:rPr>
              <w:instrText xml:space="preserve"> PAGEREF _Toc420065436 \h </w:instrText>
            </w:r>
            <w:r w:rsidR="00B66B50">
              <w:rPr>
                <w:webHidden/>
              </w:rPr>
            </w:r>
            <w:r w:rsidR="00B66B50">
              <w:rPr>
                <w:webHidden/>
              </w:rPr>
              <w:fldChar w:fldCharType="separate"/>
            </w:r>
            <w:r w:rsidR="00294A5A">
              <w:rPr>
                <w:webHidden/>
              </w:rPr>
              <w:t>11</w:t>
            </w:r>
            <w:r w:rsidR="00B66B50">
              <w:rPr>
                <w:webHidden/>
              </w:rPr>
              <w:fldChar w:fldCharType="end"/>
            </w:r>
          </w:hyperlink>
        </w:p>
        <w:p w14:paraId="24B16937" w14:textId="77777777" w:rsidR="00B66B50" w:rsidRDefault="006A2396">
          <w:pPr>
            <w:pStyle w:val="TOC2"/>
            <w:rPr>
              <w:rFonts w:asciiTheme="minorHAnsi" w:eastAsiaTheme="minorEastAsia" w:hAnsiTheme="minorHAnsi" w:cstheme="minorBidi"/>
              <w:szCs w:val="22"/>
            </w:rPr>
          </w:pPr>
          <w:hyperlink w:anchor="_Toc420065437" w:history="1">
            <w:r w:rsidR="00B66B50" w:rsidRPr="001C7034">
              <w:rPr>
                <w:rStyle w:val="Hyperlink"/>
              </w:rPr>
              <w:t>2.5</w:t>
            </w:r>
            <w:r w:rsidR="00B66B50">
              <w:rPr>
                <w:rFonts w:asciiTheme="minorHAnsi" w:eastAsiaTheme="minorEastAsia" w:hAnsiTheme="minorHAnsi" w:cstheme="minorBidi"/>
                <w:szCs w:val="22"/>
              </w:rPr>
              <w:tab/>
            </w:r>
            <w:r w:rsidR="00B66B50" w:rsidRPr="001C7034">
              <w:rPr>
                <w:rStyle w:val="Hyperlink"/>
              </w:rPr>
              <w:t>Funding model</w:t>
            </w:r>
            <w:r w:rsidR="00B66B50">
              <w:rPr>
                <w:webHidden/>
              </w:rPr>
              <w:tab/>
            </w:r>
            <w:r w:rsidR="00B66B50">
              <w:rPr>
                <w:webHidden/>
              </w:rPr>
              <w:fldChar w:fldCharType="begin"/>
            </w:r>
            <w:r w:rsidR="00B66B50">
              <w:rPr>
                <w:webHidden/>
              </w:rPr>
              <w:instrText xml:space="preserve"> PAGEREF _Toc420065437 \h </w:instrText>
            </w:r>
            <w:r w:rsidR="00B66B50">
              <w:rPr>
                <w:webHidden/>
              </w:rPr>
            </w:r>
            <w:r w:rsidR="00B66B50">
              <w:rPr>
                <w:webHidden/>
              </w:rPr>
              <w:fldChar w:fldCharType="separate"/>
            </w:r>
            <w:r w:rsidR="00294A5A">
              <w:rPr>
                <w:webHidden/>
              </w:rPr>
              <w:t>12</w:t>
            </w:r>
            <w:r w:rsidR="00B66B50">
              <w:rPr>
                <w:webHidden/>
              </w:rPr>
              <w:fldChar w:fldCharType="end"/>
            </w:r>
          </w:hyperlink>
        </w:p>
        <w:p w14:paraId="451E23A5" w14:textId="77777777" w:rsidR="00B66B50" w:rsidRDefault="006A2396">
          <w:pPr>
            <w:pStyle w:val="TOC2"/>
            <w:rPr>
              <w:rFonts w:asciiTheme="minorHAnsi" w:eastAsiaTheme="minorEastAsia" w:hAnsiTheme="minorHAnsi" w:cstheme="minorBidi"/>
              <w:szCs w:val="22"/>
            </w:rPr>
          </w:pPr>
          <w:hyperlink w:anchor="_Toc420065438" w:history="1">
            <w:r w:rsidR="00B66B50" w:rsidRPr="001C7034">
              <w:rPr>
                <w:rStyle w:val="Hyperlink"/>
              </w:rPr>
              <w:t>2.6</w:t>
            </w:r>
            <w:r w:rsidR="00B66B50">
              <w:rPr>
                <w:rFonts w:asciiTheme="minorHAnsi" w:eastAsiaTheme="minorEastAsia" w:hAnsiTheme="minorHAnsi" w:cstheme="minorBidi"/>
                <w:szCs w:val="22"/>
              </w:rPr>
              <w:tab/>
            </w:r>
            <w:r w:rsidR="00B66B50" w:rsidRPr="001C7034">
              <w:rPr>
                <w:rStyle w:val="Hyperlink"/>
              </w:rPr>
              <w:t>Recent programme changes</w:t>
            </w:r>
            <w:r w:rsidR="00B66B50">
              <w:rPr>
                <w:webHidden/>
              </w:rPr>
              <w:tab/>
            </w:r>
            <w:r w:rsidR="00B66B50">
              <w:rPr>
                <w:webHidden/>
              </w:rPr>
              <w:fldChar w:fldCharType="begin"/>
            </w:r>
            <w:r w:rsidR="00B66B50">
              <w:rPr>
                <w:webHidden/>
              </w:rPr>
              <w:instrText xml:space="preserve"> PAGEREF _Toc420065438 \h </w:instrText>
            </w:r>
            <w:r w:rsidR="00B66B50">
              <w:rPr>
                <w:webHidden/>
              </w:rPr>
            </w:r>
            <w:r w:rsidR="00B66B50">
              <w:rPr>
                <w:webHidden/>
              </w:rPr>
              <w:fldChar w:fldCharType="separate"/>
            </w:r>
            <w:r w:rsidR="00294A5A">
              <w:rPr>
                <w:webHidden/>
              </w:rPr>
              <w:t>12</w:t>
            </w:r>
            <w:r w:rsidR="00B66B50">
              <w:rPr>
                <w:webHidden/>
              </w:rPr>
              <w:fldChar w:fldCharType="end"/>
            </w:r>
          </w:hyperlink>
        </w:p>
        <w:p w14:paraId="304A416A" w14:textId="77777777" w:rsidR="00B66B50" w:rsidRDefault="006A2396">
          <w:pPr>
            <w:pStyle w:val="TOC2"/>
            <w:rPr>
              <w:rFonts w:asciiTheme="minorHAnsi" w:eastAsiaTheme="minorEastAsia" w:hAnsiTheme="minorHAnsi" w:cstheme="minorBidi"/>
              <w:szCs w:val="22"/>
            </w:rPr>
          </w:pPr>
          <w:hyperlink w:anchor="_Toc420065439" w:history="1">
            <w:r w:rsidR="00B66B50" w:rsidRPr="001C7034">
              <w:rPr>
                <w:rStyle w:val="Hyperlink"/>
              </w:rPr>
              <w:t>2.7</w:t>
            </w:r>
            <w:r w:rsidR="00B66B50">
              <w:rPr>
                <w:rFonts w:asciiTheme="minorHAnsi" w:eastAsiaTheme="minorEastAsia" w:hAnsiTheme="minorHAnsi" w:cstheme="minorBidi"/>
                <w:szCs w:val="22"/>
              </w:rPr>
              <w:tab/>
            </w:r>
            <w:r w:rsidR="00B66B50" w:rsidRPr="001C7034">
              <w:rPr>
                <w:rStyle w:val="Hyperlink"/>
              </w:rPr>
              <w:t>Other relevant programmes and services</w:t>
            </w:r>
            <w:r w:rsidR="00B66B50">
              <w:rPr>
                <w:webHidden/>
              </w:rPr>
              <w:tab/>
            </w:r>
            <w:r w:rsidR="00B66B50">
              <w:rPr>
                <w:webHidden/>
              </w:rPr>
              <w:fldChar w:fldCharType="begin"/>
            </w:r>
            <w:r w:rsidR="00B66B50">
              <w:rPr>
                <w:webHidden/>
              </w:rPr>
              <w:instrText xml:space="preserve"> PAGEREF _Toc420065439 \h </w:instrText>
            </w:r>
            <w:r w:rsidR="00B66B50">
              <w:rPr>
                <w:webHidden/>
              </w:rPr>
            </w:r>
            <w:r w:rsidR="00B66B50">
              <w:rPr>
                <w:webHidden/>
              </w:rPr>
              <w:fldChar w:fldCharType="separate"/>
            </w:r>
            <w:r w:rsidR="00294A5A">
              <w:rPr>
                <w:webHidden/>
              </w:rPr>
              <w:t>13</w:t>
            </w:r>
            <w:r w:rsidR="00B66B50">
              <w:rPr>
                <w:webHidden/>
              </w:rPr>
              <w:fldChar w:fldCharType="end"/>
            </w:r>
          </w:hyperlink>
        </w:p>
        <w:p w14:paraId="2BBC5C7F" w14:textId="77777777" w:rsidR="00B66B50" w:rsidRDefault="006A2396">
          <w:pPr>
            <w:pStyle w:val="TOC2"/>
            <w:rPr>
              <w:rFonts w:asciiTheme="minorHAnsi" w:eastAsiaTheme="minorEastAsia" w:hAnsiTheme="minorHAnsi" w:cstheme="minorBidi"/>
              <w:szCs w:val="22"/>
            </w:rPr>
          </w:pPr>
          <w:hyperlink w:anchor="_Toc420065440" w:history="1">
            <w:r w:rsidR="00B66B50" w:rsidRPr="001C7034">
              <w:rPr>
                <w:rStyle w:val="Hyperlink"/>
              </w:rPr>
              <w:t>2.8</w:t>
            </w:r>
            <w:r w:rsidR="00B66B50">
              <w:rPr>
                <w:rFonts w:asciiTheme="minorHAnsi" w:eastAsiaTheme="minorEastAsia" w:hAnsiTheme="minorHAnsi" w:cstheme="minorBidi"/>
                <w:szCs w:val="22"/>
              </w:rPr>
              <w:tab/>
            </w:r>
            <w:r w:rsidR="00B66B50" w:rsidRPr="001C7034">
              <w:rPr>
                <w:rStyle w:val="Hyperlink"/>
              </w:rPr>
              <w:t>Previous reviews</w:t>
            </w:r>
            <w:r w:rsidR="00B66B50">
              <w:rPr>
                <w:webHidden/>
              </w:rPr>
              <w:tab/>
            </w:r>
            <w:r w:rsidR="00B66B50">
              <w:rPr>
                <w:webHidden/>
              </w:rPr>
              <w:fldChar w:fldCharType="begin"/>
            </w:r>
            <w:r w:rsidR="00B66B50">
              <w:rPr>
                <w:webHidden/>
              </w:rPr>
              <w:instrText xml:space="preserve"> PAGEREF _Toc420065440 \h </w:instrText>
            </w:r>
            <w:r w:rsidR="00B66B50">
              <w:rPr>
                <w:webHidden/>
              </w:rPr>
            </w:r>
            <w:r w:rsidR="00B66B50">
              <w:rPr>
                <w:webHidden/>
              </w:rPr>
              <w:fldChar w:fldCharType="separate"/>
            </w:r>
            <w:r w:rsidR="00294A5A">
              <w:rPr>
                <w:webHidden/>
              </w:rPr>
              <w:t>18</w:t>
            </w:r>
            <w:r w:rsidR="00B66B50">
              <w:rPr>
                <w:webHidden/>
              </w:rPr>
              <w:fldChar w:fldCharType="end"/>
            </w:r>
          </w:hyperlink>
        </w:p>
        <w:p w14:paraId="74353792" w14:textId="77777777" w:rsidR="00B66B50" w:rsidRDefault="006A2396">
          <w:pPr>
            <w:pStyle w:val="TOC1"/>
            <w:rPr>
              <w:rFonts w:asciiTheme="minorHAnsi" w:eastAsiaTheme="minorEastAsia" w:hAnsiTheme="minorHAnsi" w:cstheme="minorBidi"/>
              <w:b w:val="0"/>
              <w:color w:val="auto"/>
            </w:rPr>
          </w:pPr>
          <w:hyperlink w:anchor="_Toc420065441" w:history="1">
            <w:r w:rsidR="00B66B50" w:rsidRPr="001C7034">
              <w:rPr>
                <w:rStyle w:val="Hyperlink"/>
              </w:rPr>
              <w:t>3</w:t>
            </w:r>
            <w:r w:rsidR="00B66B50">
              <w:rPr>
                <w:rFonts w:asciiTheme="minorHAnsi" w:eastAsiaTheme="minorEastAsia" w:hAnsiTheme="minorHAnsi" w:cstheme="minorBidi"/>
                <w:b w:val="0"/>
                <w:color w:val="auto"/>
              </w:rPr>
              <w:tab/>
            </w:r>
            <w:r w:rsidR="00B66B50" w:rsidRPr="001C7034">
              <w:rPr>
                <w:rStyle w:val="Hyperlink"/>
              </w:rPr>
              <w:t>Client needs and good practices in adult LLN programmes</w:t>
            </w:r>
            <w:r w:rsidR="00B66B50">
              <w:rPr>
                <w:webHidden/>
              </w:rPr>
              <w:tab/>
            </w:r>
            <w:r w:rsidR="00B66B50">
              <w:rPr>
                <w:webHidden/>
              </w:rPr>
              <w:fldChar w:fldCharType="begin"/>
            </w:r>
            <w:r w:rsidR="00B66B50">
              <w:rPr>
                <w:webHidden/>
              </w:rPr>
              <w:instrText xml:space="preserve"> PAGEREF _Toc420065441 \h </w:instrText>
            </w:r>
            <w:r w:rsidR="00B66B50">
              <w:rPr>
                <w:webHidden/>
              </w:rPr>
            </w:r>
            <w:r w:rsidR="00B66B50">
              <w:rPr>
                <w:webHidden/>
              </w:rPr>
              <w:fldChar w:fldCharType="separate"/>
            </w:r>
            <w:r w:rsidR="00294A5A">
              <w:rPr>
                <w:webHidden/>
              </w:rPr>
              <w:t>20</w:t>
            </w:r>
            <w:r w:rsidR="00B66B50">
              <w:rPr>
                <w:webHidden/>
              </w:rPr>
              <w:fldChar w:fldCharType="end"/>
            </w:r>
          </w:hyperlink>
        </w:p>
        <w:p w14:paraId="38A1C829" w14:textId="77777777" w:rsidR="00B66B50" w:rsidRDefault="006A2396">
          <w:pPr>
            <w:pStyle w:val="TOC2"/>
            <w:rPr>
              <w:rFonts w:asciiTheme="minorHAnsi" w:eastAsiaTheme="minorEastAsia" w:hAnsiTheme="minorHAnsi" w:cstheme="minorBidi"/>
              <w:szCs w:val="22"/>
            </w:rPr>
          </w:pPr>
          <w:hyperlink w:anchor="_Toc420065442" w:history="1">
            <w:r w:rsidR="00B66B50" w:rsidRPr="001C7034">
              <w:rPr>
                <w:rStyle w:val="Hyperlink"/>
              </w:rPr>
              <w:t>3.1</w:t>
            </w:r>
            <w:r w:rsidR="00B66B50">
              <w:rPr>
                <w:rFonts w:asciiTheme="minorHAnsi" w:eastAsiaTheme="minorEastAsia" w:hAnsiTheme="minorHAnsi" w:cstheme="minorBidi"/>
                <w:szCs w:val="22"/>
              </w:rPr>
              <w:tab/>
            </w:r>
            <w:r w:rsidR="00B66B50" w:rsidRPr="001C7034">
              <w:rPr>
                <w:rStyle w:val="Hyperlink"/>
              </w:rPr>
              <w:t>Clients’ needs as indicated in focus groups</w:t>
            </w:r>
            <w:r w:rsidR="00B66B50">
              <w:rPr>
                <w:webHidden/>
              </w:rPr>
              <w:tab/>
            </w:r>
            <w:r w:rsidR="00B66B50">
              <w:rPr>
                <w:webHidden/>
              </w:rPr>
              <w:fldChar w:fldCharType="begin"/>
            </w:r>
            <w:r w:rsidR="00B66B50">
              <w:rPr>
                <w:webHidden/>
              </w:rPr>
              <w:instrText xml:space="preserve"> PAGEREF _Toc420065442 \h </w:instrText>
            </w:r>
            <w:r w:rsidR="00B66B50">
              <w:rPr>
                <w:webHidden/>
              </w:rPr>
            </w:r>
            <w:r w:rsidR="00B66B50">
              <w:rPr>
                <w:webHidden/>
              </w:rPr>
              <w:fldChar w:fldCharType="separate"/>
            </w:r>
            <w:r w:rsidR="00294A5A">
              <w:rPr>
                <w:webHidden/>
              </w:rPr>
              <w:t>20</w:t>
            </w:r>
            <w:r w:rsidR="00B66B50">
              <w:rPr>
                <w:webHidden/>
              </w:rPr>
              <w:fldChar w:fldCharType="end"/>
            </w:r>
          </w:hyperlink>
        </w:p>
        <w:p w14:paraId="3188AAEE" w14:textId="77777777" w:rsidR="00B66B50" w:rsidRDefault="006A2396">
          <w:pPr>
            <w:pStyle w:val="TOC2"/>
            <w:rPr>
              <w:rFonts w:asciiTheme="minorHAnsi" w:eastAsiaTheme="minorEastAsia" w:hAnsiTheme="minorHAnsi" w:cstheme="minorBidi"/>
              <w:szCs w:val="22"/>
            </w:rPr>
          </w:pPr>
          <w:hyperlink w:anchor="_Toc420065443" w:history="1">
            <w:r w:rsidR="00B66B50" w:rsidRPr="001C7034">
              <w:rPr>
                <w:rStyle w:val="Hyperlink"/>
              </w:rPr>
              <w:t>3.2</w:t>
            </w:r>
            <w:r w:rsidR="00B66B50">
              <w:rPr>
                <w:rFonts w:asciiTheme="minorHAnsi" w:eastAsiaTheme="minorEastAsia" w:hAnsiTheme="minorHAnsi" w:cstheme="minorBidi"/>
                <w:szCs w:val="22"/>
              </w:rPr>
              <w:tab/>
            </w:r>
            <w:r w:rsidR="00B66B50" w:rsidRPr="001C7034">
              <w:rPr>
                <w:rStyle w:val="Hyperlink"/>
              </w:rPr>
              <w:t>Principles of adult literacy, language and numeracy programmes</w:t>
            </w:r>
            <w:r w:rsidR="00B66B50">
              <w:rPr>
                <w:webHidden/>
              </w:rPr>
              <w:tab/>
            </w:r>
            <w:r w:rsidR="00B66B50">
              <w:rPr>
                <w:webHidden/>
              </w:rPr>
              <w:fldChar w:fldCharType="begin"/>
            </w:r>
            <w:r w:rsidR="00B66B50">
              <w:rPr>
                <w:webHidden/>
              </w:rPr>
              <w:instrText xml:space="preserve"> PAGEREF _Toc420065443 \h </w:instrText>
            </w:r>
            <w:r w:rsidR="00B66B50">
              <w:rPr>
                <w:webHidden/>
              </w:rPr>
            </w:r>
            <w:r w:rsidR="00B66B50">
              <w:rPr>
                <w:webHidden/>
              </w:rPr>
              <w:fldChar w:fldCharType="separate"/>
            </w:r>
            <w:r w:rsidR="00294A5A">
              <w:rPr>
                <w:webHidden/>
              </w:rPr>
              <w:t>20</w:t>
            </w:r>
            <w:r w:rsidR="00B66B50">
              <w:rPr>
                <w:webHidden/>
              </w:rPr>
              <w:fldChar w:fldCharType="end"/>
            </w:r>
          </w:hyperlink>
        </w:p>
        <w:p w14:paraId="631244BA" w14:textId="77777777" w:rsidR="00B66B50" w:rsidRDefault="006A2396">
          <w:pPr>
            <w:pStyle w:val="TOC2"/>
            <w:rPr>
              <w:rFonts w:asciiTheme="minorHAnsi" w:eastAsiaTheme="minorEastAsia" w:hAnsiTheme="minorHAnsi" w:cstheme="minorBidi"/>
              <w:szCs w:val="22"/>
            </w:rPr>
          </w:pPr>
          <w:hyperlink w:anchor="_Toc420065444" w:history="1">
            <w:r w:rsidR="00B66B50" w:rsidRPr="001C7034">
              <w:rPr>
                <w:rStyle w:val="Hyperlink"/>
              </w:rPr>
              <w:t>3.3</w:t>
            </w:r>
            <w:r w:rsidR="00B66B50">
              <w:rPr>
                <w:rFonts w:asciiTheme="minorHAnsi" w:eastAsiaTheme="minorEastAsia" w:hAnsiTheme="minorHAnsi" w:cstheme="minorBidi"/>
                <w:szCs w:val="22"/>
              </w:rPr>
              <w:tab/>
            </w:r>
            <w:r w:rsidR="00B66B50" w:rsidRPr="001C7034">
              <w:rPr>
                <w:rStyle w:val="Hyperlink"/>
              </w:rPr>
              <w:t>Good practices in adult LLN programmes</w:t>
            </w:r>
            <w:r w:rsidR="00B66B50">
              <w:rPr>
                <w:webHidden/>
              </w:rPr>
              <w:tab/>
            </w:r>
            <w:r w:rsidR="00B66B50">
              <w:rPr>
                <w:webHidden/>
              </w:rPr>
              <w:fldChar w:fldCharType="begin"/>
            </w:r>
            <w:r w:rsidR="00B66B50">
              <w:rPr>
                <w:webHidden/>
              </w:rPr>
              <w:instrText xml:space="preserve"> PAGEREF _Toc420065444 \h </w:instrText>
            </w:r>
            <w:r w:rsidR="00B66B50">
              <w:rPr>
                <w:webHidden/>
              </w:rPr>
            </w:r>
            <w:r w:rsidR="00B66B50">
              <w:rPr>
                <w:webHidden/>
              </w:rPr>
              <w:fldChar w:fldCharType="separate"/>
            </w:r>
            <w:r w:rsidR="00294A5A">
              <w:rPr>
                <w:webHidden/>
              </w:rPr>
              <w:t>21</w:t>
            </w:r>
            <w:r w:rsidR="00B66B50">
              <w:rPr>
                <w:webHidden/>
              </w:rPr>
              <w:fldChar w:fldCharType="end"/>
            </w:r>
          </w:hyperlink>
        </w:p>
        <w:p w14:paraId="4EE36C5C" w14:textId="77777777" w:rsidR="00B66B50" w:rsidRDefault="006A2396">
          <w:pPr>
            <w:pStyle w:val="TOC2"/>
            <w:rPr>
              <w:rFonts w:asciiTheme="minorHAnsi" w:eastAsiaTheme="minorEastAsia" w:hAnsiTheme="minorHAnsi" w:cstheme="minorBidi"/>
              <w:szCs w:val="22"/>
            </w:rPr>
          </w:pPr>
          <w:hyperlink w:anchor="_Toc420065445" w:history="1">
            <w:r w:rsidR="00B66B50" w:rsidRPr="001C7034">
              <w:rPr>
                <w:rStyle w:val="Hyperlink"/>
              </w:rPr>
              <w:t>3.4</w:t>
            </w:r>
            <w:r w:rsidR="00B66B50">
              <w:rPr>
                <w:rFonts w:asciiTheme="minorHAnsi" w:eastAsiaTheme="minorEastAsia" w:hAnsiTheme="minorHAnsi" w:cstheme="minorBidi"/>
                <w:szCs w:val="22"/>
              </w:rPr>
              <w:tab/>
            </w:r>
            <w:r w:rsidR="00B66B50" w:rsidRPr="001C7034">
              <w:rPr>
                <w:rStyle w:val="Hyperlink"/>
              </w:rPr>
              <w:t>Cohort-specific good practices in adult LLN programmes</w:t>
            </w:r>
            <w:r w:rsidR="00B66B50">
              <w:rPr>
                <w:webHidden/>
              </w:rPr>
              <w:tab/>
            </w:r>
            <w:r w:rsidR="00B66B50">
              <w:rPr>
                <w:webHidden/>
              </w:rPr>
              <w:fldChar w:fldCharType="begin"/>
            </w:r>
            <w:r w:rsidR="00B66B50">
              <w:rPr>
                <w:webHidden/>
              </w:rPr>
              <w:instrText xml:space="preserve"> PAGEREF _Toc420065445 \h </w:instrText>
            </w:r>
            <w:r w:rsidR="00B66B50">
              <w:rPr>
                <w:webHidden/>
              </w:rPr>
            </w:r>
            <w:r w:rsidR="00B66B50">
              <w:rPr>
                <w:webHidden/>
              </w:rPr>
              <w:fldChar w:fldCharType="separate"/>
            </w:r>
            <w:r w:rsidR="00294A5A">
              <w:rPr>
                <w:webHidden/>
              </w:rPr>
              <w:t>23</w:t>
            </w:r>
            <w:r w:rsidR="00B66B50">
              <w:rPr>
                <w:webHidden/>
              </w:rPr>
              <w:fldChar w:fldCharType="end"/>
            </w:r>
          </w:hyperlink>
        </w:p>
        <w:p w14:paraId="05C0E8A1" w14:textId="77777777" w:rsidR="00B66B50" w:rsidRDefault="006A2396">
          <w:pPr>
            <w:pStyle w:val="TOC2"/>
            <w:rPr>
              <w:rFonts w:asciiTheme="minorHAnsi" w:eastAsiaTheme="minorEastAsia" w:hAnsiTheme="minorHAnsi" w:cstheme="minorBidi"/>
              <w:szCs w:val="22"/>
            </w:rPr>
          </w:pPr>
          <w:hyperlink w:anchor="_Toc420065446" w:history="1">
            <w:r w:rsidR="00B66B50" w:rsidRPr="001C7034">
              <w:rPr>
                <w:rStyle w:val="Hyperlink"/>
              </w:rPr>
              <w:t>3.5</w:t>
            </w:r>
            <w:r w:rsidR="00B66B50">
              <w:rPr>
                <w:rFonts w:asciiTheme="minorHAnsi" w:eastAsiaTheme="minorEastAsia" w:hAnsiTheme="minorHAnsi" w:cstheme="minorBidi"/>
                <w:szCs w:val="22"/>
              </w:rPr>
              <w:tab/>
            </w:r>
            <w:r w:rsidR="00B66B50" w:rsidRPr="001C7034">
              <w:rPr>
                <w:rStyle w:val="Hyperlink"/>
              </w:rPr>
              <w:t>Implications for the SEE programme</w:t>
            </w:r>
            <w:r w:rsidR="00B66B50">
              <w:rPr>
                <w:webHidden/>
              </w:rPr>
              <w:tab/>
            </w:r>
            <w:r w:rsidR="00B66B50">
              <w:rPr>
                <w:webHidden/>
              </w:rPr>
              <w:fldChar w:fldCharType="begin"/>
            </w:r>
            <w:r w:rsidR="00B66B50">
              <w:rPr>
                <w:webHidden/>
              </w:rPr>
              <w:instrText xml:space="preserve"> PAGEREF _Toc420065446 \h </w:instrText>
            </w:r>
            <w:r w:rsidR="00B66B50">
              <w:rPr>
                <w:webHidden/>
              </w:rPr>
            </w:r>
            <w:r w:rsidR="00B66B50">
              <w:rPr>
                <w:webHidden/>
              </w:rPr>
              <w:fldChar w:fldCharType="separate"/>
            </w:r>
            <w:r w:rsidR="00294A5A">
              <w:rPr>
                <w:webHidden/>
              </w:rPr>
              <w:t>24</w:t>
            </w:r>
            <w:r w:rsidR="00B66B50">
              <w:rPr>
                <w:webHidden/>
              </w:rPr>
              <w:fldChar w:fldCharType="end"/>
            </w:r>
          </w:hyperlink>
        </w:p>
        <w:p w14:paraId="54A92ED8" w14:textId="77777777" w:rsidR="00B66B50" w:rsidRDefault="006A2396">
          <w:pPr>
            <w:pStyle w:val="TOC1"/>
            <w:rPr>
              <w:rFonts w:asciiTheme="minorHAnsi" w:eastAsiaTheme="minorEastAsia" w:hAnsiTheme="minorHAnsi" w:cstheme="minorBidi"/>
              <w:b w:val="0"/>
              <w:color w:val="auto"/>
            </w:rPr>
          </w:pPr>
          <w:hyperlink w:anchor="_Toc420065447" w:history="1">
            <w:r w:rsidR="00B66B50" w:rsidRPr="001C7034">
              <w:rPr>
                <w:rStyle w:val="Hyperlink"/>
              </w:rPr>
              <w:t>4</w:t>
            </w:r>
            <w:r w:rsidR="00B66B50">
              <w:rPr>
                <w:rFonts w:asciiTheme="minorHAnsi" w:eastAsiaTheme="minorEastAsia" w:hAnsiTheme="minorHAnsi" w:cstheme="minorBidi"/>
                <w:b w:val="0"/>
                <w:color w:val="auto"/>
              </w:rPr>
              <w:tab/>
            </w:r>
            <w:r w:rsidR="00B66B50" w:rsidRPr="001C7034">
              <w:rPr>
                <w:rStyle w:val="Hyperlink"/>
              </w:rPr>
              <w:t>The SEE programme cohort, take up and clients’ LLN skills</w:t>
            </w:r>
            <w:r w:rsidR="00B66B50">
              <w:rPr>
                <w:webHidden/>
              </w:rPr>
              <w:tab/>
            </w:r>
            <w:r w:rsidR="00B66B50">
              <w:rPr>
                <w:webHidden/>
              </w:rPr>
              <w:fldChar w:fldCharType="begin"/>
            </w:r>
            <w:r w:rsidR="00B66B50">
              <w:rPr>
                <w:webHidden/>
              </w:rPr>
              <w:instrText xml:space="preserve"> PAGEREF _Toc420065447 \h </w:instrText>
            </w:r>
            <w:r w:rsidR="00B66B50">
              <w:rPr>
                <w:webHidden/>
              </w:rPr>
            </w:r>
            <w:r w:rsidR="00B66B50">
              <w:rPr>
                <w:webHidden/>
              </w:rPr>
              <w:fldChar w:fldCharType="separate"/>
            </w:r>
            <w:r w:rsidR="00294A5A">
              <w:rPr>
                <w:webHidden/>
              </w:rPr>
              <w:t>26</w:t>
            </w:r>
            <w:r w:rsidR="00B66B50">
              <w:rPr>
                <w:webHidden/>
              </w:rPr>
              <w:fldChar w:fldCharType="end"/>
            </w:r>
          </w:hyperlink>
        </w:p>
        <w:p w14:paraId="797703CF" w14:textId="77777777" w:rsidR="00B66B50" w:rsidRDefault="006A2396">
          <w:pPr>
            <w:pStyle w:val="TOC2"/>
            <w:rPr>
              <w:rFonts w:asciiTheme="minorHAnsi" w:eastAsiaTheme="minorEastAsia" w:hAnsiTheme="minorHAnsi" w:cstheme="minorBidi"/>
              <w:szCs w:val="22"/>
            </w:rPr>
          </w:pPr>
          <w:hyperlink w:anchor="_Toc420065448" w:history="1">
            <w:r w:rsidR="00B66B50" w:rsidRPr="001C7034">
              <w:rPr>
                <w:rStyle w:val="Hyperlink"/>
              </w:rPr>
              <w:t>4.1</w:t>
            </w:r>
            <w:r w:rsidR="00B66B50">
              <w:rPr>
                <w:rFonts w:asciiTheme="minorHAnsi" w:eastAsiaTheme="minorEastAsia" w:hAnsiTheme="minorHAnsi" w:cstheme="minorBidi"/>
                <w:szCs w:val="22"/>
              </w:rPr>
              <w:tab/>
            </w:r>
            <w:r w:rsidR="00B66B50" w:rsidRPr="001C7034">
              <w:rPr>
                <w:rStyle w:val="Hyperlink"/>
              </w:rPr>
              <w:t>SEE programme participation and take up</w:t>
            </w:r>
            <w:r w:rsidR="00B66B50">
              <w:rPr>
                <w:webHidden/>
              </w:rPr>
              <w:tab/>
            </w:r>
            <w:r w:rsidR="00B66B50">
              <w:rPr>
                <w:webHidden/>
              </w:rPr>
              <w:fldChar w:fldCharType="begin"/>
            </w:r>
            <w:r w:rsidR="00B66B50">
              <w:rPr>
                <w:webHidden/>
              </w:rPr>
              <w:instrText xml:space="preserve"> PAGEREF _Toc420065448 \h </w:instrText>
            </w:r>
            <w:r w:rsidR="00B66B50">
              <w:rPr>
                <w:webHidden/>
              </w:rPr>
            </w:r>
            <w:r w:rsidR="00B66B50">
              <w:rPr>
                <w:webHidden/>
              </w:rPr>
              <w:fldChar w:fldCharType="separate"/>
            </w:r>
            <w:r w:rsidR="00294A5A">
              <w:rPr>
                <w:webHidden/>
              </w:rPr>
              <w:t>26</w:t>
            </w:r>
            <w:r w:rsidR="00B66B50">
              <w:rPr>
                <w:webHidden/>
              </w:rPr>
              <w:fldChar w:fldCharType="end"/>
            </w:r>
          </w:hyperlink>
        </w:p>
        <w:p w14:paraId="65DA1941" w14:textId="77777777" w:rsidR="00B66B50" w:rsidRDefault="006A2396">
          <w:pPr>
            <w:pStyle w:val="TOC2"/>
            <w:rPr>
              <w:rFonts w:asciiTheme="minorHAnsi" w:eastAsiaTheme="minorEastAsia" w:hAnsiTheme="minorHAnsi" w:cstheme="minorBidi"/>
              <w:szCs w:val="22"/>
            </w:rPr>
          </w:pPr>
          <w:hyperlink w:anchor="_Toc420065449" w:history="1">
            <w:r w:rsidR="00B66B50" w:rsidRPr="001C7034">
              <w:rPr>
                <w:rStyle w:val="Hyperlink"/>
              </w:rPr>
              <w:t>4.2</w:t>
            </w:r>
            <w:r w:rsidR="00B66B50">
              <w:rPr>
                <w:rFonts w:asciiTheme="minorHAnsi" w:eastAsiaTheme="minorEastAsia" w:hAnsiTheme="minorHAnsi" w:cstheme="minorBidi"/>
                <w:szCs w:val="22"/>
              </w:rPr>
              <w:tab/>
            </w:r>
            <w:r w:rsidR="00B66B50" w:rsidRPr="001C7034">
              <w:rPr>
                <w:rStyle w:val="Hyperlink"/>
              </w:rPr>
              <w:t>The SEE programme client cohort</w:t>
            </w:r>
            <w:r w:rsidR="00B66B50">
              <w:rPr>
                <w:webHidden/>
              </w:rPr>
              <w:tab/>
            </w:r>
            <w:r w:rsidR="00B66B50">
              <w:rPr>
                <w:webHidden/>
              </w:rPr>
              <w:fldChar w:fldCharType="begin"/>
            </w:r>
            <w:r w:rsidR="00B66B50">
              <w:rPr>
                <w:webHidden/>
              </w:rPr>
              <w:instrText xml:space="preserve"> PAGEREF _Toc420065449 \h </w:instrText>
            </w:r>
            <w:r w:rsidR="00B66B50">
              <w:rPr>
                <w:webHidden/>
              </w:rPr>
            </w:r>
            <w:r w:rsidR="00B66B50">
              <w:rPr>
                <w:webHidden/>
              </w:rPr>
              <w:fldChar w:fldCharType="separate"/>
            </w:r>
            <w:r w:rsidR="00294A5A">
              <w:rPr>
                <w:webHidden/>
              </w:rPr>
              <w:t>35</w:t>
            </w:r>
            <w:r w:rsidR="00B66B50">
              <w:rPr>
                <w:webHidden/>
              </w:rPr>
              <w:fldChar w:fldCharType="end"/>
            </w:r>
          </w:hyperlink>
        </w:p>
        <w:p w14:paraId="7B07B298" w14:textId="77777777" w:rsidR="00B66B50" w:rsidRDefault="006A2396">
          <w:pPr>
            <w:pStyle w:val="TOC2"/>
            <w:rPr>
              <w:rFonts w:asciiTheme="minorHAnsi" w:eastAsiaTheme="minorEastAsia" w:hAnsiTheme="minorHAnsi" w:cstheme="minorBidi"/>
              <w:szCs w:val="22"/>
            </w:rPr>
          </w:pPr>
          <w:hyperlink w:anchor="_Toc420065450" w:history="1">
            <w:r w:rsidR="00B66B50" w:rsidRPr="001C7034">
              <w:rPr>
                <w:rStyle w:val="Hyperlink"/>
              </w:rPr>
              <w:t>4.3</w:t>
            </w:r>
            <w:r w:rsidR="00B66B50">
              <w:rPr>
                <w:rFonts w:asciiTheme="minorHAnsi" w:eastAsiaTheme="minorEastAsia" w:hAnsiTheme="minorHAnsi" w:cstheme="minorBidi"/>
                <w:szCs w:val="22"/>
              </w:rPr>
              <w:tab/>
            </w:r>
            <w:r w:rsidR="00B66B50" w:rsidRPr="001C7034">
              <w:rPr>
                <w:rStyle w:val="Hyperlink"/>
              </w:rPr>
              <w:t>SEE programme clients’ LLN levels</w:t>
            </w:r>
            <w:r w:rsidR="00B66B50">
              <w:rPr>
                <w:webHidden/>
              </w:rPr>
              <w:tab/>
            </w:r>
            <w:r w:rsidR="00B66B50">
              <w:rPr>
                <w:webHidden/>
              </w:rPr>
              <w:fldChar w:fldCharType="begin"/>
            </w:r>
            <w:r w:rsidR="00B66B50">
              <w:rPr>
                <w:webHidden/>
              </w:rPr>
              <w:instrText xml:space="preserve"> PAGEREF _Toc420065450 \h </w:instrText>
            </w:r>
            <w:r w:rsidR="00B66B50">
              <w:rPr>
                <w:webHidden/>
              </w:rPr>
            </w:r>
            <w:r w:rsidR="00B66B50">
              <w:rPr>
                <w:webHidden/>
              </w:rPr>
              <w:fldChar w:fldCharType="separate"/>
            </w:r>
            <w:r w:rsidR="00294A5A">
              <w:rPr>
                <w:webHidden/>
              </w:rPr>
              <w:t>42</w:t>
            </w:r>
            <w:r w:rsidR="00B66B50">
              <w:rPr>
                <w:webHidden/>
              </w:rPr>
              <w:fldChar w:fldCharType="end"/>
            </w:r>
          </w:hyperlink>
        </w:p>
        <w:p w14:paraId="715B6534" w14:textId="77777777" w:rsidR="00B66B50" w:rsidRDefault="006A2396">
          <w:pPr>
            <w:pStyle w:val="TOC1"/>
            <w:rPr>
              <w:rFonts w:asciiTheme="minorHAnsi" w:eastAsiaTheme="minorEastAsia" w:hAnsiTheme="minorHAnsi" w:cstheme="minorBidi"/>
              <w:b w:val="0"/>
              <w:color w:val="auto"/>
            </w:rPr>
          </w:pPr>
          <w:hyperlink w:anchor="_Toc420065451" w:history="1">
            <w:r w:rsidR="00B66B50" w:rsidRPr="001C7034">
              <w:rPr>
                <w:rStyle w:val="Hyperlink"/>
              </w:rPr>
              <w:t>5</w:t>
            </w:r>
            <w:r w:rsidR="00B66B50">
              <w:rPr>
                <w:rFonts w:asciiTheme="minorHAnsi" w:eastAsiaTheme="minorEastAsia" w:hAnsiTheme="minorHAnsi" w:cstheme="minorBidi"/>
                <w:b w:val="0"/>
                <w:color w:val="auto"/>
              </w:rPr>
              <w:tab/>
            </w:r>
            <w:r w:rsidR="00B66B50" w:rsidRPr="001C7034">
              <w:rPr>
                <w:rStyle w:val="Hyperlink"/>
              </w:rPr>
              <w:t>The effectiveness of the SEE programme</w:t>
            </w:r>
            <w:r w:rsidR="00B66B50">
              <w:rPr>
                <w:webHidden/>
              </w:rPr>
              <w:tab/>
            </w:r>
            <w:r w:rsidR="00B66B50">
              <w:rPr>
                <w:webHidden/>
              </w:rPr>
              <w:fldChar w:fldCharType="begin"/>
            </w:r>
            <w:r w:rsidR="00B66B50">
              <w:rPr>
                <w:webHidden/>
              </w:rPr>
              <w:instrText xml:space="preserve"> PAGEREF _Toc420065451 \h </w:instrText>
            </w:r>
            <w:r w:rsidR="00B66B50">
              <w:rPr>
                <w:webHidden/>
              </w:rPr>
            </w:r>
            <w:r w:rsidR="00B66B50">
              <w:rPr>
                <w:webHidden/>
              </w:rPr>
              <w:fldChar w:fldCharType="separate"/>
            </w:r>
            <w:r w:rsidR="00294A5A">
              <w:rPr>
                <w:webHidden/>
              </w:rPr>
              <w:t>48</w:t>
            </w:r>
            <w:r w:rsidR="00B66B50">
              <w:rPr>
                <w:webHidden/>
              </w:rPr>
              <w:fldChar w:fldCharType="end"/>
            </w:r>
          </w:hyperlink>
        </w:p>
        <w:p w14:paraId="5A4682FC" w14:textId="77777777" w:rsidR="00B66B50" w:rsidRDefault="006A2396">
          <w:pPr>
            <w:pStyle w:val="TOC2"/>
            <w:rPr>
              <w:rFonts w:asciiTheme="minorHAnsi" w:eastAsiaTheme="minorEastAsia" w:hAnsiTheme="minorHAnsi" w:cstheme="minorBidi"/>
              <w:szCs w:val="22"/>
            </w:rPr>
          </w:pPr>
          <w:hyperlink w:anchor="_Toc420065452" w:history="1">
            <w:r w:rsidR="00B66B50" w:rsidRPr="001C7034">
              <w:rPr>
                <w:rStyle w:val="Hyperlink"/>
              </w:rPr>
              <w:t>5.1</w:t>
            </w:r>
            <w:r w:rsidR="00B66B50">
              <w:rPr>
                <w:rFonts w:asciiTheme="minorHAnsi" w:eastAsiaTheme="minorEastAsia" w:hAnsiTheme="minorHAnsi" w:cstheme="minorBidi"/>
                <w:szCs w:val="22"/>
              </w:rPr>
              <w:tab/>
            </w:r>
            <w:r w:rsidR="00B66B50" w:rsidRPr="001C7034">
              <w:rPr>
                <w:rStyle w:val="Hyperlink"/>
              </w:rPr>
              <w:t>SEE programme sub-elements</w:t>
            </w:r>
            <w:r w:rsidR="00B66B50">
              <w:rPr>
                <w:webHidden/>
              </w:rPr>
              <w:tab/>
            </w:r>
            <w:r w:rsidR="00B66B50">
              <w:rPr>
                <w:webHidden/>
              </w:rPr>
              <w:fldChar w:fldCharType="begin"/>
            </w:r>
            <w:r w:rsidR="00B66B50">
              <w:rPr>
                <w:webHidden/>
              </w:rPr>
              <w:instrText xml:space="preserve"> PAGEREF _Toc420065452 \h </w:instrText>
            </w:r>
            <w:r w:rsidR="00B66B50">
              <w:rPr>
                <w:webHidden/>
              </w:rPr>
            </w:r>
            <w:r w:rsidR="00B66B50">
              <w:rPr>
                <w:webHidden/>
              </w:rPr>
              <w:fldChar w:fldCharType="separate"/>
            </w:r>
            <w:r w:rsidR="00294A5A">
              <w:rPr>
                <w:webHidden/>
              </w:rPr>
              <w:t>48</w:t>
            </w:r>
            <w:r w:rsidR="00B66B50">
              <w:rPr>
                <w:webHidden/>
              </w:rPr>
              <w:fldChar w:fldCharType="end"/>
            </w:r>
          </w:hyperlink>
        </w:p>
        <w:p w14:paraId="5E1BEA91" w14:textId="77777777" w:rsidR="00B66B50" w:rsidRDefault="006A2396">
          <w:pPr>
            <w:pStyle w:val="TOC2"/>
            <w:rPr>
              <w:rFonts w:asciiTheme="minorHAnsi" w:eastAsiaTheme="minorEastAsia" w:hAnsiTheme="minorHAnsi" w:cstheme="minorBidi"/>
              <w:szCs w:val="22"/>
            </w:rPr>
          </w:pPr>
          <w:hyperlink w:anchor="_Toc420065453" w:history="1">
            <w:r w:rsidR="00B66B50" w:rsidRPr="001C7034">
              <w:rPr>
                <w:rStyle w:val="Hyperlink"/>
              </w:rPr>
              <w:t>5.2</w:t>
            </w:r>
            <w:r w:rsidR="00B66B50">
              <w:rPr>
                <w:rFonts w:asciiTheme="minorHAnsi" w:eastAsiaTheme="minorEastAsia" w:hAnsiTheme="minorHAnsi" w:cstheme="minorBidi"/>
                <w:szCs w:val="22"/>
              </w:rPr>
              <w:tab/>
            </w:r>
            <w:r w:rsidR="00B66B50" w:rsidRPr="001C7034">
              <w:rPr>
                <w:rStyle w:val="Hyperlink"/>
              </w:rPr>
              <w:t>Training outcomes</w:t>
            </w:r>
            <w:r w:rsidR="00B66B50">
              <w:rPr>
                <w:webHidden/>
              </w:rPr>
              <w:tab/>
            </w:r>
            <w:r w:rsidR="00B66B50">
              <w:rPr>
                <w:webHidden/>
              </w:rPr>
              <w:fldChar w:fldCharType="begin"/>
            </w:r>
            <w:r w:rsidR="00B66B50">
              <w:rPr>
                <w:webHidden/>
              </w:rPr>
              <w:instrText xml:space="preserve"> PAGEREF _Toc420065453 \h </w:instrText>
            </w:r>
            <w:r w:rsidR="00B66B50">
              <w:rPr>
                <w:webHidden/>
              </w:rPr>
            </w:r>
            <w:r w:rsidR="00B66B50">
              <w:rPr>
                <w:webHidden/>
              </w:rPr>
              <w:fldChar w:fldCharType="separate"/>
            </w:r>
            <w:r w:rsidR="00294A5A">
              <w:rPr>
                <w:webHidden/>
              </w:rPr>
              <w:t>54</w:t>
            </w:r>
            <w:r w:rsidR="00B66B50">
              <w:rPr>
                <w:webHidden/>
              </w:rPr>
              <w:fldChar w:fldCharType="end"/>
            </w:r>
          </w:hyperlink>
        </w:p>
        <w:p w14:paraId="7002A187" w14:textId="77777777" w:rsidR="00B66B50" w:rsidRDefault="006A2396">
          <w:pPr>
            <w:pStyle w:val="TOC2"/>
            <w:rPr>
              <w:rFonts w:asciiTheme="minorHAnsi" w:eastAsiaTheme="minorEastAsia" w:hAnsiTheme="minorHAnsi" w:cstheme="minorBidi"/>
              <w:szCs w:val="22"/>
            </w:rPr>
          </w:pPr>
          <w:hyperlink w:anchor="_Toc420065454" w:history="1">
            <w:r w:rsidR="00B66B50" w:rsidRPr="001C7034">
              <w:rPr>
                <w:rStyle w:val="Hyperlink"/>
              </w:rPr>
              <w:t>5.3</w:t>
            </w:r>
            <w:r w:rsidR="00B66B50">
              <w:rPr>
                <w:rFonts w:asciiTheme="minorHAnsi" w:eastAsiaTheme="minorEastAsia" w:hAnsiTheme="minorHAnsi" w:cstheme="minorBidi"/>
                <w:szCs w:val="22"/>
              </w:rPr>
              <w:tab/>
            </w:r>
            <w:r w:rsidR="00B66B50" w:rsidRPr="001C7034">
              <w:rPr>
                <w:rStyle w:val="Hyperlink"/>
              </w:rPr>
              <w:t>LLN outcomes</w:t>
            </w:r>
            <w:r w:rsidR="00B66B50">
              <w:rPr>
                <w:webHidden/>
              </w:rPr>
              <w:tab/>
            </w:r>
            <w:r w:rsidR="00B66B50">
              <w:rPr>
                <w:webHidden/>
              </w:rPr>
              <w:fldChar w:fldCharType="begin"/>
            </w:r>
            <w:r w:rsidR="00B66B50">
              <w:rPr>
                <w:webHidden/>
              </w:rPr>
              <w:instrText xml:space="preserve"> PAGEREF _Toc420065454 \h </w:instrText>
            </w:r>
            <w:r w:rsidR="00B66B50">
              <w:rPr>
                <w:webHidden/>
              </w:rPr>
            </w:r>
            <w:r w:rsidR="00B66B50">
              <w:rPr>
                <w:webHidden/>
              </w:rPr>
              <w:fldChar w:fldCharType="separate"/>
            </w:r>
            <w:r w:rsidR="00294A5A">
              <w:rPr>
                <w:webHidden/>
              </w:rPr>
              <w:t>60</w:t>
            </w:r>
            <w:r w:rsidR="00B66B50">
              <w:rPr>
                <w:webHidden/>
              </w:rPr>
              <w:fldChar w:fldCharType="end"/>
            </w:r>
          </w:hyperlink>
        </w:p>
        <w:p w14:paraId="2FFBA49E" w14:textId="77777777" w:rsidR="00B66B50" w:rsidRDefault="006A2396">
          <w:pPr>
            <w:pStyle w:val="TOC1"/>
            <w:rPr>
              <w:rFonts w:asciiTheme="minorHAnsi" w:eastAsiaTheme="minorEastAsia" w:hAnsiTheme="minorHAnsi" w:cstheme="minorBidi"/>
              <w:b w:val="0"/>
              <w:color w:val="auto"/>
            </w:rPr>
          </w:pPr>
          <w:hyperlink w:anchor="_Toc420065455" w:history="1">
            <w:r w:rsidR="00B66B50" w:rsidRPr="001C7034">
              <w:rPr>
                <w:rStyle w:val="Hyperlink"/>
              </w:rPr>
              <w:t>6</w:t>
            </w:r>
            <w:r w:rsidR="00B66B50">
              <w:rPr>
                <w:rFonts w:asciiTheme="minorHAnsi" w:eastAsiaTheme="minorEastAsia" w:hAnsiTheme="minorHAnsi" w:cstheme="minorBidi"/>
                <w:b w:val="0"/>
                <w:color w:val="auto"/>
              </w:rPr>
              <w:tab/>
            </w:r>
            <w:r w:rsidR="00B66B50" w:rsidRPr="001C7034">
              <w:rPr>
                <w:rStyle w:val="Hyperlink"/>
              </w:rPr>
              <w:t>Efficiency and performance management</w:t>
            </w:r>
            <w:r w:rsidR="00B66B50">
              <w:rPr>
                <w:webHidden/>
              </w:rPr>
              <w:tab/>
            </w:r>
            <w:r w:rsidR="00B66B50">
              <w:rPr>
                <w:webHidden/>
              </w:rPr>
              <w:fldChar w:fldCharType="begin"/>
            </w:r>
            <w:r w:rsidR="00B66B50">
              <w:rPr>
                <w:webHidden/>
              </w:rPr>
              <w:instrText xml:space="preserve"> PAGEREF _Toc420065455 \h </w:instrText>
            </w:r>
            <w:r w:rsidR="00B66B50">
              <w:rPr>
                <w:webHidden/>
              </w:rPr>
            </w:r>
            <w:r w:rsidR="00B66B50">
              <w:rPr>
                <w:webHidden/>
              </w:rPr>
              <w:fldChar w:fldCharType="separate"/>
            </w:r>
            <w:r w:rsidR="00294A5A">
              <w:rPr>
                <w:webHidden/>
              </w:rPr>
              <w:t>65</w:t>
            </w:r>
            <w:r w:rsidR="00B66B50">
              <w:rPr>
                <w:webHidden/>
              </w:rPr>
              <w:fldChar w:fldCharType="end"/>
            </w:r>
          </w:hyperlink>
        </w:p>
        <w:p w14:paraId="63E6FC84" w14:textId="77777777" w:rsidR="00B66B50" w:rsidRDefault="006A2396">
          <w:pPr>
            <w:pStyle w:val="TOC2"/>
            <w:rPr>
              <w:rFonts w:asciiTheme="minorHAnsi" w:eastAsiaTheme="minorEastAsia" w:hAnsiTheme="minorHAnsi" w:cstheme="minorBidi"/>
              <w:szCs w:val="22"/>
            </w:rPr>
          </w:pPr>
          <w:hyperlink w:anchor="_Toc420065456" w:history="1">
            <w:r w:rsidR="00B66B50" w:rsidRPr="001C7034">
              <w:rPr>
                <w:rStyle w:val="Hyperlink"/>
              </w:rPr>
              <w:t>6.1</w:t>
            </w:r>
            <w:r w:rsidR="00B66B50">
              <w:rPr>
                <w:rFonts w:asciiTheme="minorHAnsi" w:eastAsiaTheme="minorEastAsia" w:hAnsiTheme="minorHAnsi" w:cstheme="minorBidi"/>
                <w:szCs w:val="22"/>
              </w:rPr>
              <w:tab/>
            </w:r>
            <w:r w:rsidR="00B66B50" w:rsidRPr="001C7034">
              <w:rPr>
                <w:rStyle w:val="Hyperlink"/>
              </w:rPr>
              <w:t>Efficiency</w:t>
            </w:r>
            <w:r w:rsidR="00B66B50">
              <w:rPr>
                <w:webHidden/>
              </w:rPr>
              <w:tab/>
            </w:r>
            <w:r w:rsidR="00B66B50">
              <w:rPr>
                <w:webHidden/>
              </w:rPr>
              <w:fldChar w:fldCharType="begin"/>
            </w:r>
            <w:r w:rsidR="00B66B50">
              <w:rPr>
                <w:webHidden/>
              </w:rPr>
              <w:instrText xml:space="preserve"> PAGEREF _Toc420065456 \h </w:instrText>
            </w:r>
            <w:r w:rsidR="00B66B50">
              <w:rPr>
                <w:webHidden/>
              </w:rPr>
            </w:r>
            <w:r w:rsidR="00B66B50">
              <w:rPr>
                <w:webHidden/>
              </w:rPr>
              <w:fldChar w:fldCharType="separate"/>
            </w:r>
            <w:r w:rsidR="00294A5A">
              <w:rPr>
                <w:webHidden/>
              </w:rPr>
              <w:t>65</w:t>
            </w:r>
            <w:r w:rsidR="00B66B50">
              <w:rPr>
                <w:webHidden/>
              </w:rPr>
              <w:fldChar w:fldCharType="end"/>
            </w:r>
          </w:hyperlink>
        </w:p>
        <w:p w14:paraId="2F7239DB" w14:textId="77777777" w:rsidR="00B66B50" w:rsidRDefault="006A2396">
          <w:pPr>
            <w:pStyle w:val="TOC2"/>
            <w:rPr>
              <w:rFonts w:asciiTheme="minorHAnsi" w:eastAsiaTheme="minorEastAsia" w:hAnsiTheme="minorHAnsi" w:cstheme="minorBidi"/>
              <w:szCs w:val="22"/>
            </w:rPr>
          </w:pPr>
          <w:hyperlink w:anchor="_Toc420065457" w:history="1">
            <w:r w:rsidR="00B66B50" w:rsidRPr="001C7034">
              <w:rPr>
                <w:rStyle w:val="Hyperlink"/>
              </w:rPr>
              <w:t>6.2</w:t>
            </w:r>
            <w:r w:rsidR="00B66B50">
              <w:rPr>
                <w:rFonts w:asciiTheme="minorHAnsi" w:eastAsiaTheme="minorEastAsia" w:hAnsiTheme="minorHAnsi" w:cstheme="minorBidi"/>
                <w:szCs w:val="22"/>
              </w:rPr>
              <w:tab/>
            </w:r>
            <w:r w:rsidR="00B66B50" w:rsidRPr="001C7034">
              <w:rPr>
                <w:rStyle w:val="Hyperlink"/>
              </w:rPr>
              <w:t>Performance assessment and management</w:t>
            </w:r>
            <w:r w:rsidR="00B66B50">
              <w:rPr>
                <w:webHidden/>
              </w:rPr>
              <w:tab/>
            </w:r>
            <w:r w:rsidR="00B66B50">
              <w:rPr>
                <w:webHidden/>
              </w:rPr>
              <w:fldChar w:fldCharType="begin"/>
            </w:r>
            <w:r w:rsidR="00B66B50">
              <w:rPr>
                <w:webHidden/>
              </w:rPr>
              <w:instrText xml:space="preserve"> PAGEREF _Toc420065457 \h </w:instrText>
            </w:r>
            <w:r w:rsidR="00B66B50">
              <w:rPr>
                <w:webHidden/>
              </w:rPr>
            </w:r>
            <w:r w:rsidR="00B66B50">
              <w:rPr>
                <w:webHidden/>
              </w:rPr>
              <w:fldChar w:fldCharType="separate"/>
            </w:r>
            <w:r w:rsidR="00294A5A">
              <w:rPr>
                <w:webHidden/>
              </w:rPr>
              <w:t>66</w:t>
            </w:r>
            <w:r w:rsidR="00B66B50">
              <w:rPr>
                <w:webHidden/>
              </w:rPr>
              <w:fldChar w:fldCharType="end"/>
            </w:r>
          </w:hyperlink>
        </w:p>
        <w:p w14:paraId="4C226199" w14:textId="77777777" w:rsidR="00B66B50" w:rsidRDefault="006A2396">
          <w:pPr>
            <w:pStyle w:val="TOC1"/>
            <w:rPr>
              <w:rFonts w:asciiTheme="minorHAnsi" w:eastAsiaTheme="minorEastAsia" w:hAnsiTheme="minorHAnsi" w:cstheme="minorBidi"/>
              <w:b w:val="0"/>
              <w:color w:val="auto"/>
            </w:rPr>
          </w:pPr>
          <w:hyperlink w:anchor="_Toc420065458" w:history="1">
            <w:r w:rsidR="00B66B50" w:rsidRPr="001C7034">
              <w:rPr>
                <w:rStyle w:val="Hyperlink"/>
              </w:rPr>
              <w:t>7</w:t>
            </w:r>
            <w:r w:rsidR="00B66B50">
              <w:rPr>
                <w:rFonts w:asciiTheme="minorHAnsi" w:eastAsiaTheme="minorEastAsia" w:hAnsiTheme="minorHAnsi" w:cstheme="minorBidi"/>
                <w:b w:val="0"/>
                <w:color w:val="auto"/>
              </w:rPr>
              <w:tab/>
            </w:r>
            <w:r w:rsidR="00B66B50" w:rsidRPr="001C7034">
              <w:rPr>
                <w:rStyle w:val="Hyperlink"/>
              </w:rPr>
              <w:t>The appropriateness and future of the SEE programme</w:t>
            </w:r>
            <w:r w:rsidR="00B66B50">
              <w:rPr>
                <w:webHidden/>
              </w:rPr>
              <w:tab/>
            </w:r>
            <w:r w:rsidR="00B66B50">
              <w:rPr>
                <w:webHidden/>
              </w:rPr>
              <w:fldChar w:fldCharType="begin"/>
            </w:r>
            <w:r w:rsidR="00B66B50">
              <w:rPr>
                <w:webHidden/>
              </w:rPr>
              <w:instrText xml:space="preserve"> PAGEREF _Toc420065458 \h </w:instrText>
            </w:r>
            <w:r w:rsidR="00B66B50">
              <w:rPr>
                <w:webHidden/>
              </w:rPr>
            </w:r>
            <w:r w:rsidR="00B66B50">
              <w:rPr>
                <w:webHidden/>
              </w:rPr>
              <w:fldChar w:fldCharType="separate"/>
            </w:r>
            <w:r w:rsidR="00294A5A">
              <w:rPr>
                <w:webHidden/>
              </w:rPr>
              <w:t>74</w:t>
            </w:r>
            <w:r w:rsidR="00B66B50">
              <w:rPr>
                <w:webHidden/>
              </w:rPr>
              <w:fldChar w:fldCharType="end"/>
            </w:r>
          </w:hyperlink>
        </w:p>
        <w:p w14:paraId="5E06F8A8" w14:textId="77777777" w:rsidR="00B66B50" w:rsidRDefault="006A2396">
          <w:pPr>
            <w:pStyle w:val="TOC1"/>
            <w:rPr>
              <w:rFonts w:asciiTheme="minorHAnsi" w:eastAsiaTheme="minorEastAsia" w:hAnsiTheme="minorHAnsi" w:cstheme="minorBidi"/>
              <w:b w:val="0"/>
              <w:color w:val="auto"/>
            </w:rPr>
          </w:pPr>
          <w:hyperlink w:anchor="_Toc420065459" w:history="1">
            <w:r w:rsidR="00B66B50" w:rsidRPr="001C7034">
              <w:rPr>
                <w:rStyle w:val="Hyperlink"/>
              </w:rPr>
              <w:t>References</w:t>
            </w:r>
            <w:r w:rsidR="00B66B50">
              <w:rPr>
                <w:webHidden/>
              </w:rPr>
              <w:tab/>
            </w:r>
            <w:r w:rsidR="00B66B50">
              <w:rPr>
                <w:webHidden/>
              </w:rPr>
              <w:fldChar w:fldCharType="begin"/>
            </w:r>
            <w:r w:rsidR="00B66B50">
              <w:rPr>
                <w:webHidden/>
              </w:rPr>
              <w:instrText xml:space="preserve"> PAGEREF _Toc420065459 \h </w:instrText>
            </w:r>
            <w:r w:rsidR="00B66B50">
              <w:rPr>
                <w:webHidden/>
              </w:rPr>
            </w:r>
            <w:r w:rsidR="00B66B50">
              <w:rPr>
                <w:webHidden/>
              </w:rPr>
              <w:fldChar w:fldCharType="separate"/>
            </w:r>
            <w:r w:rsidR="00294A5A">
              <w:rPr>
                <w:webHidden/>
              </w:rPr>
              <w:t>97</w:t>
            </w:r>
            <w:r w:rsidR="00B66B50">
              <w:rPr>
                <w:webHidden/>
              </w:rPr>
              <w:fldChar w:fldCharType="end"/>
            </w:r>
          </w:hyperlink>
        </w:p>
        <w:p w14:paraId="25AE799A" w14:textId="77777777" w:rsidR="00473688" w:rsidRPr="00F370F2" w:rsidRDefault="00B4178F" w:rsidP="003C37AA">
          <w:r>
            <w:fldChar w:fldCharType="end"/>
          </w:r>
        </w:p>
      </w:sdtContent>
    </w:sdt>
    <w:p w14:paraId="7C39C961" w14:textId="77777777" w:rsidR="00473688" w:rsidRPr="00AA18E5" w:rsidRDefault="00473688" w:rsidP="003C37AA">
      <w:pPr>
        <w:pStyle w:val="SpaceAboveInTOC"/>
      </w:pPr>
    </w:p>
    <w:p w14:paraId="4FEF8779" w14:textId="77777777" w:rsidR="00473688" w:rsidRPr="00BF4425" w:rsidRDefault="00473688" w:rsidP="003C37AA">
      <w:pPr>
        <w:pStyle w:val="TOAHeading"/>
      </w:pPr>
      <w:r w:rsidRPr="00BF4425">
        <w:t>List of boxes</w:t>
      </w:r>
    </w:p>
    <w:p w14:paraId="28C2BE2A" w14:textId="77777777" w:rsidR="00B66B50" w:rsidRDefault="00473688">
      <w:pPr>
        <w:pStyle w:val="TableofFigures"/>
        <w:rPr>
          <w:rFonts w:asciiTheme="minorHAnsi" w:eastAsiaTheme="minorEastAsia" w:hAnsiTheme="minorHAnsi" w:cstheme="minorBidi"/>
          <w:noProof/>
          <w:sz w:val="22"/>
        </w:rPr>
      </w:pPr>
      <w:r w:rsidRPr="004D18B4">
        <w:fldChar w:fldCharType="begin"/>
      </w:r>
      <w:r w:rsidRPr="004D18B4">
        <w:instrText xml:space="preserve"> TOC </w:instrText>
      </w:r>
      <w:r>
        <w:instrText xml:space="preserve">\h \z </w:instrText>
      </w:r>
      <w:r w:rsidRPr="004D18B4">
        <w:instrText xml:space="preserve">\c "Box" </w:instrText>
      </w:r>
      <w:r>
        <w:instrText>\*FirstCap</w:instrText>
      </w:r>
      <w:r w:rsidRPr="004D18B4">
        <w:instrText xml:space="preserve"> </w:instrText>
      </w:r>
      <w:r w:rsidRPr="004D18B4">
        <w:fldChar w:fldCharType="separate"/>
      </w:r>
      <w:hyperlink w:anchor="_Toc420065460" w:history="1">
        <w:r w:rsidR="00B66B50" w:rsidRPr="00FA09B2">
          <w:rPr>
            <w:rStyle w:val="Hyperlink"/>
            <w:noProof/>
          </w:rPr>
          <w:t>Box 1</w:t>
        </w:r>
        <w:r w:rsidR="00B66B50">
          <w:rPr>
            <w:rFonts w:asciiTheme="minorHAnsi" w:eastAsiaTheme="minorEastAsia" w:hAnsiTheme="minorHAnsi" w:cstheme="minorBidi"/>
            <w:noProof/>
            <w:sz w:val="22"/>
          </w:rPr>
          <w:tab/>
        </w:r>
        <w:r w:rsidR="00B66B50" w:rsidRPr="00FA09B2">
          <w:rPr>
            <w:rStyle w:val="Hyperlink"/>
            <w:b/>
            <w:noProof/>
          </w:rPr>
          <w:t>Suitability for training</w:t>
        </w:r>
        <w:r w:rsidR="00B66B50">
          <w:rPr>
            <w:noProof/>
            <w:webHidden/>
          </w:rPr>
          <w:tab/>
        </w:r>
        <w:r w:rsidR="00B66B50">
          <w:rPr>
            <w:noProof/>
            <w:webHidden/>
          </w:rPr>
          <w:fldChar w:fldCharType="begin"/>
        </w:r>
        <w:r w:rsidR="00B66B50">
          <w:rPr>
            <w:noProof/>
            <w:webHidden/>
          </w:rPr>
          <w:instrText xml:space="preserve"> PAGEREF _Toc420065460 \h </w:instrText>
        </w:r>
        <w:r w:rsidR="00B66B50">
          <w:rPr>
            <w:noProof/>
            <w:webHidden/>
          </w:rPr>
        </w:r>
        <w:r w:rsidR="00B66B50">
          <w:rPr>
            <w:noProof/>
            <w:webHidden/>
          </w:rPr>
          <w:fldChar w:fldCharType="separate"/>
        </w:r>
        <w:r w:rsidR="00294A5A">
          <w:rPr>
            <w:noProof/>
            <w:webHidden/>
          </w:rPr>
          <w:t>7</w:t>
        </w:r>
        <w:r w:rsidR="00B66B50">
          <w:rPr>
            <w:noProof/>
            <w:webHidden/>
          </w:rPr>
          <w:fldChar w:fldCharType="end"/>
        </w:r>
      </w:hyperlink>
    </w:p>
    <w:p w14:paraId="60D51881" w14:textId="77777777" w:rsidR="00473688" w:rsidRDefault="00473688" w:rsidP="00BE502F">
      <w:pPr>
        <w:pStyle w:val="TableofFigures"/>
      </w:pPr>
      <w:r w:rsidRPr="004D18B4">
        <w:fldChar w:fldCharType="end"/>
      </w:r>
    </w:p>
    <w:p w14:paraId="6A19FCBB" w14:textId="77777777" w:rsidR="00473688" w:rsidRDefault="00473688" w:rsidP="003C37AA">
      <w:pPr>
        <w:pStyle w:val="TOAHeading"/>
      </w:pPr>
      <w:r>
        <w:t>List of figures</w:t>
      </w:r>
    </w:p>
    <w:p w14:paraId="296D977D" w14:textId="77777777" w:rsidR="00B66B50" w:rsidRDefault="00473688">
      <w:pPr>
        <w:pStyle w:val="TableofFigures"/>
        <w:rPr>
          <w:rFonts w:asciiTheme="minorHAnsi" w:eastAsiaTheme="minorEastAsia" w:hAnsiTheme="minorHAnsi" w:cstheme="minorBidi"/>
          <w:noProof/>
          <w:sz w:val="22"/>
        </w:rPr>
      </w:pPr>
      <w:r w:rsidRPr="004D18B4">
        <w:fldChar w:fldCharType="begin"/>
      </w:r>
      <w:r w:rsidRPr="004D18B4">
        <w:instrText xml:space="preserve"> TOC </w:instrText>
      </w:r>
      <w:r>
        <w:instrText>\h \z</w:instrText>
      </w:r>
      <w:r w:rsidRPr="004D18B4">
        <w:instrText xml:space="preserve"> \c "Figure" </w:instrText>
      </w:r>
      <w:r>
        <w:instrText>\*FirstCap</w:instrText>
      </w:r>
      <w:r w:rsidRPr="004D18B4">
        <w:instrText xml:space="preserve"> </w:instrText>
      </w:r>
      <w:r w:rsidRPr="004D18B4">
        <w:fldChar w:fldCharType="separate"/>
      </w:r>
      <w:hyperlink w:anchor="_Toc420065461" w:history="1">
        <w:r w:rsidR="00B66B50" w:rsidRPr="000D6F30">
          <w:rPr>
            <w:rStyle w:val="Hyperlink"/>
            <w:noProof/>
          </w:rPr>
          <w:t>Figure 1</w:t>
        </w:r>
        <w:r w:rsidR="00B66B50">
          <w:rPr>
            <w:rFonts w:asciiTheme="minorHAnsi" w:eastAsiaTheme="minorEastAsia" w:hAnsiTheme="minorHAnsi" w:cstheme="minorBidi"/>
            <w:noProof/>
            <w:sz w:val="22"/>
          </w:rPr>
          <w:tab/>
        </w:r>
        <w:r w:rsidR="00B66B50" w:rsidRPr="000D6F30">
          <w:rPr>
            <w:rStyle w:val="Hyperlink"/>
            <w:b/>
            <w:noProof/>
          </w:rPr>
          <w:t>Overview of SEE providers</w:t>
        </w:r>
        <w:r w:rsidR="00B66B50">
          <w:rPr>
            <w:noProof/>
            <w:webHidden/>
          </w:rPr>
          <w:tab/>
        </w:r>
        <w:r w:rsidR="00B66B50">
          <w:rPr>
            <w:noProof/>
            <w:webHidden/>
          </w:rPr>
          <w:fldChar w:fldCharType="begin"/>
        </w:r>
        <w:r w:rsidR="00B66B50">
          <w:rPr>
            <w:noProof/>
            <w:webHidden/>
          </w:rPr>
          <w:instrText xml:space="preserve"> PAGEREF _Toc420065461 \h </w:instrText>
        </w:r>
        <w:r w:rsidR="00B66B50">
          <w:rPr>
            <w:noProof/>
            <w:webHidden/>
          </w:rPr>
        </w:r>
        <w:r w:rsidR="00B66B50">
          <w:rPr>
            <w:noProof/>
            <w:webHidden/>
          </w:rPr>
          <w:fldChar w:fldCharType="separate"/>
        </w:r>
        <w:r w:rsidR="00294A5A">
          <w:rPr>
            <w:noProof/>
            <w:webHidden/>
          </w:rPr>
          <w:t>11</w:t>
        </w:r>
        <w:r w:rsidR="00B66B50">
          <w:rPr>
            <w:noProof/>
            <w:webHidden/>
          </w:rPr>
          <w:fldChar w:fldCharType="end"/>
        </w:r>
      </w:hyperlink>
    </w:p>
    <w:p w14:paraId="6C595918" w14:textId="77777777" w:rsidR="00B66B50" w:rsidRDefault="006A2396">
      <w:pPr>
        <w:pStyle w:val="TableofFigures"/>
        <w:rPr>
          <w:rFonts w:asciiTheme="minorHAnsi" w:eastAsiaTheme="minorEastAsia" w:hAnsiTheme="minorHAnsi" w:cstheme="minorBidi"/>
          <w:noProof/>
          <w:sz w:val="22"/>
        </w:rPr>
      </w:pPr>
      <w:hyperlink w:anchor="_Toc420065462" w:history="1">
        <w:r w:rsidR="00B66B50" w:rsidRPr="000D6F30">
          <w:rPr>
            <w:rStyle w:val="Hyperlink"/>
            <w:noProof/>
          </w:rPr>
          <w:t>Figure 2</w:t>
        </w:r>
        <w:r w:rsidR="00B66B50">
          <w:rPr>
            <w:rFonts w:asciiTheme="minorHAnsi" w:eastAsiaTheme="minorEastAsia" w:hAnsiTheme="minorHAnsi" w:cstheme="minorBidi"/>
            <w:noProof/>
            <w:sz w:val="22"/>
          </w:rPr>
          <w:tab/>
        </w:r>
        <w:r w:rsidR="00B66B50" w:rsidRPr="000D6F30">
          <w:rPr>
            <w:rStyle w:val="Hyperlink"/>
            <w:b/>
            <w:noProof/>
          </w:rPr>
          <w:t>Overview of SEE and other relevant programme and services</w:t>
        </w:r>
        <w:r w:rsidR="00B66B50">
          <w:rPr>
            <w:noProof/>
            <w:webHidden/>
          </w:rPr>
          <w:tab/>
        </w:r>
        <w:r w:rsidR="00B66B50">
          <w:rPr>
            <w:noProof/>
            <w:webHidden/>
          </w:rPr>
          <w:fldChar w:fldCharType="begin"/>
        </w:r>
        <w:r w:rsidR="00B66B50">
          <w:rPr>
            <w:noProof/>
            <w:webHidden/>
          </w:rPr>
          <w:instrText xml:space="preserve"> PAGEREF _Toc420065462 \h </w:instrText>
        </w:r>
        <w:r w:rsidR="00B66B50">
          <w:rPr>
            <w:noProof/>
            <w:webHidden/>
          </w:rPr>
        </w:r>
        <w:r w:rsidR="00B66B50">
          <w:rPr>
            <w:noProof/>
            <w:webHidden/>
          </w:rPr>
          <w:fldChar w:fldCharType="separate"/>
        </w:r>
        <w:r w:rsidR="00294A5A">
          <w:rPr>
            <w:noProof/>
            <w:webHidden/>
          </w:rPr>
          <w:t>14</w:t>
        </w:r>
        <w:r w:rsidR="00B66B50">
          <w:rPr>
            <w:noProof/>
            <w:webHidden/>
          </w:rPr>
          <w:fldChar w:fldCharType="end"/>
        </w:r>
      </w:hyperlink>
    </w:p>
    <w:p w14:paraId="3ABBE0E2" w14:textId="77777777" w:rsidR="00B66B50" w:rsidRDefault="006A2396">
      <w:pPr>
        <w:pStyle w:val="TableofFigures"/>
        <w:rPr>
          <w:rFonts w:asciiTheme="minorHAnsi" w:eastAsiaTheme="minorEastAsia" w:hAnsiTheme="minorHAnsi" w:cstheme="minorBidi"/>
          <w:noProof/>
          <w:sz w:val="22"/>
        </w:rPr>
      </w:pPr>
      <w:hyperlink w:anchor="_Toc420065463" w:history="1">
        <w:r w:rsidR="00B66B50" w:rsidRPr="000D6F30">
          <w:rPr>
            <w:rStyle w:val="Hyperlink"/>
            <w:noProof/>
          </w:rPr>
          <w:t>Figure 3</w:t>
        </w:r>
        <w:r w:rsidR="00B66B50">
          <w:rPr>
            <w:rFonts w:asciiTheme="minorHAnsi" w:eastAsiaTheme="minorEastAsia" w:hAnsiTheme="minorHAnsi" w:cstheme="minorBidi"/>
            <w:noProof/>
            <w:sz w:val="22"/>
          </w:rPr>
          <w:tab/>
        </w:r>
        <w:r w:rsidR="00B66B50" w:rsidRPr="000D6F30">
          <w:rPr>
            <w:rStyle w:val="Hyperlink"/>
            <w:b/>
            <w:noProof/>
          </w:rPr>
          <w:t>Overview of good practices in adult LLN</w:t>
        </w:r>
        <w:r w:rsidR="00B66B50">
          <w:rPr>
            <w:noProof/>
            <w:webHidden/>
          </w:rPr>
          <w:tab/>
        </w:r>
        <w:r w:rsidR="00B66B50">
          <w:rPr>
            <w:noProof/>
            <w:webHidden/>
          </w:rPr>
          <w:fldChar w:fldCharType="begin"/>
        </w:r>
        <w:r w:rsidR="00B66B50">
          <w:rPr>
            <w:noProof/>
            <w:webHidden/>
          </w:rPr>
          <w:instrText xml:space="preserve"> PAGEREF _Toc420065463 \h </w:instrText>
        </w:r>
        <w:r w:rsidR="00B66B50">
          <w:rPr>
            <w:noProof/>
            <w:webHidden/>
          </w:rPr>
        </w:r>
        <w:r w:rsidR="00B66B50">
          <w:rPr>
            <w:noProof/>
            <w:webHidden/>
          </w:rPr>
          <w:fldChar w:fldCharType="separate"/>
        </w:r>
        <w:r w:rsidR="00294A5A">
          <w:rPr>
            <w:noProof/>
            <w:webHidden/>
          </w:rPr>
          <w:t>21</w:t>
        </w:r>
        <w:r w:rsidR="00B66B50">
          <w:rPr>
            <w:noProof/>
            <w:webHidden/>
          </w:rPr>
          <w:fldChar w:fldCharType="end"/>
        </w:r>
      </w:hyperlink>
    </w:p>
    <w:p w14:paraId="54AF1EFC" w14:textId="77777777" w:rsidR="00B66B50" w:rsidRDefault="006A2396">
      <w:pPr>
        <w:pStyle w:val="TableofFigures"/>
        <w:rPr>
          <w:rFonts w:asciiTheme="minorHAnsi" w:eastAsiaTheme="minorEastAsia" w:hAnsiTheme="minorHAnsi" w:cstheme="minorBidi"/>
          <w:noProof/>
          <w:sz w:val="22"/>
        </w:rPr>
      </w:pPr>
      <w:hyperlink w:anchor="_Toc420065464" w:history="1">
        <w:r w:rsidR="00B66B50" w:rsidRPr="000D6F30">
          <w:rPr>
            <w:rStyle w:val="Hyperlink"/>
            <w:noProof/>
          </w:rPr>
          <w:t>Figure 4</w:t>
        </w:r>
        <w:r w:rsidR="00B66B50">
          <w:rPr>
            <w:rFonts w:asciiTheme="minorHAnsi" w:eastAsiaTheme="minorEastAsia" w:hAnsiTheme="minorHAnsi" w:cstheme="minorBidi"/>
            <w:noProof/>
            <w:sz w:val="22"/>
          </w:rPr>
          <w:tab/>
        </w:r>
        <w:r w:rsidR="00B66B50" w:rsidRPr="000D6F30">
          <w:rPr>
            <w:rStyle w:val="Hyperlink"/>
            <w:b/>
            <w:noProof/>
          </w:rPr>
          <w:t>Overview of cohort specific good practices</w:t>
        </w:r>
        <w:r w:rsidR="00B66B50">
          <w:rPr>
            <w:noProof/>
            <w:webHidden/>
          </w:rPr>
          <w:tab/>
        </w:r>
        <w:r w:rsidR="00B66B50">
          <w:rPr>
            <w:noProof/>
            <w:webHidden/>
          </w:rPr>
          <w:fldChar w:fldCharType="begin"/>
        </w:r>
        <w:r w:rsidR="00B66B50">
          <w:rPr>
            <w:noProof/>
            <w:webHidden/>
          </w:rPr>
          <w:instrText xml:space="preserve"> PAGEREF _Toc420065464 \h </w:instrText>
        </w:r>
        <w:r w:rsidR="00B66B50">
          <w:rPr>
            <w:noProof/>
            <w:webHidden/>
          </w:rPr>
        </w:r>
        <w:r w:rsidR="00B66B50">
          <w:rPr>
            <w:noProof/>
            <w:webHidden/>
          </w:rPr>
          <w:fldChar w:fldCharType="separate"/>
        </w:r>
        <w:r w:rsidR="00294A5A">
          <w:rPr>
            <w:noProof/>
            <w:webHidden/>
          </w:rPr>
          <w:t>23</w:t>
        </w:r>
        <w:r w:rsidR="00B66B50">
          <w:rPr>
            <w:noProof/>
            <w:webHidden/>
          </w:rPr>
          <w:fldChar w:fldCharType="end"/>
        </w:r>
      </w:hyperlink>
    </w:p>
    <w:p w14:paraId="5D447E11" w14:textId="77777777" w:rsidR="00B66B50" w:rsidRDefault="006A2396">
      <w:pPr>
        <w:pStyle w:val="TableofFigures"/>
        <w:rPr>
          <w:rFonts w:asciiTheme="minorHAnsi" w:eastAsiaTheme="minorEastAsia" w:hAnsiTheme="minorHAnsi" w:cstheme="minorBidi"/>
          <w:noProof/>
          <w:sz w:val="22"/>
        </w:rPr>
      </w:pPr>
      <w:hyperlink w:anchor="_Toc420065465" w:history="1">
        <w:r w:rsidR="00B66B50" w:rsidRPr="000D6F30">
          <w:rPr>
            <w:rStyle w:val="Hyperlink"/>
            <w:noProof/>
          </w:rPr>
          <w:t>Figure 5</w:t>
        </w:r>
        <w:r w:rsidR="00B66B50">
          <w:rPr>
            <w:rFonts w:asciiTheme="minorHAnsi" w:eastAsiaTheme="minorEastAsia" w:hAnsiTheme="minorHAnsi" w:cstheme="minorBidi"/>
            <w:noProof/>
            <w:sz w:val="22"/>
          </w:rPr>
          <w:tab/>
        </w:r>
        <w:r w:rsidR="00B66B50" w:rsidRPr="000D6F30">
          <w:rPr>
            <w:rStyle w:val="Hyperlink"/>
            <w:b/>
            <w:noProof/>
          </w:rPr>
          <w:t>Overview of the SEE programme flow (rows sum to 100 per cent)</w:t>
        </w:r>
        <w:r w:rsidR="00B66B50">
          <w:rPr>
            <w:noProof/>
            <w:webHidden/>
          </w:rPr>
          <w:tab/>
        </w:r>
        <w:r w:rsidR="00B66B50">
          <w:rPr>
            <w:noProof/>
            <w:webHidden/>
          </w:rPr>
          <w:fldChar w:fldCharType="begin"/>
        </w:r>
        <w:r w:rsidR="00B66B50">
          <w:rPr>
            <w:noProof/>
            <w:webHidden/>
          </w:rPr>
          <w:instrText xml:space="preserve"> PAGEREF _Toc420065465 \h </w:instrText>
        </w:r>
        <w:r w:rsidR="00B66B50">
          <w:rPr>
            <w:noProof/>
            <w:webHidden/>
          </w:rPr>
        </w:r>
        <w:r w:rsidR="00B66B50">
          <w:rPr>
            <w:noProof/>
            <w:webHidden/>
          </w:rPr>
          <w:fldChar w:fldCharType="separate"/>
        </w:r>
        <w:r w:rsidR="00294A5A">
          <w:rPr>
            <w:noProof/>
            <w:webHidden/>
          </w:rPr>
          <w:t>27</w:t>
        </w:r>
        <w:r w:rsidR="00B66B50">
          <w:rPr>
            <w:noProof/>
            <w:webHidden/>
          </w:rPr>
          <w:fldChar w:fldCharType="end"/>
        </w:r>
      </w:hyperlink>
    </w:p>
    <w:p w14:paraId="27A527D2" w14:textId="77777777" w:rsidR="00B66B50" w:rsidRDefault="006A2396">
      <w:pPr>
        <w:pStyle w:val="TableofFigures"/>
        <w:rPr>
          <w:rFonts w:asciiTheme="minorHAnsi" w:eastAsiaTheme="minorEastAsia" w:hAnsiTheme="minorHAnsi" w:cstheme="minorBidi"/>
          <w:noProof/>
          <w:sz w:val="22"/>
        </w:rPr>
      </w:pPr>
      <w:hyperlink w:anchor="_Toc420065466" w:history="1">
        <w:r w:rsidR="00B66B50" w:rsidRPr="000D6F30">
          <w:rPr>
            <w:rStyle w:val="Hyperlink"/>
            <w:noProof/>
          </w:rPr>
          <w:t>Figure 6</w:t>
        </w:r>
        <w:r w:rsidR="00B66B50">
          <w:rPr>
            <w:rFonts w:asciiTheme="minorHAnsi" w:eastAsiaTheme="minorEastAsia" w:hAnsiTheme="minorHAnsi" w:cstheme="minorBidi"/>
            <w:noProof/>
            <w:sz w:val="22"/>
          </w:rPr>
          <w:tab/>
        </w:r>
        <w:r w:rsidR="00B66B50" w:rsidRPr="000D6F30">
          <w:rPr>
            <w:rStyle w:val="Hyperlink"/>
            <w:b/>
            <w:noProof/>
          </w:rPr>
          <w:t>Referrals, PTAs and commencements in the SEE programme, 2010-11 – 2013-14</w:t>
        </w:r>
        <w:r w:rsidR="00B66B50">
          <w:rPr>
            <w:noProof/>
            <w:webHidden/>
          </w:rPr>
          <w:tab/>
        </w:r>
        <w:r w:rsidR="00B66B50">
          <w:rPr>
            <w:noProof/>
            <w:webHidden/>
          </w:rPr>
          <w:fldChar w:fldCharType="begin"/>
        </w:r>
        <w:r w:rsidR="00B66B50">
          <w:rPr>
            <w:noProof/>
            <w:webHidden/>
          </w:rPr>
          <w:instrText xml:space="preserve"> PAGEREF _Toc420065466 \h </w:instrText>
        </w:r>
        <w:r w:rsidR="00B66B50">
          <w:rPr>
            <w:noProof/>
            <w:webHidden/>
          </w:rPr>
        </w:r>
        <w:r w:rsidR="00B66B50">
          <w:rPr>
            <w:noProof/>
            <w:webHidden/>
          </w:rPr>
          <w:fldChar w:fldCharType="separate"/>
        </w:r>
        <w:r w:rsidR="00294A5A">
          <w:rPr>
            <w:noProof/>
            <w:webHidden/>
          </w:rPr>
          <w:t>28</w:t>
        </w:r>
        <w:r w:rsidR="00B66B50">
          <w:rPr>
            <w:noProof/>
            <w:webHidden/>
          </w:rPr>
          <w:fldChar w:fldCharType="end"/>
        </w:r>
      </w:hyperlink>
    </w:p>
    <w:p w14:paraId="05F56E5F" w14:textId="77777777" w:rsidR="00B66B50" w:rsidRDefault="006A2396">
      <w:pPr>
        <w:pStyle w:val="TableofFigures"/>
        <w:rPr>
          <w:rFonts w:asciiTheme="minorHAnsi" w:eastAsiaTheme="minorEastAsia" w:hAnsiTheme="minorHAnsi" w:cstheme="minorBidi"/>
          <w:noProof/>
          <w:sz w:val="22"/>
        </w:rPr>
      </w:pPr>
      <w:hyperlink w:anchor="_Toc420065467" w:history="1">
        <w:r w:rsidR="00B66B50" w:rsidRPr="000D6F30">
          <w:rPr>
            <w:rStyle w:val="Hyperlink"/>
            <w:noProof/>
          </w:rPr>
          <w:t>Figure 7</w:t>
        </w:r>
        <w:r w:rsidR="00B66B50">
          <w:rPr>
            <w:rFonts w:asciiTheme="minorHAnsi" w:eastAsiaTheme="minorEastAsia" w:hAnsiTheme="minorHAnsi" w:cstheme="minorBidi"/>
            <w:noProof/>
            <w:sz w:val="22"/>
          </w:rPr>
          <w:tab/>
        </w:r>
        <w:r w:rsidR="00B66B50" w:rsidRPr="000D6F30">
          <w:rPr>
            <w:rStyle w:val="Hyperlink"/>
            <w:b/>
            <w:noProof/>
          </w:rPr>
          <w:t>Estimated proportion of JSA clients with identified LLN needs and proportion referred to the SEE programme by SDA</w:t>
        </w:r>
        <w:r w:rsidR="00B66B50">
          <w:rPr>
            <w:noProof/>
            <w:webHidden/>
          </w:rPr>
          <w:tab/>
        </w:r>
        <w:r w:rsidR="00B66B50">
          <w:rPr>
            <w:noProof/>
            <w:webHidden/>
          </w:rPr>
          <w:fldChar w:fldCharType="begin"/>
        </w:r>
        <w:r w:rsidR="00B66B50">
          <w:rPr>
            <w:noProof/>
            <w:webHidden/>
          </w:rPr>
          <w:instrText xml:space="preserve"> PAGEREF _Toc420065467 \h </w:instrText>
        </w:r>
        <w:r w:rsidR="00B66B50">
          <w:rPr>
            <w:noProof/>
            <w:webHidden/>
          </w:rPr>
        </w:r>
        <w:r w:rsidR="00B66B50">
          <w:rPr>
            <w:noProof/>
            <w:webHidden/>
          </w:rPr>
          <w:fldChar w:fldCharType="separate"/>
        </w:r>
        <w:r w:rsidR="00294A5A">
          <w:rPr>
            <w:noProof/>
            <w:webHidden/>
          </w:rPr>
          <w:t>29</w:t>
        </w:r>
        <w:r w:rsidR="00B66B50">
          <w:rPr>
            <w:noProof/>
            <w:webHidden/>
          </w:rPr>
          <w:fldChar w:fldCharType="end"/>
        </w:r>
      </w:hyperlink>
    </w:p>
    <w:p w14:paraId="3397E623" w14:textId="77777777" w:rsidR="00B66B50" w:rsidRDefault="006A2396">
      <w:pPr>
        <w:pStyle w:val="TableofFigures"/>
        <w:rPr>
          <w:rFonts w:asciiTheme="minorHAnsi" w:eastAsiaTheme="minorEastAsia" w:hAnsiTheme="minorHAnsi" w:cstheme="minorBidi"/>
          <w:noProof/>
          <w:sz w:val="22"/>
        </w:rPr>
      </w:pPr>
      <w:hyperlink w:anchor="_Toc420065468" w:history="1">
        <w:r w:rsidR="00B66B50" w:rsidRPr="000D6F30">
          <w:rPr>
            <w:rStyle w:val="Hyperlink"/>
            <w:noProof/>
          </w:rPr>
          <w:t>Figure 8</w:t>
        </w:r>
        <w:r w:rsidR="00B66B50">
          <w:rPr>
            <w:rFonts w:asciiTheme="minorHAnsi" w:eastAsiaTheme="minorEastAsia" w:hAnsiTheme="minorHAnsi" w:cstheme="minorBidi"/>
            <w:noProof/>
            <w:sz w:val="22"/>
          </w:rPr>
          <w:tab/>
        </w:r>
        <w:r w:rsidR="00B66B50" w:rsidRPr="000D6F30">
          <w:rPr>
            <w:rStyle w:val="Hyperlink"/>
            <w:b/>
            <w:noProof/>
          </w:rPr>
          <w:t>Proportion of referrals leading to a commencement</w:t>
        </w:r>
        <w:r w:rsidR="00B66B50">
          <w:rPr>
            <w:noProof/>
            <w:webHidden/>
          </w:rPr>
          <w:tab/>
        </w:r>
        <w:r w:rsidR="00B66B50">
          <w:rPr>
            <w:noProof/>
            <w:webHidden/>
          </w:rPr>
          <w:fldChar w:fldCharType="begin"/>
        </w:r>
        <w:r w:rsidR="00B66B50">
          <w:rPr>
            <w:noProof/>
            <w:webHidden/>
          </w:rPr>
          <w:instrText xml:space="preserve"> PAGEREF _Toc420065468 \h </w:instrText>
        </w:r>
        <w:r w:rsidR="00B66B50">
          <w:rPr>
            <w:noProof/>
            <w:webHidden/>
          </w:rPr>
        </w:r>
        <w:r w:rsidR="00B66B50">
          <w:rPr>
            <w:noProof/>
            <w:webHidden/>
          </w:rPr>
          <w:fldChar w:fldCharType="separate"/>
        </w:r>
        <w:r w:rsidR="00294A5A">
          <w:rPr>
            <w:noProof/>
            <w:webHidden/>
          </w:rPr>
          <w:t>32</w:t>
        </w:r>
        <w:r w:rsidR="00B66B50">
          <w:rPr>
            <w:noProof/>
            <w:webHidden/>
          </w:rPr>
          <w:fldChar w:fldCharType="end"/>
        </w:r>
      </w:hyperlink>
    </w:p>
    <w:p w14:paraId="6564AC52" w14:textId="77777777" w:rsidR="00B66B50" w:rsidRDefault="006A2396">
      <w:pPr>
        <w:pStyle w:val="TableofFigures"/>
        <w:rPr>
          <w:rFonts w:asciiTheme="minorHAnsi" w:eastAsiaTheme="minorEastAsia" w:hAnsiTheme="minorHAnsi" w:cstheme="minorBidi"/>
          <w:noProof/>
          <w:sz w:val="22"/>
        </w:rPr>
      </w:pPr>
      <w:hyperlink w:anchor="_Toc420065469" w:history="1">
        <w:r w:rsidR="00B66B50" w:rsidRPr="000D6F30">
          <w:rPr>
            <w:rStyle w:val="Hyperlink"/>
            <w:noProof/>
          </w:rPr>
          <w:t>Figure 9</w:t>
        </w:r>
        <w:r w:rsidR="00B66B50">
          <w:rPr>
            <w:rFonts w:asciiTheme="minorHAnsi" w:eastAsiaTheme="minorEastAsia" w:hAnsiTheme="minorHAnsi" w:cstheme="minorBidi"/>
            <w:noProof/>
            <w:sz w:val="22"/>
          </w:rPr>
          <w:tab/>
        </w:r>
        <w:r w:rsidR="00B66B50" w:rsidRPr="000D6F30">
          <w:rPr>
            <w:rStyle w:val="Hyperlink"/>
            <w:b/>
            <w:noProof/>
          </w:rPr>
          <w:t>Number of referrals per individual over 2010-11 – 2013-14</w:t>
        </w:r>
        <w:r w:rsidR="00B66B50">
          <w:rPr>
            <w:noProof/>
            <w:webHidden/>
          </w:rPr>
          <w:tab/>
        </w:r>
        <w:r w:rsidR="00B66B50">
          <w:rPr>
            <w:noProof/>
            <w:webHidden/>
          </w:rPr>
          <w:fldChar w:fldCharType="begin"/>
        </w:r>
        <w:r w:rsidR="00B66B50">
          <w:rPr>
            <w:noProof/>
            <w:webHidden/>
          </w:rPr>
          <w:instrText xml:space="preserve"> PAGEREF _Toc420065469 \h </w:instrText>
        </w:r>
        <w:r w:rsidR="00B66B50">
          <w:rPr>
            <w:noProof/>
            <w:webHidden/>
          </w:rPr>
        </w:r>
        <w:r w:rsidR="00B66B50">
          <w:rPr>
            <w:noProof/>
            <w:webHidden/>
          </w:rPr>
          <w:fldChar w:fldCharType="separate"/>
        </w:r>
        <w:r w:rsidR="00294A5A">
          <w:rPr>
            <w:noProof/>
            <w:webHidden/>
          </w:rPr>
          <w:t>33</w:t>
        </w:r>
        <w:r w:rsidR="00B66B50">
          <w:rPr>
            <w:noProof/>
            <w:webHidden/>
          </w:rPr>
          <w:fldChar w:fldCharType="end"/>
        </w:r>
      </w:hyperlink>
    </w:p>
    <w:p w14:paraId="6233BD4C" w14:textId="77777777" w:rsidR="00B66B50" w:rsidRDefault="006A2396">
      <w:pPr>
        <w:pStyle w:val="TableofFigures"/>
        <w:rPr>
          <w:rFonts w:asciiTheme="minorHAnsi" w:eastAsiaTheme="minorEastAsia" w:hAnsiTheme="minorHAnsi" w:cstheme="minorBidi"/>
          <w:noProof/>
          <w:sz w:val="22"/>
        </w:rPr>
      </w:pPr>
      <w:hyperlink w:anchor="_Toc420065470" w:history="1">
        <w:r w:rsidR="00B66B50" w:rsidRPr="000D6F30">
          <w:rPr>
            <w:rStyle w:val="Hyperlink"/>
            <w:noProof/>
          </w:rPr>
          <w:t>Figure 10</w:t>
        </w:r>
        <w:r w:rsidR="00B66B50">
          <w:rPr>
            <w:rFonts w:asciiTheme="minorHAnsi" w:eastAsiaTheme="minorEastAsia" w:hAnsiTheme="minorHAnsi" w:cstheme="minorBidi"/>
            <w:noProof/>
            <w:sz w:val="22"/>
          </w:rPr>
          <w:tab/>
        </w:r>
        <w:r w:rsidR="00B66B50" w:rsidRPr="000D6F30">
          <w:rPr>
            <w:rStyle w:val="Hyperlink"/>
            <w:b/>
            <w:noProof/>
          </w:rPr>
          <w:t>Average days from referral to PTA and from PTA to commencement</w:t>
        </w:r>
        <w:r w:rsidR="00B66B50">
          <w:rPr>
            <w:noProof/>
            <w:webHidden/>
          </w:rPr>
          <w:tab/>
        </w:r>
        <w:r w:rsidR="00B66B50">
          <w:rPr>
            <w:noProof/>
            <w:webHidden/>
          </w:rPr>
          <w:fldChar w:fldCharType="begin"/>
        </w:r>
        <w:r w:rsidR="00B66B50">
          <w:rPr>
            <w:noProof/>
            <w:webHidden/>
          </w:rPr>
          <w:instrText xml:space="preserve"> PAGEREF _Toc420065470 \h </w:instrText>
        </w:r>
        <w:r w:rsidR="00B66B50">
          <w:rPr>
            <w:noProof/>
            <w:webHidden/>
          </w:rPr>
        </w:r>
        <w:r w:rsidR="00B66B50">
          <w:rPr>
            <w:noProof/>
            <w:webHidden/>
          </w:rPr>
          <w:fldChar w:fldCharType="separate"/>
        </w:r>
        <w:r w:rsidR="00294A5A">
          <w:rPr>
            <w:noProof/>
            <w:webHidden/>
          </w:rPr>
          <w:t>34</w:t>
        </w:r>
        <w:r w:rsidR="00B66B50">
          <w:rPr>
            <w:noProof/>
            <w:webHidden/>
          </w:rPr>
          <w:fldChar w:fldCharType="end"/>
        </w:r>
      </w:hyperlink>
    </w:p>
    <w:p w14:paraId="75F201F2" w14:textId="77777777" w:rsidR="00B66B50" w:rsidRDefault="006A2396">
      <w:pPr>
        <w:pStyle w:val="TableofFigures"/>
        <w:rPr>
          <w:rFonts w:asciiTheme="minorHAnsi" w:eastAsiaTheme="minorEastAsia" w:hAnsiTheme="minorHAnsi" w:cstheme="minorBidi"/>
          <w:noProof/>
          <w:sz w:val="22"/>
        </w:rPr>
      </w:pPr>
      <w:hyperlink w:anchor="_Toc420065471" w:history="1">
        <w:r w:rsidR="00B66B50" w:rsidRPr="000D6F30">
          <w:rPr>
            <w:rStyle w:val="Hyperlink"/>
            <w:noProof/>
          </w:rPr>
          <w:t>Figure 11</w:t>
        </w:r>
        <w:r w:rsidR="00B66B50">
          <w:rPr>
            <w:rFonts w:asciiTheme="minorHAnsi" w:eastAsiaTheme="minorEastAsia" w:hAnsiTheme="minorHAnsi" w:cstheme="minorBidi"/>
            <w:noProof/>
            <w:sz w:val="22"/>
          </w:rPr>
          <w:tab/>
        </w:r>
        <w:r w:rsidR="00B66B50" w:rsidRPr="000D6F30">
          <w:rPr>
            <w:rStyle w:val="Hyperlink"/>
            <w:b/>
            <w:noProof/>
          </w:rPr>
          <w:t>Overview of SEE programme clients</w:t>
        </w:r>
        <w:r w:rsidR="00B66B50">
          <w:rPr>
            <w:noProof/>
            <w:webHidden/>
          </w:rPr>
          <w:tab/>
        </w:r>
        <w:r w:rsidR="00B66B50">
          <w:rPr>
            <w:noProof/>
            <w:webHidden/>
          </w:rPr>
          <w:fldChar w:fldCharType="begin"/>
        </w:r>
        <w:r w:rsidR="00B66B50">
          <w:rPr>
            <w:noProof/>
            <w:webHidden/>
          </w:rPr>
          <w:instrText xml:space="preserve"> PAGEREF _Toc420065471 \h </w:instrText>
        </w:r>
        <w:r w:rsidR="00B66B50">
          <w:rPr>
            <w:noProof/>
            <w:webHidden/>
          </w:rPr>
        </w:r>
        <w:r w:rsidR="00B66B50">
          <w:rPr>
            <w:noProof/>
            <w:webHidden/>
          </w:rPr>
          <w:fldChar w:fldCharType="separate"/>
        </w:r>
        <w:r w:rsidR="00294A5A">
          <w:rPr>
            <w:noProof/>
            <w:webHidden/>
          </w:rPr>
          <w:t>36</w:t>
        </w:r>
        <w:r w:rsidR="00B66B50">
          <w:rPr>
            <w:noProof/>
            <w:webHidden/>
          </w:rPr>
          <w:fldChar w:fldCharType="end"/>
        </w:r>
      </w:hyperlink>
    </w:p>
    <w:p w14:paraId="60418BFC" w14:textId="77777777" w:rsidR="00B66B50" w:rsidRDefault="006A2396">
      <w:pPr>
        <w:pStyle w:val="TableofFigures"/>
        <w:rPr>
          <w:rFonts w:asciiTheme="minorHAnsi" w:eastAsiaTheme="minorEastAsia" w:hAnsiTheme="minorHAnsi" w:cstheme="minorBidi"/>
          <w:noProof/>
          <w:sz w:val="22"/>
        </w:rPr>
      </w:pPr>
      <w:hyperlink w:anchor="_Toc420065472" w:history="1">
        <w:r w:rsidR="00B66B50" w:rsidRPr="000D6F30">
          <w:rPr>
            <w:rStyle w:val="Hyperlink"/>
            <w:noProof/>
          </w:rPr>
          <w:t>Figure 12</w:t>
        </w:r>
        <w:r w:rsidR="00B66B50">
          <w:rPr>
            <w:rFonts w:asciiTheme="minorHAnsi" w:eastAsiaTheme="minorEastAsia" w:hAnsiTheme="minorHAnsi" w:cstheme="minorBidi"/>
            <w:noProof/>
            <w:sz w:val="22"/>
          </w:rPr>
          <w:tab/>
        </w:r>
        <w:r w:rsidR="00B66B50" w:rsidRPr="000D6F30">
          <w:rPr>
            <w:rStyle w:val="Hyperlink"/>
            <w:b/>
            <w:noProof/>
          </w:rPr>
          <w:t>Cohort commencements and shares over time, 2010-11</w:t>
        </w:r>
        <w:r w:rsidR="00B66B50">
          <w:rPr>
            <w:noProof/>
            <w:webHidden/>
          </w:rPr>
          <w:tab/>
        </w:r>
        <w:r w:rsidR="00B66B50">
          <w:rPr>
            <w:noProof/>
            <w:webHidden/>
          </w:rPr>
          <w:fldChar w:fldCharType="begin"/>
        </w:r>
        <w:r w:rsidR="00B66B50">
          <w:rPr>
            <w:noProof/>
            <w:webHidden/>
          </w:rPr>
          <w:instrText xml:space="preserve"> PAGEREF _Toc420065472 \h </w:instrText>
        </w:r>
        <w:r w:rsidR="00B66B50">
          <w:rPr>
            <w:noProof/>
            <w:webHidden/>
          </w:rPr>
        </w:r>
        <w:r w:rsidR="00B66B50">
          <w:rPr>
            <w:noProof/>
            <w:webHidden/>
          </w:rPr>
          <w:fldChar w:fldCharType="separate"/>
        </w:r>
        <w:r w:rsidR="00294A5A">
          <w:rPr>
            <w:noProof/>
            <w:webHidden/>
          </w:rPr>
          <w:t>36</w:t>
        </w:r>
        <w:r w:rsidR="00B66B50">
          <w:rPr>
            <w:noProof/>
            <w:webHidden/>
          </w:rPr>
          <w:fldChar w:fldCharType="end"/>
        </w:r>
      </w:hyperlink>
    </w:p>
    <w:p w14:paraId="4DA4321D" w14:textId="77777777" w:rsidR="00B66B50" w:rsidRDefault="006A2396">
      <w:pPr>
        <w:pStyle w:val="TableofFigures"/>
        <w:rPr>
          <w:rFonts w:asciiTheme="minorHAnsi" w:eastAsiaTheme="minorEastAsia" w:hAnsiTheme="minorHAnsi" w:cstheme="minorBidi"/>
          <w:noProof/>
          <w:sz w:val="22"/>
        </w:rPr>
      </w:pPr>
      <w:hyperlink w:anchor="_Toc420065473" w:history="1">
        <w:r w:rsidR="00B66B50" w:rsidRPr="000D6F30">
          <w:rPr>
            <w:rStyle w:val="Hyperlink"/>
            <w:noProof/>
          </w:rPr>
          <w:t>Figure 13</w:t>
        </w:r>
        <w:r w:rsidR="00B66B50">
          <w:rPr>
            <w:rFonts w:asciiTheme="minorHAnsi" w:eastAsiaTheme="minorEastAsia" w:hAnsiTheme="minorHAnsi" w:cstheme="minorBidi"/>
            <w:noProof/>
            <w:sz w:val="22"/>
          </w:rPr>
          <w:tab/>
        </w:r>
        <w:r w:rsidR="00B66B50" w:rsidRPr="000D6F30">
          <w:rPr>
            <w:rStyle w:val="Hyperlink"/>
            <w:b/>
            <w:noProof/>
          </w:rPr>
          <w:t>Gender make up of SEE programme client groups</w:t>
        </w:r>
        <w:r w:rsidR="00B66B50">
          <w:rPr>
            <w:noProof/>
            <w:webHidden/>
          </w:rPr>
          <w:tab/>
        </w:r>
        <w:r w:rsidR="00B66B50">
          <w:rPr>
            <w:noProof/>
            <w:webHidden/>
          </w:rPr>
          <w:fldChar w:fldCharType="begin"/>
        </w:r>
        <w:r w:rsidR="00B66B50">
          <w:rPr>
            <w:noProof/>
            <w:webHidden/>
          </w:rPr>
          <w:instrText xml:space="preserve"> PAGEREF _Toc420065473 \h </w:instrText>
        </w:r>
        <w:r w:rsidR="00B66B50">
          <w:rPr>
            <w:noProof/>
            <w:webHidden/>
          </w:rPr>
        </w:r>
        <w:r w:rsidR="00B66B50">
          <w:rPr>
            <w:noProof/>
            <w:webHidden/>
          </w:rPr>
          <w:fldChar w:fldCharType="separate"/>
        </w:r>
        <w:r w:rsidR="00294A5A">
          <w:rPr>
            <w:noProof/>
            <w:webHidden/>
          </w:rPr>
          <w:t>37</w:t>
        </w:r>
        <w:r w:rsidR="00B66B50">
          <w:rPr>
            <w:noProof/>
            <w:webHidden/>
          </w:rPr>
          <w:fldChar w:fldCharType="end"/>
        </w:r>
      </w:hyperlink>
    </w:p>
    <w:p w14:paraId="2F236E22" w14:textId="77777777" w:rsidR="00B66B50" w:rsidRDefault="006A2396">
      <w:pPr>
        <w:pStyle w:val="TableofFigures"/>
        <w:rPr>
          <w:rFonts w:asciiTheme="minorHAnsi" w:eastAsiaTheme="minorEastAsia" w:hAnsiTheme="minorHAnsi" w:cstheme="minorBidi"/>
          <w:noProof/>
          <w:sz w:val="22"/>
        </w:rPr>
      </w:pPr>
      <w:hyperlink w:anchor="_Toc420065474" w:history="1">
        <w:r w:rsidR="00B66B50" w:rsidRPr="000D6F30">
          <w:rPr>
            <w:rStyle w:val="Hyperlink"/>
            <w:noProof/>
          </w:rPr>
          <w:t>Figure 14</w:t>
        </w:r>
        <w:r w:rsidR="00B66B50">
          <w:rPr>
            <w:rFonts w:asciiTheme="minorHAnsi" w:eastAsiaTheme="minorEastAsia" w:hAnsiTheme="minorHAnsi" w:cstheme="minorBidi"/>
            <w:noProof/>
            <w:sz w:val="22"/>
          </w:rPr>
          <w:tab/>
        </w:r>
        <w:r w:rsidR="00B66B50" w:rsidRPr="000D6F30">
          <w:rPr>
            <w:rStyle w:val="Hyperlink"/>
            <w:b/>
            <w:noProof/>
          </w:rPr>
          <w:t>SEE programme clients by age group</w:t>
        </w:r>
        <w:r w:rsidR="00B66B50">
          <w:rPr>
            <w:noProof/>
            <w:webHidden/>
          </w:rPr>
          <w:tab/>
        </w:r>
        <w:r w:rsidR="00B66B50">
          <w:rPr>
            <w:noProof/>
            <w:webHidden/>
          </w:rPr>
          <w:fldChar w:fldCharType="begin"/>
        </w:r>
        <w:r w:rsidR="00B66B50">
          <w:rPr>
            <w:noProof/>
            <w:webHidden/>
          </w:rPr>
          <w:instrText xml:space="preserve"> PAGEREF _Toc420065474 \h </w:instrText>
        </w:r>
        <w:r w:rsidR="00B66B50">
          <w:rPr>
            <w:noProof/>
            <w:webHidden/>
          </w:rPr>
        </w:r>
        <w:r w:rsidR="00B66B50">
          <w:rPr>
            <w:noProof/>
            <w:webHidden/>
          </w:rPr>
          <w:fldChar w:fldCharType="separate"/>
        </w:r>
        <w:r w:rsidR="00294A5A">
          <w:rPr>
            <w:noProof/>
            <w:webHidden/>
          </w:rPr>
          <w:t>37</w:t>
        </w:r>
        <w:r w:rsidR="00B66B50">
          <w:rPr>
            <w:noProof/>
            <w:webHidden/>
          </w:rPr>
          <w:fldChar w:fldCharType="end"/>
        </w:r>
      </w:hyperlink>
    </w:p>
    <w:p w14:paraId="7D44E1E5" w14:textId="77777777" w:rsidR="00B66B50" w:rsidRDefault="006A2396">
      <w:pPr>
        <w:pStyle w:val="TableofFigures"/>
        <w:rPr>
          <w:rFonts w:asciiTheme="minorHAnsi" w:eastAsiaTheme="minorEastAsia" w:hAnsiTheme="minorHAnsi" w:cstheme="minorBidi"/>
          <w:noProof/>
          <w:sz w:val="22"/>
        </w:rPr>
      </w:pPr>
      <w:hyperlink w:anchor="_Toc420065475" w:history="1">
        <w:r w:rsidR="00B66B50" w:rsidRPr="000D6F30">
          <w:rPr>
            <w:rStyle w:val="Hyperlink"/>
            <w:noProof/>
          </w:rPr>
          <w:t>Figure 15</w:t>
        </w:r>
        <w:r w:rsidR="00B66B50">
          <w:rPr>
            <w:rFonts w:asciiTheme="minorHAnsi" w:eastAsiaTheme="minorEastAsia" w:hAnsiTheme="minorHAnsi" w:cstheme="minorBidi"/>
            <w:noProof/>
            <w:sz w:val="22"/>
          </w:rPr>
          <w:tab/>
        </w:r>
        <w:r w:rsidR="00B66B50" w:rsidRPr="000D6F30">
          <w:rPr>
            <w:rStyle w:val="Hyperlink"/>
            <w:b/>
            <w:noProof/>
          </w:rPr>
          <w:t>SEE programme clients by age group and client group</w:t>
        </w:r>
        <w:r w:rsidR="00B66B50">
          <w:rPr>
            <w:noProof/>
            <w:webHidden/>
          </w:rPr>
          <w:tab/>
        </w:r>
        <w:r w:rsidR="00B66B50">
          <w:rPr>
            <w:noProof/>
            <w:webHidden/>
          </w:rPr>
          <w:fldChar w:fldCharType="begin"/>
        </w:r>
        <w:r w:rsidR="00B66B50">
          <w:rPr>
            <w:noProof/>
            <w:webHidden/>
          </w:rPr>
          <w:instrText xml:space="preserve"> PAGEREF _Toc420065475 \h </w:instrText>
        </w:r>
        <w:r w:rsidR="00B66B50">
          <w:rPr>
            <w:noProof/>
            <w:webHidden/>
          </w:rPr>
        </w:r>
        <w:r w:rsidR="00B66B50">
          <w:rPr>
            <w:noProof/>
            <w:webHidden/>
          </w:rPr>
          <w:fldChar w:fldCharType="separate"/>
        </w:r>
        <w:r w:rsidR="00294A5A">
          <w:rPr>
            <w:noProof/>
            <w:webHidden/>
          </w:rPr>
          <w:t>38</w:t>
        </w:r>
        <w:r w:rsidR="00B66B50">
          <w:rPr>
            <w:noProof/>
            <w:webHidden/>
          </w:rPr>
          <w:fldChar w:fldCharType="end"/>
        </w:r>
      </w:hyperlink>
    </w:p>
    <w:p w14:paraId="569AFC56" w14:textId="77777777" w:rsidR="00B66B50" w:rsidRDefault="006A2396">
      <w:pPr>
        <w:pStyle w:val="TableofFigures"/>
        <w:rPr>
          <w:rFonts w:asciiTheme="minorHAnsi" w:eastAsiaTheme="minorEastAsia" w:hAnsiTheme="minorHAnsi" w:cstheme="minorBidi"/>
          <w:noProof/>
          <w:sz w:val="22"/>
        </w:rPr>
      </w:pPr>
      <w:hyperlink w:anchor="_Toc420065476" w:history="1">
        <w:r w:rsidR="00B66B50" w:rsidRPr="000D6F30">
          <w:rPr>
            <w:rStyle w:val="Hyperlink"/>
            <w:noProof/>
          </w:rPr>
          <w:t>Figure 16</w:t>
        </w:r>
        <w:r w:rsidR="00B66B50">
          <w:rPr>
            <w:rFonts w:asciiTheme="minorHAnsi" w:eastAsiaTheme="minorEastAsia" w:hAnsiTheme="minorHAnsi" w:cstheme="minorBidi"/>
            <w:noProof/>
            <w:sz w:val="22"/>
          </w:rPr>
          <w:tab/>
        </w:r>
        <w:r w:rsidR="00B66B50" w:rsidRPr="000D6F30">
          <w:rPr>
            <w:rStyle w:val="Hyperlink"/>
            <w:b/>
            <w:noProof/>
          </w:rPr>
          <w:t>SEE programme clients by highest education level prior to referral</w:t>
        </w:r>
        <w:r w:rsidR="00B66B50">
          <w:rPr>
            <w:noProof/>
            <w:webHidden/>
          </w:rPr>
          <w:tab/>
        </w:r>
        <w:r w:rsidR="00B66B50">
          <w:rPr>
            <w:noProof/>
            <w:webHidden/>
          </w:rPr>
          <w:fldChar w:fldCharType="begin"/>
        </w:r>
        <w:r w:rsidR="00B66B50">
          <w:rPr>
            <w:noProof/>
            <w:webHidden/>
          </w:rPr>
          <w:instrText xml:space="preserve"> PAGEREF _Toc420065476 \h </w:instrText>
        </w:r>
        <w:r w:rsidR="00B66B50">
          <w:rPr>
            <w:noProof/>
            <w:webHidden/>
          </w:rPr>
        </w:r>
        <w:r w:rsidR="00B66B50">
          <w:rPr>
            <w:noProof/>
            <w:webHidden/>
          </w:rPr>
          <w:fldChar w:fldCharType="separate"/>
        </w:r>
        <w:r w:rsidR="00294A5A">
          <w:rPr>
            <w:noProof/>
            <w:webHidden/>
          </w:rPr>
          <w:t>41</w:t>
        </w:r>
        <w:r w:rsidR="00B66B50">
          <w:rPr>
            <w:noProof/>
            <w:webHidden/>
          </w:rPr>
          <w:fldChar w:fldCharType="end"/>
        </w:r>
      </w:hyperlink>
    </w:p>
    <w:p w14:paraId="12CF49AF" w14:textId="77777777" w:rsidR="00B66B50" w:rsidRDefault="006A2396">
      <w:pPr>
        <w:pStyle w:val="TableofFigures"/>
        <w:rPr>
          <w:rFonts w:asciiTheme="minorHAnsi" w:eastAsiaTheme="minorEastAsia" w:hAnsiTheme="minorHAnsi" w:cstheme="minorBidi"/>
          <w:noProof/>
          <w:sz w:val="22"/>
        </w:rPr>
      </w:pPr>
      <w:hyperlink w:anchor="_Toc420065477" w:history="1">
        <w:r w:rsidR="00B66B50" w:rsidRPr="000D6F30">
          <w:rPr>
            <w:rStyle w:val="Hyperlink"/>
            <w:noProof/>
          </w:rPr>
          <w:t>Figure 17</w:t>
        </w:r>
        <w:r w:rsidR="00B66B50">
          <w:rPr>
            <w:rFonts w:asciiTheme="minorHAnsi" w:eastAsiaTheme="minorEastAsia" w:hAnsiTheme="minorHAnsi" w:cstheme="minorBidi"/>
            <w:noProof/>
            <w:sz w:val="22"/>
          </w:rPr>
          <w:tab/>
        </w:r>
        <w:r w:rsidR="00B66B50" w:rsidRPr="000D6F30">
          <w:rPr>
            <w:rStyle w:val="Hyperlink"/>
            <w:b/>
            <w:noProof/>
          </w:rPr>
          <w:t>SEE programme clients by payment type at referral</w:t>
        </w:r>
        <w:r w:rsidR="00B66B50">
          <w:rPr>
            <w:noProof/>
            <w:webHidden/>
          </w:rPr>
          <w:tab/>
        </w:r>
        <w:r w:rsidR="00B66B50">
          <w:rPr>
            <w:noProof/>
            <w:webHidden/>
          </w:rPr>
          <w:fldChar w:fldCharType="begin"/>
        </w:r>
        <w:r w:rsidR="00B66B50">
          <w:rPr>
            <w:noProof/>
            <w:webHidden/>
          </w:rPr>
          <w:instrText xml:space="preserve"> PAGEREF _Toc420065477 \h </w:instrText>
        </w:r>
        <w:r w:rsidR="00B66B50">
          <w:rPr>
            <w:noProof/>
            <w:webHidden/>
          </w:rPr>
        </w:r>
        <w:r w:rsidR="00B66B50">
          <w:rPr>
            <w:noProof/>
            <w:webHidden/>
          </w:rPr>
          <w:fldChar w:fldCharType="separate"/>
        </w:r>
        <w:r w:rsidR="00294A5A">
          <w:rPr>
            <w:noProof/>
            <w:webHidden/>
          </w:rPr>
          <w:t>41</w:t>
        </w:r>
        <w:r w:rsidR="00B66B50">
          <w:rPr>
            <w:noProof/>
            <w:webHidden/>
          </w:rPr>
          <w:fldChar w:fldCharType="end"/>
        </w:r>
      </w:hyperlink>
    </w:p>
    <w:p w14:paraId="354A7B44" w14:textId="77777777" w:rsidR="00B66B50" w:rsidRDefault="006A2396">
      <w:pPr>
        <w:pStyle w:val="TableofFigures"/>
        <w:rPr>
          <w:rFonts w:asciiTheme="minorHAnsi" w:eastAsiaTheme="minorEastAsia" w:hAnsiTheme="minorHAnsi" w:cstheme="minorBidi"/>
          <w:noProof/>
          <w:sz w:val="22"/>
        </w:rPr>
      </w:pPr>
      <w:hyperlink w:anchor="_Toc420065478" w:history="1">
        <w:r w:rsidR="00B66B50" w:rsidRPr="000D6F30">
          <w:rPr>
            <w:rStyle w:val="Hyperlink"/>
            <w:noProof/>
          </w:rPr>
          <w:t>Figure 18</w:t>
        </w:r>
        <w:r w:rsidR="00B66B50">
          <w:rPr>
            <w:rFonts w:asciiTheme="minorHAnsi" w:eastAsiaTheme="minorEastAsia" w:hAnsiTheme="minorHAnsi" w:cstheme="minorBidi"/>
            <w:noProof/>
            <w:sz w:val="22"/>
          </w:rPr>
          <w:tab/>
        </w:r>
        <w:r w:rsidR="00B66B50" w:rsidRPr="000D6F30">
          <w:rPr>
            <w:rStyle w:val="Hyperlink"/>
            <w:b/>
            <w:noProof/>
          </w:rPr>
          <w:t>Average entry assessed ACSF performance by cohort</w:t>
        </w:r>
        <w:r w:rsidR="00B66B50">
          <w:rPr>
            <w:noProof/>
            <w:webHidden/>
          </w:rPr>
          <w:tab/>
        </w:r>
        <w:r w:rsidR="00B66B50">
          <w:rPr>
            <w:noProof/>
            <w:webHidden/>
          </w:rPr>
          <w:fldChar w:fldCharType="begin"/>
        </w:r>
        <w:r w:rsidR="00B66B50">
          <w:rPr>
            <w:noProof/>
            <w:webHidden/>
          </w:rPr>
          <w:instrText xml:space="preserve"> PAGEREF _Toc420065478 \h </w:instrText>
        </w:r>
        <w:r w:rsidR="00B66B50">
          <w:rPr>
            <w:noProof/>
            <w:webHidden/>
          </w:rPr>
        </w:r>
        <w:r w:rsidR="00B66B50">
          <w:rPr>
            <w:noProof/>
            <w:webHidden/>
          </w:rPr>
          <w:fldChar w:fldCharType="separate"/>
        </w:r>
        <w:r w:rsidR="00294A5A">
          <w:rPr>
            <w:noProof/>
            <w:webHidden/>
          </w:rPr>
          <w:t>44</w:t>
        </w:r>
        <w:r w:rsidR="00B66B50">
          <w:rPr>
            <w:noProof/>
            <w:webHidden/>
          </w:rPr>
          <w:fldChar w:fldCharType="end"/>
        </w:r>
      </w:hyperlink>
    </w:p>
    <w:p w14:paraId="0567BE7E" w14:textId="77777777" w:rsidR="00B66B50" w:rsidRDefault="006A2396">
      <w:pPr>
        <w:pStyle w:val="TableofFigures"/>
        <w:rPr>
          <w:rFonts w:asciiTheme="minorHAnsi" w:eastAsiaTheme="minorEastAsia" w:hAnsiTheme="minorHAnsi" w:cstheme="minorBidi"/>
          <w:noProof/>
          <w:sz w:val="22"/>
        </w:rPr>
      </w:pPr>
      <w:hyperlink w:anchor="_Toc420065479" w:history="1">
        <w:r w:rsidR="00B66B50" w:rsidRPr="000D6F30">
          <w:rPr>
            <w:rStyle w:val="Hyperlink"/>
            <w:noProof/>
          </w:rPr>
          <w:t>Figure 19</w:t>
        </w:r>
        <w:r w:rsidR="00B66B50">
          <w:rPr>
            <w:rFonts w:asciiTheme="minorHAnsi" w:eastAsiaTheme="minorEastAsia" w:hAnsiTheme="minorHAnsi" w:cstheme="minorBidi"/>
            <w:noProof/>
            <w:sz w:val="22"/>
          </w:rPr>
          <w:tab/>
        </w:r>
        <w:r w:rsidR="00B66B50" w:rsidRPr="000D6F30">
          <w:rPr>
            <w:rStyle w:val="Hyperlink"/>
            <w:b/>
            <w:noProof/>
          </w:rPr>
          <w:t>Distribution of client entry scores by assessment area</w:t>
        </w:r>
        <w:r w:rsidR="00B66B50">
          <w:rPr>
            <w:noProof/>
            <w:webHidden/>
          </w:rPr>
          <w:tab/>
        </w:r>
        <w:r w:rsidR="00B66B50">
          <w:rPr>
            <w:noProof/>
            <w:webHidden/>
          </w:rPr>
          <w:fldChar w:fldCharType="begin"/>
        </w:r>
        <w:r w:rsidR="00B66B50">
          <w:rPr>
            <w:noProof/>
            <w:webHidden/>
          </w:rPr>
          <w:instrText xml:space="preserve"> PAGEREF _Toc420065479 \h </w:instrText>
        </w:r>
        <w:r w:rsidR="00B66B50">
          <w:rPr>
            <w:noProof/>
            <w:webHidden/>
          </w:rPr>
        </w:r>
        <w:r w:rsidR="00B66B50">
          <w:rPr>
            <w:noProof/>
            <w:webHidden/>
          </w:rPr>
          <w:fldChar w:fldCharType="separate"/>
        </w:r>
        <w:r w:rsidR="00294A5A">
          <w:rPr>
            <w:noProof/>
            <w:webHidden/>
          </w:rPr>
          <w:t>44</w:t>
        </w:r>
        <w:r w:rsidR="00B66B50">
          <w:rPr>
            <w:noProof/>
            <w:webHidden/>
          </w:rPr>
          <w:fldChar w:fldCharType="end"/>
        </w:r>
      </w:hyperlink>
    </w:p>
    <w:p w14:paraId="780392A1" w14:textId="77777777" w:rsidR="00B66B50" w:rsidRDefault="006A2396">
      <w:pPr>
        <w:pStyle w:val="TableofFigures"/>
        <w:rPr>
          <w:rFonts w:asciiTheme="minorHAnsi" w:eastAsiaTheme="minorEastAsia" w:hAnsiTheme="minorHAnsi" w:cstheme="minorBidi"/>
          <w:noProof/>
          <w:sz w:val="22"/>
        </w:rPr>
      </w:pPr>
      <w:hyperlink w:anchor="_Toc420065480" w:history="1">
        <w:r w:rsidR="00B66B50" w:rsidRPr="000D6F30">
          <w:rPr>
            <w:rStyle w:val="Hyperlink"/>
            <w:noProof/>
          </w:rPr>
          <w:t>Figure 20</w:t>
        </w:r>
        <w:r w:rsidR="00B66B50">
          <w:rPr>
            <w:rFonts w:asciiTheme="minorHAnsi" w:eastAsiaTheme="minorEastAsia" w:hAnsiTheme="minorHAnsi" w:cstheme="minorBidi"/>
            <w:noProof/>
            <w:sz w:val="22"/>
          </w:rPr>
          <w:tab/>
        </w:r>
        <w:r w:rsidR="00B66B50" w:rsidRPr="000D6F30">
          <w:rPr>
            <w:rStyle w:val="Hyperlink"/>
            <w:b/>
            <w:noProof/>
          </w:rPr>
          <w:t>Proportion of clients at pre-level 1 on all 11 performance indicators</w:t>
        </w:r>
        <w:r w:rsidR="00B66B50">
          <w:rPr>
            <w:noProof/>
            <w:webHidden/>
          </w:rPr>
          <w:tab/>
        </w:r>
        <w:r w:rsidR="00B66B50">
          <w:rPr>
            <w:noProof/>
            <w:webHidden/>
          </w:rPr>
          <w:fldChar w:fldCharType="begin"/>
        </w:r>
        <w:r w:rsidR="00B66B50">
          <w:rPr>
            <w:noProof/>
            <w:webHidden/>
          </w:rPr>
          <w:instrText xml:space="preserve"> PAGEREF _Toc420065480 \h </w:instrText>
        </w:r>
        <w:r w:rsidR="00B66B50">
          <w:rPr>
            <w:noProof/>
            <w:webHidden/>
          </w:rPr>
        </w:r>
        <w:r w:rsidR="00B66B50">
          <w:rPr>
            <w:noProof/>
            <w:webHidden/>
          </w:rPr>
          <w:fldChar w:fldCharType="separate"/>
        </w:r>
        <w:r w:rsidR="00294A5A">
          <w:rPr>
            <w:noProof/>
            <w:webHidden/>
          </w:rPr>
          <w:t>45</w:t>
        </w:r>
        <w:r w:rsidR="00B66B50">
          <w:rPr>
            <w:noProof/>
            <w:webHidden/>
          </w:rPr>
          <w:fldChar w:fldCharType="end"/>
        </w:r>
      </w:hyperlink>
    </w:p>
    <w:p w14:paraId="3C1D26CB" w14:textId="77777777" w:rsidR="00B66B50" w:rsidRDefault="006A2396">
      <w:pPr>
        <w:pStyle w:val="TableofFigures"/>
        <w:rPr>
          <w:rFonts w:asciiTheme="minorHAnsi" w:eastAsiaTheme="minorEastAsia" w:hAnsiTheme="minorHAnsi" w:cstheme="minorBidi"/>
          <w:noProof/>
          <w:sz w:val="22"/>
        </w:rPr>
      </w:pPr>
      <w:hyperlink w:anchor="_Toc420065481" w:history="1">
        <w:r w:rsidR="00B66B50" w:rsidRPr="000D6F30">
          <w:rPr>
            <w:rStyle w:val="Hyperlink"/>
            <w:noProof/>
          </w:rPr>
          <w:t>Figure 21</w:t>
        </w:r>
        <w:r w:rsidR="00B66B50">
          <w:rPr>
            <w:rFonts w:asciiTheme="minorHAnsi" w:eastAsiaTheme="minorEastAsia" w:hAnsiTheme="minorHAnsi" w:cstheme="minorBidi"/>
            <w:noProof/>
            <w:sz w:val="22"/>
          </w:rPr>
          <w:tab/>
        </w:r>
        <w:r w:rsidR="00B66B50" w:rsidRPr="000D6F30">
          <w:rPr>
            <w:rStyle w:val="Hyperlink"/>
            <w:b/>
            <w:noProof/>
          </w:rPr>
          <w:t>Proportion of clients with zero in 9 assessment areas, excluding oral communication</w:t>
        </w:r>
        <w:r w:rsidR="00B66B50">
          <w:rPr>
            <w:noProof/>
            <w:webHidden/>
          </w:rPr>
          <w:tab/>
        </w:r>
        <w:r w:rsidR="00B66B50">
          <w:rPr>
            <w:noProof/>
            <w:webHidden/>
          </w:rPr>
          <w:fldChar w:fldCharType="begin"/>
        </w:r>
        <w:r w:rsidR="00B66B50">
          <w:rPr>
            <w:noProof/>
            <w:webHidden/>
          </w:rPr>
          <w:instrText xml:space="preserve"> PAGEREF _Toc420065481 \h </w:instrText>
        </w:r>
        <w:r w:rsidR="00B66B50">
          <w:rPr>
            <w:noProof/>
            <w:webHidden/>
          </w:rPr>
        </w:r>
        <w:r w:rsidR="00B66B50">
          <w:rPr>
            <w:noProof/>
            <w:webHidden/>
          </w:rPr>
          <w:fldChar w:fldCharType="separate"/>
        </w:r>
        <w:r w:rsidR="00294A5A">
          <w:rPr>
            <w:noProof/>
            <w:webHidden/>
          </w:rPr>
          <w:t>46</w:t>
        </w:r>
        <w:r w:rsidR="00B66B50">
          <w:rPr>
            <w:noProof/>
            <w:webHidden/>
          </w:rPr>
          <w:fldChar w:fldCharType="end"/>
        </w:r>
      </w:hyperlink>
    </w:p>
    <w:p w14:paraId="456620C6" w14:textId="77777777" w:rsidR="00B66B50" w:rsidRDefault="006A2396">
      <w:pPr>
        <w:pStyle w:val="TableofFigures"/>
        <w:rPr>
          <w:rFonts w:asciiTheme="minorHAnsi" w:eastAsiaTheme="minorEastAsia" w:hAnsiTheme="minorHAnsi" w:cstheme="minorBidi"/>
          <w:noProof/>
          <w:sz w:val="22"/>
        </w:rPr>
      </w:pPr>
      <w:hyperlink w:anchor="_Toc420065482" w:history="1">
        <w:r w:rsidR="00B66B50" w:rsidRPr="000D6F30">
          <w:rPr>
            <w:rStyle w:val="Hyperlink"/>
            <w:noProof/>
          </w:rPr>
          <w:t>Figure 22</w:t>
        </w:r>
        <w:r w:rsidR="00B66B50">
          <w:rPr>
            <w:rFonts w:asciiTheme="minorHAnsi" w:eastAsiaTheme="minorEastAsia" w:hAnsiTheme="minorHAnsi" w:cstheme="minorBidi"/>
            <w:noProof/>
            <w:sz w:val="22"/>
          </w:rPr>
          <w:tab/>
        </w:r>
        <w:r w:rsidR="00B66B50" w:rsidRPr="000D6F30">
          <w:rPr>
            <w:rStyle w:val="Hyperlink"/>
            <w:b/>
            <w:noProof/>
          </w:rPr>
          <w:t>Small group training take up and hours used</w:t>
        </w:r>
        <w:r w:rsidR="00B66B50">
          <w:rPr>
            <w:noProof/>
            <w:webHidden/>
          </w:rPr>
          <w:tab/>
        </w:r>
        <w:r w:rsidR="00B66B50">
          <w:rPr>
            <w:noProof/>
            <w:webHidden/>
          </w:rPr>
          <w:fldChar w:fldCharType="begin"/>
        </w:r>
        <w:r w:rsidR="00B66B50">
          <w:rPr>
            <w:noProof/>
            <w:webHidden/>
          </w:rPr>
          <w:instrText xml:space="preserve"> PAGEREF _Toc420065482 \h </w:instrText>
        </w:r>
        <w:r w:rsidR="00B66B50">
          <w:rPr>
            <w:noProof/>
            <w:webHidden/>
          </w:rPr>
        </w:r>
        <w:r w:rsidR="00B66B50">
          <w:rPr>
            <w:noProof/>
            <w:webHidden/>
          </w:rPr>
          <w:fldChar w:fldCharType="separate"/>
        </w:r>
        <w:r w:rsidR="00294A5A">
          <w:rPr>
            <w:noProof/>
            <w:webHidden/>
          </w:rPr>
          <w:t>49</w:t>
        </w:r>
        <w:r w:rsidR="00B66B50">
          <w:rPr>
            <w:noProof/>
            <w:webHidden/>
          </w:rPr>
          <w:fldChar w:fldCharType="end"/>
        </w:r>
      </w:hyperlink>
    </w:p>
    <w:p w14:paraId="7A041C66" w14:textId="77777777" w:rsidR="00B66B50" w:rsidRDefault="006A2396">
      <w:pPr>
        <w:pStyle w:val="TableofFigures"/>
        <w:rPr>
          <w:rFonts w:asciiTheme="minorHAnsi" w:eastAsiaTheme="minorEastAsia" w:hAnsiTheme="minorHAnsi" w:cstheme="minorBidi"/>
          <w:noProof/>
          <w:sz w:val="22"/>
        </w:rPr>
      </w:pPr>
      <w:hyperlink w:anchor="_Toc420065483" w:history="1">
        <w:r w:rsidR="00B66B50" w:rsidRPr="000D6F30">
          <w:rPr>
            <w:rStyle w:val="Hyperlink"/>
            <w:noProof/>
          </w:rPr>
          <w:t>Figure 23</w:t>
        </w:r>
        <w:r w:rsidR="00B66B50">
          <w:rPr>
            <w:rFonts w:asciiTheme="minorHAnsi" w:eastAsiaTheme="minorEastAsia" w:hAnsiTheme="minorHAnsi" w:cstheme="minorBidi"/>
            <w:noProof/>
            <w:sz w:val="22"/>
          </w:rPr>
          <w:tab/>
        </w:r>
        <w:r w:rsidR="00B66B50" w:rsidRPr="000D6F30">
          <w:rPr>
            <w:rStyle w:val="Hyperlink"/>
            <w:b/>
            <w:noProof/>
          </w:rPr>
          <w:t>Mixed mode delivery take up and hours used</w:t>
        </w:r>
        <w:r w:rsidR="00B66B50">
          <w:rPr>
            <w:noProof/>
            <w:webHidden/>
          </w:rPr>
          <w:tab/>
        </w:r>
        <w:r w:rsidR="00B66B50">
          <w:rPr>
            <w:noProof/>
            <w:webHidden/>
          </w:rPr>
          <w:fldChar w:fldCharType="begin"/>
        </w:r>
        <w:r w:rsidR="00B66B50">
          <w:rPr>
            <w:noProof/>
            <w:webHidden/>
          </w:rPr>
          <w:instrText xml:space="preserve"> PAGEREF _Toc420065483 \h </w:instrText>
        </w:r>
        <w:r w:rsidR="00B66B50">
          <w:rPr>
            <w:noProof/>
            <w:webHidden/>
          </w:rPr>
        </w:r>
        <w:r w:rsidR="00B66B50">
          <w:rPr>
            <w:noProof/>
            <w:webHidden/>
          </w:rPr>
          <w:fldChar w:fldCharType="separate"/>
        </w:r>
        <w:r w:rsidR="00294A5A">
          <w:rPr>
            <w:noProof/>
            <w:webHidden/>
          </w:rPr>
          <w:t>50</w:t>
        </w:r>
        <w:r w:rsidR="00B66B50">
          <w:rPr>
            <w:noProof/>
            <w:webHidden/>
          </w:rPr>
          <w:fldChar w:fldCharType="end"/>
        </w:r>
      </w:hyperlink>
    </w:p>
    <w:p w14:paraId="0AC27868" w14:textId="77777777" w:rsidR="00B66B50" w:rsidRDefault="006A2396">
      <w:pPr>
        <w:pStyle w:val="TableofFigures"/>
        <w:rPr>
          <w:rFonts w:asciiTheme="minorHAnsi" w:eastAsiaTheme="minorEastAsia" w:hAnsiTheme="minorHAnsi" w:cstheme="minorBidi"/>
          <w:noProof/>
          <w:sz w:val="22"/>
        </w:rPr>
      </w:pPr>
      <w:hyperlink w:anchor="_Toc420065484" w:history="1">
        <w:r w:rsidR="00B66B50" w:rsidRPr="000D6F30">
          <w:rPr>
            <w:rStyle w:val="Hyperlink"/>
            <w:noProof/>
          </w:rPr>
          <w:t>Figure 24</w:t>
        </w:r>
        <w:r w:rsidR="00B66B50">
          <w:rPr>
            <w:rFonts w:asciiTheme="minorHAnsi" w:eastAsiaTheme="minorEastAsia" w:hAnsiTheme="minorHAnsi" w:cstheme="minorBidi"/>
            <w:noProof/>
            <w:sz w:val="22"/>
          </w:rPr>
          <w:tab/>
        </w:r>
        <w:r w:rsidR="00B66B50" w:rsidRPr="000D6F30">
          <w:rPr>
            <w:rStyle w:val="Hyperlink"/>
            <w:b/>
            <w:noProof/>
          </w:rPr>
          <w:t>Work experience take up and hours used</w:t>
        </w:r>
        <w:r w:rsidR="00B66B50">
          <w:rPr>
            <w:noProof/>
            <w:webHidden/>
          </w:rPr>
          <w:tab/>
        </w:r>
        <w:r w:rsidR="00B66B50">
          <w:rPr>
            <w:noProof/>
            <w:webHidden/>
          </w:rPr>
          <w:fldChar w:fldCharType="begin"/>
        </w:r>
        <w:r w:rsidR="00B66B50">
          <w:rPr>
            <w:noProof/>
            <w:webHidden/>
          </w:rPr>
          <w:instrText xml:space="preserve"> PAGEREF _Toc420065484 \h </w:instrText>
        </w:r>
        <w:r w:rsidR="00B66B50">
          <w:rPr>
            <w:noProof/>
            <w:webHidden/>
          </w:rPr>
        </w:r>
        <w:r w:rsidR="00B66B50">
          <w:rPr>
            <w:noProof/>
            <w:webHidden/>
          </w:rPr>
          <w:fldChar w:fldCharType="separate"/>
        </w:r>
        <w:r w:rsidR="00294A5A">
          <w:rPr>
            <w:noProof/>
            <w:webHidden/>
          </w:rPr>
          <w:t>52</w:t>
        </w:r>
        <w:r w:rsidR="00B66B50">
          <w:rPr>
            <w:noProof/>
            <w:webHidden/>
          </w:rPr>
          <w:fldChar w:fldCharType="end"/>
        </w:r>
      </w:hyperlink>
    </w:p>
    <w:p w14:paraId="6191F14A" w14:textId="77777777" w:rsidR="00B66B50" w:rsidRDefault="006A2396">
      <w:pPr>
        <w:pStyle w:val="TableofFigures"/>
        <w:rPr>
          <w:rFonts w:asciiTheme="minorHAnsi" w:eastAsiaTheme="minorEastAsia" w:hAnsiTheme="minorHAnsi" w:cstheme="minorBidi"/>
          <w:noProof/>
          <w:sz w:val="22"/>
        </w:rPr>
      </w:pPr>
      <w:hyperlink w:anchor="_Toc420065485" w:history="1">
        <w:r w:rsidR="00B66B50" w:rsidRPr="000D6F30">
          <w:rPr>
            <w:rStyle w:val="Hyperlink"/>
            <w:noProof/>
          </w:rPr>
          <w:t>Figure 25</w:t>
        </w:r>
        <w:r w:rsidR="00B66B50">
          <w:rPr>
            <w:rFonts w:asciiTheme="minorHAnsi" w:eastAsiaTheme="minorEastAsia" w:hAnsiTheme="minorHAnsi" w:cstheme="minorBidi"/>
            <w:noProof/>
            <w:sz w:val="22"/>
          </w:rPr>
          <w:tab/>
        </w:r>
        <w:r w:rsidR="00B66B50" w:rsidRPr="000D6F30">
          <w:rPr>
            <w:rStyle w:val="Hyperlink"/>
            <w:b/>
            <w:noProof/>
          </w:rPr>
          <w:t>SEE programme completions</w:t>
        </w:r>
        <w:r w:rsidR="00B66B50">
          <w:rPr>
            <w:noProof/>
            <w:webHidden/>
          </w:rPr>
          <w:tab/>
        </w:r>
        <w:r w:rsidR="00B66B50">
          <w:rPr>
            <w:noProof/>
            <w:webHidden/>
          </w:rPr>
          <w:fldChar w:fldCharType="begin"/>
        </w:r>
        <w:r w:rsidR="00B66B50">
          <w:rPr>
            <w:noProof/>
            <w:webHidden/>
          </w:rPr>
          <w:instrText xml:space="preserve"> PAGEREF _Toc420065485 \h </w:instrText>
        </w:r>
        <w:r w:rsidR="00B66B50">
          <w:rPr>
            <w:noProof/>
            <w:webHidden/>
          </w:rPr>
        </w:r>
        <w:r w:rsidR="00B66B50">
          <w:rPr>
            <w:noProof/>
            <w:webHidden/>
          </w:rPr>
          <w:fldChar w:fldCharType="separate"/>
        </w:r>
        <w:r w:rsidR="00294A5A">
          <w:rPr>
            <w:noProof/>
            <w:webHidden/>
          </w:rPr>
          <w:t>54</w:t>
        </w:r>
        <w:r w:rsidR="00B66B50">
          <w:rPr>
            <w:noProof/>
            <w:webHidden/>
          </w:rPr>
          <w:fldChar w:fldCharType="end"/>
        </w:r>
      </w:hyperlink>
    </w:p>
    <w:p w14:paraId="36E296F9" w14:textId="77777777" w:rsidR="00B66B50" w:rsidRDefault="006A2396">
      <w:pPr>
        <w:pStyle w:val="TableofFigures"/>
        <w:rPr>
          <w:rFonts w:asciiTheme="minorHAnsi" w:eastAsiaTheme="minorEastAsia" w:hAnsiTheme="minorHAnsi" w:cstheme="minorBidi"/>
          <w:noProof/>
          <w:sz w:val="22"/>
        </w:rPr>
      </w:pPr>
      <w:hyperlink w:anchor="_Toc420065486" w:history="1">
        <w:r w:rsidR="00B66B50" w:rsidRPr="000D6F30">
          <w:rPr>
            <w:rStyle w:val="Hyperlink"/>
            <w:noProof/>
          </w:rPr>
          <w:t>Figure 26</w:t>
        </w:r>
        <w:r w:rsidR="00B66B50">
          <w:rPr>
            <w:rFonts w:asciiTheme="minorHAnsi" w:eastAsiaTheme="minorEastAsia" w:hAnsiTheme="minorHAnsi" w:cstheme="minorBidi"/>
            <w:noProof/>
            <w:sz w:val="22"/>
          </w:rPr>
          <w:tab/>
        </w:r>
        <w:r w:rsidR="00B66B50" w:rsidRPr="000D6F30">
          <w:rPr>
            <w:rStyle w:val="Hyperlink"/>
            <w:b/>
            <w:noProof/>
          </w:rPr>
          <w:t>SEE programme client outcomes by cohort</w:t>
        </w:r>
        <w:r w:rsidR="00B66B50">
          <w:rPr>
            <w:noProof/>
            <w:webHidden/>
          </w:rPr>
          <w:tab/>
        </w:r>
        <w:r w:rsidR="00B66B50">
          <w:rPr>
            <w:noProof/>
            <w:webHidden/>
          </w:rPr>
          <w:fldChar w:fldCharType="begin"/>
        </w:r>
        <w:r w:rsidR="00B66B50">
          <w:rPr>
            <w:noProof/>
            <w:webHidden/>
          </w:rPr>
          <w:instrText xml:space="preserve"> PAGEREF _Toc420065486 \h </w:instrText>
        </w:r>
        <w:r w:rsidR="00B66B50">
          <w:rPr>
            <w:noProof/>
            <w:webHidden/>
          </w:rPr>
        </w:r>
        <w:r w:rsidR="00B66B50">
          <w:rPr>
            <w:noProof/>
            <w:webHidden/>
          </w:rPr>
          <w:fldChar w:fldCharType="separate"/>
        </w:r>
        <w:r w:rsidR="00294A5A">
          <w:rPr>
            <w:noProof/>
            <w:webHidden/>
          </w:rPr>
          <w:t>55</w:t>
        </w:r>
        <w:r w:rsidR="00B66B50">
          <w:rPr>
            <w:noProof/>
            <w:webHidden/>
          </w:rPr>
          <w:fldChar w:fldCharType="end"/>
        </w:r>
      </w:hyperlink>
    </w:p>
    <w:p w14:paraId="2DC6A84C" w14:textId="77777777" w:rsidR="00B66B50" w:rsidRDefault="006A2396">
      <w:pPr>
        <w:pStyle w:val="TableofFigures"/>
        <w:rPr>
          <w:rFonts w:asciiTheme="minorHAnsi" w:eastAsiaTheme="minorEastAsia" w:hAnsiTheme="minorHAnsi" w:cstheme="minorBidi"/>
          <w:noProof/>
          <w:sz w:val="22"/>
        </w:rPr>
      </w:pPr>
      <w:hyperlink w:anchor="_Toc420065487" w:history="1">
        <w:r w:rsidR="00B66B50" w:rsidRPr="000D6F30">
          <w:rPr>
            <w:rStyle w:val="Hyperlink"/>
            <w:noProof/>
          </w:rPr>
          <w:t>Figure 27</w:t>
        </w:r>
        <w:r w:rsidR="00B66B50">
          <w:rPr>
            <w:rFonts w:asciiTheme="minorHAnsi" w:eastAsiaTheme="minorEastAsia" w:hAnsiTheme="minorHAnsi" w:cstheme="minorBidi"/>
            <w:noProof/>
            <w:sz w:val="22"/>
          </w:rPr>
          <w:tab/>
        </w:r>
        <w:r w:rsidR="00B66B50" w:rsidRPr="000D6F30">
          <w:rPr>
            <w:rStyle w:val="Hyperlink"/>
            <w:b/>
            <w:noProof/>
          </w:rPr>
          <w:t>SEE programme hours undertaken by clients</w:t>
        </w:r>
        <w:r w:rsidR="00B66B50">
          <w:rPr>
            <w:noProof/>
            <w:webHidden/>
          </w:rPr>
          <w:tab/>
        </w:r>
        <w:r w:rsidR="00B66B50">
          <w:rPr>
            <w:noProof/>
            <w:webHidden/>
          </w:rPr>
          <w:fldChar w:fldCharType="begin"/>
        </w:r>
        <w:r w:rsidR="00B66B50">
          <w:rPr>
            <w:noProof/>
            <w:webHidden/>
          </w:rPr>
          <w:instrText xml:space="preserve"> PAGEREF _Toc420065487 \h </w:instrText>
        </w:r>
        <w:r w:rsidR="00B66B50">
          <w:rPr>
            <w:noProof/>
            <w:webHidden/>
          </w:rPr>
        </w:r>
        <w:r w:rsidR="00B66B50">
          <w:rPr>
            <w:noProof/>
            <w:webHidden/>
          </w:rPr>
          <w:fldChar w:fldCharType="separate"/>
        </w:r>
        <w:r w:rsidR="00294A5A">
          <w:rPr>
            <w:noProof/>
            <w:webHidden/>
          </w:rPr>
          <w:t>57</w:t>
        </w:r>
        <w:r w:rsidR="00B66B50">
          <w:rPr>
            <w:noProof/>
            <w:webHidden/>
          </w:rPr>
          <w:fldChar w:fldCharType="end"/>
        </w:r>
      </w:hyperlink>
    </w:p>
    <w:p w14:paraId="39333D48" w14:textId="77777777" w:rsidR="00B66B50" w:rsidRDefault="006A2396">
      <w:pPr>
        <w:pStyle w:val="TableofFigures"/>
        <w:rPr>
          <w:rFonts w:asciiTheme="minorHAnsi" w:eastAsiaTheme="minorEastAsia" w:hAnsiTheme="minorHAnsi" w:cstheme="minorBidi"/>
          <w:noProof/>
          <w:sz w:val="22"/>
        </w:rPr>
      </w:pPr>
      <w:hyperlink w:anchor="_Toc420065488" w:history="1">
        <w:r w:rsidR="00B66B50" w:rsidRPr="000D6F30">
          <w:rPr>
            <w:rStyle w:val="Hyperlink"/>
            <w:noProof/>
          </w:rPr>
          <w:t>Figure 28</w:t>
        </w:r>
        <w:r w:rsidR="00B66B50">
          <w:rPr>
            <w:rFonts w:asciiTheme="minorHAnsi" w:eastAsiaTheme="minorEastAsia" w:hAnsiTheme="minorHAnsi" w:cstheme="minorBidi"/>
            <w:noProof/>
            <w:sz w:val="22"/>
          </w:rPr>
          <w:tab/>
        </w:r>
        <w:r w:rsidR="00B66B50" w:rsidRPr="000D6F30">
          <w:rPr>
            <w:rStyle w:val="Hyperlink"/>
            <w:b/>
            <w:noProof/>
          </w:rPr>
          <w:t>SEE programme hours by cohort</w:t>
        </w:r>
        <w:r w:rsidR="00B66B50">
          <w:rPr>
            <w:noProof/>
            <w:webHidden/>
          </w:rPr>
          <w:tab/>
        </w:r>
        <w:r w:rsidR="00B66B50">
          <w:rPr>
            <w:noProof/>
            <w:webHidden/>
          </w:rPr>
          <w:fldChar w:fldCharType="begin"/>
        </w:r>
        <w:r w:rsidR="00B66B50">
          <w:rPr>
            <w:noProof/>
            <w:webHidden/>
          </w:rPr>
          <w:instrText xml:space="preserve"> PAGEREF _Toc420065488 \h </w:instrText>
        </w:r>
        <w:r w:rsidR="00B66B50">
          <w:rPr>
            <w:noProof/>
            <w:webHidden/>
          </w:rPr>
        </w:r>
        <w:r w:rsidR="00B66B50">
          <w:rPr>
            <w:noProof/>
            <w:webHidden/>
          </w:rPr>
          <w:fldChar w:fldCharType="separate"/>
        </w:r>
        <w:r w:rsidR="00294A5A">
          <w:rPr>
            <w:noProof/>
            <w:webHidden/>
          </w:rPr>
          <w:t>58</w:t>
        </w:r>
        <w:r w:rsidR="00B66B50">
          <w:rPr>
            <w:noProof/>
            <w:webHidden/>
          </w:rPr>
          <w:fldChar w:fldCharType="end"/>
        </w:r>
      </w:hyperlink>
    </w:p>
    <w:p w14:paraId="7DC2CC8B" w14:textId="77777777" w:rsidR="00B66B50" w:rsidRDefault="006A2396">
      <w:pPr>
        <w:pStyle w:val="TableofFigures"/>
        <w:rPr>
          <w:rFonts w:asciiTheme="minorHAnsi" w:eastAsiaTheme="minorEastAsia" w:hAnsiTheme="minorHAnsi" w:cstheme="minorBidi"/>
          <w:noProof/>
          <w:sz w:val="22"/>
        </w:rPr>
      </w:pPr>
      <w:hyperlink w:anchor="_Toc420065489" w:history="1">
        <w:r w:rsidR="00B66B50" w:rsidRPr="000D6F30">
          <w:rPr>
            <w:rStyle w:val="Hyperlink"/>
            <w:noProof/>
          </w:rPr>
          <w:t>Figure 29</w:t>
        </w:r>
        <w:r w:rsidR="00B66B50">
          <w:rPr>
            <w:rFonts w:asciiTheme="minorHAnsi" w:eastAsiaTheme="minorEastAsia" w:hAnsiTheme="minorHAnsi" w:cstheme="minorBidi"/>
            <w:noProof/>
            <w:sz w:val="22"/>
          </w:rPr>
          <w:tab/>
        </w:r>
        <w:r w:rsidR="00B66B50" w:rsidRPr="000D6F30">
          <w:rPr>
            <w:rStyle w:val="Hyperlink"/>
            <w:b/>
            <w:noProof/>
          </w:rPr>
          <w:t>Average hours completed by SEE programme clients</w:t>
        </w:r>
        <w:r w:rsidR="00B66B50">
          <w:rPr>
            <w:noProof/>
            <w:webHidden/>
          </w:rPr>
          <w:tab/>
        </w:r>
        <w:r w:rsidR="00B66B50">
          <w:rPr>
            <w:noProof/>
            <w:webHidden/>
          </w:rPr>
          <w:fldChar w:fldCharType="begin"/>
        </w:r>
        <w:r w:rsidR="00B66B50">
          <w:rPr>
            <w:noProof/>
            <w:webHidden/>
          </w:rPr>
          <w:instrText xml:space="preserve"> PAGEREF _Toc420065489 \h </w:instrText>
        </w:r>
        <w:r w:rsidR="00B66B50">
          <w:rPr>
            <w:noProof/>
            <w:webHidden/>
          </w:rPr>
        </w:r>
        <w:r w:rsidR="00B66B50">
          <w:rPr>
            <w:noProof/>
            <w:webHidden/>
          </w:rPr>
          <w:fldChar w:fldCharType="separate"/>
        </w:r>
        <w:r w:rsidR="00294A5A">
          <w:rPr>
            <w:noProof/>
            <w:webHidden/>
          </w:rPr>
          <w:t>58</w:t>
        </w:r>
        <w:r w:rsidR="00B66B50">
          <w:rPr>
            <w:noProof/>
            <w:webHidden/>
          </w:rPr>
          <w:fldChar w:fldCharType="end"/>
        </w:r>
      </w:hyperlink>
    </w:p>
    <w:p w14:paraId="352DE516" w14:textId="77777777" w:rsidR="00B66B50" w:rsidRDefault="006A2396">
      <w:pPr>
        <w:pStyle w:val="TableofFigures"/>
        <w:rPr>
          <w:rFonts w:asciiTheme="minorHAnsi" w:eastAsiaTheme="minorEastAsia" w:hAnsiTheme="minorHAnsi" w:cstheme="minorBidi"/>
          <w:noProof/>
          <w:sz w:val="22"/>
        </w:rPr>
      </w:pPr>
      <w:hyperlink w:anchor="_Toc420065490" w:history="1">
        <w:r w:rsidR="00B66B50" w:rsidRPr="000D6F30">
          <w:rPr>
            <w:rStyle w:val="Hyperlink"/>
            <w:noProof/>
          </w:rPr>
          <w:t>Figure 30</w:t>
        </w:r>
        <w:r w:rsidR="00B66B50">
          <w:rPr>
            <w:rFonts w:asciiTheme="minorHAnsi" w:eastAsiaTheme="minorEastAsia" w:hAnsiTheme="minorHAnsi" w:cstheme="minorBidi"/>
            <w:noProof/>
            <w:sz w:val="22"/>
          </w:rPr>
          <w:tab/>
        </w:r>
        <w:r w:rsidR="00B66B50" w:rsidRPr="000D6F30">
          <w:rPr>
            <w:rStyle w:val="Hyperlink"/>
            <w:b/>
            <w:noProof/>
          </w:rPr>
          <w:t>Average improvement by learning area</w:t>
        </w:r>
        <w:r w:rsidR="00B66B50">
          <w:rPr>
            <w:noProof/>
            <w:webHidden/>
          </w:rPr>
          <w:tab/>
        </w:r>
        <w:r w:rsidR="00B66B50">
          <w:rPr>
            <w:noProof/>
            <w:webHidden/>
          </w:rPr>
          <w:fldChar w:fldCharType="begin"/>
        </w:r>
        <w:r w:rsidR="00B66B50">
          <w:rPr>
            <w:noProof/>
            <w:webHidden/>
          </w:rPr>
          <w:instrText xml:space="preserve"> PAGEREF _Toc420065490 \h </w:instrText>
        </w:r>
        <w:r w:rsidR="00B66B50">
          <w:rPr>
            <w:noProof/>
            <w:webHidden/>
          </w:rPr>
        </w:r>
        <w:r w:rsidR="00B66B50">
          <w:rPr>
            <w:noProof/>
            <w:webHidden/>
          </w:rPr>
          <w:fldChar w:fldCharType="separate"/>
        </w:r>
        <w:r w:rsidR="00294A5A">
          <w:rPr>
            <w:noProof/>
            <w:webHidden/>
          </w:rPr>
          <w:t>61</w:t>
        </w:r>
        <w:r w:rsidR="00B66B50">
          <w:rPr>
            <w:noProof/>
            <w:webHidden/>
          </w:rPr>
          <w:fldChar w:fldCharType="end"/>
        </w:r>
      </w:hyperlink>
    </w:p>
    <w:p w14:paraId="3CBA48BF" w14:textId="77777777" w:rsidR="00B66B50" w:rsidRDefault="006A2396">
      <w:pPr>
        <w:pStyle w:val="TableofFigures"/>
        <w:rPr>
          <w:rFonts w:asciiTheme="minorHAnsi" w:eastAsiaTheme="minorEastAsia" w:hAnsiTheme="minorHAnsi" w:cstheme="minorBidi"/>
          <w:noProof/>
          <w:sz w:val="22"/>
        </w:rPr>
      </w:pPr>
      <w:hyperlink w:anchor="_Toc420065491" w:history="1">
        <w:r w:rsidR="00B66B50" w:rsidRPr="000D6F30">
          <w:rPr>
            <w:rStyle w:val="Hyperlink"/>
            <w:noProof/>
          </w:rPr>
          <w:t>Figure 31</w:t>
        </w:r>
        <w:r w:rsidR="00B66B50">
          <w:rPr>
            <w:rFonts w:asciiTheme="minorHAnsi" w:eastAsiaTheme="minorEastAsia" w:hAnsiTheme="minorHAnsi" w:cstheme="minorBidi"/>
            <w:noProof/>
            <w:sz w:val="22"/>
          </w:rPr>
          <w:tab/>
        </w:r>
        <w:r w:rsidR="00B66B50" w:rsidRPr="000D6F30">
          <w:rPr>
            <w:rStyle w:val="Hyperlink"/>
            <w:b/>
            <w:noProof/>
          </w:rPr>
          <w:t>Average ACSF level improvement for SEE programme clients completing at least 500 hours</w:t>
        </w:r>
        <w:r w:rsidR="00B66B50">
          <w:rPr>
            <w:noProof/>
            <w:webHidden/>
          </w:rPr>
          <w:tab/>
        </w:r>
        <w:r w:rsidR="00B66B50">
          <w:rPr>
            <w:noProof/>
            <w:webHidden/>
          </w:rPr>
          <w:fldChar w:fldCharType="begin"/>
        </w:r>
        <w:r w:rsidR="00B66B50">
          <w:rPr>
            <w:noProof/>
            <w:webHidden/>
          </w:rPr>
          <w:instrText xml:space="preserve"> PAGEREF _Toc420065491 \h </w:instrText>
        </w:r>
        <w:r w:rsidR="00B66B50">
          <w:rPr>
            <w:noProof/>
            <w:webHidden/>
          </w:rPr>
        </w:r>
        <w:r w:rsidR="00B66B50">
          <w:rPr>
            <w:noProof/>
            <w:webHidden/>
          </w:rPr>
          <w:fldChar w:fldCharType="separate"/>
        </w:r>
        <w:r w:rsidR="00294A5A">
          <w:rPr>
            <w:noProof/>
            <w:webHidden/>
          </w:rPr>
          <w:t>62</w:t>
        </w:r>
        <w:r w:rsidR="00B66B50">
          <w:rPr>
            <w:noProof/>
            <w:webHidden/>
          </w:rPr>
          <w:fldChar w:fldCharType="end"/>
        </w:r>
      </w:hyperlink>
    </w:p>
    <w:p w14:paraId="5185935D" w14:textId="77777777" w:rsidR="00B66B50" w:rsidRDefault="006A2396">
      <w:pPr>
        <w:pStyle w:val="TableofFigures"/>
        <w:rPr>
          <w:rFonts w:asciiTheme="minorHAnsi" w:eastAsiaTheme="minorEastAsia" w:hAnsiTheme="minorHAnsi" w:cstheme="minorBidi"/>
          <w:noProof/>
          <w:sz w:val="22"/>
        </w:rPr>
      </w:pPr>
      <w:hyperlink w:anchor="_Toc420065492" w:history="1">
        <w:r w:rsidR="00B66B50" w:rsidRPr="000D6F30">
          <w:rPr>
            <w:rStyle w:val="Hyperlink"/>
            <w:noProof/>
          </w:rPr>
          <w:t>Figure 32</w:t>
        </w:r>
        <w:r w:rsidR="00B66B50">
          <w:rPr>
            <w:rFonts w:asciiTheme="minorHAnsi" w:eastAsiaTheme="minorEastAsia" w:hAnsiTheme="minorHAnsi" w:cstheme="minorBidi"/>
            <w:noProof/>
            <w:sz w:val="22"/>
          </w:rPr>
          <w:tab/>
        </w:r>
        <w:r w:rsidR="00B66B50" w:rsidRPr="000D6F30">
          <w:rPr>
            <w:rStyle w:val="Hyperlink"/>
            <w:b/>
            <w:noProof/>
          </w:rPr>
          <w:t>Entry ACSF levels and levels after at least 500 hours</w:t>
        </w:r>
        <w:r w:rsidR="00B66B50">
          <w:rPr>
            <w:noProof/>
            <w:webHidden/>
          </w:rPr>
          <w:tab/>
        </w:r>
        <w:r w:rsidR="00B66B50">
          <w:rPr>
            <w:noProof/>
            <w:webHidden/>
          </w:rPr>
          <w:fldChar w:fldCharType="begin"/>
        </w:r>
        <w:r w:rsidR="00B66B50">
          <w:rPr>
            <w:noProof/>
            <w:webHidden/>
          </w:rPr>
          <w:instrText xml:space="preserve"> PAGEREF _Toc420065492 \h </w:instrText>
        </w:r>
        <w:r w:rsidR="00B66B50">
          <w:rPr>
            <w:noProof/>
            <w:webHidden/>
          </w:rPr>
        </w:r>
        <w:r w:rsidR="00B66B50">
          <w:rPr>
            <w:noProof/>
            <w:webHidden/>
          </w:rPr>
          <w:fldChar w:fldCharType="separate"/>
        </w:r>
        <w:r w:rsidR="00294A5A">
          <w:rPr>
            <w:noProof/>
            <w:webHidden/>
          </w:rPr>
          <w:t>62</w:t>
        </w:r>
        <w:r w:rsidR="00B66B50">
          <w:rPr>
            <w:noProof/>
            <w:webHidden/>
          </w:rPr>
          <w:fldChar w:fldCharType="end"/>
        </w:r>
      </w:hyperlink>
    </w:p>
    <w:p w14:paraId="0C7337AC" w14:textId="77777777" w:rsidR="00B66B50" w:rsidRDefault="006A2396">
      <w:pPr>
        <w:pStyle w:val="TableofFigures"/>
        <w:rPr>
          <w:rFonts w:asciiTheme="minorHAnsi" w:eastAsiaTheme="minorEastAsia" w:hAnsiTheme="minorHAnsi" w:cstheme="minorBidi"/>
          <w:noProof/>
          <w:sz w:val="22"/>
        </w:rPr>
      </w:pPr>
      <w:hyperlink w:anchor="_Toc420065493" w:history="1">
        <w:r w:rsidR="00B66B50" w:rsidRPr="000D6F30">
          <w:rPr>
            <w:rStyle w:val="Hyperlink"/>
            <w:noProof/>
          </w:rPr>
          <w:t>Figure 33</w:t>
        </w:r>
        <w:r w:rsidR="00B66B50">
          <w:rPr>
            <w:rFonts w:asciiTheme="minorHAnsi" w:eastAsiaTheme="minorEastAsia" w:hAnsiTheme="minorHAnsi" w:cstheme="minorBidi"/>
            <w:noProof/>
            <w:sz w:val="22"/>
          </w:rPr>
          <w:tab/>
        </w:r>
        <w:r w:rsidR="00B66B50" w:rsidRPr="000D6F30">
          <w:rPr>
            <w:rStyle w:val="Hyperlink"/>
            <w:b/>
            <w:noProof/>
          </w:rPr>
          <w:t>Proportion of clients pre-level 1 or level 1 on the 11 ACSF indicators, before and after more than 500 hours of training</w:t>
        </w:r>
        <w:r w:rsidR="00B66B50">
          <w:rPr>
            <w:noProof/>
            <w:webHidden/>
          </w:rPr>
          <w:tab/>
        </w:r>
        <w:r w:rsidR="00B66B50">
          <w:rPr>
            <w:noProof/>
            <w:webHidden/>
          </w:rPr>
          <w:fldChar w:fldCharType="begin"/>
        </w:r>
        <w:r w:rsidR="00B66B50">
          <w:rPr>
            <w:noProof/>
            <w:webHidden/>
          </w:rPr>
          <w:instrText xml:space="preserve"> PAGEREF _Toc420065493 \h </w:instrText>
        </w:r>
        <w:r w:rsidR="00B66B50">
          <w:rPr>
            <w:noProof/>
            <w:webHidden/>
          </w:rPr>
        </w:r>
        <w:r w:rsidR="00B66B50">
          <w:rPr>
            <w:noProof/>
            <w:webHidden/>
          </w:rPr>
          <w:fldChar w:fldCharType="separate"/>
        </w:r>
        <w:r w:rsidR="00294A5A">
          <w:rPr>
            <w:noProof/>
            <w:webHidden/>
          </w:rPr>
          <w:t>63</w:t>
        </w:r>
        <w:r w:rsidR="00B66B50">
          <w:rPr>
            <w:noProof/>
            <w:webHidden/>
          </w:rPr>
          <w:fldChar w:fldCharType="end"/>
        </w:r>
      </w:hyperlink>
    </w:p>
    <w:p w14:paraId="3B2B6FA4" w14:textId="77777777" w:rsidR="00B66B50" w:rsidRDefault="006A2396">
      <w:pPr>
        <w:pStyle w:val="TableofFigures"/>
        <w:rPr>
          <w:rFonts w:asciiTheme="minorHAnsi" w:eastAsiaTheme="minorEastAsia" w:hAnsiTheme="minorHAnsi" w:cstheme="minorBidi"/>
          <w:noProof/>
          <w:sz w:val="22"/>
        </w:rPr>
      </w:pPr>
      <w:hyperlink w:anchor="_Toc420065494" w:history="1">
        <w:r w:rsidR="00B66B50" w:rsidRPr="000D6F30">
          <w:rPr>
            <w:rStyle w:val="Hyperlink"/>
            <w:noProof/>
          </w:rPr>
          <w:t>Figure 34</w:t>
        </w:r>
        <w:r w:rsidR="00B66B50">
          <w:rPr>
            <w:rFonts w:asciiTheme="minorHAnsi" w:eastAsiaTheme="minorEastAsia" w:hAnsiTheme="minorHAnsi" w:cstheme="minorBidi"/>
            <w:noProof/>
            <w:sz w:val="22"/>
          </w:rPr>
          <w:tab/>
        </w:r>
        <w:r w:rsidR="00B66B50" w:rsidRPr="000D6F30">
          <w:rPr>
            <w:rStyle w:val="Hyperlink"/>
            <w:b/>
            <w:noProof/>
          </w:rPr>
          <w:t>Proportion of clients pre-level 1 or level 1 on nine ACSF indicators, not including oral communication, before and after more than 500 hours of training</w:t>
        </w:r>
        <w:r w:rsidR="00B66B50">
          <w:rPr>
            <w:noProof/>
            <w:webHidden/>
          </w:rPr>
          <w:tab/>
        </w:r>
        <w:r w:rsidR="00B66B50">
          <w:rPr>
            <w:noProof/>
            <w:webHidden/>
          </w:rPr>
          <w:fldChar w:fldCharType="begin"/>
        </w:r>
        <w:r w:rsidR="00B66B50">
          <w:rPr>
            <w:noProof/>
            <w:webHidden/>
          </w:rPr>
          <w:instrText xml:space="preserve"> PAGEREF _Toc420065494 \h </w:instrText>
        </w:r>
        <w:r w:rsidR="00B66B50">
          <w:rPr>
            <w:noProof/>
            <w:webHidden/>
          </w:rPr>
        </w:r>
        <w:r w:rsidR="00B66B50">
          <w:rPr>
            <w:noProof/>
            <w:webHidden/>
          </w:rPr>
          <w:fldChar w:fldCharType="separate"/>
        </w:r>
        <w:r w:rsidR="00294A5A">
          <w:rPr>
            <w:noProof/>
            <w:webHidden/>
          </w:rPr>
          <w:t>63</w:t>
        </w:r>
        <w:r w:rsidR="00B66B50">
          <w:rPr>
            <w:noProof/>
            <w:webHidden/>
          </w:rPr>
          <w:fldChar w:fldCharType="end"/>
        </w:r>
      </w:hyperlink>
    </w:p>
    <w:p w14:paraId="0C66BC3A" w14:textId="77777777" w:rsidR="00B66B50" w:rsidRDefault="006A2396">
      <w:pPr>
        <w:pStyle w:val="TableofFigures"/>
        <w:rPr>
          <w:rFonts w:asciiTheme="minorHAnsi" w:eastAsiaTheme="minorEastAsia" w:hAnsiTheme="minorHAnsi" w:cstheme="minorBidi"/>
          <w:noProof/>
          <w:sz w:val="22"/>
        </w:rPr>
      </w:pPr>
      <w:hyperlink w:anchor="_Toc420065495" w:history="1">
        <w:r w:rsidR="00B66B50" w:rsidRPr="000D6F30">
          <w:rPr>
            <w:rStyle w:val="Hyperlink"/>
            <w:noProof/>
          </w:rPr>
          <w:t>Figure 35</w:t>
        </w:r>
        <w:r w:rsidR="00B66B50">
          <w:rPr>
            <w:rFonts w:asciiTheme="minorHAnsi" w:eastAsiaTheme="minorEastAsia" w:hAnsiTheme="minorHAnsi" w:cstheme="minorBidi"/>
            <w:noProof/>
            <w:sz w:val="22"/>
          </w:rPr>
          <w:tab/>
        </w:r>
        <w:r w:rsidR="00B66B50" w:rsidRPr="000D6F30">
          <w:rPr>
            <w:rStyle w:val="Hyperlink"/>
            <w:b/>
            <w:noProof/>
          </w:rPr>
          <w:t>Expenditure and budget appropriations, 2013-14 dollars</w:t>
        </w:r>
        <w:r w:rsidR="00B66B50">
          <w:rPr>
            <w:noProof/>
            <w:webHidden/>
          </w:rPr>
          <w:tab/>
        </w:r>
        <w:r w:rsidR="00B66B50">
          <w:rPr>
            <w:noProof/>
            <w:webHidden/>
          </w:rPr>
          <w:fldChar w:fldCharType="begin"/>
        </w:r>
        <w:r w:rsidR="00B66B50">
          <w:rPr>
            <w:noProof/>
            <w:webHidden/>
          </w:rPr>
          <w:instrText xml:space="preserve"> PAGEREF _Toc420065495 \h </w:instrText>
        </w:r>
        <w:r w:rsidR="00B66B50">
          <w:rPr>
            <w:noProof/>
            <w:webHidden/>
          </w:rPr>
        </w:r>
        <w:r w:rsidR="00B66B50">
          <w:rPr>
            <w:noProof/>
            <w:webHidden/>
          </w:rPr>
          <w:fldChar w:fldCharType="separate"/>
        </w:r>
        <w:r w:rsidR="00294A5A">
          <w:rPr>
            <w:noProof/>
            <w:webHidden/>
          </w:rPr>
          <w:t>65</w:t>
        </w:r>
        <w:r w:rsidR="00B66B50">
          <w:rPr>
            <w:noProof/>
            <w:webHidden/>
          </w:rPr>
          <w:fldChar w:fldCharType="end"/>
        </w:r>
      </w:hyperlink>
    </w:p>
    <w:p w14:paraId="5C4FA1C9" w14:textId="77777777" w:rsidR="00B66B50" w:rsidRDefault="006A2396">
      <w:pPr>
        <w:pStyle w:val="TableofFigures"/>
        <w:rPr>
          <w:rFonts w:asciiTheme="minorHAnsi" w:eastAsiaTheme="minorEastAsia" w:hAnsiTheme="minorHAnsi" w:cstheme="minorBidi"/>
          <w:noProof/>
          <w:sz w:val="22"/>
        </w:rPr>
      </w:pPr>
      <w:hyperlink w:anchor="_Toc420065496" w:history="1">
        <w:r w:rsidR="00B66B50" w:rsidRPr="000D6F30">
          <w:rPr>
            <w:rStyle w:val="Hyperlink"/>
            <w:noProof/>
          </w:rPr>
          <w:t>Figure 36</w:t>
        </w:r>
        <w:r w:rsidR="00B66B50">
          <w:rPr>
            <w:rFonts w:asciiTheme="minorHAnsi" w:eastAsiaTheme="minorEastAsia" w:hAnsiTheme="minorHAnsi" w:cstheme="minorBidi"/>
            <w:noProof/>
            <w:sz w:val="22"/>
          </w:rPr>
          <w:tab/>
        </w:r>
        <w:r w:rsidR="00B66B50" w:rsidRPr="000D6F30">
          <w:rPr>
            <w:rStyle w:val="Hyperlink"/>
            <w:b/>
            <w:noProof/>
          </w:rPr>
          <w:t>Expenditure per commencement by state/territory, 2012-13 dollars</w:t>
        </w:r>
        <w:r w:rsidR="00B66B50">
          <w:rPr>
            <w:noProof/>
            <w:webHidden/>
          </w:rPr>
          <w:tab/>
        </w:r>
        <w:r w:rsidR="00B66B50">
          <w:rPr>
            <w:noProof/>
            <w:webHidden/>
          </w:rPr>
          <w:fldChar w:fldCharType="begin"/>
        </w:r>
        <w:r w:rsidR="00B66B50">
          <w:rPr>
            <w:noProof/>
            <w:webHidden/>
          </w:rPr>
          <w:instrText xml:space="preserve"> PAGEREF _Toc420065496 \h </w:instrText>
        </w:r>
        <w:r w:rsidR="00B66B50">
          <w:rPr>
            <w:noProof/>
            <w:webHidden/>
          </w:rPr>
        </w:r>
        <w:r w:rsidR="00B66B50">
          <w:rPr>
            <w:noProof/>
            <w:webHidden/>
          </w:rPr>
          <w:fldChar w:fldCharType="separate"/>
        </w:r>
        <w:r w:rsidR="00294A5A">
          <w:rPr>
            <w:noProof/>
            <w:webHidden/>
          </w:rPr>
          <w:t>66</w:t>
        </w:r>
        <w:r w:rsidR="00B66B50">
          <w:rPr>
            <w:noProof/>
            <w:webHidden/>
          </w:rPr>
          <w:fldChar w:fldCharType="end"/>
        </w:r>
      </w:hyperlink>
    </w:p>
    <w:p w14:paraId="153D6E13" w14:textId="77777777" w:rsidR="00473688" w:rsidRDefault="00473688">
      <w:pPr>
        <w:pStyle w:val="TableofFigures"/>
      </w:pPr>
      <w:r w:rsidRPr="004D18B4">
        <w:fldChar w:fldCharType="end"/>
      </w:r>
    </w:p>
    <w:p w14:paraId="70B47F14" w14:textId="77777777" w:rsidR="00473688" w:rsidRDefault="00473688" w:rsidP="003C37AA">
      <w:pPr>
        <w:pStyle w:val="TOAHeading"/>
      </w:pPr>
      <w:r>
        <w:t>List of tables</w:t>
      </w:r>
    </w:p>
    <w:p w14:paraId="7E21AB53" w14:textId="77777777" w:rsidR="00B66B50" w:rsidRDefault="00473688">
      <w:pPr>
        <w:pStyle w:val="TableofFigures"/>
        <w:rPr>
          <w:rFonts w:asciiTheme="minorHAnsi" w:eastAsiaTheme="minorEastAsia" w:hAnsiTheme="minorHAnsi" w:cstheme="minorBidi"/>
          <w:noProof/>
          <w:sz w:val="22"/>
        </w:rPr>
      </w:pPr>
      <w:r w:rsidRPr="004D18B4">
        <w:fldChar w:fldCharType="begin"/>
      </w:r>
      <w:r w:rsidRPr="004D18B4">
        <w:instrText xml:space="preserve"> TOC </w:instrText>
      </w:r>
      <w:r>
        <w:instrText>\h \z</w:instrText>
      </w:r>
      <w:r w:rsidRPr="004D18B4">
        <w:instrText xml:space="preserve"> \c "Table" </w:instrText>
      </w:r>
      <w:r>
        <w:instrText>\*FirstCap</w:instrText>
      </w:r>
      <w:r w:rsidRPr="004D18B4">
        <w:fldChar w:fldCharType="separate"/>
      </w:r>
      <w:hyperlink w:anchor="_Toc420065497" w:history="1">
        <w:r w:rsidR="00B66B50" w:rsidRPr="00526B25">
          <w:rPr>
            <w:rStyle w:val="Hyperlink"/>
            <w:rFonts w:cs="Arial"/>
            <w:noProof/>
          </w:rPr>
          <w:t>Table 1</w:t>
        </w:r>
        <w:r w:rsidR="00B66B50">
          <w:rPr>
            <w:rFonts w:asciiTheme="minorHAnsi" w:eastAsiaTheme="minorEastAsia" w:hAnsiTheme="minorHAnsi" w:cstheme="minorBidi"/>
            <w:noProof/>
            <w:sz w:val="22"/>
          </w:rPr>
          <w:tab/>
        </w:r>
        <w:r w:rsidR="00B66B50" w:rsidRPr="00526B25">
          <w:rPr>
            <w:rStyle w:val="Hyperlink"/>
            <w:rFonts w:cs="Arial"/>
            <w:b/>
            <w:noProof/>
          </w:rPr>
          <w:t>Key research questions for the SEE programme evaluation</w:t>
        </w:r>
        <w:r w:rsidR="00B66B50">
          <w:rPr>
            <w:noProof/>
            <w:webHidden/>
          </w:rPr>
          <w:tab/>
        </w:r>
        <w:r w:rsidR="00B66B50">
          <w:rPr>
            <w:noProof/>
            <w:webHidden/>
          </w:rPr>
          <w:fldChar w:fldCharType="begin"/>
        </w:r>
        <w:r w:rsidR="00B66B50">
          <w:rPr>
            <w:noProof/>
            <w:webHidden/>
          </w:rPr>
          <w:instrText xml:space="preserve"> PAGEREF _Toc420065497 \h </w:instrText>
        </w:r>
        <w:r w:rsidR="00B66B50">
          <w:rPr>
            <w:noProof/>
            <w:webHidden/>
          </w:rPr>
        </w:r>
        <w:r w:rsidR="00B66B50">
          <w:rPr>
            <w:noProof/>
            <w:webHidden/>
          </w:rPr>
          <w:fldChar w:fldCharType="separate"/>
        </w:r>
        <w:r w:rsidR="00294A5A">
          <w:rPr>
            <w:noProof/>
            <w:webHidden/>
          </w:rPr>
          <w:t>2</w:t>
        </w:r>
        <w:r w:rsidR="00B66B50">
          <w:rPr>
            <w:noProof/>
            <w:webHidden/>
          </w:rPr>
          <w:fldChar w:fldCharType="end"/>
        </w:r>
      </w:hyperlink>
    </w:p>
    <w:p w14:paraId="6CB69AF7" w14:textId="77777777" w:rsidR="00B66B50" w:rsidRDefault="006A2396">
      <w:pPr>
        <w:pStyle w:val="TableofFigures"/>
        <w:rPr>
          <w:rFonts w:asciiTheme="minorHAnsi" w:eastAsiaTheme="minorEastAsia" w:hAnsiTheme="minorHAnsi" w:cstheme="minorBidi"/>
          <w:noProof/>
          <w:sz w:val="22"/>
        </w:rPr>
      </w:pPr>
      <w:hyperlink w:anchor="_Toc420065498" w:history="1">
        <w:r w:rsidR="00B66B50" w:rsidRPr="00526B25">
          <w:rPr>
            <w:rStyle w:val="Hyperlink"/>
            <w:noProof/>
          </w:rPr>
          <w:t>Table 2</w:t>
        </w:r>
        <w:r w:rsidR="00B66B50">
          <w:rPr>
            <w:rFonts w:asciiTheme="minorHAnsi" w:eastAsiaTheme="minorEastAsia" w:hAnsiTheme="minorHAnsi" w:cstheme="minorBidi"/>
            <w:noProof/>
            <w:sz w:val="22"/>
          </w:rPr>
          <w:tab/>
        </w:r>
        <w:r w:rsidR="00B66B50" w:rsidRPr="00526B25">
          <w:rPr>
            <w:rStyle w:val="Hyperlink"/>
            <w:b/>
            <w:noProof/>
          </w:rPr>
          <w:t>From LLNP to SEE: programme administrative changes for 2013-16</w:t>
        </w:r>
        <w:r w:rsidR="00B66B50">
          <w:rPr>
            <w:noProof/>
            <w:webHidden/>
          </w:rPr>
          <w:tab/>
        </w:r>
        <w:r w:rsidR="00B66B50">
          <w:rPr>
            <w:noProof/>
            <w:webHidden/>
          </w:rPr>
          <w:fldChar w:fldCharType="begin"/>
        </w:r>
        <w:r w:rsidR="00B66B50">
          <w:rPr>
            <w:noProof/>
            <w:webHidden/>
          </w:rPr>
          <w:instrText xml:space="preserve"> PAGEREF _Toc420065498 \h </w:instrText>
        </w:r>
        <w:r w:rsidR="00B66B50">
          <w:rPr>
            <w:noProof/>
            <w:webHidden/>
          </w:rPr>
        </w:r>
        <w:r w:rsidR="00B66B50">
          <w:rPr>
            <w:noProof/>
            <w:webHidden/>
          </w:rPr>
          <w:fldChar w:fldCharType="separate"/>
        </w:r>
        <w:r w:rsidR="00294A5A">
          <w:rPr>
            <w:noProof/>
            <w:webHidden/>
          </w:rPr>
          <w:t>13</w:t>
        </w:r>
        <w:r w:rsidR="00B66B50">
          <w:rPr>
            <w:noProof/>
            <w:webHidden/>
          </w:rPr>
          <w:fldChar w:fldCharType="end"/>
        </w:r>
      </w:hyperlink>
    </w:p>
    <w:p w14:paraId="3463F3D6" w14:textId="77777777" w:rsidR="00B66B50" w:rsidRDefault="006A2396">
      <w:pPr>
        <w:pStyle w:val="TableofFigures"/>
        <w:rPr>
          <w:rFonts w:asciiTheme="minorHAnsi" w:eastAsiaTheme="minorEastAsia" w:hAnsiTheme="minorHAnsi" w:cstheme="minorBidi"/>
          <w:noProof/>
          <w:sz w:val="22"/>
        </w:rPr>
      </w:pPr>
      <w:hyperlink w:anchor="_Toc420065499" w:history="1">
        <w:r w:rsidR="00B66B50" w:rsidRPr="00526B25">
          <w:rPr>
            <w:rStyle w:val="Hyperlink"/>
            <w:noProof/>
          </w:rPr>
          <w:t>Table 3</w:t>
        </w:r>
        <w:r w:rsidR="00B66B50">
          <w:rPr>
            <w:rFonts w:asciiTheme="minorHAnsi" w:eastAsiaTheme="minorEastAsia" w:hAnsiTheme="minorHAnsi" w:cstheme="minorBidi"/>
            <w:noProof/>
            <w:sz w:val="22"/>
          </w:rPr>
          <w:tab/>
        </w:r>
        <w:r w:rsidR="00B66B50" w:rsidRPr="00526B25">
          <w:rPr>
            <w:rStyle w:val="Hyperlink"/>
            <w:b/>
            <w:noProof/>
          </w:rPr>
          <w:t>Foundation skills in VET: state and territory comparison</w:t>
        </w:r>
        <w:r w:rsidR="00B66B50">
          <w:rPr>
            <w:noProof/>
            <w:webHidden/>
          </w:rPr>
          <w:tab/>
        </w:r>
        <w:r w:rsidR="00B66B50">
          <w:rPr>
            <w:noProof/>
            <w:webHidden/>
          </w:rPr>
          <w:fldChar w:fldCharType="begin"/>
        </w:r>
        <w:r w:rsidR="00B66B50">
          <w:rPr>
            <w:noProof/>
            <w:webHidden/>
          </w:rPr>
          <w:instrText xml:space="preserve"> PAGEREF _Toc420065499 \h </w:instrText>
        </w:r>
        <w:r w:rsidR="00B66B50">
          <w:rPr>
            <w:noProof/>
            <w:webHidden/>
          </w:rPr>
        </w:r>
        <w:r w:rsidR="00B66B50">
          <w:rPr>
            <w:noProof/>
            <w:webHidden/>
          </w:rPr>
          <w:fldChar w:fldCharType="separate"/>
        </w:r>
        <w:r w:rsidR="00294A5A">
          <w:rPr>
            <w:noProof/>
            <w:webHidden/>
          </w:rPr>
          <w:t>18</w:t>
        </w:r>
        <w:r w:rsidR="00B66B50">
          <w:rPr>
            <w:noProof/>
            <w:webHidden/>
          </w:rPr>
          <w:fldChar w:fldCharType="end"/>
        </w:r>
      </w:hyperlink>
    </w:p>
    <w:p w14:paraId="798E2730" w14:textId="77777777" w:rsidR="00B66B50" w:rsidRDefault="006A2396">
      <w:pPr>
        <w:pStyle w:val="TableofFigures"/>
        <w:rPr>
          <w:rFonts w:asciiTheme="minorHAnsi" w:eastAsiaTheme="minorEastAsia" w:hAnsiTheme="minorHAnsi" w:cstheme="minorBidi"/>
          <w:noProof/>
          <w:sz w:val="22"/>
        </w:rPr>
      </w:pPr>
      <w:hyperlink w:anchor="_Toc420065500" w:history="1">
        <w:r w:rsidR="00B66B50" w:rsidRPr="00526B25">
          <w:rPr>
            <w:rStyle w:val="Hyperlink"/>
            <w:noProof/>
          </w:rPr>
          <w:t>Table 4</w:t>
        </w:r>
        <w:r w:rsidR="00B66B50">
          <w:rPr>
            <w:rFonts w:asciiTheme="minorHAnsi" w:eastAsiaTheme="minorEastAsia" w:hAnsiTheme="minorHAnsi" w:cstheme="minorBidi"/>
            <w:noProof/>
            <w:sz w:val="22"/>
          </w:rPr>
          <w:tab/>
        </w:r>
        <w:r w:rsidR="00B66B50" w:rsidRPr="00526B25">
          <w:rPr>
            <w:rStyle w:val="Hyperlink"/>
            <w:b/>
            <w:noProof/>
          </w:rPr>
          <w:t>Proportion of JSA clients with identified LLN needs and proportion referred to the SEE programme by state and territory</w:t>
        </w:r>
        <w:r w:rsidR="00B66B50">
          <w:rPr>
            <w:noProof/>
            <w:webHidden/>
          </w:rPr>
          <w:tab/>
        </w:r>
        <w:r w:rsidR="00B66B50">
          <w:rPr>
            <w:noProof/>
            <w:webHidden/>
          </w:rPr>
          <w:fldChar w:fldCharType="begin"/>
        </w:r>
        <w:r w:rsidR="00B66B50">
          <w:rPr>
            <w:noProof/>
            <w:webHidden/>
          </w:rPr>
          <w:instrText xml:space="preserve"> PAGEREF _Toc420065500 \h </w:instrText>
        </w:r>
        <w:r w:rsidR="00B66B50">
          <w:rPr>
            <w:noProof/>
            <w:webHidden/>
          </w:rPr>
        </w:r>
        <w:r w:rsidR="00B66B50">
          <w:rPr>
            <w:noProof/>
            <w:webHidden/>
          </w:rPr>
          <w:fldChar w:fldCharType="separate"/>
        </w:r>
        <w:r w:rsidR="00294A5A">
          <w:rPr>
            <w:noProof/>
            <w:webHidden/>
          </w:rPr>
          <w:t>30</w:t>
        </w:r>
        <w:r w:rsidR="00B66B50">
          <w:rPr>
            <w:noProof/>
            <w:webHidden/>
          </w:rPr>
          <w:fldChar w:fldCharType="end"/>
        </w:r>
      </w:hyperlink>
    </w:p>
    <w:p w14:paraId="5D826375" w14:textId="77777777" w:rsidR="00B66B50" w:rsidRDefault="006A2396">
      <w:pPr>
        <w:pStyle w:val="TableofFigures"/>
        <w:rPr>
          <w:rFonts w:asciiTheme="minorHAnsi" w:eastAsiaTheme="minorEastAsia" w:hAnsiTheme="minorHAnsi" w:cstheme="minorBidi"/>
          <w:noProof/>
          <w:sz w:val="22"/>
        </w:rPr>
      </w:pPr>
      <w:hyperlink w:anchor="_Toc420065501" w:history="1">
        <w:r w:rsidR="00B66B50" w:rsidRPr="00526B25">
          <w:rPr>
            <w:rStyle w:val="Hyperlink"/>
            <w:noProof/>
          </w:rPr>
          <w:t>Table 5</w:t>
        </w:r>
        <w:r w:rsidR="00B66B50">
          <w:rPr>
            <w:rFonts w:asciiTheme="minorHAnsi" w:eastAsiaTheme="minorEastAsia" w:hAnsiTheme="minorHAnsi" w:cstheme="minorBidi"/>
            <w:noProof/>
            <w:sz w:val="22"/>
          </w:rPr>
          <w:tab/>
        </w:r>
        <w:r w:rsidR="00B66B50" w:rsidRPr="00526B25">
          <w:rPr>
            <w:rStyle w:val="Hyperlink"/>
            <w:b/>
            <w:noProof/>
          </w:rPr>
          <w:t>Proportion of JSA clients with identified LLN needs and proportion referred to the SEE programme by ARIA remoteness index</w:t>
        </w:r>
        <w:r w:rsidR="00B66B50">
          <w:rPr>
            <w:noProof/>
            <w:webHidden/>
          </w:rPr>
          <w:tab/>
        </w:r>
        <w:r w:rsidR="00B66B50">
          <w:rPr>
            <w:noProof/>
            <w:webHidden/>
          </w:rPr>
          <w:fldChar w:fldCharType="begin"/>
        </w:r>
        <w:r w:rsidR="00B66B50">
          <w:rPr>
            <w:noProof/>
            <w:webHidden/>
          </w:rPr>
          <w:instrText xml:space="preserve"> PAGEREF _Toc420065501 \h </w:instrText>
        </w:r>
        <w:r w:rsidR="00B66B50">
          <w:rPr>
            <w:noProof/>
            <w:webHidden/>
          </w:rPr>
        </w:r>
        <w:r w:rsidR="00B66B50">
          <w:rPr>
            <w:noProof/>
            <w:webHidden/>
          </w:rPr>
          <w:fldChar w:fldCharType="separate"/>
        </w:r>
        <w:r w:rsidR="00294A5A">
          <w:rPr>
            <w:noProof/>
            <w:webHidden/>
          </w:rPr>
          <w:t>30</w:t>
        </w:r>
        <w:r w:rsidR="00B66B50">
          <w:rPr>
            <w:noProof/>
            <w:webHidden/>
          </w:rPr>
          <w:fldChar w:fldCharType="end"/>
        </w:r>
      </w:hyperlink>
    </w:p>
    <w:p w14:paraId="6E2E65A1" w14:textId="77777777" w:rsidR="00B66B50" w:rsidRDefault="006A2396">
      <w:pPr>
        <w:pStyle w:val="TableofFigures"/>
        <w:rPr>
          <w:rFonts w:asciiTheme="minorHAnsi" w:eastAsiaTheme="minorEastAsia" w:hAnsiTheme="minorHAnsi" w:cstheme="minorBidi"/>
          <w:noProof/>
          <w:sz w:val="22"/>
        </w:rPr>
      </w:pPr>
      <w:hyperlink w:anchor="_Toc420065502" w:history="1">
        <w:r w:rsidR="00B66B50" w:rsidRPr="00526B25">
          <w:rPr>
            <w:rStyle w:val="Hyperlink"/>
            <w:noProof/>
          </w:rPr>
          <w:t>Table 6</w:t>
        </w:r>
        <w:r w:rsidR="00B66B50">
          <w:rPr>
            <w:rFonts w:asciiTheme="minorHAnsi" w:eastAsiaTheme="minorEastAsia" w:hAnsiTheme="minorHAnsi" w:cstheme="minorBidi"/>
            <w:noProof/>
            <w:sz w:val="22"/>
          </w:rPr>
          <w:tab/>
        </w:r>
        <w:r w:rsidR="00B66B50" w:rsidRPr="00526B25">
          <w:rPr>
            <w:rStyle w:val="Hyperlink"/>
            <w:b/>
            <w:noProof/>
          </w:rPr>
          <w:t>State and territory SEE programme client cohort make up, compared to JSA clients</w:t>
        </w:r>
        <w:r w:rsidR="00B66B50">
          <w:rPr>
            <w:noProof/>
            <w:webHidden/>
          </w:rPr>
          <w:tab/>
        </w:r>
        <w:r w:rsidR="00B66B50">
          <w:rPr>
            <w:noProof/>
            <w:webHidden/>
          </w:rPr>
          <w:fldChar w:fldCharType="begin"/>
        </w:r>
        <w:r w:rsidR="00B66B50">
          <w:rPr>
            <w:noProof/>
            <w:webHidden/>
          </w:rPr>
          <w:instrText xml:space="preserve"> PAGEREF _Toc420065502 \h </w:instrText>
        </w:r>
        <w:r w:rsidR="00B66B50">
          <w:rPr>
            <w:noProof/>
            <w:webHidden/>
          </w:rPr>
        </w:r>
        <w:r w:rsidR="00B66B50">
          <w:rPr>
            <w:noProof/>
            <w:webHidden/>
          </w:rPr>
          <w:fldChar w:fldCharType="separate"/>
        </w:r>
        <w:r w:rsidR="00294A5A">
          <w:rPr>
            <w:noProof/>
            <w:webHidden/>
          </w:rPr>
          <w:t>39</w:t>
        </w:r>
        <w:r w:rsidR="00B66B50">
          <w:rPr>
            <w:noProof/>
            <w:webHidden/>
          </w:rPr>
          <w:fldChar w:fldCharType="end"/>
        </w:r>
      </w:hyperlink>
    </w:p>
    <w:p w14:paraId="04FDC16F" w14:textId="77777777" w:rsidR="00B66B50" w:rsidRDefault="006A2396">
      <w:pPr>
        <w:pStyle w:val="TableofFigures"/>
        <w:rPr>
          <w:rFonts w:asciiTheme="minorHAnsi" w:eastAsiaTheme="minorEastAsia" w:hAnsiTheme="minorHAnsi" w:cstheme="minorBidi"/>
          <w:noProof/>
          <w:sz w:val="22"/>
        </w:rPr>
      </w:pPr>
      <w:hyperlink w:anchor="_Toc420065503" w:history="1">
        <w:r w:rsidR="00B66B50" w:rsidRPr="00526B25">
          <w:rPr>
            <w:rStyle w:val="Hyperlink"/>
            <w:noProof/>
          </w:rPr>
          <w:t>Table 7</w:t>
        </w:r>
        <w:r w:rsidR="00B66B50">
          <w:rPr>
            <w:rFonts w:asciiTheme="minorHAnsi" w:eastAsiaTheme="minorEastAsia" w:hAnsiTheme="minorHAnsi" w:cstheme="minorBidi"/>
            <w:noProof/>
            <w:sz w:val="22"/>
          </w:rPr>
          <w:tab/>
        </w:r>
        <w:r w:rsidR="00B66B50" w:rsidRPr="00526B25">
          <w:rPr>
            <w:rStyle w:val="Hyperlink"/>
            <w:b/>
            <w:noProof/>
          </w:rPr>
          <w:t>State and territory SEE programme client cohort make up, compared to population groups</w:t>
        </w:r>
        <w:r w:rsidR="00B66B50">
          <w:rPr>
            <w:noProof/>
            <w:webHidden/>
          </w:rPr>
          <w:tab/>
        </w:r>
        <w:r w:rsidR="00B66B50">
          <w:rPr>
            <w:noProof/>
            <w:webHidden/>
          </w:rPr>
          <w:fldChar w:fldCharType="begin"/>
        </w:r>
        <w:r w:rsidR="00B66B50">
          <w:rPr>
            <w:noProof/>
            <w:webHidden/>
          </w:rPr>
          <w:instrText xml:space="preserve"> PAGEREF _Toc420065503 \h </w:instrText>
        </w:r>
        <w:r w:rsidR="00B66B50">
          <w:rPr>
            <w:noProof/>
            <w:webHidden/>
          </w:rPr>
        </w:r>
        <w:r w:rsidR="00B66B50">
          <w:rPr>
            <w:noProof/>
            <w:webHidden/>
          </w:rPr>
          <w:fldChar w:fldCharType="separate"/>
        </w:r>
        <w:r w:rsidR="00294A5A">
          <w:rPr>
            <w:noProof/>
            <w:webHidden/>
          </w:rPr>
          <w:t>39</w:t>
        </w:r>
        <w:r w:rsidR="00B66B50">
          <w:rPr>
            <w:noProof/>
            <w:webHidden/>
          </w:rPr>
          <w:fldChar w:fldCharType="end"/>
        </w:r>
      </w:hyperlink>
    </w:p>
    <w:p w14:paraId="15F28130" w14:textId="77777777" w:rsidR="00B66B50" w:rsidRDefault="006A2396">
      <w:pPr>
        <w:pStyle w:val="TableofFigures"/>
        <w:rPr>
          <w:rFonts w:asciiTheme="minorHAnsi" w:eastAsiaTheme="minorEastAsia" w:hAnsiTheme="minorHAnsi" w:cstheme="minorBidi"/>
          <w:noProof/>
          <w:sz w:val="22"/>
        </w:rPr>
      </w:pPr>
      <w:hyperlink w:anchor="_Toc420065504" w:history="1">
        <w:r w:rsidR="00B66B50" w:rsidRPr="00526B25">
          <w:rPr>
            <w:rStyle w:val="Hyperlink"/>
            <w:rFonts w:cs="Arial"/>
            <w:noProof/>
          </w:rPr>
          <w:t>Table 8</w:t>
        </w:r>
        <w:r w:rsidR="00B66B50">
          <w:rPr>
            <w:rFonts w:asciiTheme="minorHAnsi" w:eastAsiaTheme="minorEastAsia" w:hAnsiTheme="minorHAnsi" w:cstheme="minorBidi"/>
            <w:noProof/>
            <w:sz w:val="22"/>
          </w:rPr>
          <w:tab/>
        </w:r>
        <w:r w:rsidR="00B66B50" w:rsidRPr="00526B25">
          <w:rPr>
            <w:rStyle w:val="Hyperlink"/>
            <w:rFonts w:cs="Arial"/>
            <w:b/>
            <w:noProof/>
          </w:rPr>
          <w:t>ARIA Remoteness Index SEE programme client cohort make up</w:t>
        </w:r>
        <w:r w:rsidR="00B66B50">
          <w:rPr>
            <w:noProof/>
            <w:webHidden/>
          </w:rPr>
          <w:tab/>
        </w:r>
        <w:r w:rsidR="00B66B50">
          <w:rPr>
            <w:noProof/>
            <w:webHidden/>
          </w:rPr>
          <w:fldChar w:fldCharType="begin"/>
        </w:r>
        <w:r w:rsidR="00B66B50">
          <w:rPr>
            <w:noProof/>
            <w:webHidden/>
          </w:rPr>
          <w:instrText xml:space="preserve"> PAGEREF _Toc420065504 \h </w:instrText>
        </w:r>
        <w:r w:rsidR="00B66B50">
          <w:rPr>
            <w:noProof/>
            <w:webHidden/>
          </w:rPr>
        </w:r>
        <w:r w:rsidR="00B66B50">
          <w:rPr>
            <w:noProof/>
            <w:webHidden/>
          </w:rPr>
          <w:fldChar w:fldCharType="separate"/>
        </w:r>
        <w:r w:rsidR="00294A5A">
          <w:rPr>
            <w:noProof/>
            <w:webHidden/>
          </w:rPr>
          <w:t>40</w:t>
        </w:r>
        <w:r w:rsidR="00B66B50">
          <w:rPr>
            <w:noProof/>
            <w:webHidden/>
          </w:rPr>
          <w:fldChar w:fldCharType="end"/>
        </w:r>
      </w:hyperlink>
    </w:p>
    <w:p w14:paraId="1352DB51" w14:textId="77777777" w:rsidR="00B66B50" w:rsidRDefault="006A2396">
      <w:pPr>
        <w:pStyle w:val="TableofFigures"/>
        <w:rPr>
          <w:rFonts w:asciiTheme="minorHAnsi" w:eastAsiaTheme="minorEastAsia" w:hAnsiTheme="minorHAnsi" w:cstheme="minorBidi"/>
          <w:noProof/>
          <w:sz w:val="22"/>
        </w:rPr>
      </w:pPr>
      <w:hyperlink w:anchor="_Toc420065505" w:history="1">
        <w:r w:rsidR="00B66B50" w:rsidRPr="00526B25">
          <w:rPr>
            <w:rStyle w:val="Hyperlink"/>
            <w:noProof/>
          </w:rPr>
          <w:t>Table 9</w:t>
        </w:r>
        <w:r w:rsidR="00B66B50">
          <w:rPr>
            <w:rFonts w:asciiTheme="minorHAnsi" w:eastAsiaTheme="minorEastAsia" w:hAnsiTheme="minorHAnsi" w:cstheme="minorBidi"/>
            <w:noProof/>
            <w:sz w:val="22"/>
          </w:rPr>
          <w:tab/>
        </w:r>
        <w:r w:rsidR="00B66B50" w:rsidRPr="00526B25">
          <w:rPr>
            <w:rStyle w:val="Hyperlink"/>
            <w:b/>
            <w:noProof/>
          </w:rPr>
          <w:t>ASCF performance indicators</w:t>
        </w:r>
        <w:r w:rsidR="00B66B50">
          <w:rPr>
            <w:noProof/>
            <w:webHidden/>
          </w:rPr>
          <w:tab/>
        </w:r>
        <w:r w:rsidR="00B66B50">
          <w:rPr>
            <w:noProof/>
            <w:webHidden/>
          </w:rPr>
          <w:fldChar w:fldCharType="begin"/>
        </w:r>
        <w:r w:rsidR="00B66B50">
          <w:rPr>
            <w:noProof/>
            <w:webHidden/>
          </w:rPr>
          <w:instrText xml:space="preserve"> PAGEREF _Toc420065505 \h </w:instrText>
        </w:r>
        <w:r w:rsidR="00B66B50">
          <w:rPr>
            <w:noProof/>
            <w:webHidden/>
          </w:rPr>
        </w:r>
        <w:r w:rsidR="00B66B50">
          <w:rPr>
            <w:noProof/>
            <w:webHidden/>
          </w:rPr>
          <w:fldChar w:fldCharType="separate"/>
        </w:r>
        <w:r w:rsidR="00294A5A">
          <w:rPr>
            <w:noProof/>
            <w:webHidden/>
          </w:rPr>
          <w:t>42</w:t>
        </w:r>
        <w:r w:rsidR="00B66B50">
          <w:rPr>
            <w:noProof/>
            <w:webHidden/>
          </w:rPr>
          <w:fldChar w:fldCharType="end"/>
        </w:r>
      </w:hyperlink>
    </w:p>
    <w:p w14:paraId="6CB473D6" w14:textId="77777777" w:rsidR="00B66B50" w:rsidRDefault="006A2396">
      <w:pPr>
        <w:pStyle w:val="TableofFigures"/>
        <w:rPr>
          <w:rFonts w:asciiTheme="minorHAnsi" w:eastAsiaTheme="minorEastAsia" w:hAnsiTheme="minorHAnsi" w:cstheme="minorBidi"/>
          <w:noProof/>
          <w:sz w:val="22"/>
        </w:rPr>
      </w:pPr>
      <w:hyperlink w:anchor="_Toc420065506" w:history="1">
        <w:r w:rsidR="00B66B50" w:rsidRPr="00526B25">
          <w:rPr>
            <w:rStyle w:val="Hyperlink"/>
            <w:noProof/>
          </w:rPr>
          <w:t>Table 10</w:t>
        </w:r>
        <w:r w:rsidR="00B66B50">
          <w:rPr>
            <w:rFonts w:asciiTheme="minorHAnsi" w:eastAsiaTheme="minorEastAsia" w:hAnsiTheme="minorHAnsi" w:cstheme="minorBidi"/>
            <w:noProof/>
            <w:sz w:val="22"/>
          </w:rPr>
          <w:tab/>
        </w:r>
        <w:r w:rsidR="00B66B50" w:rsidRPr="00526B25">
          <w:rPr>
            <w:rStyle w:val="Hyperlink"/>
            <w:b/>
            <w:noProof/>
          </w:rPr>
          <w:t>ASCF levels of performance</w:t>
        </w:r>
        <w:r w:rsidR="00B66B50">
          <w:rPr>
            <w:noProof/>
            <w:webHidden/>
          </w:rPr>
          <w:tab/>
        </w:r>
        <w:r w:rsidR="00B66B50">
          <w:rPr>
            <w:noProof/>
            <w:webHidden/>
          </w:rPr>
          <w:fldChar w:fldCharType="begin"/>
        </w:r>
        <w:r w:rsidR="00B66B50">
          <w:rPr>
            <w:noProof/>
            <w:webHidden/>
          </w:rPr>
          <w:instrText xml:space="preserve"> PAGEREF _Toc420065506 \h </w:instrText>
        </w:r>
        <w:r w:rsidR="00B66B50">
          <w:rPr>
            <w:noProof/>
            <w:webHidden/>
          </w:rPr>
        </w:r>
        <w:r w:rsidR="00B66B50">
          <w:rPr>
            <w:noProof/>
            <w:webHidden/>
          </w:rPr>
          <w:fldChar w:fldCharType="separate"/>
        </w:r>
        <w:r w:rsidR="00294A5A">
          <w:rPr>
            <w:noProof/>
            <w:webHidden/>
          </w:rPr>
          <w:t>43</w:t>
        </w:r>
        <w:r w:rsidR="00B66B50">
          <w:rPr>
            <w:noProof/>
            <w:webHidden/>
          </w:rPr>
          <w:fldChar w:fldCharType="end"/>
        </w:r>
      </w:hyperlink>
    </w:p>
    <w:p w14:paraId="61CCC889" w14:textId="77777777" w:rsidR="00B66B50" w:rsidRDefault="006A2396">
      <w:pPr>
        <w:pStyle w:val="TableofFigures"/>
        <w:rPr>
          <w:rFonts w:asciiTheme="minorHAnsi" w:eastAsiaTheme="minorEastAsia" w:hAnsiTheme="minorHAnsi" w:cstheme="minorBidi"/>
          <w:noProof/>
          <w:sz w:val="22"/>
        </w:rPr>
      </w:pPr>
      <w:hyperlink w:anchor="_Toc420065507" w:history="1">
        <w:r w:rsidR="00B66B50" w:rsidRPr="00526B25">
          <w:rPr>
            <w:rStyle w:val="Hyperlink"/>
            <w:noProof/>
          </w:rPr>
          <w:t>Table 11</w:t>
        </w:r>
        <w:r w:rsidR="00B66B50">
          <w:rPr>
            <w:rFonts w:asciiTheme="minorHAnsi" w:eastAsiaTheme="minorEastAsia" w:hAnsiTheme="minorHAnsi" w:cstheme="minorBidi"/>
            <w:noProof/>
            <w:sz w:val="22"/>
          </w:rPr>
          <w:tab/>
        </w:r>
        <w:r w:rsidR="00B66B50" w:rsidRPr="00526B25">
          <w:rPr>
            <w:rStyle w:val="Hyperlink"/>
            <w:b/>
            <w:noProof/>
          </w:rPr>
          <w:t>SEE Provider key performance indicators</w:t>
        </w:r>
        <w:r w:rsidR="00B66B50">
          <w:rPr>
            <w:noProof/>
            <w:webHidden/>
          </w:rPr>
          <w:tab/>
        </w:r>
        <w:r w:rsidR="00B66B50">
          <w:rPr>
            <w:noProof/>
            <w:webHidden/>
          </w:rPr>
          <w:fldChar w:fldCharType="begin"/>
        </w:r>
        <w:r w:rsidR="00B66B50">
          <w:rPr>
            <w:noProof/>
            <w:webHidden/>
          </w:rPr>
          <w:instrText xml:space="preserve"> PAGEREF _Toc420065507 \h </w:instrText>
        </w:r>
        <w:r w:rsidR="00B66B50">
          <w:rPr>
            <w:noProof/>
            <w:webHidden/>
          </w:rPr>
        </w:r>
        <w:r w:rsidR="00B66B50">
          <w:rPr>
            <w:noProof/>
            <w:webHidden/>
          </w:rPr>
          <w:fldChar w:fldCharType="separate"/>
        </w:r>
        <w:r w:rsidR="00294A5A">
          <w:rPr>
            <w:noProof/>
            <w:webHidden/>
          </w:rPr>
          <w:t>70</w:t>
        </w:r>
        <w:r w:rsidR="00B66B50">
          <w:rPr>
            <w:noProof/>
            <w:webHidden/>
          </w:rPr>
          <w:fldChar w:fldCharType="end"/>
        </w:r>
      </w:hyperlink>
    </w:p>
    <w:p w14:paraId="083609E9" w14:textId="77777777" w:rsidR="00B66B50" w:rsidRDefault="006A2396">
      <w:pPr>
        <w:pStyle w:val="TableofFigures"/>
        <w:rPr>
          <w:rFonts w:asciiTheme="minorHAnsi" w:eastAsiaTheme="minorEastAsia" w:hAnsiTheme="minorHAnsi" w:cstheme="minorBidi"/>
          <w:noProof/>
          <w:sz w:val="22"/>
        </w:rPr>
      </w:pPr>
      <w:hyperlink w:anchor="_Toc420065508" w:history="1">
        <w:r w:rsidR="00B66B50" w:rsidRPr="00526B25">
          <w:rPr>
            <w:rStyle w:val="Hyperlink"/>
            <w:noProof/>
          </w:rPr>
          <w:t>Table 12</w:t>
        </w:r>
        <w:r w:rsidR="00B66B50">
          <w:rPr>
            <w:rFonts w:asciiTheme="minorHAnsi" w:eastAsiaTheme="minorEastAsia" w:hAnsiTheme="minorHAnsi" w:cstheme="minorBidi"/>
            <w:noProof/>
            <w:sz w:val="22"/>
          </w:rPr>
          <w:tab/>
        </w:r>
        <w:r w:rsidR="00B66B50" w:rsidRPr="00526B25">
          <w:rPr>
            <w:rStyle w:val="Hyperlink"/>
            <w:b/>
            <w:noProof/>
          </w:rPr>
          <w:t>ASQA audit focus</w:t>
        </w:r>
        <w:r w:rsidR="00B66B50">
          <w:rPr>
            <w:noProof/>
            <w:webHidden/>
          </w:rPr>
          <w:tab/>
        </w:r>
        <w:r w:rsidR="00B66B50">
          <w:rPr>
            <w:noProof/>
            <w:webHidden/>
          </w:rPr>
          <w:fldChar w:fldCharType="begin"/>
        </w:r>
        <w:r w:rsidR="00B66B50">
          <w:rPr>
            <w:noProof/>
            <w:webHidden/>
          </w:rPr>
          <w:instrText xml:space="preserve"> PAGEREF _Toc420065508 \h </w:instrText>
        </w:r>
        <w:r w:rsidR="00B66B50">
          <w:rPr>
            <w:noProof/>
            <w:webHidden/>
          </w:rPr>
        </w:r>
        <w:r w:rsidR="00B66B50">
          <w:rPr>
            <w:noProof/>
            <w:webHidden/>
          </w:rPr>
          <w:fldChar w:fldCharType="separate"/>
        </w:r>
        <w:r w:rsidR="00294A5A">
          <w:rPr>
            <w:noProof/>
            <w:webHidden/>
          </w:rPr>
          <w:t>72</w:t>
        </w:r>
        <w:r w:rsidR="00B66B50">
          <w:rPr>
            <w:noProof/>
            <w:webHidden/>
          </w:rPr>
          <w:fldChar w:fldCharType="end"/>
        </w:r>
      </w:hyperlink>
    </w:p>
    <w:p w14:paraId="074CCBBB" w14:textId="5EE0785C" w:rsidR="00473688" w:rsidRDefault="00473688">
      <w:pPr>
        <w:pStyle w:val="TableofFigures"/>
      </w:pPr>
      <w:r w:rsidRPr="004D18B4">
        <w:fldChar w:fldCharType="end"/>
      </w:r>
    </w:p>
    <w:p w14:paraId="283077F6" w14:textId="77777777" w:rsidR="00473688" w:rsidRDefault="00473688">
      <w:pPr>
        <w:pStyle w:val="BodyText"/>
        <w:sectPr w:rsidR="00473688" w:rsidSect="003C37AA">
          <w:headerReference w:type="even" r:id="rId15"/>
          <w:headerReference w:type="default" r:id="rId16"/>
          <w:footerReference w:type="default" r:id="rId17"/>
          <w:headerReference w:type="first" r:id="rId18"/>
          <w:pgSz w:w="11907" w:h="16839" w:code="9"/>
          <w:pgMar w:top="1134" w:right="850" w:bottom="907" w:left="3118" w:header="709" w:footer="567" w:gutter="567"/>
          <w:pgNumType w:fmt="lowerRoman"/>
          <w:cols w:space="720"/>
          <w:docGrid w:linePitch="272"/>
        </w:sectPr>
      </w:pPr>
    </w:p>
    <w:p w14:paraId="6676E697" w14:textId="77777777" w:rsidR="00473688" w:rsidRDefault="001B016C" w:rsidP="001B016C">
      <w:pPr>
        <w:pStyle w:val="Heading1nonumber"/>
      </w:pPr>
      <w:r>
        <w:lastRenderedPageBreak/>
        <w:t>Acknowledgements</w:t>
      </w:r>
    </w:p>
    <w:p w14:paraId="7A7920F8" w14:textId="55CFAACF" w:rsidR="001B016C" w:rsidRDefault="001B016C" w:rsidP="001B016C">
      <w:pPr>
        <w:pStyle w:val="BodyText"/>
      </w:pPr>
      <w:r>
        <w:t>The project team would like to thank all those who participated in consultations</w:t>
      </w:r>
      <w:r w:rsidR="00AC4F52">
        <w:t>, provided public submissions and comp</w:t>
      </w:r>
      <w:r w:rsidR="00500333">
        <w:t>l</w:t>
      </w:r>
      <w:r w:rsidR="00AC4F52">
        <w:t>eted surveys</w:t>
      </w:r>
      <w:r>
        <w:t xml:space="preserve">. All participants were welcoming and generous with their time, and provided useful and interesting insights into the </w:t>
      </w:r>
      <w:r w:rsidR="007A143E">
        <w:t>SEE programme</w:t>
      </w:r>
      <w:r w:rsidR="009B56B2">
        <w:t>.</w:t>
      </w:r>
    </w:p>
    <w:p w14:paraId="13F2BC70" w14:textId="77777777" w:rsidR="009B56B2" w:rsidRDefault="009B56B2" w:rsidP="003C37AA">
      <w:pPr>
        <w:pStyle w:val="BodyText"/>
        <w:tabs>
          <w:tab w:val="left" w:pos="4643"/>
        </w:tabs>
        <w:sectPr w:rsidR="009B56B2" w:rsidSect="003C37AA">
          <w:pgSz w:w="11907" w:h="16839" w:code="9"/>
          <w:pgMar w:top="1134" w:right="850" w:bottom="907" w:left="3118" w:header="709" w:footer="567" w:gutter="567"/>
          <w:pgNumType w:fmt="lowerRoman"/>
          <w:cols w:space="720"/>
          <w:docGrid w:linePitch="272"/>
        </w:sectPr>
      </w:pPr>
    </w:p>
    <w:p w14:paraId="6233CF5B" w14:textId="77777777" w:rsidR="009B56B2" w:rsidRPr="00661FF5" w:rsidRDefault="009B56B2" w:rsidP="009B56B2">
      <w:pPr>
        <w:keepNext/>
        <w:spacing w:before="300" w:after="0" w:line="240" w:lineRule="auto"/>
        <w:outlineLvl w:val="2"/>
        <w:rPr>
          <w:rFonts w:asciiTheme="majorHAnsi" w:hAnsiTheme="majorHAnsi"/>
          <w:b/>
          <w:color w:val="9757A6" w:themeColor="text2"/>
          <w:sz w:val="36"/>
          <w:szCs w:val="36"/>
          <w:lang w:eastAsia="en-AU"/>
        </w:rPr>
      </w:pPr>
      <w:r w:rsidRPr="00661FF5">
        <w:rPr>
          <w:rFonts w:asciiTheme="majorHAnsi" w:hAnsiTheme="majorHAnsi"/>
          <w:b/>
          <w:color w:val="9757A6" w:themeColor="text2"/>
          <w:sz w:val="36"/>
          <w:szCs w:val="36"/>
          <w:lang w:eastAsia="en-AU"/>
        </w:rPr>
        <w:t>Ac</w:t>
      </w:r>
      <w:r>
        <w:rPr>
          <w:rFonts w:asciiTheme="majorHAnsi" w:hAnsiTheme="majorHAnsi"/>
          <w:b/>
          <w:color w:val="9757A6" w:themeColor="text2"/>
          <w:sz w:val="36"/>
          <w:szCs w:val="36"/>
          <w:lang w:eastAsia="en-AU"/>
        </w:rPr>
        <w:t xml:space="preserve">ronyms </w:t>
      </w:r>
    </w:p>
    <w:p w14:paraId="78A6B883" w14:textId="77777777" w:rsidR="009B56B2" w:rsidRPr="00806743" w:rsidRDefault="009B56B2" w:rsidP="009B56B2">
      <w:pPr>
        <w:spacing w:line="260" w:lineRule="exact"/>
        <w:rPr>
          <w:rFonts w:ascii="Arial Narrow" w:hAnsi="Arial Narrow"/>
          <w:lang w:eastAsia="en-AU"/>
        </w:rPr>
      </w:pPr>
    </w:p>
    <w:tbl>
      <w:tblPr>
        <w:tblW w:w="7513" w:type="dxa"/>
        <w:tblLayout w:type="fixed"/>
        <w:tblCellMar>
          <w:left w:w="142" w:type="dxa"/>
          <w:right w:w="56" w:type="dxa"/>
        </w:tblCellMar>
        <w:tblLook w:val="0000" w:firstRow="0" w:lastRow="0" w:firstColumn="0" w:lastColumn="0" w:noHBand="0" w:noVBand="0"/>
      </w:tblPr>
      <w:tblGrid>
        <w:gridCol w:w="1560"/>
        <w:gridCol w:w="5953"/>
      </w:tblGrid>
      <w:tr w:rsidR="000F0067" w:rsidRPr="00806743" w14:paraId="1A1B9435" w14:textId="77777777" w:rsidTr="00DD6912">
        <w:trPr>
          <w:cantSplit/>
        </w:trPr>
        <w:tc>
          <w:tcPr>
            <w:tcW w:w="1560" w:type="dxa"/>
            <w:shd w:val="clear" w:color="auto" w:fill="auto"/>
          </w:tcPr>
          <w:p w14:paraId="3B5ADBD1" w14:textId="77777777" w:rsidR="000F0067" w:rsidRDefault="000F0067" w:rsidP="00DD6912">
            <w:pPr>
              <w:rPr>
                <w:rFonts w:ascii="Arial Narrow" w:hAnsi="Arial Narrow"/>
              </w:rPr>
            </w:pPr>
            <w:r>
              <w:rPr>
                <w:rFonts w:ascii="Arial Narrow" w:hAnsi="Arial Narrow"/>
              </w:rPr>
              <w:t>ACER</w:t>
            </w:r>
          </w:p>
        </w:tc>
        <w:tc>
          <w:tcPr>
            <w:tcW w:w="5953" w:type="dxa"/>
            <w:shd w:val="clear" w:color="auto" w:fill="auto"/>
          </w:tcPr>
          <w:p w14:paraId="27AFB0BA" w14:textId="77777777" w:rsidR="000F0067" w:rsidRPr="003F37FD" w:rsidRDefault="000F0067" w:rsidP="00DD6912">
            <w:r w:rsidRPr="003F37FD">
              <w:t>Australian Centre for Educational Research</w:t>
            </w:r>
          </w:p>
        </w:tc>
      </w:tr>
      <w:tr w:rsidR="000F0067" w:rsidRPr="00806743" w14:paraId="5D3FE944" w14:textId="77777777" w:rsidTr="00DD6912">
        <w:trPr>
          <w:cantSplit/>
        </w:trPr>
        <w:tc>
          <w:tcPr>
            <w:tcW w:w="1560" w:type="dxa"/>
            <w:shd w:val="clear" w:color="auto" w:fill="auto"/>
          </w:tcPr>
          <w:p w14:paraId="2F11776B" w14:textId="77777777" w:rsidR="000F0067" w:rsidRDefault="000F0067" w:rsidP="00DD6912">
            <w:pPr>
              <w:rPr>
                <w:rFonts w:ascii="Arial Narrow" w:hAnsi="Arial Narrow"/>
              </w:rPr>
            </w:pPr>
            <w:r>
              <w:rPr>
                <w:rFonts w:ascii="Arial Narrow" w:hAnsi="Arial Narrow"/>
              </w:rPr>
              <w:t>ACSF</w:t>
            </w:r>
          </w:p>
        </w:tc>
        <w:tc>
          <w:tcPr>
            <w:tcW w:w="5953" w:type="dxa"/>
            <w:shd w:val="clear" w:color="auto" w:fill="auto"/>
          </w:tcPr>
          <w:p w14:paraId="4C1F0642" w14:textId="77777777" w:rsidR="000F0067" w:rsidRPr="003F37FD" w:rsidRDefault="000F0067" w:rsidP="00DD6912">
            <w:r w:rsidRPr="003F37FD">
              <w:t>Australian Core Skills Framework</w:t>
            </w:r>
          </w:p>
        </w:tc>
      </w:tr>
      <w:tr w:rsidR="000F0067" w:rsidRPr="00806743" w14:paraId="51C877DD" w14:textId="77777777" w:rsidTr="00DD6912">
        <w:trPr>
          <w:cantSplit/>
        </w:trPr>
        <w:tc>
          <w:tcPr>
            <w:tcW w:w="1560" w:type="dxa"/>
            <w:shd w:val="clear" w:color="auto" w:fill="auto"/>
          </w:tcPr>
          <w:p w14:paraId="77E4C6FE" w14:textId="77777777" w:rsidR="000F0067" w:rsidRPr="00806743" w:rsidRDefault="000F0067" w:rsidP="00DD6912">
            <w:pPr>
              <w:rPr>
                <w:rFonts w:ascii="Arial Narrow" w:hAnsi="Arial Narrow"/>
              </w:rPr>
            </w:pPr>
            <w:r>
              <w:rPr>
                <w:rFonts w:ascii="Arial Narrow" w:hAnsi="Arial Narrow"/>
              </w:rPr>
              <w:t>AMEP</w:t>
            </w:r>
          </w:p>
        </w:tc>
        <w:tc>
          <w:tcPr>
            <w:tcW w:w="5953" w:type="dxa"/>
            <w:shd w:val="clear" w:color="auto" w:fill="auto"/>
          </w:tcPr>
          <w:p w14:paraId="1EB2F0B1" w14:textId="77777777" w:rsidR="000F0067" w:rsidRPr="003F37FD" w:rsidRDefault="000F0067" w:rsidP="00DD6912">
            <w:r w:rsidRPr="003F37FD">
              <w:t>Adult Migrant English Program</w:t>
            </w:r>
          </w:p>
        </w:tc>
      </w:tr>
      <w:tr w:rsidR="000F0067" w:rsidRPr="00806743" w14:paraId="70CAAA9B" w14:textId="77777777" w:rsidTr="00DD6912">
        <w:trPr>
          <w:cantSplit/>
        </w:trPr>
        <w:tc>
          <w:tcPr>
            <w:tcW w:w="1560" w:type="dxa"/>
            <w:shd w:val="clear" w:color="auto" w:fill="auto"/>
          </w:tcPr>
          <w:p w14:paraId="12AB30A8" w14:textId="77777777" w:rsidR="000F0067" w:rsidRPr="00806743" w:rsidRDefault="000F0067" w:rsidP="00DD6912">
            <w:pPr>
              <w:rPr>
                <w:rFonts w:ascii="Arial Narrow" w:hAnsi="Arial Narrow"/>
              </w:rPr>
            </w:pPr>
            <w:r>
              <w:rPr>
                <w:rFonts w:ascii="Arial Narrow" w:hAnsi="Arial Narrow"/>
              </w:rPr>
              <w:t>ASQA</w:t>
            </w:r>
          </w:p>
        </w:tc>
        <w:tc>
          <w:tcPr>
            <w:tcW w:w="5953" w:type="dxa"/>
            <w:shd w:val="clear" w:color="auto" w:fill="auto"/>
          </w:tcPr>
          <w:p w14:paraId="4C764890" w14:textId="77777777" w:rsidR="000F0067" w:rsidRPr="003F37FD" w:rsidRDefault="000F0067" w:rsidP="00DD6912">
            <w:r w:rsidRPr="003F37FD">
              <w:t>Australian Skills Quality Authority</w:t>
            </w:r>
          </w:p>
        </w:tc>
      </w:tr>
      <w:tr w:rsidR="000F0067" w:rsidRPr="00806743" w14:paraId="69FA0996" w14:textId="77777777" w:rsidTr="00DD6912">
        <w:trPr>
          <w:cantSplit/>
        </w:trPr>
        <w:tc>
          <w:tcPr>
            <w:tcW w:w="1560" w:type="dxa"/>
            <w:shd w:val="clear" w:color="auto" w:fill="auto"/>
          </w:tcPr>
          <w:p w14:paraId="29FFE489" w14:textId="77777777" w:rsidR="000F0067" w:rsidRDefault="000F0067" w:rsidP="00DD6912">
            <w:pPr>
              <w:rPr>
                <w:rFonts w:ascii="Arial Narrow" w:hAnsi="Arial Narrow"/>
              </w:rPr>
            </w:pPr>
            <w:r>
              <w:t>CALD</w:t>
            </w:r>
          </w:p>
        </w:tc>
        <w:tc>
          <w:tcPr>
            <w:tcW w:w="5953" w:type="dxa"/>
            <w:shd w:val="clear" w:color="auto" w:fill="auto"/>
          </w:tcPr>
          <w:p w14:paraId="58EF28B8" w14:textId="77777777" w:rsidR="000F0067" w:rsidRPr="003F37FD" w:rsidRDefault="000F0067" w:rsidP="00DD6912">
            <w:r w:rsidRPr="003F37FD">
              <w:t>Culturally and Linguistically Diverse</w:t>
            </w:r>
          </w:p>
        </w:tc>
      </w:tr>
      <w:tr w:rsidR="000F0067" w:rsidRPr="00806743" w14:paraId="27A02397" w14:textId="77777777" w:rsidTr="00DD6912">
        <w:trPr>
          <w:cantSplit/>
        </w:trPr>
        <w:tc>
          <w:tcPr>
            <w:tcW w:w="1560" w:type="dxa"/>
            <w:shd w:val="clear" w:color="auto" w:fill="auto"/>
          </w:tcPr>
          <w:p w14:paraId="384EAB2A" w14:textId="77777777" w:rsidR="000F0067" w:rsidRDefault="000F0067" w:rsidP="00DD6912">
            <w:pPr>
              <w:rPr>
                <w:rFonts w:ascii="Arial Narrow" w:hAnsi="Arial Narrow"/>
              </w:rPr>
            </w:pPr>
            <w:r>
              <w:rPr>
                <w:rFonts w:ascii="Arial Narrow" w:hAnsi="Arial Narrow"/>
              </w:rPr>
              <w:t>CGEA</w:t>
            </w:r>
          </w:p>
        </w:tc>
        <w:tc>
          <w:tcPr>
            <w:tcW w:w="5953" w:type="dxa"/>
            <w:shd w:val="clear" w:color="auto" w:fill="auto"/>
          </w:tcPr>
          <w:p w14:paraId="3D0944C6" w14:textId="77777777" w:rsidR="000F0067" w:rsidRPr="003F37FD" w:rsidRDefault="000F0067" w:rsidP="00DD6912">
            <w:r w:rsidRPr="003F37FD">
              <w:t>Certificate in General Education for Adults</w:t>
            </w:r>
          </w:p>
        </w:tc>
      </w:tr>
      <w:tr w:rsidR="000F0067" w:rsidRPr="00806743" w14:paraId="5292886E" w14:textId="77777777" w:rsidTr="00DD6912">
        <w:trPr>
          <w:cantSplit/>
        </w:trPr>
        <w:tc>
          <w:tcPr>
            <w:tcW w:w="1560" w:type="dxa"/>
            <w:shd w:val="clear" w:color="auto" w:fill="auto"/>
          </w:tcPr>
          <w:p w14:paraId="45823285" w14:textId="77777777" w:rsidR="000F0067" w:rsidRDefault="000F0067" w:rsidP="00DD6912">
            <w:pPr>
              <w:rPr>
                <w:rFonts w:ascii="Arial Narrow" w:hAnsi="Arial Narrow"/>
              </w:rPr>
            </w:pPr>
            <w:r>
              <w:rPr>
                <w:rFonts w:ascii="Arial Narrow" w:hAnsi="Arial Narrow"/>
              </w:rPr>
              <w:t>CSVP</w:t>
            </w:r>
          </w:p>
        </w:tc>
        <w:tc>
          <w:tcPr>
            <w:tcW w:w="5953" w:type="dxa"/>
            <w:shd w:val="clear" w:color="auto" w:fill="auto"/>
          </w:tcPr>
          <w:p w14:paraId="2ED8E9EA" w14:textId="77777777" w:rsidR="000F0067" w:rsidRPr="003F37FD" w:rsidRDefault="000F0067" w:rsidP="00DD6912">
            <w:r w:rsidRPr="003F37FD">
              <w:t>Certificate in Skills for Vocational Pathways</w:t>
            </w:r>
          </w:p>
        </w:tc>
      </w:tr>
      <w:tr w:rsidR="000F0067" w:rsidRPr="00806743" w14:paraId="68C38EC3" w14:textId="77777777" w:rsidTr="00DD6912">
        <w:trPr>
          <w:cantSplit/>
        </w:trPr>
        <w:tc>
          <w:tcPr>
            <w:tcW w:w="1560" w:type="dxa"/>
            <w:shd w:val="clear" w:color="auto" w:fill="auto"/>
          </w:tcPr>
          <w:p w14:paraId="5A88B64E" w14:textId="77777777" w:rsidR="000F0067" w:rsidRPr="00806743" w:rsidRDefault="000F0067" w:rsidP="00DD6912">
            <w:pPr>
              <w:rPr>
                <w:rFonts w:ascii="Arial Narrow" w:hAnsi="Arial Narrow"/>
              </w:rPr>
            </w:pPr>
            <w:r>
              <w:rPr>
                <w:rFonts w:ascii="Arial Narrow" w:hAnsi="Arial Narrow"/>
              </w:rPr>
              <w:t>DES</w:t>
            </w:r>
          </w:p>
        </w:tc>
        <w:tc>
          <w:tcPr>
            <w:tcW w:w="5953" w:type="dxa"/>
            <w:shd w:val="clear" w:color="auto" w:fill="auto"/>
          </w:tcPr>
          <w:p w14:paraId="49C6C014" w14:textId="77777777" w:rsidR="000F0067" w:rsidRPr="003F37FD" w:rsidRDefault="000F0067" w:rsidP="00DD6912">
            <w:r w:rsidRPr="003F37FD">
              <w:t>Disability Employment Services</w:t>
            </w:r>
          </w:p>
        </w:tc>
      </w:tr>
      <w:tr w:rsidR="000F0067" w:rsidRPr="00806743" w14:paraId="5FBA1525" w14:textId="77777777" w:rsidTr="00DD6912">
        <w:trPr>
          <w:cantSplit/>
        </w:trPr>
        <w:tc>
          <w:tcPr>
            <w:tcW w:w="1560" w:type="dxa"/>
            <w:shd w:val="clear" w:color="auto" w:fill="auto"/>
          </w:tcPr>
          <w:p w14:paraId="3148C454" w14:textId="77777777" w:rsidR="000F0067" w:rsidRPr="00806743" w:rsidRDefault="000F0067" w:rsidP="00DD6912">
            <w:pPr>
              <w:rPr>
                <w:rFonts w:ascii="Arial Narrow" w:hAnsi="Arial Narrow"/>
              </w:rPr>
            </w:pPr>
            <w:r>
              <w:rPr>
                <w:rFonts w:ascii="Arial Narrow" w:hAnsi="Arial Narrow"/>
              </w:rPr>
              <w:t>DHS</w:t>
            </w:r>
          </w:p>
        </w:tc>
        <w:tc>
          <w:tcPr>
            <w:tcW w:w="5953" w:type="dxa"/>
            <w:shd w:val="clear" w:color="auto" w:fill="auto"/>
          </w:tcPr>
          <w:p w14:paraId="4FA09D29" w14:textId="77777777" w:rsidR="000F0067" w:rsidRPr="003F37FD" w:rsidRDefault="000F0067" w:rsidP="00DD6912">
            <w:r w:rsidRPr="003F37FD">
              <w:t>Department of Human Services</w:t>
            </w:r>
          </w:p>
        </w:tc>
      </w:tr>
      <w:tr w:rsidR="000F0067" w:rsidRPr="00806743" w14:paraId="092A5692" w14:textId="77777777" w:rsidTr="00DD6912">
        <w:trPr>
          <w:cantSplit/>
        </w:trPr>
        <w:tc>
          <w:tcPr>
            <w:tcW w:w="1560" w:type="dxa"/>
            <w:shd w:val="clear" w:color="auto" w:fill="auto"/>
          </w:tcPr>
          <w:p w14:paraId="00CA11D3" w14:textId="77777777" w:rsidR="000F0067" w:rsidRDefault="000F0067" w:rsidP="00DD6912">
            <w:pPr>
              <w:rPr>
                <w:rFonts w:ascii="Arial Narrow" w:hAnsi="Arial Narrow"/>
              </w:rPr>
            </w:pPr>
            <w:r>
              <w:rPr>
                <w:rFonts w:ascii="Arial Narrow" w:hAnsi="Arial Narrow"/>
              </w:rPr>
              <w:t>EPP</w:t>
            </w:r>
          </w:p>
        </w:tc>
        <w:tc>
          <w:tcPr>
            <w:tcW w:w="5953" w:type="dxa"/>
            <w:shd w:val="clear" w:color="auto" w:fill="auto"/>
          </w:tcPr>
          <w:p w14:paraId="631A75E9" w14:textId="77777777" w:rsidR="000F0067" w:rsidRPr="003F37FD" w:rsidRDefault="000F0067" w:rsidP="00DD6912">
            <w:r w:rsidRPr="003F37FD">
              <w:t>Employment Pathway Plan</w:t>
            </w:r>
          </w:p>
        </w:tc>
      </w:tr>
      <w:tr w:rsidR="000F0067" w:rsidRPr="00806743" w14:paraId="778A2E85" w14:textId="77777777" w:rsidTr="00DD6912">
        <w:trPr>
          <w:cantSplit/>
        </w:trPr>
        <w:tc>
          <w:tcPr>
            <w:tcW w:w="1560" w:type="dxa"/>
            <w:shd w:val="clear" w:color="auto" w:fill="auto"/>
          </w:tcPr>
          <w:p w14:paraId="3847E5B2" w14:textId="77777777" w:rsidR="000F0067" w:rsidRDefault="000F0067" w:rsidP="00DD6912">
            <w:pPr>
              <w:rPr>
                <w:rFonts w:ascii="Arial Narrow" w:hAnsi="Arial Narrow"/>
              </w:rPr>
            </w:pPr>
            <w:r>
              <w:rPr>
                <w:rFonts w:ascii="Arial Narrow" w:hAnsi="Arial Narrow"/>
              </w:rPr>
              <w:t>ESL</w:t>
            </w:r>
          </w:p>
        </w:tc>
        <w:tc>
          <w:tcPr>
            <w:tcW w:w="5953" w:type="dxa"/>
            <w:shd w:val="clear" w:color="auto" w:fill="auto"/>
          </w:tcPr>
          <w:p w14:paraId="3943C285" w14:textId="77777777" w:rsidR="000F0067" w:rsidRPr="003F37FD" w:rsidRDefault="000F0067" w:rsidP="00DD6912">
            <w:r w:rsidRPr="003F37FD">
              <w:t>English as a Second Language</w:t>
            </w:r>
          </w:p>
        </w:tc>
      </w:tr>
      <w:tr w:rsidR="000F0067" w:rsidRPr="00806743" w14:paraId="366DB142" w14:textId="77777777" w:rsidTr="00DD6912">
        <w:trPr>
          <w:cantSplit/>
        </w:trPr>
        <w:tc>
          <w:tcPr>
            <w:tcW w:w="1560" w:type="dxa"/>
            <w:shd w:val="clear" w:color="auto" w:fill="auto"/>
          </w:tcPr>
          <w:p w14:paraId="0B27AC17" w14:textId="77777777" w:rsidR="000F0067" w:rsidRPr="00806743" w:rsidRDefault="000F0067" w:rsidP="00DD6912">
            <w:pPr>
              <w:rPr>
                <w:rFonts w:ascii="Arial Narrow" w:hAnsi="Arial Narrow"/>
              </w:rPr>
            </w:pPr>
            <w:r>
              <w:rPr>
                <w:rFonts w:ascii="Arial Narrow" w:hAnsi="Arial Narrow"/>
              </w:rPr>
              <w:t>FSAT</w:t>
            </w:r>
          </w:p>
        </w:tc>
        <w:tc>
          <w:tcPr>
            <w:tcW w:w="5953" w:type="dxa"/>
            <w:shd w:val="clear" w:color="auto" w:fill="auto"/>
          </w:tcPr>
          <w:p w14:paraId="0C01A6EE" w14:textId="77777777" w:rsidR="000F0067" w:rsidRPr="003F37FD" w:rsidRDefault="000F0067" w:rsidP="00DD6912">
            <w:r w:rsidRPr="003F37FD">
              <w:t>Foundation Skills Assessment Tool</w:t>
            </w:r>
          </w:p>
        </w:tc>
      </w:tr>
      <w:tr w:rsidR="000F0067" w:rsidRPr="00806743" w14:paraId="759F55AE" w14:textId="77777777" w:rsidTr="00DD6912">
        <w:trPr>
          <w:cantSplit/>
        </w:trPr>
        <w:tc>
          <w:tcPr>
            <w:tcW w:w="1560" w:type="dxa"/>
            <w:shd w:val="clear" w:color="auto" w:fill="auto"/>
          </w:tcPr>
          <w:p w14:paraId="2935FEAE" w14:textId="77777777" w:rsidR="000F0067" w:rsidRPr="00806743" w:rsidRDefault="000F0067" w:rsidP="00DD6912">
            <w:pPr>
              <w:rPr>
                <w:rFonts w:ascii="Arial Narrow" w:hAnsi="Arial Narrow"/>
              </w:rPr>
            </w:pPr>
            <w:r>
              <w:rPr>
                <w:rFonts w:ascii="Arial Narrow" w:hAnsi="Arial Narrow"/>
              </w:rPr>
              <w:t>ITP</w:t>
            </w:r>
          </w:p>
        </w:tc>
        <w:tc>
          <w:tcPr>
            <w:tcW w:w="5953" w:type="dxa"/>
            <w:shd w:val="clear" w:color="auto" w:fill="auto"/>
          </w:tcPr>
          <w:p w14:paraId="17781A8D" w14:textId="77777777" w:rsidR="000F0067" w:rsidRPr="003F37FD" w:rsidRDefault="000F0067" w:rsidP="00DD6912">
            <w:r w:rsidRPr="003F37FD">
              <w:t>Individual Training Plans</w:t>
            </w:r>
          </w:p>
        </w:tc>
      </w:tr>
      <w:tr w:rsidR="000F0067" w:rsidRPr="00806743" w14:paraId="4EAD1DB9" w14:textId="77777777" w:rsidTr="00DD6912">
        <w:trPr>
          <w:cantSplit/>
        </w:trPr>
        <w:tc>
          <w:tcPr>
            <w:tcW w:w="1560" w:type="dxa"/>
            <w:shd w:val="clear" w:color="auto" w:fill="auto"/>
          </w:tcPr>
          <w:p w14:paraId="7CA6F8D5" w14:textId="0B14F2F4" w:rsidR="000F0067" w:rsidRDefault="000F0067" w:rsidP="00DD6912">
            <w:pPr>
              <w:rPr>
                <w:rFonts w:ascii="Arial Narrow" w:hAnsi="Arial Narrow"/>
              </w:rPr>
            </w:pPr>
            <w:r>
              <w:rPr>
                <w:rFonts w:ascii="Arial Narrow" w:hAnsi="Arial Narrow"/>
              </w:rPr>
              <w:t>J</w:t>
            </w:r>
            <w:r w:rsidR="00E61B87">
              <w:rPr>
                <w:rFonts w:ascii="Arial Narrow" w:hAnsi="Arial Narrow"/>
              </w:rPr>
              <w:t>SC</w:t>
            </w:r>
            <w:r>
              <w:rPr>
                <w:rFonts w:ascii="Arial Narrow" w:hAnsi="Arial Narrow"/>
              </w:rPr>
              <w:t>I</w:t>
            </w:r>
          </w:p>
        </w:tc>
        <w:tc>
          <w:tcPr>
            <w:tcW w:w="5953" w:type="dxa"/>
            <w:shd w:val="clear" w:color="auto" w:fill="auto"/>
          </w:tcPr>
          <w:p w14:paraId="2CA4F08D" w14:textId="77777777" w:rsidR="000F0067" w:rsidRPr="003F37FD" w:rsidRDefault="000F0067" w:rsidP="00DD6912">
            <w:r w:rsidRPr="00C94F0C">
              <w:t>Job Seeker Classification Instrument</w:t>
            </w:r>
          </w:p>
        </w:tc>
      </w:tr>
      <w:tr w:rsidR="000F0067" w:rsidRPr="00806743" w14:paraId="1C53CED3" w14:textId="77777777" w:rsidTr="00DD6912">
        <w:trPr>
          <w:cantSplit/>
        </w:trPr>
        <w:tc>
          <w:tcPr>
            <w:tcW w:w="1560" w:type="dxa"/>
            <w:shd w:val="clear" w:color="auto" w:fill="auto"/>
          </w:tcPr>
          <w:p w14:paraId="625A2D81" w14:textId="77777777" w:rsidR="000F0067" w:rsidRPr="00806743" w:rsidRDefault="000F0067" w:rsidP="00DD6912">
            <w:pPr>
              <w:rPr>
                <w:rFonts w:ascii="Arial Narrow" w:hAnsi="Arial Narrow"/>
              </w:rPr>
            </w:pPr>
            <w:r>
              <w:rPr>
                <w:rFonts w:ascii="Arial Narrow" w:hAnsi="Arial Narrow"/>
              </w:rPr>
              <w:t>JSA</w:t>
            </w:r>
          </w:p>
        </w:tc>
        <w:tc>
          <w:tcPr>
            <w:tcW w:w="5953" w:type="dxa"/>
            <w:shd w:val="clear" w:color="auto" w:fill="auto"/>
          </w:tcPr>
          <w:p w14:paraId="38908BE6" w14:textId="77777777" w:rsidR="000F0067" w:rsidRPr="003F37FD" w:rsidRDefault="000F0067" w:rsidP="00DD6912">
            <w:r w:rsidRPr="003F37FD">
              <w:t>Job Services Australia</w:t>
            </w:r>
          </w:p>
        </w:tc>
      </w:tr>
      <w:tr w:rsidR="000F0067" w:rsidRPr="00806743" w14:paraId="189BA151" w14:textId="77777777" w:rsidTr="00DD6912">
        <w:trPr>
          <w:cantSplit/>
        </w:trPr>
        <w:tc>
          <w:tcPr>
            <w:tcW w:w="1560" w:type="dxa"/>
            <w:shd w:val="clear" w:color="auto" w:fill="auto"/>
          </w:tcPr>
          <w:p w14:paraId="56322714" w14:textId="77777777" w:rsidR="000F0067" w:rsidRPr="00806743" w:rsidRDefault="000F0067" w:rsidP="00DD6912">
            <w:pPr>
              <w:rPr>
                <w:rFonts w:ascii="Arial Narrow" w:hAnsi="Arial Narrow"/>
              </w:rPr>
            </w:pPr>
            <w:r>
              <w:rPr>
                <w:rFonts w:ascii="Arial Narrow" w:hAnsi="Arial Narrow"/>
              </w:rPr>
              <w:t>KPI</w:t>
            </w:r>
          </w:p>
        </w:tc>
        <w:tc>
          <w:tcPr>
            <w:tcW w:w="5953" w:type="dxa"/>
            <w:shd w:val="clear" w:color="auto" w:fill="auto"/>
          </w:tcPr>
          <w:p w14:paraId="5D120D78" w14:textId="77777777" w:rsidR="000F0067" w:rsidRPr="003F37FD" w:rsidRDefault="000F0067" w:rsidP="00DD6912">
            <w:r w:rsidRPr="003F37FD">
              <w:t>Key Performance Indicator</w:t>
            </w:r>
          </w:p>
        </w:tc>
      </w:tr>
      <w:tr w:rsidR="000F0067" w:rsidRPr="00806743" w14:paraId="3119AEDE" w14:textId="77777777" w:rsidTr="00DD6912">
        <w:trPr>
          <w:cantSplit/>
        </w:trPr>
        <w:tc>
          <w:tcPr>
            <w:tcW w:w="1560" w:type="dxa"/>
            <w:shd w:val="clear" w:color="auto" w:fill="auto"/>
          </w:tcPr>
          <w:p w14:paraId="25886968" w14:textId="77777777" w:rsidR="000F0067" w:rsidRPr="00806743" w:rsidRDefault="000F0067" w:rsidP="00DD6912">
            <w:pPr>
              <w:rPr>
                <w:rFonts w:ascii="Arial Narrow" w:hAnsi="Arial Narrow"/>
              </w:rPr>
            </w:pPr>
            <w:r>
              <w:rPr>
                <w:rFonts w:ascii="Arial Narrow" w:hAnsi="Arial Narrow"/>
              </w:rPr>
              <w:t>LLN</w:t>
            </w:r>
          </w:p>
        </w:tc>
        <w:tc>
          <w:tcPr>
            <w:tcW w:w="5953" w:type="dxa"/>
            <w:shd w:val="clear" w:color="auto" w:fill="auto"/>
          </w:tcPr>
          <w:p w14:paraId="7D409178" w14:textId="77777777" w:rsidR="000F0067" w:rsidRPr="003F37FD" w:rsidRDefault="000F0067" w:rsidP="00DD6912">
            <w:r w:rsidRPr="003F37FD">
              <w:t>Language, Literacy and Numeracy</w:t>
            </w:r>
          </w:p>
        </w:tc>
      </w:tr>
      <w:tr w:rsidR="000F0067" w:rsidRPr="00806743" w14:paraId="12D64803" w14:textId="77777777" w:rsidTr="00DD6912">
        <w:trPr>
          <w:cantSplit/>
        </w:trPr>
        <w:tc>
          <w:tcPr>
            <w:tcW w:w="1560" w:type="dxa"/>
            <w:shd w:val="clear" w:color="auto" w:fill="auto"/>
          </w:tcPr>
          <w:p w14:paraId="4156414E" w14:textId="77777777" w:rsidR="000F0067" w:rsidRDefault="000F0067" w:rsidP="00DD6912">
            <w:pPr>
              <w:rPr>
                <w:rFonts w:ascii="Arial Narrow" w:hAnsi="Arial Narrow"/>
              </w:rPr>
            </w:pPr>
            <w:r>
              <w:rPr>
                <w:rFonts w:ascii="Arial Narrow" w:hAnsi="Arial Narrow"/>
              </w:rPr>
              <w:t>LLNP</w:t>
            </w:r>
          </w:p>
        </w:tc>
        <w:tc>
          <w:tcPr>
            <w:tcW w:w="5953" w:type="dxa"/>
            <w:shd w:val="clear" w:color="auto" w:fill="auto"/>
          </w:tcPr>
          <w:p w14:paraId="25143231" w14:textId="77777777" w:rsidR="000F0067" w:rsidRPr="003F37FD" w:rsidRDefault="000F0067" w:rsidP="00DD6912">
            <w:r w:rsidRPr="003F37FD">
              <w:t>Language, Literacy and Numeracy Programme</w:t>
            </w:r>
          </w:p>
        </w:tc>
      </w:tr>
      <w:tr w:rsidR="000F0067" w:rsidRPr="00806743" w14:paraId="040710AF" w14:textId="77777777" w:rsidTr="00DD6912">
        <w:trPr>
          <w:cantSplit/>
        </w:trPr>
        <w:tc>
          <w:tcPr>
            <w:tcW w:w="1560" w:type="dxa"/>
            <w:shd w:val="clear" w:color="auto" w:fill="auto"/>
          </w:tcPr>
          <w:p w14:paraId="41955622" w14:textId="77777777" w:rsidR="000F0067" w:rsidRDefault="000F0067" w:rsidP="00DD6912">
            <w:pPr>
              <w:rPr>
                <w:rFonts w:ascii="Arial Narrow" w:hAnsi="Arial Narrow"/>
              </w:rPr>
            </w:pPr>
            <w:r>
              <w:rPr>
                <w:rFonts w:ascii="Arial Narrow" w:hAnsi="Arial Narrow"/>
              </w:rPr>
              <w:t>LOA</w:t>
            </w:r>
          </w:p>
        </w:tc>
        <w:tc>
          <w:tcPr>
            <w:tcW w:w="5953" w:type="dxa"/>
            <w:shd w:val="clear" w:color="auto" w:fill="auto"/>
          </w:tcPr>
          <w:p w14:paraId="1916354A" w14:textId="77777777" w:rsidR="000F0067" w:rsidRPr="003F37FD" w:rsidRDefault="000F0067" w:rsidP="00DD6912">
            <w:r>
              <w:t>Learning Outcomes Assessment</w:t>
            </w:r>
          </w:p>
        </w:tc>
      </w:tr>
      <w:tr w:rsidR="000F0067" w:rsidRPr="00806743" w14:paraId="022E92CC" w14:textId="77777777" w:rsidTr="00DD6912">
        <w:trPr>
          <w:cantSplit/>
        </w:trPr>
        <w:tc>
          <w:tcPr>
            <w:tcW w:w="1560" w:type="dxa"/>
            <w:shd w:val="clear" w:color="auto" w:fill="auto"/>
          </w:tcPr>
          <w:p w14:paraId="1E17B0EA" w14:textId="77777777" w:rsidR="000F0067" w:rsidRDefault="000F0067" w:rsidP="00DD6912">
            <w:pPr>
              <w:rPr>
                <w:rFonts w:ascii="Arial Narrow" w:hAnsi="Arial Narrow"/>
              </w:rPr>
            </w:pPr>
            <w:r>
              <w:rPr>
                <w:rFonts w:ascii="Arial Narrow" w:hAnsi="Arial Narrow"/>
              </w:rPr>
              <w:t>NARWP</w:t>
            </w:r>
          </w:p>
        </w:tc>
        <w:tc>
          <w:tcPr>
            <w:tcW w:w="5953" w:type="dxa"/>
            <w:shd w:val="clear" w:color="auto" w:fill="auto"/>
          </w:tcPr>
          <w:p w14:paraId="0DEAC259" w14:textId="3A7A15EE" w:rsidR="000F0067" w:rsidRPr="003F37FD" w:rsidRDefault="00DD6912" w:rsidP="00DD6912">
            <w:r w:rsidRPr="003F37FD">
              <w:t>Newly Arrived Residents Waiting Period</w:t>
            </w:r>
          </w:p>
        </w:tc>
      </w:tr>
      <w:tr w:rsidR="000F0067" w:rsidRPr="00806743" w14:paraId="234B4634" w14:textId="77777777" w:rsidTr="00DD6912">
        <w:trPr>
          <w:cantSplit/>
        </w:trPr>
        <w:tc>
          <w:tcPr>
            <w:tcW w:w="1560" w:type="dxa"/>
            <w:shd w:val="clear" w:color="auto" w:fill="auto"/>
          </w:tcPr>
          <w:p w14:paraId="4FC25401" w14:textId="77777777" w:rsidR="000F0067" w:rsidRDefault="000F0067" w:rsidP="00DD6912">
            <w:pPr>
              <w:rPr>
                <w:rFonts w:ascii="Arial Narrow" w:hAnsi="Arial Narrow"/>
              </w:rPr>
            </w:pPr>
            <w:r>
              <w:rPr>
                <w:rFonts w:ascii="Arial Narrow" w:hAnsi="Arial Narrow"/>
              </w:rPr>
              <w:t>NEIS</w:t>
            </w:r>
          </w:p>
        </w:tc>
        <w:tc>
          <w:tcPr>
            <w:tcW w:w="5953" w:type="dxa"/>
            <w:shd w:val="clear" w:color="auto" w:fill="auto"/>
          </w:tcPr>
          <w:p w14:paraId="6D1D9789" w14:textId="77777777" w:rsidR="000F0067" w:rsidRPr="003F37FD" w:rsidRDefault="000F0067" w:rsidP="00DD6912">
            <w:r w:rsidRPr="003F37FD">
              <w:t>New Enterprise Incentive Scheme</w:t>
            </w:r>
          </w:p>
        </w:tc>
      </w:tr>
      <w:tr w:rsidR="000F0067" w:rsidRPr="00806743" w14:paraId="2701CE7E" w14:textId="77777777" w:rsidTr="00DD6912">
        <w:trPr>
          <w:cantSplit/>
        </w:trPr>
        <w:tc>
          <w:tcPr>
            <w:tcW w:w="1560" w:type="dxa"/>
            <w:shd w:val="clear" w:color="auto" w:fill="auto"/>
          </w:tcPr>
          <w:p w14:paraId="19D0EDDE" w14:textId="77777777" w:rsidR="000F0067" w:rsidRDefault="000F0067" w:rsidP="00DD6912">
            <w:pPr>
              <w:rPr>
                <w:rFonts w:ascii="Arial Narrow" w:hAnsi="Arial Narrow"/>
              </w:rPr>
            </w:pPr>
            <w:r>
              <w:rPr>
                <w:rFonts w:ascii="Arial Narrow" w:hAnsi="Arial Narrow"/>
              </w:rPr>
              <w:t>PPF</w:t>
            </w:r>
          </w:p>
        </w:tc>
        <w:tc>
          <w:tcPr>
            <w:tcW w:w="5953" w:type="dxa"/>
            <w:shd w:val="clear" w:color="auto" w:fill="auto"/>
          </w:tcPr>
          <w:p w14:paraId="7F42213B" w14:textId="77777777" w:rsidR="000F0067" w:rsidRPr="003F37FD" w:rsidRDefault="000F0067" w:rsidP="00DD6912">
            <w:r w:rsidRPr="00C746A4">
              <w:t>Provider Performance Framework</w:t>
            </w:r>
          </w:p>
        </w:tc>
      </w:tr>
      <w:tr w:rsidR="000F0067" w:rsidRPr="00806743" w14:paraId="4D83740C" w14:textId="77777777" w:rsidTr="00DD6912">
        <w:trPr>
          <w:cantSplit/>
        </w:trPr>
        <w:tc>
          <w:tcPr>
            <w:tcW w:w="1560" w:type="dxa"/>
            <w:shd w:val="clear" w:color="auto" w:fill="auto"/>
          </w:tcPr>
          <w:p w14:paraId="0B5B8D92" w14:textId="77777777" w:rsidR="000F0067" w:rsidRDefault="000F0067" w:rsidP="00DD6912">
            <w:pPr>
              <w:rPr>
                <w:rFonts w:ascii="Arial Narrow" w:hAnsi="Arial Narrow"/>
              </w:rPr>
            </w:pPr>
            <w:r>
              <w:rPr>
                <w:rFonts w:ascii="Arial Narrow" w:hAnsi="Arial Narrow"/>
              </w:rPr>
              <w:t>PPM</w:t>
            </w:r>
          </w:p>
        </w:tc>
        <w:tc>
          <w:tcPr>
            <w:tcW w:w="5953" w:type="dxa"/>
            <w:shd w:val="clear" w:color="auto" w:fill="auto"/>
          </w:tcPr>
          <w:p w14:paraId="5252CCB1" w14:textId="77777777" w:rsidR="000F0067" w:rsidRPr="003F37FD" w:rsidRDefault="000F0067" w:rsidP="00DD6912">
            <w:r w:rsidRPr="003F37FD">
              <w:t>Post Programme Monitoring</w:t>
            </w:r>
          </w:p>
        </w:tc>
      </w:tr>
      <w:tr w:rsidR="000F0067" w:rsidRPr="00806743" w14:paraId="3034F268" w14:textId="77777777" w:rsidTr="00DD6912">
        <w:trPr>
          <w:cantSplit/>
        </w:trPr>
        <w:tc>
          <w:tcPr>
            <w:tcW w:w="1560" w:type="dxa"/>
            <w:shd w:val="clear" w:color="auto" w:fill="auto"/>
          </w:tcPr>
          <w:p w14:paraId="4707D0B8" w14:textId="77777777" w:rsidR="000F0067" w:rsidRDefault="000F0067" w:rsidP="00DD6912">
            <w:pPr>
              <w:rPr>
                <w:rFonts w:ascii="Arial Narrow" w:hAnsi="Arial Narrow"/>
              </w:rPr>
            </w:pPr>
            <w:r>
              <w:rPr>
                <w:rFonts w:ascii="Arial Narrow" w:hAnsi="Arial Narrow"/>
              </w:rPr>
              <w:t>PTA</w:t>
            </w:r>
          </w:p>
        </w:tc>
        <w:tc>
          <w:tcPr>
            <w:tcW w:w="5953" w:type="dxa"/>
            <w:shd w:val="clear" w:color="auto" w:fill="auto"/>
          </w:tcPr>
          <w:p w14:paraId="11DEECF3" w14:textId="77777777" w:rsidR="000F0067" w:rsidRPr="003F37FD" w:rsidRDefault="000F0067" w:rsidP="00DD6912">
            <w:r w:rsidRPr="003F37FD">
              <w:t>Pre Training Assessment</w:t>
            </w:r>
          </w:p>
        </w:tc>
      </w:tr>
      <w:tr w:rsidR="000F0067" w:rsidRPr="00806743" w14:paraId="547A5714" w14:textId="77777777" w:rsidTr="00DD6912">
        <w:trPr>
          <w:cantSplit/>
        </w:trPr>
        <w:tc>
          <w:tcPr>
            <w:tcW w:w="1560" w:type="dxa"/>
            <w:shd w:val="clear" w:color="auto" w:fill="auto"/>
          </w:tcPr>
          <w:p w14:paraId="7A44483C" w14:textId="77777777" w:rsidR="000F0067" w:rsidRDefault="000F0067" w:rsidP="00DD6912">
            <w:pPr>
              <w:rPr>
                <w:rFonts w:ascii="Arial Narrow" w:hAnsi="Arial Narrow"/>
              </w:rPr>
            </w:pPr>
            <w:r>
              <w:rPr>
                <w:rFonts w:ascii="Arial Narrow" w:hAnsi="Arial Narrow"/>
              </w:rPr>
              <w:t>RA</w:t>
            </w:r>
          </w:p>
        </w:tc>
        <w:tc>
          <w:tcPr>
            <w:tcW w:w="5953" w:type="dxa"/>
            <w:shd w:val="clear" w:color="auto" w:fill="auto"/>
          </w:tcPr>
          <w:p w14:paraId="28941870" w14:textId="77777777" w:rsidR="000F0067" w:rsidRPr="003F37FD" w:rsidRDefault="000F0067" w:rsidP="00DD6912">
            <w:r w:rsidRPr="003F37FD">
              <w:t>Referring Agency</w:t>
            </w:r>
          </w:p>
        </w:tc>
      </w:tr>
      <w:tr w:rsidR="000F0067" w:rsidRPr="00806743" w14:paraId="6CD90EFB" w14:textId="77777777" w:rsidTr="00DD6912">
        <w:trPr>
          <w:cantSplit/>
        </w:trPr>
        <w:tc>
          <w:tcPr>
            <w:tcW w:w="1560" w:type="dxa"/>
            <w:shd w:val="clear" w:color="auto" w:fill="auto"/>
          </w:tcPr>
          <w:p w14:paraId="746B84A9" w14:textId="77777777" w:rsidR="000F0067" w:rsidRDefault="000F0067" w:rsidP="00DD6912">
            <w:pPr>
              <w:rPr>
                <w:rFonts w:ascii="Arial Narrow" w:hAnsi="Arial Narrow"/>
              </w:rPr>
            </w:pPr>
            <w:r>
              <w:rPr>
                <w:rFonts w:ascii="Arial Narrow" w:hAnsi="Arial Narrow"/>
              </w:rPr>
              <w:t>ROGS</w:t>
            </w:r>
          </w:p>
        </w:tc>
        <w:tc>
          <w:tcPr>
            <w:tcW w:w="5953" w:type="dxa"/>
            <w:shd w:val="clear" w:color="auto" w:fill="auto"/>
          </w:tcPr>
          <w:p w14:paraId="5BCD44E6" w14:textId="77777777" w:rsidR="000F0067" w:rsidRPr="003F37FD" w:rsidRDefault="000F0067" w:rsidP="00DD6912">
            <w:r>
              <w:t>Report on Government Services</w:t>
            </w:r>
          </w:p>
        </w:tc>
      </w:tr>
      <w:tr w:rsidR="000F0067" w:rsidRPr="00806743" w14:paraId="57085887" w14:textId="77777777" w:rsidTr="00DD6912">
        <w:trPr>
          <w:cantSplit/>
        </w:trPr>
        <w:tc>
          <w:tcPr>
            <w:tcW w:w="1560" w:type="dxa"/>
            <w:shd w:val="clear" w:color="auto" w:fill="auto"/>
          </w:tcPr>
          <w:p w14:paraId="5E20B4CF" w14:textId="77777777" w:rsidR="000F0067" w:rsidRDefault="000F0067" w:rsidP="00DD6912">
            <w:pPr>
              <w:rPr>
                <w:rFonts w:ascii="Arial Narrow" w:hAnsi="Arial Narrow"/>
              </w:rPr>
            </w:pPr>
            <w:r>
              <w:rPr>
                <w:rFonts w:ascii="Arial Narrow" w:hAnsi="Arial Narrow"/>
              </w:rPr>
              <w:t>RJCP</w:t>
            </w:r>
          </w:p>
        </w:tc>
        <w:tc>
          <w:tcPr>
            <w:tcW w:w="5953" w:type="dxa"/>
            <w:shd w:val="clear" w:color="auto" w:fill="auto"/>
          </w:tcPr>
          <w:p w14:paraId="27C54C2E" w14:textId="77777777" w:rsidR="000F0067" w:rsidRPr="003F37FD" w:rsidRDefault="000F0067" w:rsidP="00DD6912">
            <w:r w:rsidRPr="003F37FD">
              <w:t>Remote Jobs and Communities Programme</w:t>
            </w:r>
          </w:p>
        </w:tc>
      </w:tr>
      <w:tr w:rsidR="000F0067" w:rsidRPr="00806743" w14:paraId="753FB2E0" w14:textId="77777777" w:rsidTr="00DD6912">
        <w:trPr>
          <w:cantSplit/>
        </w:trPr>
        <w:tc>
          <w:tcPr>
            <w:tcW w:w="1560" w:type="dxa"/>
            <w:shd w:val="clear" w:color="auto" w:fill="auto"/>
          </w:tcPr>
          <w:p w14:paraId="76390862" w14:textId="77777777" w:rsidR="000F0067" w:rsidRDefault="000F0067" w:rsidP="00DD6912">
            <w:pPr>
              <w:rPr>
                <w:rFonts w:ascii="Arial Narrow" w:hAnsi="Arial Narrow"/>
              </w:rPr>
            </w:pPr>
            <w:r>
              <w:rPr>
                <w:rFonts w:ascii="Arial Narrow" w:hAnsi="Arial Narrow"/>
              </w:rPr>
              <w:t>RTO</w:t>
            </w:r>
          </w:p>
        </w:tc>
        <w:tc>
          <w:tcPr>
            <w:tcW w:w="5953" w:type="dxa"/>
            <w:shd w:val="clear" w:color="auto" w:fill="auto"/>
          </w:tcPr>
          <w:p w14:paraId="05039389" w14:textId="77777777" w:rsidR="000F0067" w:rsidRPr="003F37FD" w:rsidRDefault="000F0067" w:rsidP="00DD6912">
            <w:r w:rsidRPr="003F37FD">
              <w:t>Registered Training Organisation</w:t>
            </w:r>
          </w:p>
        </w:tc>
      </w:tr>
      <w:tr w:rsidR="000F0067" w:rsidRPr="00806743" w14:paraId="61472BD8" w14:textId="77777777" w:rsidTr="00DD6912">
        <w:trPr>
          <w:cantSplit/>
        </w:trPr>
        <w:tc>
          <w:tcPr>
            <w:tcW w:w="1560" w:type="dxa"/>
            <w:shd w:val="clear" w:color="auto" w:fill="auto"/>
          </w:tcPr>
          <w:p w14:paraId="27BE3FDA" w14:textId="77777777" w:rsidR="000F0067" w:rsidRDefault="000F0067" w:rsidP="00DD6912">
            <w:pPr>
              <w:rPr>
                <w:rFonts w:ascii="Arial Narrow" w:hAnsi="Arial Narrow"/>
              </w:rPr>
            </w:pPr>
            <w:r>
              <w:rPr>
                <w:rFonts w:ascii="Arial Narrow" w:hAnsi="Arial Narrow"/>
              </w:rPr>
              <w:t>SDA</w:t>
            </w:r>
          </w:p>
        </w:tc>
        <w:tc>
          <w:tcPr>
            <w:tcW w:w="5953" w:type="dxa"/>
            <w:shd w:val="clear" w:color="auto" w:fill="auto"/>
          </w:tcPr>
          <w:p w14:paraId="48A44711" w14:textId="77777777" w:rsidR="000F0067" w:rsidRPr="003F37FD" w:rsidRDefault="000F0067" w:rsidP="00DD6912">
            <w:r w:rsidRPr="003F37FD">
              <w:t>Service Delivery Area</w:t>
            </w:r>
          </w:p>
        </w:tc>
      </w:tr>
      <w:tr w:rsidR="000F0067" w:rsidRPr="00806743" w14:paraId="0D96B2B1" w14:textId="77777777" w:rsidTr="00DD6912">
        <w:trPr>
          <w:cantSplit/>
        </w:trPr>
        <w:tc>
          <w:tcPr>
            <w:tcW w:w="1560" w:type="dxa"/>
            <w:shd w:val="clear" w:color="auto" w:fill="auto"/>
          </w:tcPr>
          <w:p w14:paraId="0269E10D" w14:textId="77777777" w:rsidR="000F0067" w:rsidRDefault="000F0067" w:rsidP="00DD6912">
            <w:pPr>
              <w:rPr>
                <w:rFonts w:ascii="Arial Narrow" w:hAnsi="Arial Narrow"/>
              </w:rPr>
            </w:pPr>
            <w:r>
              <w:rPr>
                <w:rFonts w:ascii="Arial Narrow" w:hAnsi="Arial Narrow"/>
              </w:rPr>
              <w:t>SEE</w:t>
            </w:r>
          </w:p>
        </w:tc>
        <w:tc>
          <w:tcPr>
            <w:tcW w:w="5953" w:type="dxa"/>
            <w:shd w:val="clear" w:color="auto" w:fill="auto"/>
          </w:tcPr>
          <w:p w14:paraId="32EB728F" w14:textId="77777777" w:rsidR="000F0067" w:rsidRPr="003F37FD" w:rsidRDefault="000F0067" w:rsidP="00DD6912">
            <w:r w:rsidRPr="003F37FD">
              <w:t>Skills for Education and Employment</w:t>
            </w:r>
          </w:p>
        </w:tc>
      </w:tr>
      <w:tr w:rsidR="000F0067" w:rsidRPr="00806743" w14:paraId="3C87436A" w14:textId="77777777" w:rsidTr="00DD6912">
        <w:trPr>
          <w:cantSplit/>
        </w:trPr>
        <w:tc>
          <w:tcPr>
            <w:tcW w:w="1560" w:type="dxa"/>
            <w:shd w:val="clear" w:color="auto" w:fill="auto"/>
          </w:tcPr>
          <w:p w14:paraId="6951F981" w14:textId="77777777" w:rsidR="000F0067" w:rsidRDefault="000F0067" w:rsidP="00DD6912">
            <w:pPr>
              <w:rPr>
                <w:rFonts w:ascii="Arial Narrow" w:hAnsi="Arial Narrow"/>
              </w:rPr>
            </w:pPr>
            <w:r>
              <w:t>SGT</w:t>
            </w:r>
          </w:p>
        </w:tc>
        <w:tc>
          <w:tcPr>
            <w:tcW w:w="5953" w:type="dxa"/>
            <w:shd w:val="clear" w:color="auto" w:fill="auto"/>
          </w:tcPr>
          <w:p w14:paraId="08DDB577" w14:textId="77777777" w:rsidR="000F0067" w:rsidRPr="003F37FD" w:rsidRDefault="000F0067" w:rsidP="00DD6912">
            <w:r>
              <w:t>Small Group Training</w:t>
            </w:r>
          </w:p>
        </w:tc>
      </w:tr>
      <w:tr w:rsidR="000F0067" w:rsidRPr="00806743" w14:paraId="5D8BC31A" w14:textId="77777777" w:rsidTr="00DD6912">
        <w:trPr>
          <w:cantSplit/>
        </w:trPr>
        <w:tc>
          <w:tcPr>
            <w:tcW w:w="1560" w:type="dxa"/>
            <w:shd w:val="clear" w:color="auto" w:fill="auto"/>
          </w:tcPr>
          <w:p w14:paraId="2C32014A" w14:textId="77777777" w:rsidR="000F0067" w:rsidRDefault="000F0067" w:rsidP="00DD6912">
            <w:pPr>
              <w:rPr>
                <w:rFonts w:ascii="Arial Narrow" w:hAnsi="Arial Narrow"/>
              </w:rPr>
            </w:pPr>
            <w:r>
              <w:rPr>
                <w:rFonts w:ascii="Arial Narrow" w:hAnsi="Arial Narrow"/>
              </w:rPr>
              <w:t>USI</w:t>
            </w:r>
          </w:p>
        </w:tc>
        <w:tc>
          <w:tcPr>
            <w:tcW w:w="5953" w:type="dxa"/>
            <w:shd w:val="clear" w:color="auto" w:fill="auto"/>
          </w:tcPr>
          <w:p w14:paraId="15684E2D" w14:textId="77777777" w:rsidR="000F0067" w:rsidRPr="003F37FD" w:rsidRDefault="000F0067" w:rsidP="00DD6912">
            <w:r w:rsidRPr="00DD6912">
              <w:t>Unique Student Identifier</w:t>
            </w:r>
          </w:p>
        </w:tc>
      </w:tr>
      <w:tr w:rsidR="000F0067" w:rsidRPr="00806743" w14:paraId="25263DF3" w14:textId="77777777" w:rsidTr="00DD6912">
        <w:trPr>
          <w:cantSplit/>
        </w:trPr>
        <w:tc>
          <w:tcPr>
            <w:tcW w:w="1560" w:type="dxa"/>
            <w:shd w:val="clear" w:color="auto" w:fill="auto"/>
          </w:tcPr>
          <w:p w14:paraId="55C8A379" w14:textId="77777777" w:rsidR="000F0067" w:rsidRPr="00806743" w:rsidRDefault="000F0067" w:rsidP="00DD6912">
            <w:pPr>
              <w:rPr>
                <w:rFonts w:ascii="Arial Narrow" w:hAnsi="Arial Narrow"/>
              </w:rPr>
            </w:pPr>
            <w:r>
              <w:rPr>
                <w:rFonts w:ascii="Arial Narrow" w:hAnsi="Arial Narrow"/>
              </w:rPr>
              <w:t>USIQ</w:t>
            </w:r>
          </w:p>
        </w:tc>
        <w:tc>
          <w:tcPr>
            <w:tcW w:w="5953" w:type="dxa"/>
            <w:shd w:val="clear" w:color="auto" w:fill="auto"/>
          </w:tcPr>
          <w:p w14:paraId="0D34296F" w14:textId="77777777" w:rsidR="000F0067" w:rsidRPr="003F37FD" w:rsidRDefault="000F0067" w:rsidP="00DD6912">
            <w:r w:rsidRPr="003F37FD">
              <w:t>Underpinning Skills for Industry Qualifications</w:t>
            </w:r>
          </w:p>
        </w:tc>
      </w:tr>
      <w:tr w:rsidR="000F0067" w:rsidRPr="00806743" w14:paraId="0B58B220" w14:textId="77777777" w:rsidTr="00DD6912">
        <w:trPr>
          <w:cantSplit/>
        </w:trPr>
        <w:tc>
          <w:tcPr>
            <w:tcW w:w="1560" w:type="dxa"/>
            <w:shd w:val="clear" w:color="auto" w:fill="auto"/>
          </w:tcPr>
          <w:p w14:paraId="472356B6" w14:textId="77777777" w:rsidR="000F0067" w:rsidRPr="00806743" w:rsidRDefault="000F0067" w:rsidP="00DD6912">
            <w:pPr>
              <w:rPr>
                <w:rFonts w:ascii="Arial Narrow" w:hAnsi="Arial Narrow"/>
              </w:rPr>
            </w:pPr>
            <w:r>
              <w:rPr>
                <w:rFonts w:ascii="Arial Narrow" w:hAnsi="Arial Narrow"/>
              </w:rPr>
              <w:t>WELL</w:t>
            </w:r>
          </w:p>
        </w:tc>
        <w:tc>
          <w:tcPr>
            <w:tcW w:w="5953" w:type="dxa"/>
            <w:shd w:val="clear" w:color="auto" w:fill="auto"/>
          </w:tcPr>
          <w:p w14:paraId="31C2703D" w14:textId="77777777" w:rsidR="000F0067" w:rsidRPr="003F37FD" w:rsidRDefault="000F0067" w:rsidP="00DD6912">
            <w:r w:rsidRPr="003F37FD">
              <w:t>Workplace English Language and Literacy</w:t>
            </w:r>
          </w:p>
        </w:tc>
      </w:tr>
    </w:tbl>
    <w:p w14:paraId="41F6B934" w14:textId="77777777" w:rsidR="00473688" w:rsidRDefault="00473688" w:rsidP="003C37AA">
      <w:pPr>
        <w:pStyle w:val="BodyText"/>
        <w:tabs>
          <w:tab w:val="left" w:pos="4643"/>
        </w:tabs>
      </w:pPr>
    </w:p>
    <w:p w14:paraId="312BC99F" w14:textId="77777777" w:rsidR="00473688" w:rsidRDefault="00473688" w:rsidP="003C37AA">
      <w:pPr>
        <w:pStyle w:val="BodyText"/>
      </w:pPr>
    </w:p>
    <w:p w14:paraId="77E2A868" w14:textId="77777777" w:rsidR="00473688" w:rsidRPr="00561CA2" w:rsidRDefault="00473688" w:rsidP="003C37AA">
      <w:pPr>
        <w:pStyle w:val="BodyText"/>
        <w:sectPr w:rsidR="00473688" w:rsidRPr="00561CA2" w:rsidSect="003C37AA">
          <w:pgSz w:w="11907" w:h="16839" w:code="9"/>
          <w:pgMar w:top="1134" w:right="850" w:bottom="907" w:left="3118" w:header="709" w:footer="567" w:gutter="567"/>
          <w:pgNumType w:fmt="lowerRoman"/>
          <w:cols w:space="720"/>
          <w:docGrid w:linePitch="272"/>
        </w:sectPr>
      </w:pPr>
    </w:p>
    <w:p w14:paraId="4D63A134" w14:textId="77777777" w:rsidR="00473688" w:rsidRPr="00100621" w:rsidRDefault="00473688" w:rsidP="00BE502F">
      <w:pPr>
        <w:pStyle w:val="ExecSummaryHeading"/>
      </w:pPr>
      <w:bookmarkStart w:id="3" w:name="_Toc358810294"/>
      <w:bookmarkStart w:id="4" w:name="_Toc420065425"/>
      <w:r w:rsidRPr="00100621">
        <w:t>Executive summary</w:t>
      </w:r>
      <w:bookmarkEnd w:id="3"/>
      <w:bookmarkEnd w:id="4"/>
    </w:p>
    <w:p w14:paraId="04BA7ED4" w14:textId="77777777" w:rsidR="00E34493" w:rsidRDefault="00E34493" w:rsidP="00E34493">
      <w:pPr>
        <w:pStyle w:val="Heading2nonumber"/>
      </w:pPr>
      <w:r>
        <w:t xml:space="preserve">Background </w:t>
      </w:r>
    </w:p>
    <w:p w14:paraId="01A03BF3" w14:textId="2FE61CCE" w:rsidR="00E34493" w:rsidRDefault="00E34493" w:rsidP="00E34493">
      <w:pPr>
        <w:pStyle w:val="BodyText"/>
      </w:pPr>
      <w:r>
        <w:t xml:space="preserve">The </w:t>
      </w:r>
      <w:r w:rsidR="008D0896">
        <w:t>Australian Government</w:t>
      </w:r>
      <w:r>
        <w:t xml:space="preserve"> Department of Education and Training has commissioned ACIL Allen Consulting to conduct an evaluation of </w:t>
      </w:r>
      <w:r w:rsidR="00DA1222">
        <w:t xml:space="preserve">the Skills for </w:t>
      </w:r>
      <w:r w:rsidR="005562AB">
        <w:t>Education and Employment (SEE) p</w:t>
      </w:r>
      <w:r w:rsidR="00DA1222">
        <w:t>rogramme</w:t>
      </w:r>
      <w:r>
        <w:t>, in tandem with an evaluation of</w:t>
      </w:r>
      <w:r w:rsidR="00DA1222">
        <w:t xml:space="preserve"> the Adult Migrant English Program (AMEP)</w:t>
      </w:r>
      <w:r>
        <w:t xml:space="preserve">. </w:t>
      </w:r>
    </w:p>
    <w:p w14:paraId="7B287DD7" w14:textId="21BEE2CF" w:rsidR="00E34493" w:rsidRDefault="00E34493" w:rsidP="00E34493">
      <w:pPr>
        <w:pStyle w:val="BodyText"/>
      </w:pPr>
      <w:r>
        <w:t xml:space="preserve">The evaluations are timely in that the </w:t>
      </w:r>
      <w:r w:rsidR="00DA1222">
        <w:t xml:space="preserve">SEE </w:t>
      </w:r>
      <w:r w:rsidR="00147674">
        <w:t xml:space="preserve">programme </w:t>
      </w:r>
      <w:r w:rsidRPr="00B6727E">
        <w:t>moved to a new business model in 2011</w:t>
      </w:r>
      <w:r>
        <w:t>,</w:t>
      </w:r>
      <w:r w:rsidRPr="00B6727E">
        <w:t xml:space="preserve"> </w:t>
      </w:r>
      <w:r>
        <w:t>and the recent co</w:t>
      </w:r>
      <w:r w:rsidR="00147674">
        <w:t>-</w:t>
      </w:r>
      <w:r>
        <w:t xml:space="preserve">location </w:t>
      </w:r>
      <w:r w:rsidR="008877D9">
        <w:t xml:space="preserve">of </w:t>
      </w:r>
      <w:r>
        <w:t xml:space="preserve">the </w:t>
      </w:r>
      <w:r w:rsidR="006A28F2">
        <w:t xml:space="preserve">SEE </w:t>
      </w:r>
      <w:r w:rsidR="00147674">
        <w:t xml:space="preserve">programme </w:t>
      </w:r>
      <w:r w:rsidR="00DA1222">
        <w:t xml:space="preserve">and </w:t>
      </w:r>
      <w:r w:rsidR="005562AB">
        <w:t xml:space="preserve">the </w:t>
      </w:r>
      <w:r w:rsidR="00DA1222">
        <w:t xml:space="preserve">AMEP </w:t>
      </w:r>
      <w:r>
        <w:t xml:space="preserve">within </w:t>
      </w:r>
      <w:r w:rsidRPr="00B6727E">
        <w:t xml:space="preserve">the </w:t>
      </w:r>
      <w:r>
        <w:t xml:space="preserve">Department of Education and Training provides an opportunity to explore potential synergies and the strategic alignment between </w:t>
      </w:r>
      <w:r w:rsidRPr="00B6727E">
        <w:t>the</w:t>
      </w:r>
      <w:r>
        <w:t xml:space="preserve"> two </w:t>
      </w:r>
      <w:r w:rsidR="00956392">
        <w:t>programmes</w:t>
      </w:r>
      <w:r w:rsidRPr="00B6727E">
        <w:t>.</w:t>
      </w:r>
    </w:p>
    <w:p w14:paraId="205DDB17" w14:textId="77777777" w:rsidR="00757900" w:rsidRDefault="00E34493" w:rsidP="00757900">
      <w:pPr>
        <w:pStyle w:val="BodyText"/>
      </w:pPr>
      <w:r>
        <w:t xml:space="preserve">As a consequence this is one of </w:t>
      </w:r>
      <w:r w:rsidR="0040152E">
        <w:t>three</w:t>
      </w:r>
      <w:r>
        <w:t xml:space="preserve"> reports which can be read individually but are also inter-related:</w:t>
      </w:r>
    </w:p>
    <w:p w14:paraId="6C6CF6F9" w14:textId="46D715DA" w:rsidR="00E34493" w:rsidRDefault="00154EB0" w:rsidP="00E34493">
      <w:pPr>
        <w:pStyle w:val="ListDash"/>
      </w:pPr>
      <w:r>
        <w:t>t</w:t>
      </w:r>
      <w:r w:rsidR="00E34493">
        <w:t xml:space="preserve">he </w:t>
      </w:r>
      <w:r w:rsidR="007A143E">
        <w:t xml:space="preserve">SEE </w:t>
      </w:r>
      <w:r w:rsidR="00AB2154">
        <w:t>P</w:t>
      </w:r>
      <w:r w:rsidR="007A143E">
        <w:t>rogramme</w:t>
      </w:r>
      <w:r w:rsidR="006A28F2">
        <w:t xml:space="preserve"> </w:t>
      </w:r>
      <w:r w:rsidR="00E34493">
        <w:t xml:space="preserve">Evaluation Report </w:t>
      </w:r>
      <w:r w:rsidR="0040152E">
        <w:t>(this report)</w:t>
      </w:r>
    </w:p>
    <w:p w14:paraId="3165820A" w14:textId="27F52C16" w:rsidR="00DA1222" w:rsidRDefault="00154EB0" w:rsidP="00DA1222">
      <w:pPr>
        <w:pStyle w:val="ListDash"/>
      </w:pPr>
      <w:r>
        <w:t>t</w:t>
      </w:r>
      <w:r w:rsidR="00DA1222">
        <w:t xml:space="preserve">he AMEP Evaluation Report </w:t>
      </w:r>
    </w:p>
    <w:p w14:paraId="2B4B91E3" w14:textId="1F9C817E" w:rsidR="00E34493" w:rsidRDefault="00154EB0" w:rsidP="00E34493">
      <w:pPr>
        <w:pStyle w:val="ListDash"/>
      </w:pPr>
      <w:r>
        <w:t>t</w:t>
      </w:r>
      <w:r w:rsidR="00E34493">
        <w:t xml:space="preserve">he AMEP </w:t>
      </w:r>
      <w:r w:rsidR="00D17151">
        <w:t>&amp;</w:t>
      </w:r>
      <w:r w:rsidR="00E34493">
        <w:t xml:space="preserve"> </w:t>
      </w:r>
      <w:r w:rsidR="00AB2154">
        <w:t>SEE P</w:t>
      </w:r>
      <w:r w:rsidR="007A143E">
        <w:t>rogramme</w:t>
      </w:r>
      <w:r w:rsidR="006A28F2">
        <w:t xml:space="preserve"> </w:t>
      </w:r>
      <w:r w:rsidR="00E34493">
        <w:t>Alignment Report.</w:t>
      </w:r>
    </w:p>
    <w:p w14:paraId="0D288CCE" w14:textId="091FCD3E" w:rsidR="00E34493" w:rsidRDefault="00E34493" w:rsidP="00E34493">
      <w:pPr>
        <w:pStyle w:val="Heading2nonumber"/>
      </w:pPr>
      <w:r>
        <w:t xml:space="preserve">The </w:t>
      </w:r>
      <w:r w:rsidR="0040152E">
        <w:t xml:space="preserve">SEE </w:t>
      </w:r>
      <w:r w:rsidR="00147674">
        <w:t>p</w:t>
      </w:r>
      <w:r w:rsidR="0040152E">
        <w:t>rogramme</w:t>
      </w:r>
    </w:p>
    <w:p w14:paraId="67AE7E6B" w14:textId="24116684" w:rsidR="00E34493" w:rsidRDefault="00844F77" w:rsidP="00E34493">
      <w:pPr>
        <w:pStyle w:val="BodyText"/>
      </w:pPr>
      <w:r>
        <w:t xml:space="preserve">The SEE </w:t>
      </w:r>
      <w:r w:rsidR="00147674">
        <w:t xml:space="preserve">programme </w:t>
      </w:r>
      <w:r>
        <w:t xml:space="preserve">commenced in 2013 as the continuation of the </w:t>
      </w:r>
      <w:r w:rsidRPr="001937B8">
        <w:t xml:space="preserve">Language, Literacy and Numeracy </w:t>
      </w:r>
      <w:r>
        <w:t>Programme (LLNP). SEE is the Australian Government’s primary programme for helping eligible job seekers to improve their language, literacy and numeracy (LLN) skills with the expectation that such improvements will enable them to participate more effectively in training or in the labour force</w:t>
      </w:r>
      <w:r w:rsidR="008877D9">
        <w:t xml:space="preserve"> </w:t>
      </w:r>
      <w:r w:rsidR="00D06994" w:rsidRPr="001937B8">
        <w:t xml:space="preserve">and lead to greater long-term gains for </w:t>
      </w:r>
      <w:r w:rsidR="00D06994">
        <w:t>the economy and the community more broadly.</w:t>
      </w:r>
    </w:p>
    <w:p w14:paraId="52F37F80" w14:textId="4A96A920" w:rsidR="00844F77" w:rsidRDefault="00147674" w:rsidP="00844F77">
      <w:pPr>
        <w:pStyle w:val="BodyText"/>
      </w:pPr>
      <w:r>
        <w:t>SEE programme</w:t>
      </w:r>
      <w:r w:rsidR="006A28F2">
        <w:t xml:space="preserve"> </w:t>
      </w:r>
      <w:r w:rsidR="00844F77">
        <w:t xml:space="preserve">clients can access </w:t>
      </w:r>
      <w:r w:rsidR="00844F77" w:rsidRPr="003B3D0A">
        <w:t>up to 800 hours of free training which can be undertaken on a part-time (10 to 19 hours per week) or full-time (20 to 25 hours per week) basis over no more than a two year period</w:t>
      </w:r>
      <w:r w:rsidR="00844F77">
        <w:t>.</w:t>
      </w:r>
      <w:r w:rsidR="00844F77" w:rsidRPr="00971A47">
        <w:t xml:space="preserve"> </w:t>
      </w:r>
      <w:r w:rsidR="00844F77" w:rsidRPr="003B3D0A">
        <w:t xml:space="preserve">The </w:t>
      </w:r>
      <w:r w:rsidR="00844F77">
        <w:t xml:space="preserve">programme </w:t>
      </w:r>
      <w:r w:rsidR="00844F77" w:rsidRPr="003B3D0A">
        <w:t>provides initial, basic and advanced accredited English language training, as well as basic and advanced literacy and numeracy training.</w:t>
      </w:r>
      <w:r w:rsidR="00844F77" w:rsidRPr="00971A47">
        <w:t xml:space="preserve"> The number of </w:t>
      </w:r>
      <w:r w:rsidR="00844F77">
        <w:t xml:space="preserve">training </w:t>
      </w:r>
      <w:r w:rsidR="00844F77" w:rsidRPr="00971A47">
        <w:t>hours undertaken</w:t>
      </w:r>
      <w:r w:rsidR="00844F77">
        <w:t xml:space="preserve"> weekly</w:t>
      </w:r>
      <w:r w:rsidR="00844F77" w:rsidRPr="00971A47">
        <w:t xml:space="preserve"> by each client is set out in </w:t>
      </w:r>
      <w:r w:rsidR="00844F77">
        <w:t>Individual Training Plans (ITP).</w:t>
      </w:r>
    </w:p>
    <w:p w14:paraId="626F3454" w14:textId="50D59785" w:rsidR="00844F77" w:rsidRDefault="00844F77" w:rsidP="00844F77">
      <w:pPr>
        <w:pStyle w:val="BodyText"/>
      </w:pPr>
      <w:r>
        <w:t>Clients are offered one of three streams of training based on their assessment results:</w:t>
      </w:r>
    </w:p>
    <w:p w14:paraId="5F376AC2" w14:textId="3CED22AD" w:rsidR="00844F77" w:rsidRDefault="00844F77" w:rsidP="00844F77">
      <w:pPr>
        <w:pStyle w:val="ListDash"/>
      </w:pPr>
      <w:r w:rsidRPr="00D8282B">
        <w:rPr>
          <w:i/>
        </w:rPr>
        <w:t>Initial Language stream</w:t>
      </w:r>
      <w:r>
        <w:t xml:space="preserve"> – is designed solely for clients whose first language is not English and who</w:t>
      </w:r>
      <w:r w:rsidR="00967055">
        <w:t>,</w:t>
      </w:r>
      <w:r>
        <w:t xml:space="preserve"> at the time of the Pre Training Assessment (PTA), achieve Australian Core Skills Framework (ACSF) Level 1 or below in all ACSF reading and oral communication indicators.</w:t>
      </w:r>
    </w:p>
    <w:p w14:paraId="6C07720F" w14:textId="4DEFF008" w:rsidR="00844F77" w:rsidRDefault="00844F77" w:rsidP="00844F77">
      <w:pPr>
        <w:pStyle w:val="ListDash"/>
      </w:pPr>
      <w:r w:rsidRPr="00D8282B">
        <w:rPr>
          <w:i/>
        </w:rPr>
        <w:t>Basic Language, Literacy and Numeracy stream</w:t>
      </w:r>
      <w:r>
        <w:t xml:space="preserve"> – accommodates the needs of </w:t>
      </w:r>
      <w:r w:rsidR="003144DF">
        <w:t xml:space="preserve">all </w:t>
      </w:r>
      <w:r>
        <w:t>language and literacy/numeracy clients and focuses on consolidating functional LLN skills.</w:t>
      </w:r>
    </w:p>
    <w:p w14:paraId="74AFA4A1" w14:textId="77777777" w:rsidR="00844F77" w:rsidRDefault="00844F77" w:rsidP="00844F77">
      <w:pPr>
        <w:pStyle w:val="ListDash"/>
      </w:pPr>
      <w:r w:rsidRPr="00D8282B">
        <w:rPr>
          <w:i/>
        </w:rPr>
        <w:t>Advanced Language, Literacy and Numeracy stream</w:t>
      </w:r>
      <w:r>
        <w:t xml:space="preserve"> – accommodates both language and literacy/numeracy clients who have higher ACSF scores than those in the Basic stream. These clients generally achieve between ACSF Levels 3 and 5 in reading, writing and oral communication.</w:t>
      </w:r>
    </w:p>
    <w:p w14:paraId="114BA602" w14:textId="2C3E6FD4" w:rsidR="00844F77" w:rsidRDefault="00844F77" w:rsidP="00844F77">
      <w:pPr>
        <w:pStyle w:val="BodyText"/>
      </w:pPr>
      <w:r>
        <w:t>Finding employment after undertaking the program</w:t>
      </w:r>
      <w:r w:rsidR="00940361">
        <w:t>me</w:t>
      </w:r>
      <w:r>
        <w:t>’s training is the ultimate measure of success, however, attainment is also important. Attainment is measured by comparing the client’s LLN improvements in ACSF indicators from their PTA to the later assessments during and at the end of their training.</w:t>
      </w:r>
    </w:p>
    <w:p w14:paraId="000D282F" w14:textId="77777777" w:rsidR="00E34493" w:rsidRDefault="00E34493" w:rsidP="00E34493">
      <w:pPr>
        <w:pStyle w:val="Heading2nonumber"/>
      </w:pPr>
      <w:r>
        <w:t>Evaluation approach</w:t>
      </w:r>
    </w:p>
    <w:p w14:paraId="13CB3EC3" w14:textId="23BD7402" w:rsidR="00E34493" w:rsidRDefault="00E34493" w:rsidP="00E34493">
      <w:pPr>
        <w:pStyle w:val="BodyText"/>
      </w:pPr>
      <w:r>
        <w:t>The evaluation has been designed around a set of research questions examining the appropriateness, effectiveness, efficiency, and performance management of the</w:t>
      </w:r>
      <w:r w:rsidR="0025173F">
        <w:t xml:space="preserve"> </w:t>
      </w:r>
      <w:r w:rsidR="007A143E">
        <w:t>SEE programme</w:t>
      </w:r>
      <w:r>
        <w:t>. The research questions are broad ranging, covering the design of the program</w:t>
      </w:r>
      <w:r w:rsidR="003144DF">
        <w:t>me</w:t>
      </w:r>
      <w:r>
        <w:t xml:space="preserve">, its systems for tracking against achievement of </w:t>
      </w:r>
      <w:r w:rsidR="004607CB">
        <w:t xml:space="preserve">programme </w:t>
      </w:r>
      <w:r>
        <w:t xml:space="preserve">objectives, as well as operational monitoring and reporting, and its performance in delivering services to meet client needs. </w:t>
      </w:r>
    </w:p>
    <w:p w14:paraId="77336E58" w14:textId="120D50D4" w:rsidR="00E34493" w:rsidRDefault="00E34493" w:rsidP="00E34493">
      <w:pPr>
        <w:pStyle w:val="BodyText"/>
      </w:pPr>
      <w:r>
        <w:t>The evaluation sought evidence from multiple sources involving a scan of programme documentation, analysis of programme administrative and operational data, and extensive consultation with stakeholders across all states and territories comprising interviews, focus groups, surveys and a public submission process. The nature of the evaluation has necessitated seeking input from multiple perspectives</w:t>
      </w:r>
      <w:r w:rsidR="00940361">
        <w:t xml:space="preserve"> –</w:t>
      </w:r>
      <w:r w:rsidR="00967055">
        <w:t xml:space="preserve"> </w:t>
      </w:r>
      <w:r>
        <w:t xml:space="preserve">from </w:t>
      </w:r>
      <w:r w:rsidR="004607CB">
        <w:t xml:space="preserve">programme </w:t>
      </w:r>
      <w:r>
        <w:t>administrators, contracted providers and clients. The evaluation’s findings and recommendations have also been informed by a review of relevant good practices in national and international literature.</w:t>
      </w:r>
    </w:p>
    <w:p w14:paraId="0B1D139C" w14:textId="77777777" w:rsidR="00E34493" w:rsidRDefault="00E34493" w:rsidP="00E34493">
      <w:pPr>
        <w:pStyle w:val="Heading2nonumber"/>
      </w:pPr>
      <w:r>
        <w:t xml:space="preserve">Findings and areas for further consideration </w:t>
      </w:r>
    </w:p>
    <w:p w14:paraId="3A6004CE" w14:textId="0F9BC2A3" w:rsidR="00DB4FA4" w:rsidRDefault="00E34493" w:rsidP="00E34493">
      <w:pPr>
        <w:pStyle w:val="BodyText"/>
      </w:pPr>
      <w:r>
        <w:t>The evaluation findings indicate that</w:t>
      </w:r>
      <w:r w:rsidR="00967055">
        <w:t>,</w:t>
      </w:r>
      <w:r>
        <w:t xml:space="preserve"> overall</w:t>
      </w:r>
      <w:r w:rsidR="00967055">
        <w:t>,</w:t>
      </w:r>
      <w:r>
        <w:t xml:space="preserve"> </w:t>
      </w:r>
      <w:r w:rsidR="00AB2154">
        <w:t xml:space="preserve">the </w:t>
      </w:r>
      <w:r w:rsidR="00DB4FA4">
        <w:t>SEE</w:t>
      </w:r>
      <w:r>
        <w:t xml:space="preserve"> </w:t>
      </w:r>
      <w:r w:rsidR="00AB2154">
        <w:t>programme is</w:t>
      </w:r>
      <w:r>
        <w:t xml:space="preserve"> valued </w:t>
      </w:r>
      <w:r w:rsidR="00AB2154">
        <w:t xml:space="preserve">and </w:t>
      </w:r>
      <w:r>
        <w:t xml:space="preserve">providing assistance to </w:t>
      </w:r>
      <w:r w:rsidR="00DB4FA4">
        <w:t>improve eligible job seeker’s LLN skills</w:t>
      </w:r>
      <w:r w:rsidR="00967055">
        <w:t>,</w:t>
      </w:r>
      <w:r w:rsidR="00DB4FA4">
        <w:t xml:space="preserve"> with the expectation that such improvements will enable them to participate more effectively in training or in the labour force. SEE is the only national programme </w:t>
      </w:r>
      <w:r w:rsidR="00ED7F1B">
        <w:t>to assist eligible job seekers with</w:t>
      </w:r>
      <w:r w:rsidR="00DB4FA4">
        <w:t xml:space="preserve"> the</w:t>
      </w:r>
      <w:r w:rsidR="00ED7F1B">
        <w:t>ir</w:t>
      </w:r>
      <w:r w:rsidR="00DB4FA4">
        <w:t xml:space="preserve"> LLN learning needs </w:t>
      </w:r>
      <w:r w:rsidR="00ED7F1B">
        <w:t xml:space="preserve">with the </w:t>
      </w:r>
      <w:r w:rsidR="00DB4FA4">
        <w:t xml:space="preserve">articulated </w:t>
      </w:r>
      <w:r w:rsidR="00ED7F1B">
        <w:t xml:space="preserve">goal </w:t>
      </w:r>
      <w:r w:rsidR="00DB4FA4">
        <w:t xml:space="preserve">of helping them acquire the </w:t>
      </w:r>
      <w:r w:rsidR="00E61B87">
        <w:t xml:space="preserve">LLN </w:t>
      </w:r>
      <w:r w:rsidR="00DB4FA4">
        <w:t>skills needed by employers.</w:t>
      </w:r>
    </w:p>
    <w:p w14:paraId="2E1BAC53" w14:textId="1E859490" w:rsidR="00D26E3F" w:rsidRDefault="00D26E3F" w:rsidP="00E34493">
      <w:pPr>
        <w:pStyle w:val="BodyText"/>
      </w:pPr>
      <w:r>
        <w:t xml:space="preserve">The evaluation makes 11 recommendations, as discussed in the following sections. The recommendations </w:t>
      </w:r>
      <w:r w:rsidR="00AE13F4">
        <w:t>are not listed in order of priority but are organised thematically</w:t>
      </w:r>
      <w:r>
        <w:t>.</w:t>
      </w:r>
    </w:p>
    <w:p w14:paraId="5C1BEAF2" w14:textId="4F3714F2" w:rsidR="00DD6912" w:rsidRDefault="00DD6912" w:rsidP="00DD6912">
      <w:pPr>
        <w:pStyle w:val="Heading5"/>
      </w:pPr>
      <w:r>
        <w:t xml:space="preserve">Clarifying </w:t>
      </w:r>
      <w:r w:rsidR="00254B2A">
        <w:t xml:space="preserve">programme </w:t>
      </w:r>
      <w:r>
        <w:t>objectives</w:t>
      </w:r>
    </w:p>
    <w:p w14:paraId="6F62AEEC" w14:textId="10E2FBEE" w:rsidR="00E34493" w:rsidRDefault="00E34493" w:rsidP="00E34493">
      <w:pPr>
        <w:pStyle w:val="BodyText"/>
      </w:pPr>
      <w:r>
        <w:t xml:space="preserve">The objectives of the </w:t>
      </w:r>
      <w:r w:rsidR="006A28F2">
        <w:t xml:space="preserve">SEE </w:t>
      </w:r>
      <w:r w:rsidR="00147674">
        <w:t xml:space="preserve">programme </w:t>
      </w:r>
      <w:r>
        <w:t>are clear</w:t>
      </w:r>
      <w:r w:rsidR="0002509B" w:rsidRPr="0002509B">
        <w:t xml:space="preserve"> </w:t>
      </w:r>
      <w:r w:rsidR="0002509B">
        <w:t>and are generally well understood by the programme’s stakeholders</w:t>
      </w:r>
      <w:r>
        <w:t>. One of the tensions</w:t>
      </w:r>
      <w:r w:rsidR="00A61442">
        <w:t xml:space="preserve"> </w:t>
      </w:r>
      <w:r>
        <w:t xml:space="preserve">raised by </w:t>
      </w:r>
      <w:r w:rsidR="00DB4FA4">
        <w:t xml:space="preserve">SEE </w:t>
      </w:r>
      <w:r>
        <w:t xml:space="preserve">stakeholders </w:t>
      </w:r>
      <w:r w:rsidR="00A61442">
        <w:t xml:space="preserve">in the consultations conducted for this review </w:t>
      </w:r>
      <w:r>
        <w:t xml:space="preserve">is between the long-term investment in </w:t>
      </w:r>
      <w:r w:rsidR="00F23DBB">
        <w:t>employment</w:t>
      </w:r>
      <w:r w:rsidR="00F23DBB">
        <w:noBreakHyphen/>
        <w:t xml:space="preserve">enhancing </w:t>
      </w:r>
      <w:r>
        <w:t xml:space="preserve">LLN </w:t>
      </w:r>
      <w:r w:rsidR="00DB4FA4">
        <w:t>and</w:t>
      </w:r>
      <w:r>
        <w:t xml:space="preserve"> short</w:t>
      </w:r>
      <w:r w:rsidR="00DB4FA4">
        <w:t>er</w:t>
      </w:r>
      <w:r>
        <w:t xml:space="preserve">-term focus on </w:t>
      </w:r>
      <w:r w:rsidR="00F23DBB">
        <w:t xml:space="preserve">immediate </w:t>
      </w:r>
      <w:r>
        <w:t xml:space="preserve">job outcomes. While these objectives are not mutually exclusive, the current approach to employment services and income support means that immediate employment opportunities can </w:t>
      </w:r>
      <w:r w:rsidR="00DB4FA4">
        <w:t>displace</w:t>
      </w:r>
      <w:r>
        <w:t xml:space="preserve"> the long</w:t>
      </w:r>
      <w:r w:rsidR="00940361">
        <w:noBreakHyphen/>
      </w:r>
      <w:r>
        <w:t xml:space="preserve">term commitment required to improve </w:t>
      </w:r>
      <w:r w:rsidR="00DB4FA4">
        <w:t>an individual’s</w:t>
      </w:r>
      <w:r>
        <w:t xml:space="preserve"> language, literacy, and/or numeracy skills.</w:t>
      </w:r>
    </w:p>
    <w:p w14:paraId="2BE419E4" w14:textId="6586ADB8" w:rsidR="00E34493" w:rsidRDefault="00E34493" w:rsidP="00C82FFF">
      <w:pPr>
        <w:pStyle w:val="BodyText"/>
      </w:pPr>
      <w:r>
        <w:t xml:space="preserve">Further education and training </w:t>
      </w:r>
      <w:r w:rsidR="009130A5">
        <w:t>is</w:t>
      </w:r>
      <w:r>
        <w:t xml:space="preserve"> </w:t>
      </w:r>
      <w:r w:rsidR="009130A5">
        <w:t xml:space="preserve">also </w:t>
      </w:r>
      <w:r>
        <w:t xml:space="preserve">an explicit objective of the SEE </w:t>
      </w:r>
      <w:r w:rsidR="00147674">
        <w:t>programme</w:t>
      </w:r>
      <w:r>
        <w:t xml:space="preserve">. </w:t>
      </w:r>
      <w:r w:rsidR="009130A5">
        <w:t>I</w:t>
      </w:r>
      <w:r>
        <w:t xml:space="preserve">mprovements in language, literacy, and numeracy will better prepare participants for further study, however it is not immediately clear whether pathways from the </w:t>
      </w:r>
      <w:r w:rsidR="006A28F2">
        <w:t xml:space="preserve">SEE </w:t>
      </w:r>
      <w:r w:rsidR="00147674">
        <w:t>p</w:t>
      </w:r>
      <w:r w:rsidR="006A28F2">
        <w:t xml:space="preserve">rogramme </w:t>
      </w:r>
      <w:r>
        <w:t xml:space="preserve">into further study are an explicit part of the </w:t>
      </w:r>
      <w:r w:rsidR="004607CB">
        <w:t xml:space="preserve">programme </w:t>
      </w:r>
      <w:r>
        <w:t>design</w:t>
      </w:r>
      <w:r w:rsidR="009130A5">
        <w:t>. Referring agencies are able</w:t>
      </w:r>
      <w:r>
        <w:t xml:space="preserve"> to recommend SEE to </w:t>
      </w:r>
      <w:r w:rsidRPr="00FB6784">
        <w:t>job seekers</w:t>
      </w:r>
      <w:r>
        <w:t xml:space="preserve"> who </w:t>
      </w:r>
      <w:r w:rsidR="003C3B54">
        <w:t xml:space="preserve">wish </w:t>
      </w:r>
      <w:r>
        <w:t xml:space="preserve">to engage in further study but lack the LLN skills necessary, </w:t>
      </w:r>
      <w:r w:rsidR="009130A5">
        <w:t xml:space="preserve">but </w:t>
      </w:r>
      <w:r>
        <w:t xml:space="preserve">this does not appear to be common practice nor is it part of the formal referral system. </w:t>
      </w:r>
    </w:p>
    <w:p w14:paraId="68C1FF4A" w14:textId="7500A6A6" w:rsidR="00E34493" w:rsidRDefault="00E34493" w:rsidP="00163BA3">
      <w:pPr>
        <w:pStyle w:val="SideQuote"/>
        <w:framePr w:wrap="around"/>
      </w:pPr>
      <w:r>
        <w:t>Recommen</w:t>
      </w:r>
      <w:r w:rsidR="0002509B">
        <w:t>dation 1</w:t>
      </w:r>
      <w:r w:rsidR="0002509B">
        <w:br/>
      </w:r>
      <w:r w:rsidR="009130A5">
        <w:t>Programme o</w:t>
      </w:r>
      <w:r w:rsidR="0002509B">
        <w:t>bjectives</w:t>
      </w:r>
    </w:p>
    <w:p w14:paraId="756BB450" w14:textId="5DB868B7" w:rsidR="00E34493" w:rsidRPr="00163BA3" w:rsidRDefault="00E34493" w:rsidP="00E34493">
      <w:pPr>
        <w:pStyle w:val="BodyText"/>
        <w:rPr>
          <w:i/>
        </w:rPr>
      </w:pPr>
      <w:r w:rsidRPr="00163BA3">
        <w:rPr>
          <w:i/>
        </w:rPr>
        <w:t xml:space="preserve">The SEE </w:t>
      </w:r>
      <w:r w:rsidR="00147674">
        <w:rPr>
          <w:i/>
        </w:rPr>
        <w:t>p</w:t>
      </w:r>
      <w:r w:rsidR="00147674" w:rsidRPr="00163BA3">
        <w:rPr>
          <w:i/>
        </w:rPr>
        <w:t xml:space="preserve">rogramme’s </w:t>
      </w:r>
      <w:r w:rsidRPr="00163BA3">
        <w:rPr>
          <w:i/>
        </w:rPr>
        <w:t xml:space="preserve">objectives to improve </w:t>
      </w:r>
      <w:r w:rsidR="00D17151">
        <w:rPr>
          <w:i/>
        </w:rPr>
        <w:t xml:space="preserve">an </w:t>
      </w:r>
      <w:r w:rsidRPr="00163BA3">
        <w:rPr>
          <w:i/>
        </w:rPr>
        <w:t>eligible job seeker’s LLN skills to enable them to participate more effectively in training or in the labour force are clear and should be retained.</w:t>
      </w:r>
      <w:r w:rsidR="009130A5">
        <w:rPr>
          <w:i/>
        </w:rPr>
        <w:t xml:space="preserve"> </w:t>
      </w:r>
      <w:r w:rsidR="0054377F">
        <w:rPr>
          <w:i/>
        </w:rPr>
        <w:t>Particular</w:t>
      </w:r>
      <w:r w:rsidR="009130A5">
        <w:rPr>
          <w:i/>
        </w:rPr>
        <w:t xml:space="preserve"> emphasis should be given in the programme’</w:t>
      </w:r>
      <w:r w:rsidR="0054377F">
        <w:rPr>
          <w:i/>
        </w:rPr>
        <w:t xml:space="preserve">s design to ensure that SEE </w:t>
      </w:r>
      <w:r w:rsidR="003A3204">
        <w:rPr>
          <w:i/>
        </w:rPr>
        <w:t xml:space="preserve">can be </w:t>
      </w:r>
      <w:r w:rsidR="0054377F">
        <w:rPr>
          <w:i/>
        </w:rPr>
        <w:t xml:space="preserve">utilised </w:t>
      </w:r>
      <w:r w:rsidR="003A3204">
        <w:rPr>
          <w:i/>
        </w:rPr>
        <w:t xml:space="preserve">by </w:t>
      </w:r>
      <w:r w:rsidR="0054377F">
        <w:rPr>
          <w:i/>
        </w:rPr>
        <w:t>job seekers wanting to engage in further study but lacking the necessary LLN skills.</w:t>
      </w:r>
      <w:r w:rsidR="009130A5">
        <w:rPr>
          <w:i/>
        </w:rPr>
        <w:t xml:space="preserve"> </w:t>
      </w:r>
    </w:p>
    <w:p w14:paraId="0486C35F" w14:textId="510036E5" w:rsidR="00CB133A" w:rsidRDefault="00DD6912" w:rsidP="00DD6912">
      <w:pPr>
        <w:pStyle w:val="Heading5"/>
      </w:pPr>
      <w:r>
        <w:t>Improving measurement against objectives</w:t>
      </w:r>
    </w:p>
    <w:p w14:paraId="6D7940EF" w14:textId="05AE5FCD" w:rsidR="00F86E44" w:rsidRDefault="00882401" w:rsidP="00C82FFF">
      <w:pPr>
        <w:pStyle w:val="BodyText"/>
      </w:pPr>
      <w:r>
        <w:t xml:space="preserve">The </w:t>
      </w:r>
      <w:r w:rsidR="00E34493">
        <w:t xml:space="preserve">stated objective </w:t>
      </w:r>
      <w:r>
        <w:t xml:space="preserve">of the SEE programme </w:t>
      </w:r>
      <w:r w:rsidR="00687CF5">
        <w:t xml:space="preserve">is very clear - </w:t>
      </w:r>
      <w:r w:rsidR="00E34493">
        <w:t xml:space="preserve">to </w:t>
      </w:r>
      <w:r w:rsidR="00687CF5">
        <w:t xml:space="preserve">improve </w:t>
      </w:r>
      <w:r w:rsidR="00E34493">
        <w:t>job seeker</w:t>
      </w:r>
      <w:r w:rsidR="00687CF5">
        <w:t>s</w:t>
      </w:r>
      <w:r>
        <w:t>’</w:t>
      </w:r>
      <w:r w:rsidR="00687CF5">
        <w:t xml:space="preserve"> level</w:t>
      </w:r>
      <w:r>
        <w:t>s</w:t>
      </w:r>
      <w:r w:rsidR="00687CF5">
        <w:t xml:space="preserve"> of</w:t>
      </w:r>
      <w:r w:rsidR="00E34493">
        <w:t xml:space="preserve"> LLN </w:t>
      </w:r>
      <w:r w:rsidR="00687CF5">
        <w:t>to improve their ability to undertake</w:t>
      </w:r>
      <w:r w:rsidR="00E34493">
        <w:t xml:space="preserve"> further training or </w:t>
      </w:r>
      <w:r w:rsidR="00687CF5">
        <w:t>be employed</w:t>
      </w:r>
      <w:r w:rsidR="00926419">
        <w:t xml:space="preserve">. Its </w:t>
      </w:r>
      <w:r w:rsidR="00007B88">
        <w:t>key performance indic</w:t>
      </w:r>
      <w:r w:rsidR="00F819C9">
        <w:t>a</w:t>
      </w:r>
      <w:r w:rsidR="00007B88">
        <w:t>tor (</w:t>
      </w:r>
      <w:r w:rsidR="00926419">
        <w:t>KPI</w:t>
      </w:r>
      <w:r w:rsidR="00007B88">
        <w:t>)</w:t>
      </w:r>
      <w:r w:rsidR="00926419">
        <w:t xml:space="preserve"> measurements however </w:t>
      </w:r>
      <w:r w:rsidR="00E34493">
        <w:t xml:space="preserve">do not provide a true indication of </w:t>
      </w:r>
      <w:r w:rsidR="00926419">
        <w:t xml:space="preserve">the </w:t>
      </w:r>
      <w:r w:rsidR="00E34493">
        <w:t>programme</w:t>
      </w:r>
      <w:r w:rsidR="00926419">
        <w:t>’s</w:t>
      </w:r>
      <w:r w:rsidR="00E34493">
        <w:t xml:space="preserve"> outcomes</w:t>
      </w:r>
      <w:r w:rsidR="00926419">
        <w:t xml:space="preserve"> in these areas, with the required d</w:t>
      </w:r>
      <w:r w:rsidR="00E34493">
        <w:t xml:space="preserve">ata </w:t>
      </w:r>
      <w:r w:rsidR="00926419">
        <w:t xml:space="preserve">not adequately collected </w:t>
      </w:r>
      <w:r>
        <w:t xml:space="preserve">or </w:t>
      </w:r>
      <w:r w:rsidR="00926419">
        <w:t xml:space="preserve">monitored. </w:t>
      </w:r>
    </w:p>
    <w:p w14:paraId="4ED7D635" w14:textId="1DD655C4" w:rsidR="00E34493" w:rsidRDefault="00F86E44" w:rsidP="00E34493">
      <w:pPr>
        <w:pStyle w:val="BodyText"/>
      </w:pPr>
      <w:r>
        <w:t>In particular, t</w:t>
      </w:r>
      <w:r w:rsidR="00E34493">
        <w:t xml:space="preserve">here are no longitudinal studies once clients </w:t>
      </w:r>
      <w:r w:rsidR="00926419">
        <w:t>complete their</w:t>
      </w:r>
      <w:r w:rsidR="00E34493">
        <w:t xml:space="preserve"> 800</w:t>
      </w:r>
      <w:r w:rsidR="00500333">
        <w:t xml:space="preserve"> hours</w:t>
      </w:r>
      <w:r w:rsidR="00926419">
        <w:t xml:space="preserve">. </w:t>
      </w:r>
      <w:r w:rsidR="00E34493">
        <w:t xml:space="preserve">In the past, post-SEE </w:t>
      </w:r>
      <w:r w:rsidR="00E34493" w:rsidRPr="00563B9B">
        <w:t>study and job related outcomes</w:t>
      </w:r>
      <w:r w:rsidR="00E34493">
        <w:t xml:space="preserve"> were collected through a </w:t>
      </w:r>
      <w:r w:rsidRPr="00163BA3">
        <w:t>Post Programme Monitoring (PPM)</w:t>
      </w:r>
      <w:r>
        <w:t xml:space="preserve"> </w:t>
      </w:r>
      <w:r w:rsidR="00E34493" w:rsidRPr="00C82FFF">
        <w:t>s</w:t>
      </w:r>
      <w:r w:rsidR="00E34493" w:rsidRPr="0047590A">
        <w:t xml:space="preserve">urvey of participants. </w:t>
      </w:r>
      <w:r w:rsidR="00E34493" w:rsidRPr="003E1919">
        <w:t>Given tha</w:t>
      </w:r>
      <w:r w:rsidR="00E34493">
        <w:t>t job seekers continue to maintain contact with their referring agencies after participating in SEE, it should be possible to establish the necessary systems in partnership with other government agencies to track individual outcomes over time.</w:t>
      </w:r>
    </w:p>
    <w:p w14:paraId="494183EC" w14:textId="0D9DF2FF" w:rsidR="00E34493" w:rsidRDefault="00E34493" w:rsidP="00E34493">
      <w:pPr>
        <w:pStyle w:val="BodyText"/>
      </w:pPr>
      <w:r>
        <w:t xml:space="preserve">The </w:t>
      </w:r>
      <w:r w:rsidR="00D55E9A">
        <w:t>Australian G</w:t>
      </w:r>
      <w:r>
        <w:t xml:space="preserve">overnment should explore the possibility of either implementing the necessary reporting frameworks for referring agencies or reintroducing the PPM survey in order to capture the data necessary to </w:t>
      </w:r>
      <w:r w:rsidR="00EE78C2">
        <w:t xml:space="preserve">track </w:t>
      </w:r>
      <w:r>
        <w:t xml:space="preserve">the outcomes of the </w:t>
      </w:r>
      <w:r w:rsidR="006A28F2">
        <w:t xml:space="preserve">SEE </w:t>
      </w:r>
      <w:r w:rsidR="00147674">
        <w:t>p</w:t>
      </w:r>
      <w:r w:rsidR="006A28F2">
        <w:t xml:space="preserve">rogramme </w:t>
      </w:r>
      <w:r>
        <w:t>against its objectives.</w:t>
      </w:r>
    </w:p>
    <w:p w14:paraId="716ED850" w14:textId="4AB88DDF" w:rsidR="00E34493" w:rsidRDefault="00E34493" w:rsidP="00163BA3">
      <w:pPr>
        <w:pStyle w:val="SideQuote"/>
        <w:framePr w:wrap="around"/>
      </w:pPr>
      <w:r>
        <w:t>Recommendation 2</w:t>
      </w:r>
      <w:r w:rsidR="00CB133A">
        <w:br/>
        <w:t xml:space="preserve">Measurement against objectives </w:t>
      </w:r>
    </w:p>
    <w:p w14:paraId="1F4896E6" w14:textId="585E34E8" w:rsidR="00154EB0" w:rsidRDefault="00F045B7" w:rsidP="00E34493">
      <w:pPr>
        <w:pStyle w:val="BodyText"/>
        <w:rPr>
          <w:i/>
        </w:rPr>
      </w:pPr>
      <w:r w:rsidRPr="00F045B7">
        <w:rPr>
          <w:i/>
        </w:rPr>
        <w:t xml:space="preserve">The measurement of the outcomes of the </w:t>
      </w:r>
      <w:r w:rsidR="006A28F2">
        <w:rPr>
          <w:i/>
        </w:rPr>
        <w:t xml:space="preserve">SEE </w:t>
      </w:r>
      <w:r w:rsidR="00147674">
        <w:rPr>
          <w:i/>
        </w:rPr>
        <w:t xml:space="preserve">programme </w:t>
      </w:r>
      <w:r w:rsidRPr="00F045B7">
        <w:rPr>
          <w:i/>
        </w:rPr>
        <w:t xml:space="preserve">against its objectives could be improved. Options should be explored to capture the data necessary to measure the outcomes of the SEE </w:t>
      </w:r>
      <w:r w:rsidR="00147674">
        <w:rPr>
          <w:i/>
        </w:rPr>
        <w:t>p</w:t>
      </w:r>
      <w:r w:rsidR="00147674" w:rsidRPr="00F045B7">
        <w:rPr>
          <w:i/>
        </w:rPr>
        <w:t>rogramme</w:t>
      </w:r>
      <w:r w:rsidRPr="00F045B7">
        <w:rPr>
          <w:i/>
        </w:rPr>
        <w:t>, including</w:t>
      </w:r>
      <w:r w:rsidR="00154EB0">
        <w:rPr>
          <w:i/>
        </w:rPr>
        <w:t>:</w:t>
      </w:r>
    </w:p>
    <w:p w14:paraId="7641BA1F" w14:textId="6CAC01D7" w:rsidR="00154EB0" w:rsidRPr="0065436D" w:rsidRDefault="00CB133A" w:rsidP="0065436D">
      <w:pPr>
        <w:pStyle w:val="ListDash"/>
        <w:rPr>
          <w:i/>
        </w:rPr>
      </w:pPr>
      <w:r w:rsidRPr="0065436D">
        <w:rPr>
          <w:i/>
        </w:rPr>
        <w:t>d</w:t>
      </w:r>
      <w:r w:rsidR="00E34493" w:rsidRPr="0065436D">
        <w:rPr>
          <w:i/>
        </w:rPr>
        <w:t>eveloping and implementing the necessary reporting frameworks for referring agencies</w:t>
      </w:r>
      <w:r w:rsidRPr="0065436D">
        <w:rPr>
          <w:i/>
        </w:rPr>
        <w:t>,</w:t>
      </w:r>
      <w:r w:rsidR="00E34493" w:rsidRPr="0065436D">
        <w:rPr>
          <w:i/>
        </w:rPr>
        <w:t xml:space="preserve"> and/or</w:t>
      </w:r>
      <w:r w:rsidRPr="0065436D">
        <w:rPr>
          <w:i/>
        </w:rPr>
        <w:t xml:space="preserve"> </w:t>
      </w:r>
    </w:p>
    <w:p w14:paraId="72A3D6D4" w14:textId="528E251B" w:rsidR="00E34493" w:rsidRPr="0065436D" w:rsidRDefault="00CB133A" w:rsidP="0065436D">
      <w:pPr>
        <w:pStyle w:val="ListDash"/>
        <w:rPr>
          <w:i/>
        </w:rPr>
      </w:pPr>
      <w:r w:rsidRPr="0065436D">
        <w:rPr>
          <w:i/>
        </w:rPr>
        <w:t>r</w:t>
      </w:r>
      <w:r w:rsidR="00E34493" w:rsidRPr="0065436D">
        <w:rPr>
          <w:i/>
        </w:rPr>
        <w:t xml:space="preserve">eintroducing the Post Programme Monitoring (PPM) survey of participants. </w:t>
      </w:r>
    </w:p>
    <w:p w14:paraId="127577AF" w14:textId="195F2524" w:rsidR="00E34493" w:rsidRDefault="004607CB" w:rsidP="004607CB">
      <w:pPr>
        <w:pStyle w:val="Heading5"/>
      </w:pPr>
      <w:r>
        <w:t>Identifying target groups</w:t>
      </w:r>
    </w:p>
    <w:p w14:paraId="3912D2CF" w14:textId="31209BBF" w:rsidR="005C3497" w:rsidRDefault="00E34493" w:rsidP="00C82FFF">
      <w:pPr>
        <w:pStyle w:val="BodyText"/>
      </w:pPr>
      <w:r>
        <w:t xml:space="preserve">The target groups of the </w:t>
      </w:r>
      <w:r w:rsidR="006A28F2">
        <w:t xml:space="preserve">SEE </w:t>
      </w:r>
      <w:r w:rsidR="00147674">
        <w:t xml:space="preserve">programme </w:t>
      </w:r>
      <w:r>
        <w:t xml:space="preserve">are defined </w:t>
      </w:r>
      <w:r w:rsidR="00307731">
        <w:t xml:space="preserve">primarily </w:t>
      </w:r>
      <w:r>
        <w:t xml:space="preserve">by </w:t>
      </w:r>
      <w:r w:rsidR="00307731">
        <w:t>those in receipt of income support</w:t>
      </w:r>
      <w:r>
        <w:t xml:space="preserve"> </w:t>
      </w:r>
      <w:r w:rsidR="00307731">
        <w:t>as well as</w:t>
      </w:r>
      <w:r>
        <w:t xml:space="preserve"> having the capacity to benefit</w:t>
      </w:r>
      <w:r w:rsidR="003A3204">
        <w:t xml:space="preserve"> from the Programme</w:t>
      </w:r>
      <w:r>
        <w:t xml:space="preserve">. </w:t>
      </w:r>
    </w:p>
    <w:p w14:paraId="7B512359" w14:textId="50AD817A" w:rsidR="005C3497" w:rsidRDefault="005C3497" w:rsidP="00E34493">
      <w:pPr>
        <w:pStyle w:val="BodyText"/>
      </w:pPr>
      <w:r>
        <w:t xml:space="preserve">While being on income support </w:t>
      </w:r>
      <w:r w:rsidR="004261D7">
        <w:t xml:space="preserve">is </w:t>
      </w:r>
      <w:r w:rsidR="00E34493">
        <w:t>align</w:t>
      </w:r>
      <w:r w:rsidR="004261D7">
        <w:t xml:space="preserve">ed </w:t>
      </w:r>
      <w:r w:rsidR="00E34493">
        <w:t xml:space="preserve">with the Australian Government’s role and responsibilities </w:t>
      </w:r>
      <w:r>
        <w:t>in</w:t>
      </w:r>
      <w:r w:rsidR="00E34493">
        <w:t xml:space="preserve"> the welfare system and employment services</w:t>
      </w:r>
      <w:r>
        <w:t>, s</w:t>
      </w:r>
      <w:r w:rsidR="00E34493">
        <w:t xml:space="preserve">ome stakeholders have highlighted that this criterion may exclude parts of the Australian population with low LLN attainment </w:t>
      </w:r>
      <w:r w:rsidR="00445849">
        <w:t xml:space="preserve">who </w:t>
      </w:r>
      <w:r w:rsidR="00E34493">
        <w:t>would otherwise benefit from the SEE programme</w:t>
      </w:r>
      <w:r w:rsidR="00445849">
        <w:t>.</w:t>
      </w:r>
      <w:r>
        <w:t xml:space="preserve"> </w:t>
      </w:r>
      <w:r w:rsidR="00445849">
        <w:t>These include</w:t>
      </w:r>
      <w:r>
        <w:t xml:space="preserve"> j</w:t>
      </w:r>
      <w:r w:rsidR="00E34493">
        <w:t>ob</w:t>
      </w:r>
      <w:r w:rsidR="00F819C9">
        <w:t xml:space="preserve"> </w:t>
      </w:r>
      <w:r w:rsidR="00E34493">
        <w:t>seekers who are not on income support</w:t>
      </w:r>
      <w:r>
        <w:t>, p</w:t>
      </w:r>
      <w:r w:rsidR="00E34493">
        <w:t>eople in part-time employment</w:t>
      </w:r>
      <w:r>
        <w:t xml:space="preserve"> or w</w:t>
      </w:r>
      <w:r w:rsidR="00E34493">
        <w:t>ho have transitioned to work but are seeking to up-skill</w:t>
      </w:r>
      <w:r>
        <w:t>, as well as t</w:t>
      </w:r>
      <w:r w:rsidR="00E34493">
        <w:t>hose enrolled in full-time study but who need LLN support.</w:t>
      </w:r>
      <w:r>
        <w:t xml:space="preserve"> </w:t>
      </w:r>
    </w:p>
    <w:p w14:paraId="0D329B37" w14:textId="6965E6C3" w:rsidR="00E34493" w:rsidRDefault="00DD3871" w:rsidP="00E34493">
      <w:pPr>
        <w:pStyle w:val="BodyText"/>
      </w:pPr>
      <w:r>
        <w:t>The</w:t>
      </w:r>
      <w:r w:rsidR="00EE78C2">
        <w:t xml:space="preserve">se </w:t>
      </w:r>
      <w:r w:rsidR="00E34493">
        <w:t xml:space="preserve">ineligible cohorts highlight </w:t>
      </w:r>
      <w:r>
        <w:t>the fact that many Australians c</w:t>
      </w:r>
      <w:r w:rsidR="00E34493">
        <w:t xml:space="preserve">ould benefit from the SEE </w:t>
      </w:r>
      <w:r w:rsidR="00147674">
        <w:t>programme</w:t>
      </w:r>
      <w:r w:rsidR="00E34493">
        <w:t xml:space="preserve">. However, it is important to </w:t>
      </w:r>
      <w:r w:rsidR="00240C30">
        <w:t>recognise</w:t>
      </w:r>
      <w:r w:rsidR="00E34493">
        <w:t xml:space="preserve"> that the </w:t>
      </w:r>
      <w:r w:rsidR="006A28F2">
        <w:t xml:space="preserve">SEE </w:t>
      </w:r>
      <w:r w:rsidR="00147674">
        <w:t xml:space="preserve">programme </w:t>
      </w:r>
      <w:r w:rsidR="00E34493">
        <w:t xml:space="preserve">is not intended to be a universal </w:t>
      </w:r>
      <w:r w:rsidR="004607CB">
        <w:t xml:space="preserve">programme </w:t>
      </w:r>
      <w:r w:rsidR="00E34493">
        <w:t xml:space="preserve">for language, literacy, and numeracy training; the restriction of SEE to eligible job seekers is intended to </w:t>
      </w:r>
      <w:r w:rsidR="000A33F9">
        <w:t xml:space="preserve">ensure the programme’s </w:t>
      </w:r>
      <w:r w:rsidR="00EE78C2">
        <w:t xml:space="preserve">specific </w:t>
      </w:r>
      <w:r w:rsidR="000A33F9">
        <w:t>objectives are m</w:t>
      </w:r>
      <w:r w:rsidR="00AF0DA0">
        <w:t>e</w:t>
      </w:r>
      <w:r w:rsidR="000A33F9">
        <w:t>t</w:t>
      </w:r>
      <w:r w:rsidR="00E34493">
        <w:t xml:space="preserve">. </w:t>
      </w:r>
      <w:r w:rsidR="00342DB1">
        <w:t xml:space="preserve">Other individuals are able to access LLN training through state/territory government subsidised </w:t>
      </w:r>
      <w:r w:rsidR="0063255A">
        <w:t>programmes</w:t>
      </w:r>
      <w:r w:rsidR="00342DB1">
        <w:t xml:space="preserve">, </w:t>
      </w:r>
      <w:r w:rsidR="00342DB1" w:rsidRPr="00563B9B">
        <w:t xml:space="preserve">fee paying courses, </w:t>
      </w:r>
      <w:r w:rsidR="00342DB1">
        <w:t>and as part of vocational and university courses.</w:t>
      </w:r>
    </w:p>
    <w:p w14:paraId="5C76A537" w14:textId="45096131" w:rsidR="003A3204" w:rsidRDefault="00E55C68" w:rsidP="00E34493">
      <w:pPr>
        <w:pStyle w:val="BodyText"/>
      </w:pPr>
      <w:r>
        <w:t>While t</w:t>
      </w:r>
      <w:r w:rsidR="00F607A2">
        <w:t xml:space="preserve">he </w:t>
      </w:r>
      <w:r w:rsidR="00DA7166">
        <w:t xml:space="preserve">policy </w:t>
      </w:r>
      <w:r>
        <w:t>design underpinning</w:t>
      </w:r>
      <w:r w:rsidR="00DA7166" w:rsidRPr="00C94F0C">
        <w:t xml:space="preserve"> </w:t>
      </w:r>
      <w:r w:rsidR="00F607A2">
        <w:t xml:space="preserve">the </w:t>
      </w:r>
      <w:r w:rsidR="00DA7166">
        <w:t xml:space="preserve">SEE </w:t>
      </w:r>
      <w:r w:rsidR="00147674">
        <w:t xml:space="preserve">programme </w:t>
      </w:r>
      <w:r>
        <w:t xml:space="preserve">does </w:t>
      </w:r>
      <w:r w:rsidR="00DA7166" w:rsidRPr="00C94F0C">
        <w:t>not intend</w:t>
      </w:r>
      <w:r>
        <w:t xml:space="preserve"> it</w:t>
      </w:r>
      <w:r w:rsidR="00DA7166" w:rsidRPr="00C94F0C">
        <w:t xml:space="preserve"> to cater </w:t>
      </w:r>
      <w:r w:rsidR="00F607A2">
        <w:t xml:space="preserve">for clients with </w:t>
      </w:r>
      <w:r w:rsidR="00DA7166" w:rsidRPr="00C94F0C">
        <w:t>very low LLN skills</w:t>
      </w:r>
      <w:r>
        <w:t xml:space="preserve">, </w:t>
      </w:r>
      <w:r w:rsidR="00DA7166" w:rsidRPr="00C94F0C">
        <w:t xml:space="preserve">it is apparent from the </w:t>
      </w:r>
      <w:r w:rsidRPr="00C94F0C">
        <w:t xml:space="preserve">LLN scores </w:t>
      </w:r>
      <w:r w:rsidR="00DA7166" w:rsidRPr="00C94F0C">
        <w:t>on</w:t>
      </w:r>
      <w:r w:rsidR="00DA7166">
        <w:t xml:space="preserve"> SEE </w:t>
      </w:r>
      <w:r w:rsidR="00147674">
        <w:t xml:space="preserve">programme </w:t>
      </w:r>
      <w:r w:rsidR="00DA7166">
        <w:t xml:space="preserve">entry </w:t>
      </w:r>
      <w:r w:rsidR="00DA7166" w:rsidRPr="00C94F0C">
        <w:t>that participants include clients with very low levels of English language proficiency</w:t>
      </w:r>
      <w:r w:rsidR="0035457A">
        <w:t xml:space="preserve"> (that is, pre-ACSF Level 1)</w:t>
      </w:r>
      <w:r w:rsidR="00DA7166" w:rsidRPr="00C94F0C">
        <w:t xml:space="preserve">. This was reinforced in some focus groups </w:t>
      </w:r>
      <w:r w:rsidR="00F607A2">
        <w:t xml:space="preserve">and other consultations undertaken as part of this evaluation. </w:t>
      </w:r>
    </w:p>
    <w:p w14:paraId="3F564442" w14:textId="13E26B1F" w:rsidR="00E34493" w:rsidRDefault="00C909BA" w:rsidP="00A61FA6">
      <w:pPr>
        <w:pStyle w:val="BodyText"/>
      </w:pPr>
      <w:r>
        <w:t xml:space="preserve">To gain entry to the SEE </w:t>
      </w:r>
      <w:r w:rsidR="00147674">
        <w:t>programme</w:t>
      </w:r>
      <w:r w:rsidR="00D55E9A">
        <w:t>,</w:t>
      </w:r>
      <w:r>
        <w:t xml:space="preserve"> clients must be </w:t>
      </w:r>
      <w:r w:rsidR="00A61FA6">
        <w:t xml:space="preserve">formally referred by referring agencies. In many cases, referring agencies are not well informed about the SEE </w:t>
      </w:r>
      <w:r w:rsidR="00147674">
        <w:t xml:space="preserve">programme’s </w:t>
      </w:r>
      <w:r w:rsidR="00A61FA6">
        <w:t>existence and/or purpose, and referring agency staff may lack the skills to identify LLN need</w:t>
      </w:r>
      <w:r w:rsidR="00007B88">
        <w:t>s</w:t>
      </w:r>
      <w:r w:rsidR="00A61FA6">
        <w:t xml:space="preserve"> in referring </w:t>
      </w:r>
      <w:r w:rsidR="00E55C68">
        <w:t xml:space="preserve">their </w:t>
      </w:r>
      <w:r w:rsidR="00A61FA6">
        <w:t>clients. Further, there may be a tension</w:t>
      </w:r>
      <w:r w:rsidR="00A61FA6" w:rsidRPr="00C94F0C">
        <w:t xml:space="preserve"> between the incentives faced by referring agencies </w:t>
      </w:r>
      <w:r w:rsidR="00A61FA6">
        <w:t>(</w:t>
      </w:r>
      <w:r w:rsidR="00A61FA6" w:rsidRPr="00C94F0C">
        <w:t xml:space="preserve">to place clients into employment or other vocational </w:t>
      </w:r>
      <w:r w:rsidR="00956392">
        <w:t>programmes</w:t>
      </w:r>
      <w:r w:rsidR="00A61FA6">
        <w:t xml:space="preserve">) </w:t>
      </w:r>
      <w:r w:rsidR="00A61FA6" w:rsidRPr="00C94F0C">
        <w:t xml:space="preserve">and the potential </w:t>
      </w:r>
      <w:r w:rsidR="00A61FA6">
        <w:t xml:space="preserve">LLN </w:t>
      </w:r>
      <w:r w:rsidR="00A61FA6" w:rsidRPr="00C94F0C">
        <w:t>needs of the individual job</w:t>
      </w:r>
      <w:r w:rsidR="00F819C9">
        <w:t xml:space="preserve"> </w:t>
      </w:r>
      <w:r w:rsidR="00A61FA6" w:rsidRPr="00C94F0C">
        <w:t>seeker</w:t>
      </w:r>
      <w:r w:rsidR="00A61FA6">
        <w:t xml:space="preserve"> which may be </w:t>
      </w:r>
      <w:r w:rsidR="00F819C9">
        <w:t xml:space="preserve">met </w:t>
      </w:r>
      <w:r w:rsidR="00A61FA6">
        <w:t xml:space="preserve">by </w:t>
      </w:r>
      <w:r w:rsidR="00096F64">
        <w:t xml:space="preserve">the </w:t>
      </w:r>
      <w:r w:rsidR="00A61FA6">
        <w:t>SEE</w:t>
      </w:r>
      <w:r w:rsidR="00096F64">
        <w:t xml:space="preserve"> programme</w:t>
      </w:r>
      <w:r w:rsidR="00DD3871">
        <w:t>.</w:t>
      </w:r>
      <w:r w:rsidR="00E34493">
        <w:t xml:space="preserve"> </w:t>
      </w:r>
    </w:p>
    <w:p w14:paraId="3A73B769" w14:textId="43A1E8D4" w:rsidR="00E34493" w:rsidRDefault="00E34493" w:rsidP="00163BA3">
      <w:pPr>
        <w:pStyle w:val="SideQuote"/>
        <w:framePr w:wrap="around"/>
      </w:pPr>
      <w:r>
        <w:t>Recommendation 3</w:t>
      </w:r>
      <w:r w:rsidR="00307731">
        <w:br/>
        <w:t>Target</w:t>
      </w:r>
      <w:r w:rsidR="002C77CB">
        <w:t>ing of income support recipients</w:t>
      </w:r>
    </w:p>
    <w:p w14:paraId="07A90804" w14:textId="287CA261" w:rsidR="00992A30" w:rsidRDefault="00E34493" w:rsidP="00E34493">
      <w:pPr>
        <w:pStyle w:val="BodyText"/>
        <w:rPr>
          <w:i/>
        </w:rPr>
      </w:pPr>
      <w:r w:rsidRPr="00163BA3">
        <w:rPr>
          <w:i/>
        </w:rPr>
        <w:t xml:space="preserve">The eligibility to the </w:t>
      </w:r>
      <w:r w:rsidR="006A28F2">
        <w:rPr>
          <w:i/>
        </w:rPr>
        <w:t xml:space="preserve">SEE </w:t>
      </w:r>
      <w:r w:rsidR="00147674">
        <w:rPr>
          <w:i/>
        </w:rPr>
        <w:t xml:space="preserve">programme </w:t>
      </w:r>
      <w:r w:rsidRPr="00163BA3">
        <w:rPr>
          <w:i/>
        </w:rPr>
        <w:t xml:space="preserve">should continue to be limited on the basis of whether individuals receive income support as it is an appropriate and necessary way to align the programme’s target groups with the </w:t>
      </w:r>
      <w:r w:rsidR="00DA6265">
        <w:rPr>
          <w:i/>
        </w:rPr>
        <w:t>Australian</w:t>
      </w:r>
      <w:r w:rsidR="00DA6265" w:rsidRPr="00163BA3">
        <w:rPr>
          <w:i/>
        </w:rPr>
        <w:t xml:space="preserve"> </w:t>
      </w:r>
      <w:r w:rsidRPr="00163BA3">
        <w:rPr>
          <w:i/>
        </w:rPr>
        <w:t>Government’s responsibilities for the welfare system and employment services.</w:t>
      </w:r>
      <w:r w:rsidR="00307731">
        <w:rPr>
          <w:i/>
        </w:rPr>
        <w:t xml:space="preserve"> </w:t>
      </w:r>
    </w:p>
    <w:p w14:paraId="4DC70038" w14:textId="35C9BB79" w:rsidR="002C77CB" w:rsidRDefault="002C77CB" w:rsidP="00E8274A">
      <w:pPr>
        <w:pStyle w:val="SideQuote"/>
        <w:framePr w:wrap="around"/>
      </w:pPr>
      <w:r>
        <w:t>Recommendation 4</w:t>
      </w:r>
    </w:p>
    <w:p w14:paraId="155B2175" w14:textId="5910A794" w:rsidR="002C77CB" w:rsidRDefault="002C77CB" w:rsidP="00E8274A">
      <w:pPr>
        <w:pStyle w:val="SideQuote"/>
        <w:framePr w:wrap="around"/>
      </w:pPr>
      <w:r>
        <w:t>Targeting of job seekers with very low LLN skills</w:t>
      </w:r>
    </w:p>
    <w:p w14:paraId="34E011D5" w14:textId="2DC78132" w:rsidR="00992A30" w:rsidRDefault="00E34493" w:rsidP="00E34493">
      <w:pPr>
        <w:pStyle w:val="BodyText"/>
        <w:rPr>
          <w:i/>
        </w:rPr>
      </w:pPr>
      <w:r w:rsidRPr="00163BA3">
        <w:rPr>
          <w:i/>
        </w:rPr>
        <w:t xml:space="preserve">The programme’s guidelines should </w:t>
      </w:r>
      <w:r w:rsidR="00992A30">
        <w:rPr>
          <w:i/>
        </w:rPr>
        <w:t xml:space="preserve">clarify whether </w:t>
      </w:r>
      <w:r w:rsidRPr="00163BA3">
        <w:rPr>
          <w:i/>
        </w:rPr>
        <w:t>job seekers with very low LLN skills are an intended target group for the SEE programme</w:t>
      </w:r>
      <w:r w:rsidR="00992A30">
        <w:rPr>
          <w:i/>
        </w:rPr>
        <w:t xml:space="preserve"> and:</w:t>
      </w:r>
    </w:p>
    <w:p w14:paraId="3DE62D77" w14:textId="5297A959" w:rsidR="00992A30" w:rsidRPr="00E8274A" w:rsidRDefault="00992A30" w:rsidP="00E8274A">
      <w:pPr>
        <w:pStyle w:val="ListDash"/>
        <w:rPr>
          <w:i/>
        </w:rPr>
      </w:pPr>
      <w:r w:rsidRPr="00E8274A">
        <w:rPr>
          <w:i/>
        </w:rPr>
        <w:t>If not, minimum entry requirements in terms of LLN proficiency should be introduced</w:t>
      </w:r>
      <w:r w:rsidR="00154EB0">
        <w:rPr>
          <w:i/>
        </w:rPr>
        <w:t>.</w:t>
      </w:r>
    </w:p>
    <w:p w14:paraId="500EBB13" w14:textId="0035A313" w:rsidR="00992A30" w:rsidRPr="00E8274A" w:rsidRDefault="00992A30" w:rsidP="00E8274A">
      <w:pPr>
        <w:pStyle w:val="ListDash"/>
        <w:rPr>
          <w:i/>
        </w:rPr>
      </w:pPr>
      <w:r w:rsidRPr="00E8274A">
        <w:rPr>
          <w:i/>
        </w:rPr>
        <w:t>If so, changes to facilitate the participation and rates of progress should be considered to accommodate those with very low LLN skills</w:t>
      </w:r>
      <w:r>
        <w:rPr>
          <w:i/>
        </w:rPr>
        <w:t xml:space="preserve"> (see Recommendation </w:t>
      </w:r>
      <w:r w:rsidR="001270E4">
        <w:rPr>
          <w:i/>
        </w:rPr>
        <w:t>9</w:t>
      </w:r>
      <w:r>
        <w:rPr>
          <w:i/>
        </w:rPr>
        <w:t>)</w:t>
      </w:r>
      <w:r w:rsidRPr="00E8274A">
        <w:rPr>
          <w:i/>
        </w:rPr>
        <w:t>.</w:t>
      </w:r>
    </w:p>
    <w:p w14:paraId="6EF9CC61" w14:textId="4801821C" w:rsidR="002C77CB" w:rsidRDefault="002C77CB" w:rsidP="00E8274A">
      <w:pPr>
        <w:pStyle w:val="SideQuote"/>
        <w:framePr w:wrap="around"/>
      </w:pPr>
      <w:r>
        <w:t>Recommendation 5</w:t>
      </w:r>
    </w:p>
    <w:p w14:paraId="0022897F" w14:textId="78691D4D" w:rsidR="002C77CB" w:rsidRDefault="002C77CB" w:rsidP="00E8274A">
      <w:pPr>
        <w:pStyle w:val="SideQuote"/>
        <w:framePr w:wrap="around"/>
      </w:pPr>
      <w:r>
        <w:t>Communication with referring agencies</w:t>
      </w:r>
    </w:p>
    <w:p w14:paraId="48141DEC" w14:textId="585E7020" w:rsidR="00E34493" w:rsidRPr="00163BA3" w:rsidRDefault="00E34493" w:rsidP="00E34493">
      <w:pPr>
        <w:pStyle w:val="BodyText"/>
        <w:rPr>
          <w:i/>
        </w:rPr>
      </w:pPr>
      <w:r w:rsidRPr="00163BA3">
        <w:rPr>
          <w:i/>
        </w:rPr>
        <w:t>Given referring agencies</w:t>
      </w:r>
      <w:r w:rsidR="00255237">
        <w:rPr>
          <w:i/>
        </w:rPr>
        <w:t xml:space="preserve">’ </w:t>
      </w:r>
      <w:r w:rsidR="00B82E62">
        <w:rPr>
          <w:i/>
        </w:rPr>
        <w:t xml:space="preserve">key role in the SEE </w:t>
      </w:r>
      <w:r w:rsidR="00147674">
        <w:rPr>
          <w:i/>
        </w:rPr>
        <w:t>programme</w:t>
      </w:r>
      <w:r w:rsidRPr="00163BA3">
        <w:rPr>
          <w:i/>
        </w:rPr>
        <w:t xml:space="preserve">, </w:t>
      </w:r>
      <w:r w:rsidR="00255237">
        <w:rPr>
          <w:i/>
        </w:rPr>
        <w:t>the Department</w:t>
      </w:r>
      <w:r w:rsidR="00DA6265" w:rsidRPr="00DA6265">
        <w:t xml:space="preserve"> </w:t>
      </w:r>
      <w:r w:rsidR="00DA6265" w:rsidRPr="00E7051B">
        <w:rPr>
          <w:i/>
        </w:rPr>
        <w:t>of Education and Training</w:t>
      </w:r>
      <w:r w:rsidR="00255237">
        <w:rPr>
          <w:i/>
        </w:rPr>
        <w:t xml:space="preserve"> should </w:t>
      </w:r>
      <w:r w:rsidR="00B82E62">
        <w:rPr>
          <w:i/>
        </w:rPr>
        <w:t xml:space="preserve">work with the three relevant departments </w:t>
      </w:r>
      <w:r w:rsidR="0090452C" w:rsidRPr="0090452C">
        <w:rPr>
          <w:i/>
        </w:rPr>
        <w:t xml:space="preserve">(Employment, Social Services, and Human Services) </w:t>
      </w:r>
      <w:r w:rsidR="00B82E62">
        <w:rPr>
          <w:i/>
        </w:rPr>
        <w:t xml:space="preserve">to improve the ability of referring agencies to refer suitable clients to the SEE </w:t>
      </w:r>
      <w:r w:rsidR="00147674">
        <w:rPr>
          <w:i/>
        </w:rPr>
        <w:t>programme</w:t>
      </w:r>
      <w:r w:rsidR="00B82E62">
        <w:rPr>
          <w:i/>
        </w:rPr>
        <w:t xml:space="preserve">, including through </w:t>
      </w:r>
      <w:r w:rsidR="003A37C0">
        <w:rPr>
          <w:i/>
        </w:rPr>
        <w:t xml:space="preserve">enhanced </w:t>
      </w:r>
      <w:r w:rsidR="00B82E62">
        <w:rPr>
          <w:i/>
        </w:rPr>
        <w:t>communications and the provision of information materials</w:t>
      </w:r>
      <w:r w:rsidRPr="00163BA3">
        <w:rPr>
          <w:i/>
        </w:rPr>
        <w:t>.</w:t>
      </w:r>
    </w:p>
    <w:p w14:paraId="46CCB40F" w14:textId="3DD828F1" w:rsidR="00E34493" w:rsidRDefault="004607CB" w:rsidP="004607CB">
      <w:pPr>
        <w:pStyle w:val="Heading5"/>
      </w:pPr>
      <w:r>
        <w:t>Improving assessment tools</w:t>
      </w:r>
    </w:p>
    <w:p w14:paraId="428A8BB8" w14:textId="1FBB0EC8" w:rsidR="00E34493" w:rsidRDefault="00E34493" w:rsidP="00E34493">
      <w:pPr>
        <w:pStyle w:val="BodyText"/>
      </w:pPr>
      <w:r>
        <w:t xml:space="preserve">The core instrument for assessment of progress in the SEE </w:t>
      </w:r>
      <w:r w:rsidR="004607CB">
        <w:t xml:space="preserve">programme </w:t>
      </w:r>
      <w:r>
        <w:t>is the Australian Core Skills Framework (ACSF). Alongside the ACSF, SEE providers must also assess participants according to the accredited qualifications that are being delivered.</w:t>
      </w:r>
      <w:r w:rsidR="00160E0D">
        <w:t xml:space="preserve"> </w:t>
      </w:r>
      <w:r>
        <w:t xml:space="preserve">Most SEE providers </w:t>
      </w:r>
      <w:r w:rsidR="00E0437E">
        <w:t xml:space="preserve">argue </w:t>
      </w:r>
      <w:r>
        <w:t>that this results in significant duplication in assessment, and some emphasise that this is more than just an added administrative burden</w:t>
      </w:r>
      <w:r w:rsidR="00435151">
        <w:t xml:space="preserve"> in </w:t>
      </w:r>
      <w:r w:rsidR="00160E0D">
        <w:t>that it diverts resources from</w:t>
      </w:r>
      <w:r>
        <w:t xml:space="preserve"> training </w:t>
      </w:r>
      <w:r w:rsidR="00160E0D">
        <w:t xml:space="preserve">delivery and </w:t>
      </w:r>
      <w:r>
        <w:t>outcomes.</w:t>
      </w:r>
    </w:p>
    <w:p w14:paraId="0DE0EF94" w14:textId="28134DB8" w:rsidR="00265BC8" w:rsidRDefault="00160E0D" w:rsidP="00C82FFF">
      <w:pPr>
        <w:pStyle w:val="BodyText"/>
      </w:pPr>
      <w:r>
        <w:t>The</w:t>
      </w:r>
      <w:r w:rsidR="00E34493">
        <w:t xml:space="preserve"> requirement to perio</w:t>
      </w:r>
      <w:r w:rsidR="00265BC8">
        <w:t xml:space="preserve">dically assess against the ACSF, however, </w:t>
      </w:r>
      <w:r w:rsidR="00E34493">
        <w:t>is an important component of monitoring provider performance</w:t>
      </w:r>
      <w:r w:rsidR="003A37C0">
        <w:t xml:space="preserve"> and therefore the SEE </w:t>
      </w:r>
      <w:r w:rsidR="00147674">
        <w:t xml:space="preserve">programme’s </w:t>
      </w:r>
      <w:r w:rsidR="003A37C0">
        <w:t>performance</w:t>
      </w:r>
      <w:r>
        <w:t>, and one that</w:t>
      </w:r>
      <w:r w:rsidR="00E34493">
        <w:t xml:space="preserve"> can be validated through the independent verification process. As such, it is important to acknowledge that to a large degree the duplication of assessment is an intentional one</w:t>
      </w:r>
      <w:r w:rsidR="00265BC8" w:rsidRPr="00265BC8">
        <w:t xml:space="preserve"> </w:t>
      </w:r>
      <w:r w:rsidR="00265BC8">
        <w:t xml:space="preserve">and an important element of </w:t>
      </w:r>
      <w:r w:rsidR="00007B88">
        <w:t xml:space="preserve">the </w:t>
      </w:r>
      <w:r w:rsidR="002B4A16">
        <w:t xml:space="preserve">programme’s </w:t>
      </w:r>
      <w:r w:rsidR="00265BC8">
        <w:t>quality assurance mechanism</w:t>
      </w:r>
      <w:r w:rsidR="00E34493">
        <w:t>.</w:t>
      </w:r>
      <w:r w:rsidR="00265BC8">
        <w:t xml:space="preserve"> </w:t>
      </w:r>
    </w:p>
    <w:p w14:paraId="643B9A28" w14:textId="07996071" w:rsidR="00E34493" w:rsidRDefault="00265BC8" w:rsidP="00E34493">
      <w:pPr>
        <w:pStyle w:val="BodyText"/>
      </w:pPr>
      <w:r>
        <w:t xml:space="preserve">This is not </w:t>
      </w:r>
      <w:r w:rsidR="007957C1">
        <w:t xml:space="preserve">to </w:t>
      </w:r>
      <w:r>
        <w:t xml:space="preserve">say that improvements could </w:t>
      </w:r>
      <w:r w:rsidR="00F45243">
        <w:t xml:space="preserve">not </w:t>
      </w:r>
      <w:r>
        <w:t>be sought to address the concerns raised, such as r</w:t>
      </w:r>
      <w:r w:rsidR="00E34493">
        <w:t xml:space="preserve">educing the burden of the </w:t>
      </w:r>
      <w:r w:rsidR="002B4A16">
        <w:t xml:space="preserve">ACSF </w:t>
      </w:r>
      <w:r w:rsidR="00E34493">
        <w:t>assessment task</w:t>
      </w:r>
      <w:r w:rsidR="00C864E9">
        <w:t>s</w:t>
      </w:r>
      <w:r w:rsidR="00E34493">
        <w:t xml:space="preserve"> through more efficient instruments</w:t>
      </w:r>
      <w:r>
        <w:t xml:space="preserve">. In particular, </w:t>
      </w:r>
      <w:r w:rsidR="00E34493">
        <w:t>the government has already made an investment in the Foundation Skills Assessment Tool (FSAT)</w:t>
      </w:r>
      <w:r>
        <w:t xml:space="preserve">, </w:t>
      </w:r>
      <w:r w:rsidR="00E34493">
        <w:t>currently being developed by the Australian Centre for Educational Research (ACER)</w:t>
      </w:r>
      <w:r>
        <w:t>.</w:t>
      </w:r>
      <w:r w:rsidR="00E34493">
        <w:t xml:space="preserve"> The FSAT will be based around the theoretical underpinnings of the </w:t>
      </w:r>
      <w:r w:rsidR="002B4A16">
        <w:t>ASCF</w:t>
      </w:r>
      <w:r w:rsidR="00E34493">
        <w:t xml:space="preserve"> and is therefore well suited for use as part of </w:t>
      </w:r>
      <w:r w:rsidR="006A28F2">
        <w:t xml:space="preserve">SEE </w:t>
      </w:r>
      <w:r w:rsidR="00147674">
        <w:t xml:space="preserve">programme </w:t>
      </w:r>
      <w:r w:rsidR="00E34493">
        <w:t xml:space="preserve">assessments. </w:t>
      </w:r>
    </w:p>
    <w:p w14:paraId="5D95DE4D" w14:textId="275FF311" w:rsidR="00E34493" w:rsidRDefault="00B47731" w:rsidP="00163BA3">
      <w:pPr>
        <w:pStyle w:val="SideQuote"/>
        <w:framePr w:wrap="around"/>
      </w:pPr>
      <w:r>
        <w:t xml:space="preserve">Recommendation </w:t>
      </w:r>
      <w:r w:rsidR="00156F6C">
        <w:t>6</w:t>
      </w:r>
      <w:r>
        <w:br/>
      </w:r>
      <w:r w:rsidR="002C77CB">
        <w:t>Dual assessment</w:t>
      </w:r>
    </w:p>
    <w:p w14:paraId="4F58D4FD" w14:textId="2215854D" w:rsidR="002C77CB" w:rsidRDefault="00E0437E" w:rsidP="00E34493">
      <w:pPr>
        <w:pStyle w:val="BodyText"/>
        <w:rPr>
          <w:i/>
        </w:rPr>
      </w:pPr>
      <w:r>
        <w:rPr>
          <w:i/>
        </w:rPr>
        <w:t xml:space="preserve">The two systems of assessment used in the SEE </w:t>
      </w:r>
      <w:r w:rsidR="00147674">
        <w:rPr>
          <w:i/>
        </w:rPr>
        <w:t xml:space="preserve">programme </w:t>
      </w:r>
      <w:r>
        <w:rPr>
          <w:i/>
        </w:rPr>
        <w:t xml:space="preserve">(the different training packages and the ASCF) should be maintained. </w:t>
      </w:r>
    </w:p>
    <w:p w14:paraId="34543380" w14:textId="26FC9976" w:rsidR="002C77CB" w:rsidRDefault="002C77CB" w:rsidP="00E8274A">
      <w:pPr>
        <w:pStyle w:val="SideQuote"/>
        <w:framePr w:wrap="around"/>
      </w:pPr>
      <w:r>
        <w:t xml:space="preserve">Recommendation </w:t>
      </w:r>
      <w:r w:rsidR="00156F6C">
        <w:t>7</w:t>
      </w:r>
    </w:p>
    <w:p w14:paraId="1B72CADE" w14:textId="1DDD56D4" w:rsidR="002C77CB" w:rsidRDefault="002C77CB" w:rsidP="00E8274A">
      <w:pPr>
        <w:pStyle w:val="SideQuote"/>
        <w:framePr w:wrap="around"/>
      </w:pPr>
      <w:r>
        <w:t>Streamlining of assessment</w:t>
      </w:r>
    </w:p>
    <w:p w14:paraId="53E39B61" w14:textId="2EA7A1EE" w:rsidR="00E34493" w:rsidRPr="00163BA3" w:rsidRDefault="00E34493" w:rsidP="00E34493">
      <w:pPr>
        <w:pStyle w:val="BodyText"/>
        <w:rPr>
          <w:i/>
        </w:rPr>
      </w:pPr>
      <w:r w:rsidRPr="00163BA3">
        <w:rPr>
          <w:i/>
        </w:rPr>
        <w:t xml:space="preserve">Given the </w:t>
      </w:r>
      <w:r w:rsidR="00E0437E">
        <w:rPr>
          <w:i/>
        </w:rPr>
        <w:t xml:space="preserve">amount of </w:t>
      </w:r>
      <w:r w:rsidR="00DD6C93">
        <w:rPr>
          <w:i/>
        </w:rPr>
        <w:t xml:space="preserve">assessment </w:t>
      </w:r>
      <w:r w:rsidRPr="00163BA3">
        <w:rPr>
          <w:i/>
        </w:rPr>
        <w:t xml:space="preserve">involved, the </w:t>
      </w:r>
      <w:r w:rsidR="006A28F2">
        <w:rPr>
          <w:i/>
        </w:rPr>
        <w:t xml:space="preserve">SEE </w:t>
      </w:r>
      <w:r w:rsidR="00147674">
        <w:rPr>
          <w:i/>
        </w:rPr>
        <w:t xml:space="preserve">programme </w:t>
      </w:r>
      <w:r w:rsidRPr="00163BA3">
        <w:rPr>
          <w:i/>
        </w:rPr>
        <w:t xml:space="preserve">would benefit from the adoption of a more efficient and easy to use </w:t>
      </w:r>
      <w:r w:rsidR="00DD6C93">
        <w:rPr>
          <w:i/>
        </w:rPr>
        <w:t xml:space="preserve">ASCF </w:t>
      </w:r>
      <w:r w:rsidRPr="00163BA3">
        <w:rPr>
          <w:i/>
        </w:rPr>
        <w:t>assessment tool like the Foundation Skills Assessment Tool</w:t>
      </w:r>
      <w:r w:rsidR="00007B88">
        <w:rPr>
          <w:i/>
        </w:rPr>
        <w:t xml:space="preserve"> (</w:t>
      </w:r>
      <w:r w:rsidR="00007B88" w:rsidRPr="00163BA3">
        <w:rPr>
          <w:i/>
        </w:rPr>
        <w:t>FSAT</w:t>
      </w:r>
      <w:r w:rsidR="00007B88">
        <w:rPr>
          <w:i/>
        </w:rPr>
        <w:t>)</w:t>
      </w:r>
      <w:r w:rsidRPr="00163BA3">
        <w:rPr>
          <w:i/>
        </w:rPr>
        <w:t>.</w:t>
      </w:r>
      <w:r w:rsidR="00B47731">
        <w:rPr>
          <w:i/>
        </w:rPr>
        <w:t xml:space="preserve"> </w:t>
      </w:r>
      <w:r w:rsidRPr="00163BA3">
        <w:rPr>
          <w:i/>
        </w:rPr>
        <w:t xml:space="preserve">The appropriate use of the FSAT </w:t>
      </w:r>
      <w:r w:rsidR="00B47731">
        <w:rPr>
          <w:i/>
        </w:rPr>
        <w:t xml:space="preserve">should </w:t>
      </w:r>
      <w:r w:rsidRPr="00163BA3">
        <w:rPr>
          <w:i/>
        </w:rPr>
        <w:t>be formally considered and defined in the next tender round of the SEE programme.</w:t>
      </w:r>
    </w:p>
    <w:p w14:paraId="128A876A" w14:textId="367315B5" w:rsidR="00E34493" w:rsidRDefault="004607CB" w:rsidP="004607CB">
      <w:pPr>
        <w:pStyle w:val="Heading5"/>
      </w:pPr>
      <w:r>
        <w:t xml:space="preserve">Streamlining monitoring and reporting </w:t>
      </w:r>
    </w:p>
    <w:p w14:paraId="6D16C23C" w14:textId="45B2D3FD" w:rsidR="00E34493" w:rsidRDefault="009E2E44" w:rsidP="00C82FFF">
      <w:pPr>
        <w:pStyle w:val="BodyText"/>
      </w:pPr>
      <w:r>
        <w:t>More broadly, contract</w:t>
      </w:r>
      <w:r w:rsidR="00E34493">
        <w:t xml:space="preserve"> monitoring and reporting requirements of the programme </w:t>
      </w:r>
      <w:r>
        <w:t xml:space="preserve">received </w:t>
      </w:r>
      <w:r w:rsidR="00C82FFF">
        <w:t xml:space="preserve">significant comment </w:t>
      </w:r>
      <w:r w:rsidR="00F45243">
        <w:t xml:space="preserve">in the consultations for this evaluation </w:t>
      </w:r>
      <w:r>
        <w:t xml:space="preserve">as </w:t>
      </w:r>
      <w:r w:rsidR="00435151">
        <w:t xml:space="preserve">being </w:t>
      </w:r>
      <w:r>
        <w:t>unnecessarily burdensome</w:t>
      </w:r>
      <w:r w:rsidR="00C82FFF">
        <w:t>, particularly</w:t>
      </w:r>
      <w:r w:rsidR="00E34493">
        <w:t xml:space="preserve"> duplication in data entry</w:t>
      </w:r>
      <w:r w:rsidR="00C82FFF">
        <w:t xml:space="preserve"> regarding attendance and</w:t>
      </w:r>
      <w:r w:rsidR="00E34493">
        <w:t xml:space="preserve"> </w:t>
      </w:r>
      <w:r w:rsidR="00C82FFF">
        <w:t xml:space="preserve">the level of </w:t>
      </w:r>
      <w:r w:rsidR="00E34493">
        <w:t>hard copy reporting and documentation</w:t>
      </w:r>
      <w:r w:rsidR="00C82FFF">
        <w:t xml:space="preserve">. </w:t>
      </w:r>
      <w:r w:rsidR="0000566D">
        <w:t>T</w:t>
      </w:r>
      <w:r w:rsidR="00C82FFF">
        <w:t>he online reporting system</w:t>
      </w:r>
      <w:r w:rsidR="006E6394">
        <w:t xml:space="preserve"> </w:t>
      </w:r>
      <w:r w:rsidR="00C82FFF">
        <w:t xml:space="preserve">(SEE Online) </w:t>
      </w:r>
      <w:r w:rsidR="0000566D">
        <w:t xml:space="preserve">ability </w:t>
      </w:r>
      <w:r w:rsidR="00E34493">
        <w:t>to report on matters such as change of sites, courses or teacher details, and to submit an Initial Training Declaration</w:t>
      </w:r>
      <w:r w:rsidR="00A45596">
        <w:rPr>
          <w:rStyle w:val="FootnoteReference"/>
        </w:rPr>
        <w:footnoteReference w:id="2"/>
      </w:r>
      <w:r w:rsidR="00C82FFF">
        <w:t xml:space="preserve"> were identified as </w:t>
      </w:r>
      <w:r w:rsidR="00007B88">
        <w:t>supporting</w:t>
      </w:r>
      <w:r w:rsidR="00C82FFF">
        <w:t xml:space="preserve"> provider productivity.</w:t>
      </w:r>
    </w:p>
    <w:p w14:paraId="3D937446" w14:textId="659EA2E5" w:rsidR="008C6ABE" w:rsidRDefault="00156F6C" w:rsidP="00E8274A">
      <w:pPr>
        <w:pStyle w:val="SideQuote"/>
        <w:framePr w:wrap="around"/>
      </w:pPr>
      <w:r>
        <w:t>Recommendation 8</w:t>
      </w:r>
      <w:r w:rsidR="008C6ABE">
        <w:br/>
        <w:t>Reporting</w:t>
      </w:r>
    </w:p>
    <w:p w14:paraId="24F4A801" w14:textId="6FFC01D2" w:rsidR="008C6ABE" w:rsidRPr="00E8274A" w:rsidRDefault="008C6ABE" w:rsidP="00C82FFF">
      <w:pPr>
        <w:pStyle w:val="BodyText"/>
        <w:rPr>
          <w:i/>
        </w:rPr>
      </w:pPr>
      <w:r w:rsidRPr="00E8274A">
        <w:rPr>
          <w:i/>
        </w:rPr>
        <w:t xml:space="preserve">There should be a review of SEE </w:t>
      </w:r>
      <w:r w:rsidR="00147674">
        <w:rPr>
          <w:i/>
        </w:rPr>
        <w:t>p</w:t>
      </w:r>
      <w:r w:rsidRPr="00E8274A">
        <w:rPr>
          <w:i/>
        </w:rPr>
        <w:t>rogramme administrative requirements with a view to reducing the amount of data entry duplication and hard copy reporting.</w:t>
      </w:r>
    </w:p>
    <w:p w14:paraId="1DB09E68" w14:textId="2FD26F69" w:rsidR="006931A4" w:rsidRDefault="0000566D" w:rsidP="0000566D">
      <w:pPr>
        <w:pStyle w:val="BodyText"/>
      </w:pPr>
      <w:r>
        <w:t xml:space="preserve">The </w:t>
      </w:r>
      <w:r w:rsidR="007A143E">
        <w:t>SEE programme</w:t>
      </w:r>
      <w:r>
        <w:t xml:space="preserve"> has four KPIs. Stakeholders consulted as part of this evaluation identified issues with KPI 2</w:t>
      </w:r>
      <w:r w:rsidR="006931A4">
        <w:t>, which aims to measure the performance of providers in increasing the LLN skills of their clients</w:t>
      </w:r>
      <w:r>
        <w:t>.</w:t>
      </w:r>
      <w:r w:rsidR="00DE21BA">
        <w:t xml:space="preserve"> </w:t>
      </w:r>
      <w:r w:rsidR="00435151">
        <w:t>SEE p</w:t>
      </w:r>
      <w:r w:rsidR="006931A4">
        <w:t xml:space="preserve">roviders argue that KPI 2 acts as a penalty on providers which train low level / high needs clients, who are likely to progress more slowly. </w:t>
      </w:r>
    </w:p>
    <w:p w14:paraId="381CD16D" w14:textId="0DD12852" w:rsidR="008C6ABE" w:rsidRDefault="00156F6C" w:rsidP="00E8274A">
      <w:pPr>
        <w:pStyle w:val="SideQuote"/>
        <w:framePr w:wrap="around" w:hAnchor="page" w:x="1132" w:y="172"/>
      </w:pPr>
      <w:r>
        <w:t>Recommendation 9</w:t>
      </w:r>
      <w:r w:rsidR="00E851AE">
        <w:br/>
      </w:r>
      <w:r w:rsidR="008C6ABE">
        <w:t>KPIs</w:t>
      </w:r>
      <w:r w:rsidR="002C77CB">
        <w:t xml:space="preserve"> for those with very low LLN skills</w:t>
      </w:r>
    </w:p>
    <w:p w14:paraId="1EDAA019" w14:textId="2CAD7B65" w:rsidR="00156F6C" w:rsidRDefault="008C6ABE" w:rsidP="0000566D">
      <w:pPr>
        <w:pStyle w:val="BodyText"/>
        <w:rPr>
          <w:i/>
        </w:rPr>
      </w:pPr>
      <w:r w:rsidRPr="008C6ABE">
        <w:rPr>
          <w:i/>
        </w:rPr>
        <w:t xml:space="preserve">The future shape of KPI 2 depends on whether </w:t>
      </w:r>
      <w:r w:rsidR="002C77CB">
        <w:rPr>
          <w:i/>
        </w:rPr>
        <w:t>job seekers with very low LLN skills</w:t>
      </w:r>
      <w:r w:rsidRPr="008C6ABE">
        <w:rPr>
          <w:i/>
        </w:rPr>
        <w:t xml:space="preserve"> are a</w:t>
      </w:r>
      <w:r w:rsidR="002C77CB">
        <w:rPr>
          <w:i/>
        </w:rPr>
        <w:t>n intended</w:t>
      </w:r>
      <w:r w:rsidRPr="008C6ABE">
        <w:rPr>
          <w:i/>
        </w:rPr>
        <w:t xml:space="preserve"> target group of the SEE </w:t>
      </w:r>
      <w:r w:rsidR="00147674">
        <w:rPr>
          <w:i/>
        </w:rPr>
        <w:t>p</w:t>
      </w:r>
      <w:r w:rsidR="00147674" w:rsidRPr="008C6ABE">
        <w:rPr>
          <w:i/>
        </w:rPr>
        <w:t>rogramme</w:t>
      </w:r>
      <w:r w:rsidR="00147674">
        <w:rPr>
          <w:i/>
        </w:rPr>
        <w:t xml:space="preserve"> </w:t>
      </w:r>
      <w:r w:rsidR="002C77CB">
        <w:rPr>
          <w:i/>
        </w:rPr>
        <w:t xml:space="preserve">(see Recommendation </w:t>
      </w:r>
      <w:r w:rsidR="00E851AE">
        <w:rPr>
          <w:i/>
        </w:rPr>
        <w:t>4</w:t>
      </w:r>
      <w:r w:rsidR="002C77CB">
        <w:rPr>
          <w:i/>
        </w:rPr>
        <w:t>)</w:t>
      </w:r>
      <w:r w:rsidRPr="008C6ABE">
        <w:rPr>
          <w:i/>
        </w:rPr>
        <w:t xml:space="preserve">. If </w:t>
      </w:r>
      <w:r w:rsidR="002C77CB">
        <w:rPr>
          <w:i/>
        </w:rPr>
        <w:t xml:space="preserve">they are, </w:t>
      </w:r>
      <w:r w:rsidRPr="008C6ABE">
        <w:rPr>
          <w:i/>
        </w:rPr>
        <w:t xml:space="preserve">KPI 2 could be modified to include pre-ACSF attainment. </w:t>
      </w:r>
    </w:p>
    <w:p w14:paraId="01D2B22D" w14:textId="449A5AA9" w:rsidR="00156F6C" w:rsidRDefault="00435151" w:rsidP="0000566D">
      <w:pPr>
        <w:pStyle w:val="BodyText"/>
      </w:pPr>
      <w:r>
        <w:t>SEE p</w:t>
      </w:r>
      <w:r w:rsidR="00E851AE">
        <w:t xml:space="preserve">roviders also expressed concern that KPI 2 is causing over assessment as </w:t>
      </w:r>
      <w:r>
        <w:t xml:space="preserve">they </w:t>
      </w:r>
      <w:r w:rsidR="00E851AE">
        <w:t xml:space="preserve">try to ensure clients unexpectedly leaving the programme close but prior to an assessment do not significantly impact </w:t>
      </w:r>
      <w:r>
        <w:t xml:space="preserve">their </w:t>
      </w:r>
      <w:r w:rsidR="00E851AE">
        <w:t xml:space="preserve">attainment performance. </w:t>
      </w:r>
    </w:p>
    <w:p w14:paraId="55976927" w14:textId="7BF2BBD4" w:rsidR="00E851AE" w:rsidRDefault="00E851AE" w:rsidP="00E8274A">
      <w:pPr>
        <w:pStyle w:val="SideQuote"/>
        <w:framePr w:wrap="around"/>
        <w:rPr>
          <w:i/>
        </w:rPr>
      </w:pPr>
      <w:r>
        <w:t>Recommendation 10</w:t>
      </w:r>
      <w:r>
        <w:br/>
        <w:t>KPIs and over assessment</w:t>
      </w:r>
    </w:p>
    <w:p w14:paraId="3D190051" w14:textId="6AFC0F5E" w:rsidR="008C6ABE" w:rsidRDefault="008C6ABE" w:rsidP="0000566D">
      <w:pPr>
        <w:pStyle w:val="BodyText"/>
      </w:pPr>
      <w:r w:rsidRPr="008C6ABE">
        <w:rPr>
          <w:i/>
        </w:rPr>
        <w:t xml:space="preserve">The </w:t>
      </w:r>
      <w:r w:rsidR="00DA6265" w:rsidRPr="00DA6265">
        <w:rPr>
          <w:i/>
        </w:rPr>
        <w:t xml:space="preserve">Australian Government </w:t>
      </w:r>
      <w:r w:rsidRPr="008C6ABE">
        <w:rPr>
          <w:i/>
        </w:rPr>
        <w:t>should better promote techniques providers can use to mitigate against over assessment</w:t>
      </w:r>
      <w:r w:rsidR="00156F6C">
        <w:rPr>
          <w:i/>
        </w:rPr>
        <w:t>.</w:t>
      </w:r>
    </w:p>
    <w:p w14:paraId="2ADB7F0F" w14:textId="207D907D" w:rsidR="00E34493" w:rsidRDefault="00E34493">
      <w:pPr>
        <w:pStyle w:val="BodyText"/>
      </w:pPr>
      <w:r>
        <w:t xml:space="preserve">The Independent Verification </w:t>
      </w:r>
      <w:r w:rsidR="004631CB">
        <w:t xml:space="preserve">process </w:t>
      </w:r>
      <w:r w:rsidR="00007B88">
        <w:t xml:space="preserve">itself </w:t>
      </w:r>
      <w:r w:rsidR="004631CB">
        <w:t>appears to be a well-accepted</w:t>
      </w:r>
      <w:r>
        <w:t xml:space="preserve"> and appropriate part of the SEE programme. </w:t>
      </w:r>
      <w:r w:rsidR="004631CB">
        <w:t>That said</w:t>
      </w:r>
      <w:r w:rsidR="007F790B">
        <w:t xml:space="preserve">, </w:t>
      </w:r>
      <w:r w:rsidR="00435151">
        <w:t xml:space="preserve">SEE </w:t>
      </w:r>
      <w:r w:rsidR="007F790B">
        <w:t>providers reported that t</w:t>
      </w:r>
      <w:r>
        <w:t xml:space="preserve">he requirements and expectations of Independent Verification </w:t>
      </w:r>
      <w:r w:rsidR="007F790B">
        <w:t xml:space="preserve">may vary by assessor and </w:t>
      </w:r>
      <w:r w:rsidR="00224254">
        <w:t xml:space="preserve">are </w:t>
      </w:r>
      <w:r w:rsidR="007F790B">
        <w:t xml:space="preserve">not well communicated to or understood by </w:t>
      </w:r>
      <w:r>
        <w:t>providers</w:t>
      </w:r>
      <w:r w:rsidR="007F790B">
        <w:t>, and that more opportunities for s</w:t>
      </w:r>
      <w:r>
        <w:t>upportive feedback between verifications</w:t>
      </w:r>
      <w:r w:rsidR="007F790B">
        <w:t xml:space="preserve"> would be beneficial</w:t>
      </w:r>
      <w:r>
        <w:t xml:space="preserve">.  </w:t>
      </w:r>
    </w:p>
    <w:p w14:paraId="7A551AE6" w14:textId="0A77393D" w:rsidR="0024581D" w:rsidRDefault="00E34493" w:rsidP="00163BA3">
      <w:pPr>
        <w:pStyle w:val="SideQuote"/>
        <w:framePr w:wrap="around"/>
      </w:pPr>
      <w:r>
        <w:t xml:space="preserve">Recommendation </w:t>
      </w:r>
      <w:r w:rsidR="00156F6C">
        <w:t>1</w:t>
      </w:r>
      <w:r w:rsidR="00E851AE">
        <w:t>1</w:t>
      </w:r>
      <w:r w:rsidR="0024581D">
        <w:br/>
        <w:t xml:space="preserve">Monitoring and reporting </w:t>
      </w:r>
    </w:p>
    <w:p w14:paraId="4B9E8EEC" w14:textId="080BD9D7" w:rsidR="00E34493" w:rsidRDefault="008C6ABE" w:rsidP="008C6ABE">
      <w:pPr>
        <w:pStyle w:val="BodyText"/>
      </w:pPr>
      <w:r w:rsidRPr="008C6ABE">
        <w:rPr>
          <w:i/>
        </w:rPr>
        <w:t>The</w:t>
      </w:r>
      <w:r w:rsidR="002C77CB">
        <w:rPr>
          <w:i/>
        </w:rPr>
        <w:t xml:space="preserve"> Independent Verification</w:t>
      </w:r>
      <w:r w:rsidRPr="008C6ABE">
        <w:rPr>
          <w:i/>
        </w:rPr>
        <w:t xml:space="preserve"> </w:t>
      </w:r>
      <w:r w:rsidR="002C77CB">
        <w:rPr>
          <w:i/>
        </w:rPr>
        <w:t xml:space="preserve">is a beneficial part of the SEE </w:t>
      </w:r>
      <w:r w:rsidR="00147674">
        <w:rPr>
          <w:i/>
        </w:rPr>
        <w:t xml:space="preserve">programme </w:t>
      </w:r>
      <w:r w:rsidR="002C77CB">
        <w:rPr>
          <w:i/>
        </w:rPr>
        <w:t xml:space="preserve">and </w:t>
      </w:r>
      <w:r w:rsidR="00007B88">
        <w:rPr>
          <w:i/>
        </w:rPr>
        <w:t xml:space="preserve">the </w:t>
      </w:r>
      <w:r w:rsidR="00DA6265" w:rsidRPr="00DA6265">
        <w:rPr>
          <w:i/>
        </w:rPr>
        <w:t xml:space="preserve">Australian Government </w:t>
      </w:r>
      <w:r w:rsidRPr="008C6ABE">
        <w:rPr>
          <w:i/>
        </w:rPr>
        <w:t>should look to improve the consistency and communication around the process</w:t>
      </w:r>
      <w:r w:rsidR="000C45C8">
        <w:rPr>
          <w:i/>
        </w:rPr>
        <w:t xml:space="preserve"> and the expectations of assessors</w:t>
      </w:r>
      <w:r w:rsidR="0024581D" w:rsidRPr="006931A4">
        <w:rPr>
          <w:i/>
        </w:rPr>
        <w:t>.</w:t>
      </w:r>
    </w:p>
    <w:p w14:paraId="1CDDCE1A" w14:textId="3C162BE7" w:rsidR="00E34493" w:rsidRDefault="004607CB" w:rsidP="004607CB">
      <w:pPr>
        <w:pStyle w:val="Heading5"/>
      </w:pPr>
      <w:r>
        <w:t>Improving client outcomes</w:t>
      </w:r>
    </w:p>
    <w:p w14:paraId="0373CCB0" w14:textId="7340E53A" w:rsidR="00E34493" w:rsidRDefault="00B13C3A" w:rsidP="0047590A">
      <w:pPr>
        <w:pStyle w:val="BodyText"/>
      </w:pPr>
      <w:r>
        <w:t>The</w:t>
      </w:r>
      <w:r w:rsidR="00E34493">
        <w:t xml:space="preserve"> importance of allowing flexibility to meet individual needs</w:t>
      </w:r>
      <w:r w:rsidRPr="00B13C3A">
        <w:t xml:space="preserve"> </w:t>
      </w:r>
      <w:r>
        <w:t xml:space="preserve">is well acknowledged in the </w:t>
      </w:r>
      <w:r w:rsidR="00E47262">
        <w:t>literat</w:t>
      </w:r>
      <w:r>
        <w:t>ure</w:t>
      </w:r>
      <w:r w:rsidR="002A1E89">
        <w:t xml:space="preserve"> on LLN programmes</w:t>
      </w:r>
      <w:r w:rsidR="00E47262" w:rsidRPr="00E47262">
        <w:t>.</w:t>
      </w:r>
      <w:r w:rsidR="00E47262">
        <w:t xml:space="preserve"> </w:t>
      </w:r>
      <w:r w:rsidR="00E34493">
        <w:t xml:space="preserve">Stakeholders generally agree that the </w:t>
      </w:r>
      <w:r w:rsidR="006A28F2">
        <w:t xml:space="preserve">SEE </w:t>
      </w:r>
      <w:r w:rsidR="00147674">
        <w:t xml:space="preserve">programme </w:t>
      </w:r>
      <w:r w:rsidR="00E34493">
        <w:t>has the potential to have a significant impact on a large proportion of participants in preparing them for further study or employment</w:t>
      </w:r>
      <w:r w:rsidR="00E47262">
        <w:t>, enabling</w:t>
      </w:r>
      <w:r w:rsidR="00E34493">
        <w:t xml:space="preserve"> </w:t>
      </w:r>
      <w:r w:rsidR="00221649">
        <w:t>client</w:t>
      </w:r>
      <w:r w:rsidR="00E34493">
        <w:t xml:space="preserve">s who would not otherwise be able to afford course fees, to </w:t>
      </w:r>
      <w:r w:rsidR="005E7221">
        <w:t>develop LLN skills</w:t>
      </w:r>
      <w:r w:rsidR="00E34493">
        <w:t xml:space="preserve"> and improve their chances of </w:t>
      </w:r>
      <w:r w:rsidR="005E7221">
        <w:t xml:space="preserve">finding employment and </w:t>
      </w:r>
      <w:r w:rsidR="00E34493">
        <w:t xml:space="preserve">being accepted into VET courses. </w:t>
      </w:r>
    </w:p>
    <w:p w14:paraId="2B19E9E8" w14:textId="1F570918" w:rsidR="00651861" w:rsidRDefault="00651861">
      <w:pPr>
        <w:pStyle w:val="BodyText"/>
      </w:pPr>
      <w:r>
        <w:t xml:space="preserve">Study modes and work experience were consistently raised as areas for improvement. </w:t>
      </w:r>
      <w:r w:rsidR="00E47262">
        <w:t>While</w:t>
      </w:r>
      <w:r w:rsidR="00E34493">
        <w:t xml:space="preserve"> </w:t>
      </w:r>
      <w:r w:rsidR="006A28F2">
        <w:t xml:space="preserve">SEE </w:t>
      </w:r>
      <w:r w:rsidR="00147674">
        <w:t xml:space="preserve">programme </w:t>
      </w:r>
      <w:r w:rsidR="00E34493">
        <w:t>training can be delivered through face-to-face classes, small group training classes, distance mode and a mix of classroom and distance mode</w:t>
      </w:r>
      <w:r w:rsidR="002A1E89">
        <w:t>,</w:t>
      </w:r>
      <w:r w:rsidR="00E34493">
        <w:t xml:space="preserve"> training is primarily delivered face-to-face</w:t>
      </w:r>
      <w:r w:rsidR="00E47262">
        <w:t>.</w:t>
      </w:r>
      <w:r w:rsidR="00E34493">
        <w:t xml:space="preserve"> </w:t>
      </w:r>
    </w:p>
    <w:p w14:paraId="4C38BE2F" w14:textId="50DC6245" w:rsidR="00E34493" w:rsidRDefault="00651861" w:rsidP="00E34493">
      <w:pPr>
        <w:pStyle w:val="BodyText"/>
      </w:pPr>
      <w:r>
        <w:t>T</w:t>
      </w:r>
      <w:r w:rsidR="00E34493">
        <w:t xml:space="preserve">he take up rate of work experience is low </w:t>
      </w:r>
      <w:r w:rsidR="005E7221">
        <w:t xml:space="preserve">in part </w:t>
      </w:r>
      <w:r w:rsidR="00E34493">
        <w:t xml:space="preserve">due to the significant challenges faced by </w:t>
      </w:r>
      <w:r w:rsidR="00BB33BE">
        <w:t xml:space="preserve">SEE </w:t>
      </w:r>
      <w:r w:rsidR="00E34493">
        <w:t xml:space="preserve">providers in </w:t>
      </w:r>
      <w:r w:rsidR="00007B88">
        <w:t>arranging</w:t>
      </w:r>
      <w:r w:rsidR="00E34493">
        <w:t xml:space="preserve"> suitable opportunities with employers. This is</w:t>
      </w:r>
      <w:r>
        <w:t xml:space="preserve"> </w:t>
      </w:r>
      <w:r w:rsidR="00E34493">
        <w:t>a common challenge across the VET system and not unique to the SEE programme.</w:t>
      </w:r>
      <w:r>
        <w:t xml:space="preserve"> </w:t>
      </w:r>
      <w:r w:rsidR="002A1E89">
        <w:t>Within SEE</w:t>
      </w:r>
      <w:r>
        <w:t>, the</w:t>
      </w:r>
      <w:r w:rsidR="00E34493">
        <w:t xml:space="preserve"> administrative </w:t>
      </w:r>
      <w:r>
        <w:t xml:space="preserve">and financial </w:t>
      </w:r>
      <w:r w:rsidR="00E34493">
        <w:t xml:space="preserve">effort required per individual </w:t>
      </w:r>
      <w:r>
        <w:t>in m</w:t>
      </w:r>
      <w:r w:rsidR="00E34493">
        <w:t>apping work placement to ACSF outcomes</w:t>
      </w:r>
      <w:r>
        <w:t xml:space="preserve"> and </w:t>
      </w:r>
      <w:r w:rsidR="00E34493">
        <w:t>reporting on placement outcomes</w:t>
      </w:r>
      <w:r>
        <w:t xml:space="preserve"> is </w:t>
      </w:r>
      <w:r w:rsidR="00746597">
        <w:t>time consuming for</w:t>
      </w:r>
      <w:r>
        <w:t xml:space="preserve"> </w:t>
      </w:r>
      <w:r w:rsidR="00E34493">
        <w:t>SEE providers. The removal of the requirement to seek prior approval for a client to undertake work experience has alleviated some of the administrative burden in this area, but delivery of work experience nonetheless remains a challenge.</w:t>
      </w:r>
    </w:p>
    <w:p w14:paraId="1B12D6F2" w14:textId="2C2A6D22" w:rsidR="00746597" w:rsidRDefault="00E34493" w:rsidP="00E34493">
      <w:pPr>
        <w:pStyle w:val="BodyText"/>
      </w:pPr>
      <w:r w:rsidRPr="005E7221">
        <w:t xml:space="preserve">The </w:t>
      </w:r>
      <w:r w:rsidR="006A28F2" w:rsidRPr="005E7221">
        <w:t xml:space="preserve">SEE </w:t>
      </w:r>
      <w:r w:rsidR="00147674">
        <w:t>p</w:t>
      </w:r>
      <w:r w:rsidR="00147674" w:rsidRPr="005E7221">
        <w:t xml:space="preserve">rogramme </w:t>
      </w:r>
      <w:r w:rsidR="00E31BAD" w:rsidRPr="005E7221">
        <w:t xml:space="preserve">justifiably </w:t>
      </w:r>
      <w:r w:rsidRPr="005E7221">
        <w:t xml:space="preserve">requires that teachers and assessors </w:t>
      </w:r>
      <w:r w:rsidR="00651861" w:rsidRPr="005E7221">
        <w:t>are strongly qualified</w:t>
      </w:r>
      <w:r w:rsidR="00E31BAD" w:rsidRPr="005E7221">
        <w:t xml:space="preserve">. </w:t>
      </w:r>
      <w:r w:rsidR="00746597">
        <w:t xml:space="preserve">Some of the </w:t>
      </w:r>
      <w:r w:rsidR="00BB33BE">
        <w:t xml:space="preserve">SEE </w:t>
      </w:r>
      <w:r w:rsidR="00746597">
        <w:t xml:space="preserve">providers consulted for this evaluation support the current teacher qualification requirement, as did most </w:t>
      </w:r>
      <w:r w:rsidR="00BB33BE">
        <w:t xml:space="preserve">SEE </w:t>
      </w:r>
      <w:r w:rsidR="00746597">
        <w:t>providers which responded to the 2012 LLNP Discussion Paper.</w:t>
      </w:r>
    </w:p>
    <w:p w14:paraId="7A42A0E5" w14:textId="0939C154" w:rsidR="00E34493" w:rsidRPr="005E7221" w:rsidRDefault="00D34F94" w:rsidP="00E34493">
      <w:pPr>
        <w:pStyle w:val="BodyText"/>
      </w:pPr>
      <w:r w:rsidRPr="005E7221">
        <w:t>However, s</w:t>
      </w:r>
      <w:r w:rsidR="00B463D7" w:rsidRPr="005E7221">
        <w:t xml:space="preserve">ome </w:t>
      </w:r>
      <w:r w:rsidR="00E34493" w:rsidRPr="005E7221">
        <w:t xml:space="preserve">SEE providers consider </w:t>
      </w:r>
      <w:r w:rsidR="00B463D7" w:rsidRPr="005E7221">
        <w:t>the</w:t>
      </w:r>
      <w:r w:rsidR="00E34493" w:rsidRPr="005E7221">
        <w:t xml:space="preserve"> requirements </w:t>
      </w:r>
      <w:r w:rsidR="00B463D7" w:rsidRPr="005E7221">
        <w:t xml:space="preserve">to restrict the pool of </w:t>
      </w:r>
      <w:r w:rsidR="00877B44" w:rsidRPr="005E7221">
        <w:t xml:space="preserve">potential </w:t>
      </w:r>
      <w:r w:rsidR="00B463D7" w:rsidRPr="005E7221">
        <w:t xml:space="preserve">teachers as </w:t>
      </w:r>
      <w:r w:rsidR="00E34493" w:rsidRPr="005E7221">
        <w:t xml:space="preserve">individuals possessing VET sector qualifications and experience as well as an undergraduate degree </w:t>
      </w:r>
      <w:r w:rsidR="00746597">
        <w:t>as limiting</w:t>
      </w:r>
      <w:r w:rsidR="00B463D7" w:rsidRPr="005E7221">
        <w:t xml:space="preserve">. </w:t>
      </w:r>
      <w:r w:rsidR="00746597">
        <w:t>T</w:t>
      </w:r>
      <w:r w:rsidR="00E34493" w:rsidRPr="005E7221">
        <w:t xml:space="preserve">he </w:t>
      </w:r>
      <w:r w:rsidR="00746597">
        <w:t xml:space="preserve">fact that the </w:t>
      </w:r>
      <w:r w:rsidR="00E34493" w:rsidRPr="005E7221">
        <w:t xml:space="preserve">undergraduate qualification </w:t>
      </w:r>
      <w:r w:rsidR="00746597">
        <w:t xml:space="preserve">requirement is met by an undergraduate qualification </w:t>
      </w:r>
      <w:r w:rsidR="00746597" w:rsidRPr="00B44BDE">
        <w:t>in any field or discipline</w:t>
      </w:r>
      <w:r w:rsidR="00746597">
        <w:t>, including those</w:t>
      </w:r>
      <w:r w:rsidR="00746597" w:rsidRPr="00B44BDE">
        <w:t xml:space="preserve"> unrelated to education, adult learning or LLN</w:t>
      </w:r>
      <w:r w:rsidR="00746597">
        <w:t>, is seen by some as indicating th</w:t>
      </w:r>
      <w:r w:rsidR="000C45C8">
        <w:t>at</w:t>
      </w:r>
      <w:r w:rsidR="00746597">
        <w:t xml:space="preserve"> </w:t>
      </w:r>
      <w:r w:rsidR="000C45C8">
        <w:t xml:space="preserve">the </w:t>
      </w:r>
      <w:r w:rsidR="00746597">
        <w:t>requirement</w:t>
      </w:r>
      <w:r w:rsidR="00156F6C">
        <w:t xml:space="preserve"> </w:t>
      </w:r>
      <w:r w:rsidR="000C45C8">
        <w:t>is</w:t>
      </w:r>
      <w:r w:rsidR="00746597">
        <w:t xml:space="preserve"> inappropriate</w:t>
      </w:r>
      <w:r w:rsidR="000C45C8">
        <w:t xml:space="preserve"> and/or un</w:t>
      </w:r>
      <w:r w:rsidR="00156F6C">
        <w:t>n</w:t>
      </w:r>
      <w:r w:rsidR="000C45C8">
        <w:t>ecessary</w:t>
      </w:r>
      <w:r w:rsidR="00746597" w:rsidRPr="00B44BDE">
        <w:t>.</w:t>
      </w:r>
    </w:p>
    <w:p w14:paraId="23C83B3F" w14:textId="7011F386" w:rsidR="00746597" w:rsidRDefault="00746597" w:rsidP="00746597">
      <w:pPr>
        <w:spacing w:line="280" w:lineRule="exact"/>
        <w:rPr>
          <w:sz w:val="22"/>
          <w:szCs w:val="22"/>
          <w:lang w:eastAsia="en-AU"/>
        </w:rPr>
      </w:pPr>
      <w:r w:rsidRPr="00B44BDE">
        <w:rPr>
          <w:sz w:val="22"/>
          <w:szCs w:val="22"/>
          <w:lang w:eastAsia="en-AU"/>
        </w:rPr>
        <w:t>An important strength of</w:t>
      </w:r>
      <w:r>
        <w:rPr>
          <w:sz w:val="22"/>
          <w:szCs w:val="22"/>
          <w:lang w:eastAsia="en-AU"/>
        </w:rPr>
        <w:t xml:space="preserve"> the</w:t>
      </w:r>
      <w:r w:rsidRPr="00B44BDE">
        <w:rPr>
          <w:sz w:val="22"/>
          <w:szCs w:val="22"/>
          <w:lang w:eastAsia="en-AU"/>
        </w:rPr>
        <w:t xml:space="preserve"> SEE </w:t>
      </w:r>
      <w:r w:rsidR="00147674">
        <w:rPr>
          <w:sz w:val="22"/>
          <w:szCs w:val="22"/>
          <w:lang w:eastAsia="en-AU"/>
        </w:rPr>
        <w:t>p</w:t>
      </w:r>
      <w:r w:rsidR="00147674" w:rsidRPr="00B44BDE">
        <w:rPr>
          <w:sz w:val="22"/>
          <w:szCs w:val="22"/>
          <w:lang w:eastAsia="en-AU"/>
        </w:rPr>
        <w:t xml:space="preserve">rogramme </w:t>
      </w:r>
      <w:r w:rsidRPr="00B44BDE">
        <w:rPr>
          <w:sz w:val="22"/>
          <w:szCs w:val="22"/>
          <w:lang w:eastAsia="en-AU"/>
        </w:rPr>
        <w:t>is the ability of providers to incorporate a range of VET units as part of thei</w:t>
      </w:r>
      <w:r>
        <w:rPr>
          <w:sz w:val="22"/>
          <w:szCs w:val="22"/>
          <w:lang w:eastAsia="en-AU"/>
        </w:rPr>
        <w:t>r LLN delivery. T</w:t>
      </w:r>
      <w:r w:rsidRPr="00B44BDE">
        <w:rPr>
          <w:sz w:val="22"/>
          <w:szCs w:val="22"/>
          <w:lang w:eastAsia="en-AU"/>
        </w:rPr>
        <w:t xml:space="preserve">he minimum undergraduate qualification requirements </w:t>
      </w:r>
      <w:r>
        <w:rPr>
          <w:sz w:val="22"/>
          <w:szCs w:val="22"/>
          <w:lang w:eastAsia="en-AU"/>
        </w:rPr>
        <w:t xml:space="preserve">may </w:t>
      </w:r>
      <w:r w:rsidRPr="00B44BDE">
        <w:rPr>
          <w:sz w:val="22"/>
          <w:szCs w:val="22"/>
          <w:lang w:eastAsia="en-AU"/>
        </w:rPr>
        <w:t>l</w:t>
      </w:r>
      <w:r>
        <w:rPr>
          <w:sz w:val="22"/>
          <w:szCs w:val="22"/>
          <w:lang w:eastAsia="en-AU"/>
        </w:rPr>
        <w:t>imit this strength as in many cases non-SEE</w:t>
      </w:r>
      <w:r w:rsidR="002A1E89">
        <w:rPr>
          <w:sz w:val="22"/>
          <w:szCs w:val="22"/>
          <w:lang w:eastAsia="en-AU"/>
        </w:rPr>
        <w:t>,</w:t>
      </w:r>
      <w:r>
        <w:rPr>
          <w:sz w:val="22"/>
          <w:szCs w:val="22"/>
          <w:lang w:eastAsia="en-AU"/>
        </w:rPr>
        <w:t xml:space="preserve"> specialist VET teachers lack undergraduate qualifications</w:t>
      </w:r>
      <w:r w:rsidRPr="00B44BDE">
        <w:rPr>
          <w:sz w:val="22"/>
          <w:szCs w:val="22"/>
          <w:lang w:eastAsia="en-AU"/>
        </w:rPr>
        <w:t>.</w:t>
      </w:r>
      <w:r>
        <w:rPr>
          <w:sz w:val="22"/>
          <w:szCs w:val="22"/>
          <w:lang w:eastAsia="en-AU"/>
        </w:rPr>
        <w:t xml:space="preserve"> While team teaching by SEE and vocational </w:t>
      </w:r>
      <w:r w:rsidRPr="00694F87">
        <w:rPr>
          <w:sz w:val="22"/>
          <w:szCs w:val="22"/>
          <w:lang w:eastAsia="en-AU"/>
        </w:rPr>
        <w:t>teachers</w:t>
      </w:r>
      <w:r>
        <w:rPr>
          <w:sz w:val="22"/>
          <w:szCs w:val="22"/>
          <w:lang w:eastAsia="en-AU"/>
        </w:rPr>
        <w:t xml:space="preserve"> does take place, this adds to the cost of </w:t>
      </w:r>
      <w:r w:rsidRPr="00B44BDE">
        <w:rPr>
          <w:sz w:val="22"/>
          <w:szCs w:val="22"/>
          <w:lang w:eastAsia="en-AU"/>
        </w:rPr>
        <w:t>incorporat</w:t>
      </w:r>
      <w:r w:rsidR="002A1E89">
        <w:rPr>
          <w:sz w:val="22"/>
          <w:szCs w:val="22"/>
          <w:lang w:eastAsia="en-AU"/>
        </w:rPr>
        <w:t>ing</w:t>
      </w:r>
      <w:r w:rsidRPr="00B44BDE">
        <w:rPr>
          <w:sz w:val="22"/>
          <w:szCs w:val="22"/>
          <w:lang w:eastAsia="en-AU"/>
        </w:rPr>
        <w:t xml:space="preserve"> a range of VET units</w:t>
      </w:r>
      <w:r>
        <w:rPr>
          <w:sz w:val="22"/>
          <w:szCs w:val="22"/>
          <w:lang w:eastAsia="en-AU"/>
        </w:rPr>
        <w:t xml:space="preserve"> in SEE.</w:t>
      </w:r>
    </w:p>
    <w:p w14:paraId="57EB8714" w14:textId="72A97708" w:rsidR="00746597" w:rsidRPr="005E7221" w:rsidRDefault="00746597" w:rsidP="00E8274A">
      <w:pPr>
        <w:spacing w:line="280" w:lineRule="exact"/>
      </w:pPr>
      <w:r>
        <w:rPr>
          <w:sz w:val="22"/>
          <w:szCs w:val="22"/>
          <w:lang w:eastAsia="en-AU"/>
        </w:rPr>
        <w:t xml:space="preserve">Some </w:t>
      </w:r>
      <w:r w:rsidR="00BB33BE">
        <w:rPr>
          <w:sz w:val="22"/>
          <w:szCs w:val="22"/>
          <w:lang w:eastAsia="en-AU"/>
        </w:rPr>
        <w:t xml:space="preserve">SEE </w:t>
      </w:r>
      <w:r>
        <w:rPr>
          <w:sz w:val="22"/>
          <w:szCs w:val="22"/>
          <w:lang w:eastAsia="en-AU"/>
        </w:rPr>
        <w:t>providers also point to the teacher qualification requirements as leading to r</w:t>
      </w:r>
      <w:r w:rsidRPr="00B44BDE">
        <w:rPr>
          <w:sz w:val="22"/>
          <w:szCs w:val="22"/>
          <w:lang w:eastAsia="en-AU"/>
        </w:rPr>
        <w:t>ecruitment difficulties</w:t>
      </w:r>
      <w:r>
        <w:rPr>
          <w:sz w:val="22"/>
          <w:szCs w:val="22"/>
          <w:lang w:eastAsia="en-AU"/>
        </w:rPr>
        <w:t>. A</w:t>
      </w:r>
      <w:r w:rsidRPr="00B44BDE">
        <w:rPr>
          <w:sz w:val="22"/>
          <w:szCs w:val="22"/>
          <w:lang w:eastAsia="en-AU"/>
        </w:rPr>
        <w:t xml:space="preserve"> key issue to be considered further is whether the benefits of these teacher qualification requirements outweigh the costs</w:t>
      </w:r>
      <w:r>
        <w:rPr>
          <w:sz w:val="22"/>
          <w:szCs w:val="22"/>
          <w:lang w:eastAsia="en-AU"/>
        </w:rPr>
        <w:t xml:space="preserve">. </w:t>
      </w:r>
    </w:p>
    <w:p w14:paraId="1A6AFDBF" w14:textId="7E4AC0B2" w:rsidR="00E34493" w:rsidRPr="005E7221" w:rsidRDefault="00E34493" w:rsidP="00163BA3">
      <w:pPr>
        <w:pStyle w:val="SideQuote"/>
        <w:framePr w:wrap="around"/>
      </w:pPr>
      <w:r w:rsidRPr="005E7221">
        <w:t xml:space="preserve">Recommendation </w:t>
      </w:r>
      <w:r w:rsidR="00E851AE">
        <w:t>12</w:t>
      </w:r>
      <w:r w:rsidR="00CC04B1" w:rsidRPr="005E7221">
        <w:br/>
        <w:t xml:space="preserve">Client outcomes </w:t>
      </w:r>
    </w:p>
    <w:p w14:paraId="1862E7C1" w14:textId="7BB83F42" w:rsidR="00E34493" w:rsidRDefault="00746597" w:rsidP="00E34493">
      <w:pPr>
        <w:pStyle w:val="BodyText"/>
      </w:pPr>
      <w:r>
        <w:rPr>
          <w:i/>
        </w:rPr>
        <w:t xml:space="preserve">The </w:t>
      </w:r>
      <w:r w:rsidR="00DA6265" w:rsidRPr="00DA6265">
        <w:rPr>
          <w:i/>
        </w:rPr>
        <w:t xml:space="preserve">Australian Government </w:t>
      </w:r>
      <w:r>
        <w:rPr>
          <w:i/>
        </w:rPr>
        <w:t>should undertake f</w:t>
      </w:r>
      <w:r w:rsidR="00E34493" w:rsidRPr="005E7221">
        <w:rPr>
          <w:i/>
        </w:rPr>
        <w:t xml:space="preserve">urther research to comprehensively assess whether the </w:t>
      </w:r>
      <w:r w:rsidR="006A28F2" w:rsidRPr="005E7221">
        <w:rPr>
          <w:i/>
        </w:rPr>
        <w:t xml:space="preserve">SEE </w:t>
      </w:r>
      <w:r w:rsidR="00147674">
        <w:rPr>
          <w:i/>
        </w:rPr>
        <w:t>p</w:t>
      </w:r>
      <w:r w:rsidR="00147674" w:rsidRPr="005E7221">
        <w:rPr>
          <w:i/>
        </w:rPr>
        <w:t xml:space="preserve">rogramme </w:t>
      </w:r>
      <w:r>
        <w:rPr>
          <w:i/>
        </w:rPr>
        <w:t xml:space="preserve">teacher qualification </w:t>
      </w:r>
      <w:r w:rsidR="00E34493" w:rsidRPr="005E7221">
        <w:rPr>
          <w:i/>
        </w:rPr>
        <w:t xml:space="preserve">requirements strike the right </w:t>
      </w:r>
      <w:r>
        <w:rPr>
          <w:i/>
        </w:rPr>
        <w:t xml:space="preserve">overall </w:t>
      </w:r>
      <w:r w:rsidR="00E34493" w:rsidRPr="005E7221">
        <w:rPr>
          <w:i/>
        </w:rPr>
        <w:t>balance between ensuring quality whil</w:t>
      </w:r>
      <w:r>
        <w:rPr>
          <w:i/>
        </w:rPr>
        <w:t>e</w:t>
      </w:r>
      <w:r w:rsidR="00E34493" w:rsidRPr="005E7221">
        <w:rPr>
          <w:i/>
        </w:rPr>
        <w:t xml:space="preserve"> not unduly restricting provider flexibility and innovation</w:t>
      </w:r>
      <w:r w:rsidR="0053674E" w:rsidRPr="005E7221">
        <w:rPr>
          <w:i/>
        </w:rPr>
        <w:t xml:space="preserve">, particularly in relation to </w:t>
      </w:r>
      <w:r>
        <w:rPr>
          <w:i/>
        </w:rPr>
        <w:t>vocational units</w:t>
      </w:r>
      <w:r w:rsidR="00E34493" w:rsidRPr="005E7221">
        <w:rPr>
          <w:i/>
        </w:rPr>
        <w:t>.</w:t>
      </w:r>
    </w:p>
    <w:p w14:paraId="256195D5" w14:textId="167E5EBC" w:rsidR="00E34493" w:rsidRDefault="004D5A41" w:rsidP="004607CB">
      <w:pPr>
        <w:pStyle w:val="Heading5"/>
      </w:pPr>
      <w:r>
        <w:t>The training allocation</w:t>
      </w:r>
    </w:p>
    <w:p w14:paraId="0116E68A" w14:textId="75EE510A" w:rsidR="00E34493" w:rsidRDefault="00683D82" w:rsidP="00E34493">
      <w:pPr>
        <w:pStyle w:val="BodyText"/>
      </w:pPr>
      <w:r>
        <w:t>The</w:t>
      </w:r>
      <w:r w:rsidR="00E34493">
        <w:t xml:space="preserve"> allocation of 800 hours per SEE participant</w:t>
      </w:r>
      <w:r w:rsidR="008C5E9C">
        <w:t xml:space="preserve"> was generally well accepted</w:t>
      </w:r>
      <w:r w:rsidR="00E34493">
        <w:t xml:space="preserve">, except in the case of </w:t>
      </w:r>
      <w:r w:rsidR="00221649">
        <w:t>client</w:t>
      </w:r>
      <w:r w:rsidR="00E34493">
        <w:t xml:space="preserve">s from non-English speaking backgrounds </w:t>
      </w:r>
      <w:r w:rsidR="008C5E9C">
        <w:t>who</w:t>
      </w:r>
      <w:r w:rsidR="00E34493">
        <w:t xml:space="preserve"> commence </w:t>
      </w:r>
      <w:r w:rsidR="00D34F94">
        <w:t>with</w:t>
      </w:r>
      <w:r w:rsidR="00E34493">
        <w:t xml:space="preserve"> </w:t>
      </w:r>
      <w:r w:rsidR="008C5E9C">
        <w:t xml:space="preserve">very low level </w:t>
      </w:r>
      <w:r w:rsidR="002A1E89">
        <w:t xml:space="preserve">LLN. These </w:t>
      </w:r>
      <w:r w:rsidR="00221649">
        <w:t>client</w:t>
      </w:r>
      <w:r w:rsidR="002A1E89">
        <w:t>s</w:t>
      </w:r>
      <w:r w:rsidR="008C5E9C">
        <w:t xml:space="preserve"> should have</w:t>
      </w:r>
      <w:r w:rsidR="00E34493">
        <w:t xml:space="preserve"> either an increased up front allocation or the waiting period between completion and the issue of a re-referral</w:t>
      </w:r>
      <w:r w:rsidR="002A1E89">
        <w:t xml:space="preserve"> should be waived to allow continuous training</w:t>
      </w:r>
      <w:r w:rsidR="00E34493">
        <w:t xml:space="preserve">. </w:t>
      </w:r>
      <w:r w:rsidR="008C5E9C">
        <w:t>It is commonly held</w:t>
      </w:r>
      <w:r w:rsidR="00E34493">
        <w:t xml:space="preserve"> that the waiting period is detrimental to the educational outcomes of those with very low levels of LLN.</w:t>
      </w:r>
    </w:p>
    <w:p w14:paraId="6696FA79" w14:textId="714595B1" w:rsidR="00E34493" w:rsidRDefault="00E34493" w:rsidP="00163BA3">
      <w:pPr>
        <w:pStyle w:val="SideQuote"/>
        <w:framePr w:wrap="around"/>
      </w:pPr>
      <w:r>
        <w:t xml:space="preserve">Recommendation </w:t>
      </w:r>
      <w:r w:rsidR="00E851AE">
        <w:t>13</w:t>
      </w:r>
      <w:r w:rsidR="00B233A7">
        <w:br/>
        <w:t xml:space="preserve">The training allocation </w:t>
      </w:r>
    </w:p>
    <w:p w14:paraId="1882DFF9" w14:textId="451185B6" w:rsidR="00E34493" w:rsidRPr="00163BA3" w:rsidRDefault="00E34493" w:rsidP="00E34493">
      <w:pPr>
        <w:pStyle w:val="BodyText"/>
        <w:rPr>
          <w:i/>
        </w:rPr>
      </w:pPr>
      <w:r w:rsidRPr="00163BA3">
        <w:rPr>
          <w:i/>
        </w:rPr>
        <w:t>The requirement that SEE</w:t>
      </w:r>
      <w:r w:rsidR="0090452C">
        <w:rPr>
          <w:i/>
        </w:rPr>
        <w:t xml:space="preserve"> programme</w:t>
      </w:r>
      <w:r w:rsidRPr="00163BA3">
        <w:rPr>
          <w:i/>
        </w:rPr>
        <w:t xml:space="preserve"> clients who have completed 800 hours must wait six months before recommencing </w:t>
      </w:r>
      <w:r w:rsidR="0090452C">
        <w:rPr>
          <w:i/>
        </w:rPr>
        <w:t xml:space="preserve">the </w:t>
      </w:r>
      <w:r w:rsidRPr="00163BA3">
        <w:rPr>
          <w:i/>
        </w:rPr>
        <w:t xml:space="preserve">SEE </w:t>
      </w:r>
      <w:r w:rsidR="0090452C">
        <w:rPr>
          <w:i/>
        </w:rPr>
        <w:t xml:space="preserve">programme </w:t>
      </w:r>
      <w:r w:rsidRPr="00163BA3">
        <w:rPr>
          <w:i/>
        </w:rPr>
        <w:t xml:space="preserve">should be </w:t>
      </w:r>
      <w:r w:rsidR="00B233A7">
        <w:rPr>
          <w:i/>
        </w:rPr>
        <w:t>reviewed</w:t>
      </w:r>
      <w:r w:rsidRPr="00163BA3">
        <w:rPr>
          <w:i/>
        </w:rPr>
        <w:t xml:space="preserve"> for clients with low scores across the ACSF core skills.</w:t>
      </w:r>
      <w:r w:rsidR="00B233A7">
        <w:rPr>
          <w:i/>
        </w:rPr>
        <w:t xml:space="preserve"> </w:t>
      </w:r>
      <w:r w:rsidRPr="00163BA3">
        <w:rPr>
          <w:i/>
        </w:rPr>
        <w:t xml:space="preserve">The six month requirement should remain for other clients to encourage clients to test their improved LLN skills in the job market. </w:t>
      </w:r>
    </w:p>
    <w:p w14:paraId="6FD70342" w14:textId="39018653" w:rsidR="00E34493" w:rsidRDefault="004D5A41" w:rsidP="004D5A41">
      <w:pPr>
        <w:pStyle w:val="Heading5"/>
      </w:pPr>
      <w:r>
        <w:t>Enhancing the multi-provider model</w:t>
      </w:r>
    </w:p>
    <w:p w14:paraId="1B41179B" w14:textId="01A3C456" w:rsidR="00E34493" w:rsidRDefault="002A1E89" w:rsidP="00E34493">
      <w:pPr>
        <w:pStyle w:val="BodyText"/>
      </w:pPr>
      <w:r>
        <w:t xml:space="preserve">The </w:t>
      </w:r>
      <w:r w:rsidR="00E34493">
        <w:t>SEE</w:t>
      </w:r>
      <w:r>
        <w:t xml:space="preserve"> </w:t>
      </w:r>
      <w:r w:rsidR="00147674">
        <w:t xml:space="preserve">programme’s </w:t>
      </w:r>
      <w:r w:rsidR="00E34493">
        <w:t xml:space="preserve">multi-provider model was expanded in 2013 to create an environment of improved quality training delivery, </w:t>
      </w:r>
      <w:r w:rsidR="008C5E9C">
        <w:t>where</w:t>
      </w:r>
      <w:r w:rsidR="00E34493">
        <w:t xml:space="preserve"> the market </w:t>
      </w:r>
      <w:r w:rsidR="008C5E9C">
        <w:t>is</w:t>
      </w:r>
      <w:r w:rsidR="00E34493">
        <w:t xml:space="preserve"> more responsive to demand within a geographic area. In </w:t>
      </w:r>
      <w:r w:rsidR="003D5971">
        <w:t>many</w:t>
      </w:r>
      <w:r w:rsidR="00E34493">
        <w:t xml:space="preserve"> respects, the </w:t>
      </w:r>
      <w:r w:rsidR="00F819C9">
        <w:t>multi-</w:t>
      </w:r>
      <w:r w:rsidR="00E34493">
        <w:t xml:space="preserve">provider model has delivered some key benefits to the SEE </w:t>
      </w:r>
      <w:r w:rsidR="00147674">
        <w:t>programme</w:t>
      </w:r>
      <w:r w:rsidR="00E34493">
        <w:t xml:space="preserve">, particularly in terms of overall capacity and coverage. It is clear that having more than one </w:t>
      </w:r>
      <w:r w:rsidR="00BB33BE">
        <w:t xml:space="preserve">SEE </w:t>
      </w:r>
      <w:r w:rsidR="00E34493">
        <w:t xml:space="preserve">provider in a given area has also allowed improved management of </w:t>
      </w:r>
      <w:r w:rsidR="00BB33BE">
        <w:t xml:space="preserve">SEE </w:t>
      </w:r>
      <w:r w:rsidR="00E34493">
        <w:t>provider performance and promoted continuity of delivery.</w:t>
      </w:r>
    </w:p>
    <w:p w14:paraId="07897F30" w14:textId="265E4636" w:rsidR="00E34493" w:rsidRDefault="00E34493" w:rsidP="0047590A">
      <w:pPr>
        <w:pStyle w:val="BodyText"/>
      </w:pPr>
      <w:r>
        <w:t>However, there is much less evidence of the multi-provider model delivering benefits in terms of improved training quality and responsiveness to client needs. The primary issue</w:t>
      </w:r>
      <w:r w:rsidR="003D5971">
        <w:t>s</w:t>
      </w:r>
      <w:r>
        <w:t xml:space="preserve"> </w:t>
      </w:r>
      <w:r w:rsidR="003D5971">
        <w:t>in this regard have</w:t>
      </w:r>
      <w:r>
        <w:t xml:space="preserve"> been</w:t>
      </w:r>
      <w:r w:rsidR="003D5971">
        <w:t xml:space="preserve"> t</w:t>
      </w:r>
      <w:r>
        <w:t>he absence of an informed consumer or purchaser</w:t>
      </w:r>
      <w:r w:rsidR="002C4F37">
        <w:t>, whether in the</w:t>
      </w:r>
      <w:r>
        <w:t xml:space="preserve"> </w:t>
      </w:r>
      <w:r w:rsidR="00224055">
        <w:t xml:space="preserve">referring agencies </w:t>
      </w:r>
      <w:r>
        <w:t>or their clients</w:t>
      </w:r>
      <w:r w:rsidR="002C4F37">
        <w:t>.</w:t>
      </w:r>
      <w:r>
        <w:t xml:space="preserve"> </w:t>
      </w:r>
    </w:p>
    <w:p w14:paraId="530AAA7F" w14:textId="58D2E316" w:rsidR="002C4F37" w:rsidRDefault="002C4F37" w:rsidP="00E34493">
      <w:pPr>
        <w:pStyle w:val="BodyText"/>
      </w:pPr>
      <w:r>
        <w:t>P</w:t>
      </w:r>
      <w:r w:rsidR="00E34493">
        <w:t xml:space="preserve">ossible improvements could be made in </w:t>
      </w:r>
      <w:r>
        <w:t>relation to i</w:t>
      </w:r>
      <w:r w:rsidR="00E34493">
        <w:t xml:space="preserve">mproving the knowledge of </w:t>
      </w:r>
      <w:r w:rsidR="00224055">
        <w:t>referring agencies</w:t>
      </w:r>
      <w:r>
        <w:t>. In this regard, it is understood that c</w:t>
      </w:r>
      <w:r w:rsidR="00E34493">
        <w:t xml:space="preserve">hanges to the next iteration of the employment services contract should </w:t>
      </w:r>
      <w:r w:rsidR="00224055">
        <w:t>reduce the dis</w:t>
      </w:r>
      <w:r w:rsidR="00E34493">
        <w:t xml:space="preserve">incentive for </w:t>
      </w:r>
      <w:r w:rsidR="00224055">
        <w:t xml:space="preserve">referring agencies </w:t>
      </w:r>
      <w:r w:rsidR="00E34493">
        <w:t xml:space="preserve">to refer to the SEE programme. </w:t>
      </w:r>
    </w:p>
    <w:p w14:paraId="6210F0FD" w14:textId="02AFCFBE" w:rsidR="00E34493" w:rsidRDefault="00224055" w:rsidP="00E34493">
      <w:pPr>
        <w:pStyle w:val="BodyText"/>
      </w:pPr>
      <w:r>
        <w:t>This development notwithstanding, t</w:t>
      </w:r>
      <w:r w:rsidR="00E34493">
        <w:t xml:space="preserve">he </w:t>
      </w:r>
      <w:r>
        <w:t>Australian G</w:t>
      </w:r>
      <w:r w:rsidR="00E34493">
        <w:t xml:space="preserve">overnment should work with stakeholders to develop and implement an information and communications strategy for clients and </w:t>
      </w:r>
      <w:r>
        <w:t>referring agencies</w:t>
      </w:r>
      <w:r w:rsidR="00E34493">
        <w:t xml:space="preserve">. This could comprise a range of information delivery channels including integration with manuals and systems for </w:t>
      </w:r>
      <w:r>
        <w:t xml:space="preserve">referring agencies </w:t>
      </w:r>
      <w:r w:rsidR="00E34493">
        <w:t xml:space="preserve">and online. Where possible, </w:t>
      </w:r>
      <w:r w:rsidR="00A45A13">
        <w:t xml:space="preserve">information on </w:t>
      </w:r>
      <w:r w:rsidR="00BB33BE">
        <w:t xml:space="preserve">SEE </w:t>
      </w:r>
      <w:r w:rsidR="00A45A13">
        <w:t xml:space="preserve">providers </w:t>
      </w:r>
      <w:r w:rsidR="00E34493">
        <w:t>should draw on the data already collected by the Department as part of administration of the programme and therefore avoid the burden of any additional data collection.</w:t>
      </w:r>
    </w:p>
    <w:p w14:paraId="3EFA12EB" w14:textId="50534DFD" w:rsidR="00E34493" w:rsidRDefault="00B233A7" w:rsidP="00163BA3">
      <w:pPr>
        <w:pStyle w:val="SideQuote"/>
        <w:framePr w:wrap="around"/>
      </w:pPr>
      <w:r>
        <w:t xml:space="preserve">Recommendation </w:t>
      </w:r>
      <w:r w:rsidR="008C6ABE">
        <w:t>1</w:t>
      </w:r>
      <w:r w:rsidR="00E851AE">
        <w:t>4</w:t>
      </w:r>
      <w:r>
        <w:br/>
      </w:r>
      <w:r w:rsidR="008C5E9C">
        <w:t>Multi-provider model</w:t>
      </w:r>
    </w:p>
    <w:p w14:paraId="1AB4A8A0" w14:textId="1ABD6690" w:rsidR="00E34493" w:rsidRPr="00163BA3" w:rsidRDefault="00E34493" w:rsidP="00E34493">
      <w:pPr>
        <w:pStyle w:val="BodyText"/>
        <w:rPr>
          <w:i/>
        </w:rPr>
      </w:pPr>
      <w:r w:rsidRPr="00163BA3">
        <w:rPr>
          <w:i/>
        </w:rPr>
        <w:t xml:space="preserve">To improve the level of competition in the multi-provider model, the </w:t>
      </w:r>
      <w:r w:rsidR="00DA6265" w:rsidRPr="00DA6265">
        <w:rPr>
          <w:i/>
        </w:rPr>
        <w:t xml:space="preserve">Australian Government </w:t>
      </w:r>
      <w:r w:rsidRPr="00163BA3">
        <w:rPr>
          <w:i/>
        </w:rPr>
        <w:t xml:space="preserve">should work with stakeholders to develop and implement an information and communications strategy that will deliver relevant information regarding the options of SEE providers that are available, and thereby promote informed choice by </w:t>
      </w:r>
      <w:r w:rsidR="00224055" w:rsidRPr="00163BA3">
        <w:rPr>
          <w:i/>
        </w:rPr>
        <w:t xml:space="preserve">referring agencies </w:t>
      </w:r>
      <w:r w:rsidRPr="00163BA3">
        <w:rPr>
          <w:i/>
        </w:rPr>
        <w:t>and their clients.</w:t>
      </w:r>
    </w:p>
    <w:p w14:paraId="1ABF52B4" w14:textId="01E11768" w:rsidR="00E34493" w:rsidRDefault="006F55F1" w:rsidP="006F55F1">
      <w:pPr>
        <w:pStyle w:val="Heading5"/>
      </w:pPr>
      <w:r>
        <w:t>Improving budget planning</w:t>
      </w:r>
    </w:p>
    <w:p w14:paraId="20F82725" w14:textId="2DC15DDA" w:rsidR="00E34493" w:rsidRDefault="00E34493" w:rsidP="00E34493">
      <w:pPr>
        <w:pStyle w:val="BodyText"/>
      </w:pPr>
      <w:r>
        <w:t xml:space="preserve">The current approach to allocating </w:t>
      </w:r>
      <w:r w:rsidR="00923815">
        <w:t xml:space="preserve">and/or adjusting </w:t>
      </w:r>
      <w:r>
        <w:t xml:space="preserve">notional budgets is undertaken on a </w:t>
      </w:r>
      <w:r w:rsidR="00FD3085">
        <w:t>six</w:t>
      </w:r>
      <w:r>
        <w:t xml:space="preserve"> month basis</w:t>
      </w:r>
      <w:r w:rsidR="00923815">
        <w:t xml:space="preserve"> at the discretion of the programme administrators, creating</w:t>
      </w:r>
      <w:r>
        <w:t xml:space="preserve"> issues for providers </w:t>
      </w:r>
      <w:r w:rsidR="00923815">
        <w:t xml:space="preserve">in terms of the </w:t>
      </w:r>
      <w:r>
        <w:t>certainty regarding forward levels of funding</w:t>
      </w:r>
      <w:r w:rsidR="00923815">
        <w:t xml:space="preserve">. For clients it </w:t>
      </w:r>
      <w:r w:rsidR="000D16F7">
        <w:t>means there can be</w:t>
      </w:r>
      <w:r w:rsidR="00923815">
        <w:t xml:space="preserve"> a </w:t>
      </w:r>
      <w:r w:rsidR="000D16F7">
        <w:t xml:space="preserve">significant </w:t>
      </w:r>
      <w:r w:rsidR="00923815">
        <w:t xml:space="preserve">lag </w:t>
      </w:r>
      <w:r w:rsidR="000D16F7">
        <w:t xml:space="preserve">in addressing any issues with </w:t>
      </w:r>
      <w:r w:rsidR="00BB33BE">
        <w:t xml:space="preserve">SEE </w:t>
      </w:r>
      <w:r w:rsidR="000D16F7">
        <w:t xml:space="preserve">provider quality. </w:t>
      </w:r>
    </w:p>
    <w:p w14:paraId="34EC98B1" w14:textId="04CA4DB2" w:rsidR="00E34493" w:rsidRDefault="000D16F7" w:rsidP="00E34493">
      <w:pPr>
        <w:pStyle w:val="BodyText"/>
      </w:pPr>
      <w:r>
        <w:t xml:space="preserve">A potential option is to consider </w:t>
      </w:r>
      <w:r w:rsidR="00E34493">
        <w:t>a</w:t>
      </w:r>
      <w:r w:rsidR="00171E64">
        <w:t xml:space="preserve"> more regular</w:t>
      </w:r>
      <w:r w:rsidR="00E34493">
        <w:t xml:space="preserve"> forward rolling budget </w:t>
      </w:r>
      <w:r>
        <w:t xml:space="preserve">which is adjusted </w:t>
      </w:r>
      <w:r w:rsidR="008E4E3E">
        <w:t>on the current measures including provider performance and level of provider deliv</w:t>
      </w:r>
      <w:r w:rsidR="00E34493">
        <w:t>e</w:t>
      </w:r>
      <w:r w:rsidR="008E4E3E">
        <w:t>ry</w:t>
      </w:r>
      <w:r w:rsidR="003E677A">
        <w:t>.</w:t>
      </w:r>
      <w:r w:rsidR="008E4E3E">
        <w:t xml:space="preserve"> A more regular rolling budget</w:t>
      </w:r>
      <w:r w:rsidR="003E677A">
        <w:t xml:space="preserve"> </w:t>
      </w:r>
      <w:r w:rsidR="008E4E3E">
        <w:t xml:space="preserve">would provide more regular performance feedback to </w:t>
      </w:r>
      <w:r w:rsidR="00BB33BE">
        <w:t xml:space="preserve">SEE </w:t>
      </w:r>
      <w:r w:rsidR="008E4E3E">
        <w:t xml:space="preserve">providers and allow </w:t>
      </w:r>
      <w:r w:rsidR="00BB33BE">
        <w:t xml:space="preserve">them </w:t>
      </w:r>
      <w:r w:rsidR="008E4E3E">
        <w:t>to better plan service delivery</w:t>
      </w:r>
      <w:r w:rsidR="003E677A">
        <w:t>.</w:t>
      </w:r>
      <w:r w:rsidR="00E34493">
        <w:t xml:space="preserve"> There are a </w:t>
      </w:r>
      <w:r w:rsidR="003E677A">
        <w:t xml:space="preserve">range </w:t>
      </w:r>
      <w:r w:rsidR="00E34493">
        <w:t xml:space="preserve">of possible variants on the rolling budget model and </w:t>
      </w:r>
      <w:r w:rsidR="00224055">
        <w:t xml:space="preserve">of </w:t>
      </w:r>
      <w:r w:rsidR="003E677A">
        <w:t>the</w:t>
      </w:r>
      <w:r w:rsidR="00E34493">
        <w:t xml:space="preserve"> key design features that would need to be </w:t>
      </w:r>
      <w:r w:rsidR="003E677A">
        <w:t>implemented</w:t>
      </w:r>
      <w:r w:rsidR="00E34493">
        <w:t>.</w:t>
      </w:r>
    </w:p>
    <w:p w14:paraId="73AA8F5F" w14:textId="42084EF6" w:rsidR="00E34493" w:rsidRDefault="00E34493" w:rsidP="00163BA3">
      <w:pPr>
        <w:pStyle w:val="SideQuote"/>
        <w:framePr w:wrap="around"/>
      </w:pPr>
      <w:r>
        <w:t xml:space="preserve">Recommendation </w:t>
      </w:r>
      <w:r w:rsidR="008C6ABE">
        <w:t>1</w:t>
      </w:r>
      <w:r w:rsidR="00E851AE">
        <w:t>5</w:t>
      </w:r>
      <w:r w:rsidR="00112C69">
        <w:br/>
        <w:t>Budget planning</w:t>
      </w:r>
    </w:p>
    <w:p w14:paraId="21536460" w14:textId="05F600BE" w:rsidR="00E34493" w:rsidRPr="00163BA3" w:rsidRDefault="00112C69" w:rsidP="00E34493">
      <w:pPr>
        <w:pStyle w:val="BodyText"/>
        <w:rPr>
          <w:i/>
        </w:rPr>
      </w:pPr>
      <w:r>
        <w:rPr>
          <w:i/>
        </w:rPr>
        <w:t>The</w:t>
      </w:r>
      <w:r w:rsidR="00E34493" w:rsidRPr="00163BA3">
        <w:rPr>
          <w:i/>
        </w:rPr>
        <w:t xml:space="preserve"> </w:t>
      </w:r>
      <w:r w:rsidR="00BB6805">
        <w:rPr>
          <w:i/>
        </w:rPr>
        <w:t xml:space="preserve">notional </w:t>
      </w:r>
      <w:r w:rsidR="00E34493" w:rsidRPr="00163BA3">
        <w:rPr>
          <w:i/>
        </w:rPr>
        <w:t xml:space="preserve">budget model </w:t>
      </w:r>
      <w:r>
        <w:rPr>
          <w:i/>
        </w:rPr>
        <w:t xml:space="preserve">should be </w:t>
      </w:r>
      <w:r w:rsidR="009F552E" w:rsidRPr="009F552E">
        <w:rPr>
          <w:i/>
        </w:rPr>
        <w:t xml:space="preserve">enhanced </w:t>
      </w:r>
      <w:r>
        <w:rPr>
          <w:i/>
        </w:rPr>
        <w:t>to</w:t>
      </w:r>
      <w:r w:rsidRPr="0047590A">
        <w:rPr>
          <w:i/>
        </w:rPr>
        <w:t xml:space="preserve"> </w:t>
      </w:r>
      <w:r>
        <w:rPr>
          <w:i/>
        </w:rPr>
        <w:t>address</w:t>
      </w:r>
      <w:r w:rsidR="00E34493" w:rsidRPr="00163BA3">
        <w:rPr>
          <w:i/>
        </w:rPr>
        <w:t xml:space="preserve"> </w:t>
      </w:r>
      <w:r>
        <w:rPr>
          <w:i/>
        </w:rPr>
        <w:t xml:space="preserve">where possible the </w:t>
      </w:r>
      <w:r w:rsidR="00E34493" w:rsidRPr="00163BA3">
        <w:rPr>
          <w:i/>
        </w:rPr>
        <w:t xml:space="preserve">uncertainty currently faced by SEE providers and facilitate </w:t>
      </w:r>
      <w:r>
        <w:rPr>
          <w:i/>
        </w:rPr>
        <w:t xml:space="preserve">better </w:t>
      </w:r>
      <w:r w:rsidR="00E34493" w:rsidRPr="00163BA3">
        <w:rPr>
          <w:i/>
        </w:rPr>
        <w:t>forward planning</w:t>
      </w:r>
      <w:r>
        <w:rPr>
          <w:i/>
        </w:rPr>
        <w:t xml:space="preserve">. </w:t>
      </w:r>
      <w:r w:rsidR="00923815">
        <w:rPr>
          <w:i/>
        </w:rPr>
        <w:t>Specific co</w:t>
      </w:r>
      <w:r>
        <w:rPr>
          <w:i/>
        </w:rPr>
        <w:t>nsideration should be given to</w:t>
      </w:r>
      <w:r w:rsidR="00171E64">
        <w:rPr>
          <w:i/>
        </w:rPr>
        <w:t xml:space="preserve"> </w:t>
      </w:r>
      <w:r w:rsidR="00171E64" w:rsidRPr="00171E64">
        <w:rPr>
          <w:i/>
        </w:rPr>
        <w:t xml:space="preserve">moving some or all of the SEE </w:t>
      </w:r>
      <w:r w:rsidR="00147674">
        <w:rPr>
          <w:i/>
        </w:rPr>
        <w:t>p</w:t>
      </w:r>
      <w:r w:rsidR="00147674" w:rsidRPr="00171E64">
        <w:rPr>
          <w:i/>
        </w:rPr>
        <w:t xml:space="preserve">rogramme </w:t>
      </w:r>
      <w:r w:rsidR="00171E64" w:rsidRPr="00171E64">
        <w:rPr>
          <w:i/>
        </w:rPr>
        <w:t>nominal budget allocation to a more regular rolling budget</w:t>
      </w:r>
      <w:r w:rsidR="00E34493" w:rsidRPr="00163BA3">
        <w:rPr>
          <w:i/>
        </w:rPr>
        <w:t>.</w:t>
      </w:r>
    </w:p>
    <w:p w14:paraId="173E7944" w14:textId="5BD6C9BF" w:rsidR="00E34493" w:rsidRDefault="006F55F1" w:rsidP="006F55F1">
      <w:pPr>
        <w:pStyle w:val="Heading5"/>
      </w:pPr>
      <w:r>
        <w:t>Ensuring provision where needed</w:t>
      </w:r>
    </w:p>
    <w:p w14:paraId="24FEBF81" w14:textId="01841133" w:rsidR="00E34493" w:rsidRDefault="00E34493" w:rsidP="0047590A">
      <w:pPr>
        <w:pStyle w:val="BodyText"/>
      </w:pPr>
      <w:r>
        <w:t>The i</w:t>
      </w:r>
      <w:r w:rsidR="0064038B">
        <w:t>ntroduction of the</w:t>
      </w:r>
      <w:r>
        <w:t xml:space="preserve"> multi-provider model into </w:t>
      </w:r>
      <w:r w:rsidR="00E97391">
        <w:t>Service Delivery Areas</w:t>
      </w:r>
      <w:r w:rsidR="00A45A13">
        <w:t xml:space="preserve"> (</w:t>
      </w:r>
      <w:r>
        <w:t>SDAs</w:t>
      </w:r>
      <w:r w:rsidR="00A45A13">
        <w:t>)</w:t>
      </w:r>
      <w:r>
        <w:t xml:space="preserve"> where there is a limited</w:t>
      </w:r>
      <w:r w:rsidR="0064038B">
        <w:t xml:space="preserve"> number of eligible job seekers</w:t>
      </w:r>
      <w:r>
        <w:t xml:space="preserve"> </w:t>
      </w:r>
      <w:r w:rsidR="0064038B">
        <w:t xml:space="preserve">has created issues for the </w:t>
      </w:r>
      <w:r>
        <w:t>f</w:t>
      </w:r>
      <w:r w:rsidR="0064038B">
        <w:t>inancial viability of some</w:t>
      </w:r>
      <w:r>
        <w:t xml:space="preserve"> SEE sites. </w:t>
      </w:r>
      <w:r w:rsidR="00491FD4">
        <w:t xml:space="preserve">At the same time, </w:t>
      </w:r>
      <w:r>
        <w:t>where client needs and program</w:t>
      </w:r>
      <w:r w:rsidR="00491FD4">
        <w:t>me objectives are not being met,</w:t>
      </w:r>
      <w:r>
        <w:t xml:space="preserve"> </w:t>
      </w:r>
      <w:r w:rsidRPr="00096F64">
        <w:t xml:space="preserve">alternative </w:t>
      </w:r>
      <w:r w:rsidR="00E2651E" w:rsidRPr="00096F64">
        <w:t xml:space="preserve">SEE </w:t>
      </w:r>
      <w:r w:rsidR="00096F64" w:rsidRPr="00096F64">
        <w:t>P</w:t>
      </w:r>
      <w:r w:rsidRPr="00096F64">
        <w:t>roviders need</w:t>
      </w:r>
      <w:r>
        <w:t xml:space="preserve"> to be considered. </w:t>
      </w:r>
    </w:p>
    <w:p w14:paraId="7BC3629E" w14:textId="1F02ACB6" w:rsidR="00E34493" w:rsidRDefault="00E34493" w:rsidP="00E34493">
      <w:pPr>
        <w:pStyle w:val="BodyText"/>
      </w:pPr>
      <w:r>
        <w:t xml:space="preserve">In weighing up the costs and benefits of the </w:t>
      </w:r>
      <w:r w:rsidR="00D67806">
        <w:t>multi-</w:t>
      </w:r>
      <w:r>
        <w:t xml:space="preserve">provider model in </w:t>
      </w:r>
      <w:r w:rsidR="00491FD4">
        <w:t xml:space="preserve">remote and </w:t>
      </w:r>
      <w:r>
        <w:t xml:space="preserve">regional areas where the scale of demand is limited, it is likely that programme participants would be better off with a single stable </w:t>
      </w:r>
      <w:r w:rsidR="00BB33BE">
        <w:t xml:space="preserve">SEE </w:t>
      </w:r>
      <w:r>
        <w:t>provider with sufficient scale to support cost-effective delivery. However, such assessments will need to be made on a case-by-case basis</w:t>
      </w:r>
      <w:r w:rsidR="00491FD4">
        <w:t xml:space="preserve"> and require a framework that takes into account factors such as </w:t>
      </w:r>
      <w:r>
        <w:t>the level of expected numbers of eligible job</w:t>
      </w:r>
      <w:r w:rsidR="00D67806">
        <w:t xml:space="preserve"> </w:t>
      </w:r>
      <w:r>
        <w:t>seekers based on forecast economic and labour market conditions</w:t>
      </w:r>
      <w:r w:rsidR="00491FD4">
        <w:t xml:space="preserve">, </w:t>
      </w:r>
      <w:r>
        <w:t xml:space="preserve">historical and expected levels of referral activity from </w:t>
      </w:r>
      <w:r w:rsidR="000B61C8">
        <w:t xml:space="preserve">referral agencies </w:t>
      </w:r>
      <w:r>
        <w:t>including the impact of any changes to contracts for employment services providers</w:t>
      </w:r>
      <w:r w:rsidR="00491FD4">
        <w:t xml:space="preserve">, </w:t>
      </w:r>
      <w:r>
        <w:t xml:space="preserve">population </w:t>
      </w:r>
      <w:r w:rsidR="00491FD4">
        <w:t xml:space="preserve">demographics, </w:t>
      </w:r>
      <w:r>
        <w:t>the costs of delivery</w:t>
      </w:r>
      <w:r w:rsidR="00491FD4">
        <w:t xml:space="preserve"> and </w:t>
      </w:r>
      <w:r>
        <w:t xml:space="preserve">the presence of established prospective </w:t>
      </w:r>
      <w:r w:rsidR="00BB33BE">
        <w:t xml:space="preserve">SEE </w:t>
      </w:r>
      <w:r>
        <w:t>providers in the region</w:t>
      </w:r>
      <w:r w:rsidR="00491FD4">
        <w:t>.</w:t>
      </w:r>
    </w:p>
    <w:p w14:paraId="11AB4342" w14:textId="7FC9F54C" w:rsidR="00E34493" w:rsidRDefault="00E34493" w:rsidP="00163BA3">
      <w:pPr>
        <w:pStyle w:val="SideQuote"/>
        <w:framePr w:wrap="around"/>
      </w:pPr>
      <w:r>
        <w:t>Recommendation 1</w:t>
      </w:r>
      <w:r w:rsidR="00E851AE">
        <w:t>6</w:t>
      </w:r>
      <w:r w:rsidR="0064038B">
        <w:br/>
      </w:r>
      <w:r w:rsidR="00BB6805">
        <w:t>Multi-p</w:t>
      </w:r>
      <w:r w:rsidR="0064038B">
        <w:t>rovider viability</w:t>
      </w:r>
    </w:p>
    <w:p w14:paraId="53321484" w14:textId="2084B19E" w:rsidR="00BB6805" w:rsidRDefault="00491FD4" w:rsidP="00E34493">
      <w:pPr>
        <w:pStyle w:val="BodyText"/>
        <w:rPr>
          <w:i/>
        </w:rPr>
      </w:pPr>
      <w:r w:rsidRPr="00163BA3">
        <w:rPr>
          <w:i/>
        </w:rPr>
        <w:t>A</w:t>
      </w:r>
      <w:r w:rsidR="00E34493" w:rsidRPr="00163BA3">
        <w:rPr>
          <w:i/>
        </w:rPr>
        <w:t xml:space="preserve"> framework </w:t>
      </w:r>
      <w:r w:rsidRPr="00163BA3">
        <w:rPr>
          <w:i/>
        </w:rPr>
        <w:t xml:space="preserve">should be developed </w:t>
      </w:r>
      <w:r w:rsidR="00E34493" w:rsidRPr="00163BA3">
        <w:rPr>
          <w:i/>
        </w:rPr>
        <w:t xml:space="preserve">to assess and determine the viability of the multi-provider model in all regions across Australia, but especially where there </w:t>
      </w:r>
      <w:r w:rsidRPr="00163BA3">
        <w:rPr>
          <w:i/>
        </w:rPr>
        <w:t>are</w:t>
      </w:r>
      <w:r w:rsidR="00E34493" w:rsidRPr="00163BA3">
        <w:rPr>
          <w:i/>
        </w:rPr>
        <w:t xml:space="preserve"> low levels of likely demand for the SEE </w:t>
      </w:r>
      <w:r w:rsidR="00147674">
        <w:rPr>
          <w:i/>
        </w:rPr>
        <w:t>p</w:t>
      </w:r>
      <w:r w:rsidR="00147674" w:rsidRPr="00163BA3">
        <w:rPr>
          <w:i/>
        </w:rPr>
        <w:t>rogramme</w:t>
      </w:r>
      <w:r w:rsidR="00E34493" w:rsidRPr="00163BA3">
        <w:rPr>
          <w:i/>
        </w:rPr>
        <w:t xml:space="preserve">. </w:t>
      </w:r>
    </w:p>
    <w:p w14:paraId="7369C54A" w14:textId="01D468F0" w:rsidR="00BB6805" w:rsidRDefault="00BB6805" w:rsidP="00E8274A">
      <w:pPr>
        <w:pStyle w:val="SideQuote"/>
        <w:framePr w:wrap="around"/>
      </w:pPr>
      <w:r>
        <w:t xml:space="preserve">Recommendation </w:t>
      </w:r>
      <w:r w:rsidR="00156F6C">
        <w:t>1</w:t>
      </w:r>
      <w:r w:rsidR="00E851AE">
        <w:t>7</w:t>
      </w:r>
    </w:p>
    <w:p w14:paraId="3BC28D43" w14:textId="7221C719" w:rsidR="00BB6805" w:rsidRDefault="00A232EC" w:rsidP="00E8274A">
      <w:pPr>
        <w:pStyle w:val="SideQuote"/>
        <w:framePr w:wrap="around"/>
      </w:pPr>
      <w:r>
        <w:t>Boundary a</w:t>
      </w:r>
      <w:r w:rsidR="00BB6805">
        <w:t xml:space="preserve">lignment </w:t>
      </w:r>
      <w:r>
        <w:t>with employment services</w:t>
      </w:r>
    </w:p>
    <w:p w14:paraId="2A143E3A" w14:textId="5C3318B1" w:rsidR="00E34493" w:rsidRPr="00163BA3" w:rsidRDefault="008E4E3E" w:rsidP="00E34493">
      <w:pPr>
        <w:pStyle w:val="BodyText"/>
        <w:rPr>
          <w:i/>
        </w:rPr>
      </w:pPr>
      <w:r>
        <w:rPr>
          <w:i/>
        </w:rPr>
        <w:t xml:space="preserve">The </w:t>
      </w:r>
      <w:r w:rsidR="00DA6265" w:rsidRPr="00DA6265">
        <w:rPr>
          <w:i/>
        </w:rPr>
        <w:t xml:space="preserve">Australian Government </w:t>
      </w:r>
      <w:r>
        <w:rPr>
          <w:i/>
        </w:rPr>
        <w:t xml:space="preserve">should align </w:t>
      </w:r>
      <w:r w:rsidR="0009069E">
        <w:rPr>
          <w:i/>
        </w:rPr>
        <w:t xml:space="preserve">the </w:t>
      </w:r>
      <w:r w:rsidR="00E34493" w:rsidRPr="00163BA3">
        <w:rPr>
          <w:i/>
        </w:rPr>
        <w:t>SEE</w:t>
      </w:r>
      <w:r w:rsidR="0090452C">
        <w:rPr>
          <w:i/>
        </w:rPr>
        <w:t xml:space="preserve"> programme</w:t>
      </w:r>
      <w:r w:rsidR="00E34493" w:rsidRPr="00163BA3">
        <w:rPr>
          <w:i/>
        </w:rPr>
        <w:t xml:space="preserve"> SDAs </w:t>
      </w:r>
      <w:r w:rsidR="0009069E">
        <w:rPr>
          <w:i/>
        </w:rPr>
        <w:t xml:space="preserve">with </w:t>
      </w:r>
      <w:r w:rsidR="00E34493" w:rsidRPr="00163BA3">
        <w:rPr>
          <w:i/>
        </w:rPr>
        <w:t>the revised boundaries of the employment services contracts</w:t>
      </w:r>
      <w:r w:rsidR="0009069E">
        <w:rPr>
          <w:i/>
        </w:rPr>
        <w:t>.</w:t>
      </w:r>
      <w:r w:rsidR="00491FD4" w:rsidRPr="00163BA3">
        <w:rPr>
          <w:i/>
        </w:rPr>
        <w:t xml:space="preserve"> </w:t>
      </w:r>
      <w:r w:rsidR="00784183">
        <w:rPr>
          <w:i/>
        </w:rPr>
        <w:t>To aid the multi-provider model, where necessary the revised SDAs</w:t>
      </w:r>
      <w:r w:rsidR="00784183" w:rsidRPr="00163BA3">
        <w:rPr>
          <w:i/>
        </w:rPr>
        <w:t xml:space="preserve"> should be merged</w:t>
      </w:r>
      <w:r w:rsidR="00784183">
        <w:rPr>
          <w:i/>
        </w:rPr>
        <w:t xml:space="preserve"> to allow for viable provision by more than one </w:t>
      </w:r>
      <w:r w:rsidR="00BB33BE">
        <w:rPr>
          <w:i/>
        </w:rPr>
        <w:t xml:space="preserve">SEE </w:t>
      </w:r>
      <w:r w:rsidR="00784183">
        <w:rPr>
          <w:i/>
        </w:rPr>
        <w:t>provide</w:t>
      </w:r>
      <w:r w:rsidR="009F552E">
        <w:rPr>
          <w:i/>
        </w:rPr>
        <w:t>r</w:t>
      </w:r>
      <w:r w:rsidR="00BB6805">
        <w:rPr>
          <w:i/>
        </w:rPr>
        <w:t xml:space="preserve">, in accordance with the framework proposed in Recommendation </w:t>
      </w:r>
      <w:r w:rsidR="009F552E">
        <w:rPr>
          <w:i/>
        </w:rPr>
        <w:t>16</w:t>
      </w:r>
      <w:r w:rsidR="00BB6805">
        <w:rPr>
          <w:i/>
        </w:rPr>
        <w:t>.</w:t>
      </w:r>
    </w:p>
    <w:p w14:paraId="39E5B8AF" w14:textId="3E6E4CF8" w:rsidR="00EB2EB0" w:rsidRDefault="006F55F1" w:rsidP="006F55F1">
      <w:pPr>
        <w:pStyle w:val="Heading5"/>
      </w:pPr>
      <w:r>
        <w:t>Delivery in remote areas</w:t>
      </w:r>
    </w:p>
    <w:p w14:paraId="70CEED4E" w14:textId="0E134CA1" w:rsidR="00E34493" w:rsidRDefault="00EB2EB0" w:rsidP="00E34493">
      <w:pPr>
        <w:pStyle w:val="BodyText"/>
      </w:pPr>
      <w:r>
        <w:t xml:space="preserve">In comparison to the metropolitan </w:t>
      </w:r>
      <w:r w:rsidR="00F93B44">
        <w:t xml:space="preserve">and regional </w:t>
      </w:r>
      <w:r>
        <w:t>areas, the</w:t>
      </w:r>
      <w:r w:rsidR="00E34493">
        <w:t xml:space="preserve"> requirements of SEE delivery in </w:t>
      </w:r>
      <w:r>
        <w:t>remote areas</w:t>
      </w:r>
      <w:r w:rsidR="00E34493">
        <w:t xml:space="preserve"> </w:t>
      </w:r>
      <w:r>
        <w:t xml:space="preserve">face specific challenges in terms of the relatively high proportion of </w:t>
      </w:r>
      <w:r w:rsidR="00221649">
        <w:t>client</w:t>
      </w:r>
      <w:r>
        <w:t xml:space="preserve">s with an </w:t>
      </w:r>
      <w:r w:rsidR="00E34493">
        <w:t>Indigenous background</w:t>
      </w:r>
      <w:r>
        <w:t xml:space="preserve">, </w:t>
      </w:r>
      <w:r w:rsidR="00E34493">
        <w:t>securing suitably qualified staff</w:t>
      </w:r>
      <w:r>
        <w:t>, significantly higher</w:t>
      </w:r>
      <w:r w:rsidR="00E34493">
        <w:t xml:space="preserve"> costs associated with remote delivery</w:t>
      </w:r>
      <w:r>
        <w:t xml:space="preserve">, </w:t>
      </w:r>
      <w:r w:rsidR="00196AC0">
        <w:t xml:space="preserve">and </w:t>
      </w:r>
      <w:r>
        <w:t>the</w:t>
      </w:r>
      <w:r w:rsidR="00E34493">
        <w:t xml:space="preserve"> lack of viable levels of demand in many cases.</w:t>
      </w:r>
    </w:p>
    <w:p w14:paraId="6A6DF972" w14:textId="60136B59" w:rsidR="00E34493" w:rsidRDefault="00E34493" w:rsidP="0047590A">
      <w:pPr>
        <w:pStyle w:val="BodyText"/>
      </w:pPr>
      <w:r>
        <w:t xml:space="preserve">SEE providers </w:t>
      </w:r>
      <w:r w:rsidR="00EB2EB0">
        <w:t xml:space="preserve">in remote regions </w:t>
      </w:r>
      <w:r w:rsidR="00196AC0">
        <w:t xml:space="preserve">also </w:t>
      </w:r>
      <w:r>
        <w:t xml:space="preserve">highlighted the challenge of </w:t>
      </w:r>
      <w:r w:rsidR="00196AC0">
        <w:t xml:space="preserve">establishing effective </w:t>
      </w:r>
      <w:r>
        <w:t xml:space="preserve">working </w:t>
      </w:r>
      <w:r w:rsidR="00196AC0">
        <w:t xml:space="preserve">relationships </w:t>
      </w:r>
      <w:r>
        <w:t xml:space="preserve">with </w:t>
      </w:r>
      <w:r w:rsidR="00196AC0">
        <w:t>Remote Jobs and Communities Programme (</w:t>
      </w:r>
      <w:r>
        <w:t>RJCP</w:t>
      </w:r>
      <w:r w:rsidR="00196AC0">
        <w:t>)</w:t>
      </w:r>
      <w:r>
        <w:t xml:space="preserve"> providers</w:t>
      </w:r>
      <w:r w:rsidR="00EB2EB0">
        <w:t xml:space="preserve">, in part due to the fact that </w:t>
      </w:r>
      <w:r w:rsidR="00CB4600">
        <w:t xml:space="preserve">they </w:t>
      </w:r>
      <w:r w:rsidR="00EB2EB0">
        <w:t xml:space="preserve">have </w:t>
      </w:r>
      <w:r>
        <w:t xml:space="preserve">only been contracted since 2013 and </w:t>
      </w:r>
      <w:r w:rsidR="00EB2EB0">
        <w:t>have been</w:t>
      </w:r>
      <w:r w:rsidR="00196AC0">
        <w:t xml:space="preserve"> focused on establishing a range of other </w:t>
      </w:r>
      <w:r w:rsidR="00956392">
        <w:t>programmes</w:t>
      </w:r>
      <w:r w:rsidR="00196AC0">
        <w:t xml:space="preserve"> </w:t>
      </w:r>
      <w:r>
        <w:t xml:space="preserve">in </w:t>
      </w:r>
      <w:r w:rsidR="00196AC0">
        <w:t xml:space="preserve">their </w:t>
      </w:r>
      <w:r>
        <w:t>remote areas</w:t>
      </w:r>
      <w:r w:rsidR="00196AC0">
        <w:t>, as well as relatively l</w:t>
      </w:r>
      <w:r>
        <w:t>ow levels of awareness and understand</w:t>
      </w:r>
      <w:r w:rsidR="00486071">
        <w:t>ing</w:t>
      </w:r>
      <w:r>
        <w:t xml:space="preserve"> of the </w:t>
      </w:r>
      <w:r w:rsidR="00196AC0">
        <w:t xml:space="preserve">SEE </w:t>
      </w:r>
      <w:r>
        <w:t>programme</w:t>
      </w:r>
      <w:r w:rsidR="00196AC0">
        <w:t>.</w:t>
      </w:r>
      <w:r>
        <w:t xml:space="preserve"> </w:t>
      </w:r>
      <w:r w:rsidR="00196AC0">
        <w:t xml:space="preserve">As </w:t>
      </w:r>
      <w:r w:rsidR="00486071">
        <w:t xml:space="preserve">a </w:t>
      </w:r>
      <w:r w:rsidR="00196AC0">
        <w:t xml:space="preserve">result, SEE does not appear to have yet become an integral part of the RJCP arrangements for </w:t>
      </w:r>
      <w:r>
        <w:t>streamlined employment-servicing through a single, local point of contact</w:t>
      </w:r>
      <w:r w:rsidR="00196AC0">
        <w:t>.</w:t>
      </w:r>
    </w:p>
    <w:p w14:paraId="25E93534" w14:textId="6EE2751E" w:rsidR="00E34493" w:rsidRDefault="00E34493">
      <w:pPr>
        <w:pStyle w:val="BodyText"/>
      </w:pPr>
      <w:r>
        <w:t xml:space="preserve">In addition, the </w:t>
      </w:r>
      <w:r w:rsidR="006A28F2">
        <w:t xml:space="preserve">SEE </w:t>
      </w:r>
      <w:r w:rsidR="00147674">
        <w:t xml:space="preserve">programme </w:t>
      </w:r>
      <w:r>
        <w:t>may duplicate the function of the Participation Account administered by RJCP providers, which allows them to purchase assistance according to the needs of individuals, communities and local employers</w:t>
      </w:r>
      <w:r w:rsidR="00196AC0">
        <w:t>, including building foundation skills such as literacy and numeracy, work habits and basic life skills</w:t>
      </w:r>
      <w:r>
        <w:t xml:space="preserve">. </w:t>
      </w:r>
    </w:p>
    <w:p w14:paraId="3AB8B200" w14:textId="3239E70B" w:rsidR="00E34493" w:rsidRDefault="00E34493" w:rsidP="00163BA3">
      <w:pPr>
        <w:pStyle w:val="SideQuote"/>
        <w:framePr w:wrap="around"/>
      </w:pPr>
      <w:r>
        <w:t>Recommendation 1</w:t>
      </w:r>
      <w:r w:rsidR="00E851AE">
        <w:t>8</w:t>
      </w:r>
      <w:r w:rsidR="008539A8">
        <w:br/>
        <w:t xml:space="preserve">Remote delivery </w:t>
      </w:r>
    </w:p>
    <w:p w14:paraId="70D199E5" w14:textId="7AFEFCCE" w:rsidR="00156F6C" w:rsidRPr="0065436D" w:rsidRDefault="00015725">
      <w:pPr>
        <w:pStyle w:val="BodyText"/>
      </w:pPr>
      <w:r w:rsidRPr="00015725">
        <w:rPr>
          <w:i/>
        </w:rPr>
        <w:t>The model for remote SEE programme delivery should be reviewed ahead of the next contract period to ascertain if the LLN needs of eligible job seekers in remote regions are being met by the training secured by RJCP providers through their Participation Accounts, or whether the model of SEE programme delivery needs to consider alternative approaches, including the allocation of the notional budget to the local RJCP provider in a remote region to be responsible for the procurement of LLN training locally on an as needed basis.</w:t>
      </w:r>
    </w:p>
    <w:p w14:paraId="31235308" w14:textId="13CD8CC0" w:rsidR="00C043CA" w:rsidRDefault="00C043CA" w:rsidP="00BE502F">
      <w:pPr>
        <w:pStyle w:val="ExecSummaryHeading"/>
      </w:pPr>
      <w:bookmarkStart w:id="5" w:name="_Toc420065426"/>
      <w:r w:rsidRPr="00C043CA">
        <w:t>Recommendations list</w:t>
      </w:r>
      <w:bookmarkEnd w:id="5"/>
    </w:p>
    <w:p w14:paraId="3335394B" w14:textId="640A0C52" w:rsidR="00C043CA" w:rsidRDefault="00C043CA" w:rsidP="00C043CA">
      <w:pPr>
        <w:pStyle w:val="BodyText"/>
      </w:pPr>
      <w:r>
        <w:t>This section provides a list of recommendations as discuss</w:t>
      </w:r>
      <w:r w:rsidR="003A20AF">
        <w:t>ed</w:t>
      </w:r>
      <w:r>
        <w:t xml:space="preserve"> above in the Executive Summary and Chapter 7</w:t>
      </w:r>
      <w:r w:rsidR="003A20AF">
        <w:t xml:space="preserve"> of the report</w:t>
      </w:r>
      <w:r>
        <w:t>.</w:t>
      </w:r>
    </w:p>
    <w:p w14:paraId="2E9E3AD7" w14:textId="77777777" w:rsidR="00464BB4" w:rsidRDefault="00464BB4" w:rsidP="00E8274A">
      <w:pPr>
        <w:pStyle w:val="Heading4"/>
      </w:pPr>
      <w:r>
        <w:t>Recommendation 1</w:t>
      </w:r>
    </w:p>
    <w:p w14:paraId="21C08403" w14:textId="1DD70A72" w:rsidR="00464BB4" w:rsidRDefault="00464BB4" w:rsidP="00464BB4">
      <w:pPr>
        <w:pStyle w:val="BodyText"/>
      </w:pPr>
      <w:r>
        <w:t xml:space="preserve">The SEE </w:t>
      </w:r>
      <w:r w:rsidR="00147674">
        <w:t xml:space="preserve">programme’s </w:t>
      </w:r>
      <w:r>
        <w:t xml:space="preserve">objectives to improve </w:t>
      </w:r>
      <w:r w:rsidR="00D17151">
        <w:t xml:space="preserve">an </w:t>
      </w:r>
      <w:r>
        <w:t>eligible job seeker’s LLN skills to enable them to participate more effectively in training or in the labour force a</w:t>
      </w:r>
      <w:r w:rsidR="00D17151">
        <w:t>re clear and should be retained</w:t>
      </w:r>
      <w:r>
        <w:t xml:space="preserve">. </w:t>
      </w:r>
    </w:p>
    <w:p w14:paraId="5C99A748" w14:textId="7195346A" w:rsidR="00464BB4" w:rsidRDefault="00464BB4" w:rsidP="00464BB4">
      <w:pPr>
        <w:pStyle w:val="BodyText"/>
      </w:pPr>
      <w:r>
        <w:t xml:space="preserve">Particular emphasis should be given in the programme’s design to ensure that SEE can be utilised by job seekers wanting to engage in further study but lacking the necessary LLN skills. </w:t>
      </w:r>
    </w:p>
    <w:p w14:paraId="79BBF135" w14:textId="77777777" w:rsidR="00464BB4" w:rsidRDefault="00464BB4" w:rsidP="00E8274A">
      <w:pPr>
        <w:pStyle w:val="Heading4"/>
      </w:pPr>
      <w:r>
        <w:t>Recommendation 2</w:t>
      </w:r>
    </w:p>
    <w:p w14:paraId="5B4A3E5E" w14:textId="1DF85C63" w:rsidR="0016737E" w:rsidRDefault="00464BB4" w:rsidP="00464BB4">
      <w:pPr>
        <w:pStyle w:val="BodyText"/>
      </w:pPr>
      <w:r>
        <w:t xml:space="preserve">The measurement of the outcomes of the SEE </w:t>
      </w:r>
      <w:r w:rsidR="00147674">
        <w:t xml:space="preserve">programme </w:t>
      </w:r>
      <w:r>
        <w:t xml:space="preserve">against its objectives could be improved. Options should be explored to capture the data necessary to measure the outcomes of the SEE </w:t>
      </w:r>
      <w:r w:rsidR="00147674">
        <w:t>programme</w:t>
      </w:r>
      <w:r>
        <w:t>, including</w:t>
      </w:r>
      <w:r w:rsidR="00154EB0">
        <w:t>:</w:t>
      </w:r>
    </w:p>
    <w:p w14:paraId="3377B1B8" w14:textId="77777777" w:rsidR="0016737E" w:rsidRDefault="00464BB4" w:rsidP="00E8274A">
      <w:pPr>
        <w:pStyle w:val="ListDash"/>
      </w:pPr>
      <w:r>
        <w:t xml:space="preserve">developing and implementing the necessary reporting frameworks for referring agencies, and/or </w:t>
      </w:r>
    </w:p>
    <w:p w14:paraId="323C5D68" w14:textId="11E9B856" w:rsidR="00464BB4" w:rsidRDefault="00464BB4" w:rsidP="00E8274A">
      <w:pPr>
        <w:pStyle w:val="ListDash"/>
      </w:pPr>
      <w:r>
        <w:t xml:space="preserve">reintroducing the Post Programme Monitoring (PPM) survey of participants. </w:t>
      </w:r>
    </w:p>
    <w:p w14:paraId="3A26AA70" w14:textId="77777777" w:rsidR="00464BB4" w:rsidRDefault="00464BB4" w:rsidP="00E8274A">
      <w:pPr>
        <w:pStyle w:val="Heading4"/>
      </w:pPr>
      <w:r>
        <w:t>Recommendation 3</w:t>
      </w:r>
    </w:p>
    <w:p w14:paraId="0408B1BC" w14:textId="5BFCF780" w:rsidR="00464BB4" w:rsidRDefault="00464BB4" w:rsidP="00464BB4">
      <w:pPr>
        <w:pStyle w:val="BodyText"/>
      </w:pPr>
      <w:r>
        <w:t xml:space="preserve">The eligibility to the SEE </w:t>
      </w:r>
      <w:r w:rsidR="00147674">
        <w:t xml:space="preserve">programme </w:t>
      </w:r>
      <w:r>
        <w:t xml:space="preserve">should continue to be limited on the basis of whether individuals receive income support as it is an appropriate and necessary way to align the programme’s target groups with the </w:t>
      </w:r>
      <w:r w:rsidR="00DA6265">
        <w:t xml:space="preserve">Australian </w:t>
      </w:r>
      <w:r>
        <w:t xml:space="preserve">Government’s responsibilities for the welfare system and employment services. </w:t>
      </w:r>
    </w:p>
    <w:p w14:paraId="03E9FAF3" w14:textId="19C51140" w:rsidR="00156F6C" w:rsidRDefault="00156F6C" w:rsidP="00156F6C">
      <w:pPr>
        <w:pStyle w:val="Heading4"/>
      </w:pPr>
      <w:r>
        <w:t>Recommendation 4</w:t>
      </w:r>
    </w:p>
    <w:p w14:paraId="6294F26D" w14:textId="77777777" w:rsidR="00156F6C" w:rsidRPr="00156F6C" w:rsidRDefault="00156F6C" w:rsidP="00156F6C">
      <w:pPr>
        <w:pStyle w:val="BodyText"/>
      </w:pPr>
      <w:r w:rsidRPr="00156F6C">
        <w:t>The programme’s guidelines should clarify whether job seekers with very low LLN skills are an intended target group for the SEE programme and:</w:t>
      </w:r>
    </w:p>
    <w:p w14:paraId="60F3ABE5" w14:textId="5173EFB4" w:rsidR="00156F6C" w:rsidRPr="00156F6C" w:rsidRDefault="00156F6C" w:rsidP="00156F6C">
      <w:pPr>
        <w:pStyle w:val="ListDash"/>
      </w:pPr>
      <w:r w:rsidRPr="00156F6C">
        <w:t>If not, minimum entry requirements in terms of LLN proficiency should be introduced</w:t>
      </w:r>
      <w:r w:rsidR="00154EB0">
        <w:t>.</w:t>
      </w:r>
    </w:p>
    <w:p w14:paraId="3DB463AC" w14:textId="6775A037" w:rsidR="00156F6C" w:rsidRPr="00156F6C" w:rsidRDefault="00156F6C" w:rsidP="00156F6C">
      <w:pPr>
        <w:pStyle w:val="ListDash"/>
      </w:pPr>
      <w:r w:rsidRPr="00156F6C">
        <w:t xml:space="preserve">If so, changes to facilitate the participation and rates of progress should be considered to accommodate those with very low LLN skills (see Recommendation </w:t>
      </w:r>
      <w:r w:rsidR="000D4577">
        <w:t>9</w:t>
      </w:r>
      <w:r w:rsidRPr="00156F6C">
        <w:t>).</w:t>
      </w:r>
    </w:p>
    <w:p w14:paraId="293D0F7A" w14:textId="4C60881D" w:rsidR="00156F6C" w:rsidRDefault="00156F6C" w:rsidP="00156F6C">
      <w:pPr>
        <w:pStyle w:val="Heading4"/>
      </w:pPr>
      <w:r>
        <w:t>Recommendation 5</w:t>
      </w:r>
    </w:p>
    <w:p w14:paraId="619E0571" w14:textId="6E36898B" w:rsidR="00464BB4" w:rsidRDefault="00464BB4" w:rsidP="00464BB4">
      <w:pPr>
        <w:pStyle w:val="BodyText"/>
      </w:pPr>
      <w:r>
        <w:t xml:space="preserve">Given referring agencies’ key role in the SEE </w:t>
      </w:r>
      <w:r w:rsidR="00147674">
        <w:t>programme</w:t>
      </w:r>
      <w:r>
        <w:t xml:space="preserve">, the Department </w:t>
      </w:r>
      <w:r w:rsidR="00DA6265">
        <w:t xml:space="preserve">of Education and Training </w:t>
      </w:r>
      <w:r>
        <w:t>should work with the three relevant departments</w:t>
      </w:r>
      <w:r w:rsidR="0090452C">
        <w:t xml:space="preserve"> </w:t>
      </w:r>
      <w:r w:rsidR="0090452C" w:rsidRPr="0090452C">
        <w:t xml:space="preserve">(Employment, Social Services, and Human Services) </w:t>
      </w:r>
      <w:r>
        <w:t xml:space="preserve">to improve the ability of referring agencies to refer suitable clients to the SEE </w:t>
      </w:r>
      <w:r w:rsidR="00147674">
        <w:t>programme</w:t>
      </w:r>
      <w:r>
        <w:t>, including through enhanced communications and the provision of information materials.</w:t>
      </w:r>
    </w:p>
    <w:p w14:paraId="1FC9EC2D" w14:textId="7B7F3AEF" w:rsidR="00464BB4" w:rsidRDefault="00156F6C" w:rsidP="00E8274A">
      <w:pPr>
        <w:pStyle w:val="Heading4"/>
      </w:pPr>
      <w:r>
        <w:t>Recommendation 6</w:t>
      </w:r>
    </w:p>
    <w:p w14:paraId="393ED79C" w14:textId="74B27C72" w:rsidR="00464BB4" w:rsidRDefault="00464BB4" w:rsidP="00464BB4">
      <w:pPr>
        <w:pStyle w:val="BodyText"/>
      </w:pPr>
      <w:r>
        <w:t xml:space="preserve">The two systems of assessment used in the SEE </w:t>
      </w:r>
      <w:r w:rsidR="00147674">
        <w:t xml:space="preserve">programme </w:t>
      </w:r>
      <w:r>
        <w:t xml:space="preserve">(the different training packages and the ASCF) should be maintained. </w:t>
      </w:r>
    </w:p>
    <w:p w14:paraId="7B2A6C73" w14:textId="08FB2C64" w:rsidR="00156F6C" w:rsidRDefault="00156F6C" w:rsidP="00156F6C">
      <w:pPr>
        <w:pStyle w:val="Heading4"/>
      </w:pPr>
      <w:r>
        <w:t>Recommendation 7</w:t>
      </w:r>
    </w:p>
    <w:p w14:paraId="70F6C741" w14:textId="7E5D14BA" w:rsidR="00464BB4" w:rsidRDefault="00464BB4" w:rsidP="00464BB4">
      <w:pPr>
        <w:pStyle w:val="BodyText"/>
      </w:pPr>
      <w:r>
        <w:t xml:space="preserve">Given the amount of assessment involved, the SEE </w:t>
      </w:r>
      <w:r w:rsidR="00147674">
        <w:t xml:space="preserve">programme </w:t>
      </w:r>
      <w:r>
        <w:t>would benefit from the adoption of a more efficient and easy to use ASCF assessment tool like the Foundation Skills Assessment Tool</w:t>
      </w:r>
      <w:r w:rsidR="00421841">
        <w:t xml:space="preserve"> (FSAT)</w:t>
      </w:r>
      <w:r>
        <w:t>. The appropriate use of the FSAT should be formally considered and defined in the next tender round of the SEE programme.</w:t>
      </w:r>
    </w:p>
    <w:p w14:paraId="032FF2BD" w14:textId="5F00055D" w:rsidR="00464BB4" w:rsidRDefault="00156F6C" w:rsidP="00E8274A">
      <w:pPr>
        <w:pStyle w:val="Heading4"/>
      </w:pPr>
      <w:r>
        <w:t>Recommendation 8</w:t>
      </w:r>
    </w:p>
    <w:p w14:paraId="03D04488" w14:textId="53F11263" w:rsidR="00464BB4" w:rsidRDefault="00464BB4" w:rsidP="00464BB4">
      <w:pPr>
        <w:pStyle w:val="BodyText"/>
      </w:pPr>
      <w:r>
        <w:t xml:space="preserve">There should be a review of SEE </w:t>
      </w:r>
      <w:r w:rsidR="00147674">
        <w:t xml:space="preserve">programme </w:t>
      </w:r>
      <w:r>
        <w:t>administrative requirements with a view to reducing the amount of data entry duplication and hard copy reporting.</w:t>
      </w:r>
    </w:p>
    <w:p w14:paraId="7B9B80E5" w14:textId="7B8ECDE0" w:rsidR="00464BB4" w:rsidRDefault="00E851AE" w:rsidP="00E8274A">
      <w:pPr>
        <w:pStyle w:val="Heading4"/>
      </w:pPr>
      <w:r>
        <w:t>Recommendation 9</w:t>
      </w:r>
    </w:p>
    <w:p w14:paraId="157D2909" w14:textId="13255952" w:rsidR="00E851AE" w:rsidRDefault="00E851AE">
      <w:pPr>
        <w:pStyle w:val="BodyText"/>
      </w:pPr>
      <w:r w:rsidRPr="00E851AE">
        <w:t xml:space="preserve">The future shape of KPI 2 depends on whether job seekers with very low LLN skills are an intended target group of the SEE </w:t>
      </w:r>
      <w:r w:rsidR="00147674">
        <w:t>p</w:t>
      </w:r>
      <w:r w:rsidR="00147674" w:rsidRPr="00E851AE">
        <w:t xml:space="preserve">rogramme </w:t>
      </w:r>
      <w:r w:rsidRPr="00E851AE">
        <w:t>(see Recommendation 4). If they are, KPI 2 could be modified to include pre-ACSF attainment.</w:t>
      </w:r>
    </w:p>
    <w:p w14:paraId="22E89069" w14:textId="00345F65" w:rsidR="00464BB4" w:rsidRDefault="00E851AE" w:rsidP="00E8274A">
      <w:pPr>
        <w:pStyle w:val="Heading4"/>
      </w:pPr>
      <w:r>
        <w:t>Recommendation 10</w:t>
      </w:r>
    </w:p>
    <w:p w14:paraId="5AE72D14" w14:textId="26903D71" w:rsidR="00464BB4" w:rsidRDefault="00464BB4" w:rsidP="00464BB4">
      <w:pPr>
        <w:pStyle w:val="BodyText"/>
      </w:pPr>
      <w:r>
        <w:t xml:space="preserve">The </w:t>
      </w:r>
      <w:r w:rsidR="00DA6265">
        <w:t xml:space="preserve">Australian Government </w:t>
      </w:r>
      <w:r>
        <w:t>should better promote techniques providers can use to mitigate against over assessment</w:t>
      </w:r>
      <w:r w:rsidR="00DA6265">
        <w:t>.</w:t>
      </w:r>
    </w:p>
    <w:p w14:paraId="67D57236" w14:textId="153E37EC" w:rsidR="00464BB4" w:rsidRDefault="00041346" w:rsidP="00E8274A">
      <w:pPr>
        <w:pStyle w:val="Heading4"/>
      </w:pPr>
      <w:r>
        <w:t>Recommendation 11</w:t>
      </w:r>
    </w:p>
    <w:p w14:paraId="3C762D2B" w14:textId="2A67B063" w:rsidR="00464BB4" w:rsidRDefault="00041346">
      <w:pPr>
        <w:pStyle w:val="BodyText"/>
      </w:pPr>
      <w:r w:rsidRPr="00041346">
        <w:t xml:space="preserve">The Independent Verification is a beneficial part of the SEE </w:t>
      </w:r>
      <w:r w:rsidR="00147674">
        <w:t>p</w:t>
      </w:r>
      <w:r w:rsidR="00147674" w:rsidRPr="00041346">
        <w:t xml:space="preserve">rogramme </w:t>
      </w:r>
      <w:r w:rsidRPr="00041346">
        <w:t xml:space="preserve">and </w:t>
      </w:r>
      <w:r w:rsidR="00421841">
        <w:t xml:space="preserve">the </w:t>
      </w:r>
      <w:r w:rsidR="00DA6265">
        <w:t xml:space="preserve">Australian Government </w:t>
      </w:r>
      <w:r w:rsidRPr="00041346">
        <w:t>should look to improve the consistency and communication around the process and the expectations of assessors.</w:t>
      </w:r>
    </w:p>
    <w:p w14:paraId="37926696" w14:textId="4A7E4433" w:rsidR="00464BB4" w:rsidRDefault="00464BB4" w:rsidP="00E8274A">
      <w:pPr>
        <w:pStyle w:val="Heading4"/>
      </w:pPr>
      <w:r>
        <w:t>R</w:t>
      </w:r>
      <w:r w:rsidR="00041346">
        <w:t>ecommendation 12</w:t>
      </w:r>
    </w:p>
    <w:p w14:paraId="06E94594" w14:textId="66E685A7" w:rsidR="00464BB4" w:rsidRDefault="00464BB4" w:rsidP="00464BB4">
      <w:pPr>
        <w:pStyle w:val="BodyText"/>
      </w:pPr>
      <w:r>
        <w:t xml:space="preserve">The </w:t>
      </w:r>
      <w:r w:rsidR="00DA6265">
        <w:t xml:space="preserve">Australian Government </w:t>
      </w:r>
      <w:r>
        <w:t xml:space="preserve">should undertake further research to comprehensively assess whether the SEE </w:t>
      </w:r>
      <w:r w:rsidR="00147674">
        <w:t xml:space="preserve">programme </w:t>
      </w:r>
      <w:r>
        <w:t>teacher qualification requirements strike the right overall balance between ensuring quality while not unduly restricting provider flexibility and innovation, particularly in relation to vocational units.</w:t>
      </w:r>
    </w:p>
    <w:p w14:paraId="0E1E2295" w14:textId="6FBA393F" w:rsidR="00464BB4" w:rsidRDefault="00041346" w:rsidP="00E8274A">
      <w:pPr>
        <w:pStyle w:val="Heading4"/>
      </w:pPr>
      <w:r>
        <w:t>Recommendation 13</w:t>
      </w:r>
    </w:p>
    <w:p w14:paraId="5E4DF619" w14:textId="7152BA25" w:rsidR="00464BB4" w:rsidRDefault="00464BB4" w:rsidP="00464BB4">
      <w:pPr>
        <w:pStyle w:val="BodyText"/>
      </w:pPr>
      <w:r>
        <w:t xml:space="preserve">The requirement that SEE </w:t>
      </w:r>
      <w:r w:rsidR="0090452C">
        <w:t xml:space="preserve">programme </w:t>
      </w:r>
      <w:r>
        <w:t xml:space="preserve">clients who have completed 800 hours must wait six months before recommencing </w:t>
      </w:r>
      <w:r w:rsidR="0090452C">
        <w:t xml:space="preserve">the </w:t>
      </w:r>
      <w:r>
        <w:t xml:space="preserve">SEE </w:t>
      </w:r>
      <w:r w:rsidR="0090452C">
        <w:t xml:space="preserve">programme </w:t>
      </w:r>
      <w:r>
        <w:t xml:space="preserve">should be reviewed for clients with low scores across the ACSF core skills. The six month requirement should remain for other clients to encourage clients to test their improved LLN skills in the job market. </w:t>
      </w:r>
    </w:p>
    <w:p w14:paraId="3F00A16A" w14:textId="77777777" w:rsidR="000B5D67" w:rsidRDefault="000B5D67" w:rsidP="00464BB4">
      <w:pPr>
        <w:pStyle w:val="BodyText"/>
      </w:pPr>
    </w:p>
    <w:p w14:paraId="163D24D2" w14:textId="77777777" w:rsidR="000B5D67" w:rsidRDefault="000B5D67" w:rsidP="00464BB4">
      <w:pPr>
        <w:pStyle w:val="BodyText"/>
      </w:pPr>
    </w:p>
    <w:p w14:paraId="78D5434C" w14:textId="00DC2E0A" w:rsidR="00464BB4" w:rsidRDefault="00041346" w:rsidP="00E8274A">
      <w:pPr>
        <w:pStyle w:val="Heading4"/>
      </w:pPr>
      <w:r>
        <w:t>Recommendation 14</w:t>
      </w:r>
    </w:p>
    <w:p w14:paraId="5E6F28A8" w14:textId="140BE1EA" w:rsidR="00464BB4" w:rsidRDefault="00464BB4" w:rsidP="00464BB4">
      <w:pPr>
        <w:pStyle w:val="BodyText"/>
      </w:pPr>
      <w:r>
        <w:t xml:space="preserve">To improve the level of competition in the multi-provider model, the </w:t>
      </w:r>
      <w:r w:rsidR="00DA6265">
        <w:t xml:space="preserve">Australian Government </w:t>
      </w:r>
      <w:r>
        <w:t>should work with stakeholders to develop and implement an information and communications strategy that will deliver relevant information regarding the options of SEE providers that are available, and thereby promote informed choice by Referring Agencies and their clients.</w:t>
      </w:r>
    </w:p>
    <w:p w14:paraId="7E364545" w14:textId="19C6B025" w:rsidR="00464BB4" w:rsidRDefault="00041346" w:rsidP="00E8274A">
      <w:pPr>
        <w:pStyle w:val="Heading4"/>
      </w:pPr>
      <w:r>
        <w:t>Recommendation 15</w:t>
      </w:r>
    </w:p>
    <w:p w14:paraId="0E790BD9" w14:textId="34A240A5" w:rsidR="00464BB4" w:rsidRDefault="00464BB4" w:rsidP="00464BB4">
      <w:pPr>
        <w:pStyle w:val="BodyText"/>
      </w:pPr>
      <w:r>
        <w:t xml:space="preserve">The </w:t>
      </w:r>
      <w:r w:rsidR="009F552E">
        <w:t xml:space="preserve">notional </w:t>
      </w:r>
      <w:r>
        <w:t xml:space="preserve">budget model should be </w:t>
      </w:r>
      <w:r w:rsidR="009F552E">
        <w:t xml:space="preserve">enhanced </w:t>
      </w:r>
      <w:r>
        <w:t xml:space="preserve">to address where possible the uncertainty currently faced by SEE providers and facilitate better forward planning. Specific consideration should be given to moving some or all of the SEE </w:t>
      </w:r>
      <w:r w:rsidR="00147674">
        <w:t xml:space="preserve">programme </w:t>
      </w:r>
      <w:r>
        <w:t>nominal budget allocation to a more regular rolling budget.</w:t>
      </w:r>
    </w:p>
    <w:p w14:paraId="7A144111" w14:textId="6762BC06" w:rsidR="00464BB4" w:rsidRDefault="00041346" w:rsidP="009F552E">
      <w:pPr>
        <w:pStyle w:val="Heading4"/>
      </w:pPr>
      <w:r>
        <w:t>Recommendation 16</w:t>
      </w:r>
    </w:p>
    <w:p w14:paraId="0C0F2685" w14:textId="6547F3DB" w:rsidR="00464BB4" w:rsidRDefault="00464BB4" w:rsidP="00464BB4">
      <w:pPr>
        <w:pStyle w:val="BodyText"/>
      </w:pPr>
      <w:r>
        <w:t xml:space="preserve">A framework should be developed to assess and determine the viability of the multi-provider model in all regions across Australia, but especially where there are low levels of likely demand for the SEE </w:t>
      </w:r>
      <w:r w:rsidR="00147674">
        <w:t>programme</w:t>
      </w:r>
      <w:r>
        <w:t xml:space="preserve">. </w:t>
      </w:r>
    </w:p>
    <w:p w14:paraId="2BA47EA7" w14:textId="77777777" w:rsidR="009F552E" w:rsidRDefault="009F552E" w:rsidP="009F552E">
      <w:pPr>
        <w:pStyle w:val="Heading4"/>
      </w:pPr>
      <w:r>
        <w:t>Recommendation 17</w:t>
      </w:r>
    </w:p>
    <w:p w14:paraId="3CEF3D36" w14:textId="209A581D" w:rsidR="009F552E" w:rsidRPr="009F552E" w:rsidRDefault="009F552E" w:rsidP="000B5D67">
      <w:pPr>
        <w:pStyle w:val="BodyText"/>
      </w:pPr>
      <w:r w:rsidRPr="000B5D67">
        <w:t xml:space="preserve">The </w:t>
      </w:r>
      <w:r w:rsidR="00DA6265" w:rsidRPr="000B5D67">
        <w:t xml:space="preserve">Australian Government </w:t>
      </w:r>
      <w:r w:rsidRPr="000B5D67">
        <w:t>should align the SEE</w:t>
      </w:r>
      <w:r w:rsidR="0090452C">
        <w:t xml:space="preserve"> programme</w:t>
      </w:r>
      <w:r w:rsidRPr="000B5D67">
        <w:t xml:space="preserve"> SDAs with the revised boundaries of the employment services contracts. To aid the multi-provider model, where necessary the revised SDAs should be merged to allow for viable provision by more than one</w:t>
      </w:r>
      <w:r w:rsidR="0090452C">
        <w:t xml:space="preserve"> SEE</w:t>
      </w:r>
      <w:r w:rsidRPr="000B5D67">
        <w:t xml:space="preserve"> provider, in accordance with the framework proposed in Recommendation 16.</w:t>
      </w:r>
    </w:p>
    <w:p w14:paraId="2D09705C" w14:textId="410C1117" w:rsidR="00464BB4" w:rsidRDefault="009F552E" w:rsidP="009F552E">
      <w:pPr>
        <w:pStyle w:val="Heading4"/>
      </w:pPr>
      <w:r>
        <w:t>Recommendation 18</w:t>
      </w:r>
    </w:p>
    <w:p w14:paraId="1BE3AE7E" w14:textId="21AF68E5" w:rsidR="00C043CA" w:rsidRDefault="00464BB4" w:rsidP="00464BB4">
      <w:pPr>
        <w:pStyle w:val="BodyText"/>
      </w:pPr>
      <w:r>
        <w:t xml:space="preserve">The model for remote SEE </w:t>
      </w:r>
      <w:r w:rsidR="00015725">
        <w:t xml:space="preserve">programme </w:t>
      </w:r>
      <w:r>
        <w:t>delivery should be reviewed ahead of the next contract period to ascertain if the LLN needs of eligible job</w:t>
      </w:r>
      <w:r w:rsidR="00E2651E">
        <w:t xml:space="preserve"> </w:t>
      </w:r>
      <w:r>
        <w:t>seekers in remote regions are being met by the training secured by RJCP providers through their Participation Accounts, or whether the model of SEE</w:t>
      </w:r>
      <w:r w:rsidR="00015725">
        <w:t xml:space="preserve"> programme</w:t>
      </w:r>
      <w:r>
        <w:t xml:space="preserve"> delivery needs to consider alternative approaches, including the allocation of the notional budget to the local RJCP provider in a remote region to be responsible for the procurement of </w:t>
      </w:r>
      <w:r w:rsidR="00015725">
        <w:t>LLN training locally on an as needed</w:t>
      </w:r>
      <w:r>
        <w:t xml:space="preserve"> basis.</w:t>
      </w:r>
    </w:p>
    <w:p w14:paraId="08A9CCC0" w14:textId="77777777" w:rsidR="00C043CA" w:rsidRPr="00C043CA" w:rsidRDefault="00C043CA" w:rsidP="00250FE7">
      <w:pPr>
        <w:pStyle w:val="BodyText"/>
      </w:pPr>
    </w:p>
    <w:p w14:paraId="41C3AB50" w14:textId="77777777" w:rsidR="00473688" w:rsidRDefault="00473688">
      <w:pPr>
        <w:pStyle w:val="BodyText"/>
        <w:sectPr w:rsidR="00473688" w:rsidSect="003C37AA">
          <w:headerReference w:type="even" r:id="rId19"/>
          <w:headerReference w:type="default" r:id="rId20"/>
          <w:footerReference w:type="default" r:id="rId21"/>
          <w:headerReference w:type="first" r:id="rId22"/>
          <w:pgSz w:w="11907" w:h="16839" w:code="9"/>
          <w:pgMar w:top="1134" w:right="850" w:bottom="907" w:left="3118" w:header="709" w:footer="567" w:gutter="567"/>
          <w:pgNumType w:fmt="lowerRoman"/>
          <w:cols w:space="720"/>
          <w:docGrid w:linePitch="272"/>
        </w:sectPr>
      </w:pPr>
    </w:p>
    <w:p w14:paraId="0A8FFEBF" w14:textId="77777777" w:rsidR="00B4627C" w:rsidRDefault="00473688" w:rsidP="00EE7926">
      <w:pPr>
        <w:pStyle w:val="Heading1"/>
        <w:numPr>
          <w:ilvl w:val="0"/>
          <w:numId w:val="38"/>
        </w:numPr>
      </w:pPr>
      <w:bookmarkStart w:id="6" w:name="_Toc420065427"/>
      <w:r>
        <w:t>Introduction</w:t>
      </w:r>
      <w:bookmarkEnd w:id="6"/>
    </w:p>
    <w:p w14:paraId="512CA154" w14:textId="14630C1A" w:rsidR="00385EB3" w:rsidRPr="00076300" w:rsidRDefault="00385EB3" w:rsidP="00385EB3">
      <w:pPr>
        <w:pStyle w:val="BodyText"/>
        <w:rPr>
          <w:b/>
          <w:i/>
          <w:color w:val="7F7F7F" w:themeColor="text1" w:themeTint="80"/>
        </w:rPr>
      </w:pPr>
      <w:r w:rsidRPr="00076300">
        <w:rPr>
          <w:b/>
          <w:i/>
          <w:color w:val="7F7F7F" w:themeColor="text1" w:themeTint="80"/>
        </w:rPr>
        <w:t xml:space="preserve">This chapter provides an overview of the </w:t>
      </w:r>
      <w:r w:rsidR="006A28F2">
        <w:rPr>
          <w:b/>
          <w:i/>
          <w:color w:val="7F7F7F" w:themeColor="text1" w:themeTint="80"/>
        </w:rPr>
        <w:t xml:space="preserve">SEE </w:t>
      </w:r>
      <w:r w:rsidR="00147674">
        <w:rPr>
          <w:b/>
          <w:i/>
          <w:color w:val="7F7F7F" w:themeColor="text1" w:themeTint="80"/>
        </w:rPr>
        <w:t xml:space="preserve">programme </w:t>
      </w:r>
      <w:r w:rsidRPr="00076300">
        <w:rPr>
          <w:b/>
          <w:i/>
          <w:color w:val="7F7F7F" w:themeColor="text1" w:themeTint="80"/>
        </w:rPr>
        <w:t xml:space="preserve">evaluation, </w:t>
      </w:r>
      <w:r w:rsidR="00B241F3" w:rsidRPr="00076300">
        <w:rPr>
          <w:b/>
          <w:i/>
          <w:color w:val="7F7F7F" w:themeColor="text1" w:themeTint="80"/>
        </w:rPr>
        <w:t xml:space="preserve">including the evaluation’s context, </w:t>
      </w:r>
      <w:r w:rsidRPr="00076300">
        <w:rPr>
          <w:b/>
          <w:i/>
          <w:color w:val="7F7F7F" w:themeColor="text1" w:themeTint="80"/>
        </w:rPr>
        <w:t>research questions and method.</w:t>
      </w:r>
    </w:p>
    <w:p w14:paraId="3835F958" w14:textId="77777777" w:rsidR="00385EB3" w:rsidRDefault="00385EB3" w:rsidP="00385EB3">
      <w:pPr>
        <w:pStyle w:val="Heading2"/>
      </w:pPr>
      <w:bookmarkStart w:id="7" w:name="_Toc407380297"/>
      <w:bookmarkStart w:id="8" w:name="_Toc420065428"/>
      <w:r>
        <w:t xml:space="preserve">Evaluation </w:t>
      </w:r>
      <w:bookmarkEnd w:id="7"/>
      <w:r>
        <w:t>overview</w:t>
      </w:r>
      <w:bookmarkEnd w:id="8"/>
      <w:r>
        <w:t xml:space="preserve"> </w:t>
      </w:r>
    </w:p>
    <w:p w14:paraId="09AB790B" w14:textId="77777777" w:rsidR="00385EB3" w:rsidRDefault="00385EB3" w:rsidP="00385EB3">
      <w:pPr>
        <w:pStyle w:val="Heading3"/>
      </w:pPr>
      <w:r>
        <w:t>Evaluation objectives</w:t>
      </w:r>
    </w:p>
    <w:p w14:paraId="124F46D5" w14:textId="64FEACE3" w:rsidR="00385EB3" w:rsidRDefault="00385EB3" w:rsidP="00385EB3">
      <w:pPr>
        <w:pStyle w:val="BodyText"/>
      </w:pPr>
      <w:r>
        <w:t xml:space="preserve">ACIL Allen Consulting was commissioned by the </w:t>
      </w:r>
      <w:r w:rsidR="008D0896">
        <w:t>Australian Government</w:t>
      </w:r>
      <w:r>
        <w:t xml:space="preserve"> Department of </w:t>
      </w:r>
      <w:r w:rsidR="008D704B">
        <w:t xml:space="preserve">Education and Training </w:t>
      </w:r>
      <w:r>
        <w:t>to conduct an evaluation of the</w:t>
      </w:r>
      <w:r w:rsidR="008D704B" w:rsidRPr="008D704B">
        <w:t xml:space="preserve"> </w:t>
      </w:r>
      <w:r w:rsidR="008D704B">
        <w:t xml:space="preserve">Skills for Education and Employment (SEE) </w:t>
      </w:r>
      <w:r w:rsidR="00C53CB2">
        <w:t>p</w:t>
      </w:r>
      <w:r w:rsidR="008D704B">
        <w:t>rogramme</w:t>
      </w:r>
      <w:r>
        <w:t xml:space="preserve">. The evaluation was undertaken in conjunction with an evaluation of the </w:t>
      </w:r>
      <w:r w:rsidR="008D704B">
        <w:t>Adult Migrant English Program (AMEP)</w:t>
      </w:r>
      <w:r>
        <w:t xml:space="preserve">. </w:t>
      </w:r>
    </w:p>
    <w:p w14:paraId="065D16D3" w14:textId="77777777" w:rsidR="00385EB3" w:rsidRDefault="00385EB3" w:rsidP="00385EB3">
      <w:pPr>
        <w:pStyle w:val="BodyText"/>
      </w:pPr>
      <w:r>
        <w:t>The joint evaluations examined:</w:t>
      </w:r>
    </w:p>
    <w:p w14:paraId="3C414E08" w14:textId="36D3F85E" w:rsidR="00385EB3" w:rsidRDefault="00385EB3" w:rsidP="00385EB3">
      <w:pPr>
        <w:pStyle w:val="ListDash"/>
      </w:pPr>
      <w:r>
        <w:t xml:space="preserve">The appropriateness, effectiveness, efficiency and performance management of the </w:t>
      </w:r>
      <w:r w:rsidR="006A28F2">
        <w:t xml:space="preserve">SEE </w:t>
      </w:r>
      <w:r w:rsidR="00147674">
        <w:t xml:space="preserve">programme </w:t>
      </w:r>
      <w:r>
        <w:t xml:space="preserve">and the </w:t>
      </w:r>
      <w:r w:rsidR="008071A3">
        <w:t>AMEP</w:t>
      </w:r>
      <w:r w:rsidR="00154EB0">
        <w:t>.</w:t>
      </w:r>
      <w:r w:rsidR="008071A3">
        <w:t xml:space="preserve"> </w:t>
      </w:r>
    </w:p>
    <w:p w14:paraId="305B5748" w14:textId="7CEC0D74" w:rsidR="00385EB3" w:rsidRDefault="00385EB3" w:rsidP="00385EB3">
      <w:pPr>
        <w:pStyle w:val="ListDash"/>
      </w:pPr>
      <w:r>
        <w:t xml:space="preserve">The strategic alignment between the </w:t>
      </w:r>
      <w:r w:rsidR="006A28F2">
        <w:t xml:space="preserve">SEE </w:t>
      </w:r>
      <w:r w:rsidR="00147674">
        <w:t xml:space="preserve">programme </w:t>
      </w:r>
      <w:r>
        <w:t xml:space="preserve">and the </w:t>
      </w:r>
      <w:r w:rsidR="008071A3">
        <w:t>AMEP</w:t>
      </w:r>
      <w:r w:rsidR="006D04E9">
        <w:t>,</w:t>
      </w:r>
      <w:r w:rsidR="008071A3">
        <w:t xml:space="preserve"> </w:t>
      </w:r>
      <w:r>
        <w:t xml:space="preserve">and whether there are opportunities to improve how the two </w:t>
      </w:r>
      <w:r w:rsidR="00956392">
        <w:t>programmes</w:t>
      </w:r>
      <w:r>
        <w:t xml:space="preserve"> work together.</w:t>
      </w:r>
    </w:p>
    <w:p w14:paraId="3B303ED9" w14:textId="77777777" w:rsidR="00385EB3" w:rsidRDefault="00385EB3" w:rsidP="00385EB3">
      <w:pPr>
        <w:pStyle w:val="Heading3"/>
      </w:pPr>
      <w:r>
        <w:t>Evaluation context</w:t>
      </w:r>
    </w:p>
    <w:p w14:paraId="44E7CE91" w14:textId="180E5B88" w:rsidR="00385EB3" w:rsidRDefault="00385EB3" w:rsidP="00385EB3">
      <w:pPr>
        <w:pStyle w:val="BodyText"/>
      </w:pPr>
      <w:r>
        <w:t xml:space="preserve">An evaluation of the </w:t>
      </w:r>
      <w:r w:rsidR="006A28F2">
        <w:t xml:space="preserve">SEE </w:t>
      </w:r>
      <w:r w:rsidR="00147674">
        <w:t xml:space="preserve">programme </w:t>
      </w:r>
      <w:r>
        <w:t>is considered timely as the</w:t>
      </w:r>
      <w:r w:rsidR="00C53CB2">
        <w:t xml:space="preserve">re were </w:t>
      </w:r>
      <w:r w:rsidR="006D04E9">
        <w:t xml:space="preserve">contract </w:t>
      </w:r>
      <w:r w:rsidR="00C53CB2">
        <w:t xml:space="preserve">modifications </w:t>
      </w:r>
      <w:r w:rsidR="006D04E9">
        <w:t>in 2012</w:t>
      </w:r>
      <w:r w:rsidRPr="00B6727E">
        <w:t xml:space="preserve"> which involved significant changes in </w:t>
      </w:r>
      <w:r w:rsidR="006A28F2">
        <w:t xml:space="preserve">programme </w:t>
      </w:r>
      <w:r w:rsidRPr="00B6727E">
        <w:t>delivery and administration which are yet to be assessed.</w:t>
      </w:r>
    </w:p>
    <w:p w14:paraId="0BEC7250" w14:textId="73780322" w:rsidR="00385EB3" w:rsidRDefault="00385EB3" w:rsidP="00385EB3">
      <w:pPr>
        <w:pStyle w:val="BodyText"/>
      </w:pPr>
      <w:r>
        <w:t>An addition</w:t>
      </w:r>
      <w:r w:rsidR="00C53CB2">
        <w:t>al</w:t>
      </w:r>
      <w:r>
        <w:t xml:space="preserve"> impetus for the evaluation is the </w:t>
      </w:r>
      <w:r w:rsidR="00DB3391" w:rsidRPr="00DB3391">
        <w:t xml:space="preserve">movement of the administration of the SEE </w:t>
      </w:r>
      <w:r w:rsidR="00147674">
        <w:t>p</w:t>
      </w:r>
      <w:r w:rsidR="00147674" w:rsidRPr="00DB3391">
        <w:t xml:space="preserve">rogramme </w:t>
      </w:r>
      <w:r w:rsidR="00DB3391" w:rsidRPr="00DB3391">
        <w:t>from the then Department of Education, Employment and Workplace Relations to the Department of Industry in 2011, then to the Department of Education and Training in late 2014</w:t>
      </w:r>
      <w:r w:rsidRPr="00B6727E">
        <w:t xml:space="preserve">. The </w:t>
      </w:r>
      <w:r w:rsidR="00C53CB2">
        <w:t xml:space="preserve">current </w:t>
      </w:r>
      <w:r w:rsidRPr="00B6727E">
        <w:t>co</w:t>
      </w:r>
      <w:r w:rsidR="00E2651E">
        <w:t>-</w:t>
      </w:r>
      <w:r w:rsidRPr="00B6727E">
        <w:t xml:space="preserve">location of the AMEP </w:t>
      </w:r>
      <w:r>
        <w:t xml:space="preserve">and </w:t>
      </w:r>
      <w:r w:rsidR="00096F64">
        <w:t xml:space="preserve">the </w:t>
      </w:r>
      <w:r w:rsidR="00147674">
        <w:t>SEE programme</w:t>
      </w:r>
      <w:r w:rsidR="006A28F2">
        <w:t xml:space="preserve"> </w:t>
      </w:r>
      <w:r w:rsidRPr="00B6727E">
        <w:t xml:space="preserve">in the </w:t>
      </w:r>
      <w:r>
        <w:t xml:space="preserve">Department of Education and Training </w:t>
      </w:r>
      <w:r w:rsidRPr="00B6727E">
        <w:t xml:space="preserve">provides an opportunity to explore the strategic alignment between the two </w:t>
      </w:r>
      <w:r w:rsidR="00956392">
        <w:t>programmes</w:t>
      </w:r>
      <w:r w:rsidRPr="00B6727E">
        <w:t>.</w:t>
      </w:r>
    </w:p>
    <w:p w14:paraId="08EA0E2E" w14:textId="77777777" w:rsidR="00385EB3" w:rsidRDefault="00385EB3" w:rsidP="00385EB3">
      <w:pPr>
        <w:pStyle w:val="Heading3"/>
      </w:pPr>
      <w:r>
        <w:t>Evaluation outputs</w:t>
      </w:r>
    </w:p>
    <w:p w14:paraId="162EA725" w14:textId="203B7A42" w:rsidR="00385EB3" w:rsidRDefault="00385EB3" w:rsidP="00385EB3">
      <w:pPr>
        <w:pStyle w:val="BodyText"/>
      </w:pPr>
      <w:r>
        <w:t xml:space="preserve">The joint evaluations of the </w:t>
      </w:r>
      <w:r w:rsidR="00147674">
        <w:t>SEE programme</w:t>
      </w:r>
      <w:r w:rsidR="006A28F2">
        <w:t xml:space="preserve"> </w:t>
      </w:r>
      <w:r w:rsidR="00725A9D">
        <w:t xml:space="preserve">and </w:t>
      </w:r>
      <w:r w:rsidR="008D0896">
        <w:t xml:space="preserve">the </w:t>
      </w:r>
      <w:r w:rsidR="00725A9D">
        <w:t xml:space="preserve">AMEP </w:t>
      </w:r>
      <w:r>
        <w:t>have produced three reports:</w:t>
      </w:r>
    </w:p>
    <w:p w14:paraId="1A6C373E" w14:textId="470196EA" w:rsidR="00725A9D" w:rsidRDefault="008952ED" w:rsidP="00725A9D">
      <w:pPr>
        <w:pStyle w:val="ListDash"/>
      </w:pPr>
      <w:r>
        <w:t>t</w:t>
      </w:r>
      <w:r w:rsidR="00725A9D">
        <w:t xml:space="preserve">he </w:t>
      </w:r>
      <w:r w:rsidR="00147674">
        <w:t>SEE Programme</w:t>
      </w:r>
      <w:r w:rsidR="00D17151">
        <w:t xml:space="preserve"> Evaluation R</w:t>
      </w:r>
      <w:r w:rsidR="00725A9D">
        <w:t>eport (this report)</w:t>
      </w:r>
    </w:p>
    <w:p w14:paraId="16CF0545" w14:textId="6F22D4EE" w:rsidR="00385EB3" w:rsidRDefault="008952ED" w:rsidP="00385EB3">
      <w:pPr>
        <w:pStyle w:val="ListDash"/>
      </w:pPr>
      <w:r>
        <w:t>t</w:t>
      </w:r>
      <w:r w:rsidR="00385EB3">
        <w:t xml:space="preserve">he AMEP Evaluation </w:t>
      </w:r>
      <w:r w:rsidR="00D17151">
        <w:t>R</w:t>
      </w:r>
      <w:r w:rsidR="00385EB3">
        <w:t xml:space="preserve">eport </w:t>
      </w:r>
    </w:p>
    <w:p w14:paraId="58B6AF7A" w14:textId="5A25FEEB" w:rsidR="00473688" w:rsidRDefault="008952ED" w:rsidP="00FE0356">
      <w:pPr>
        <w:pStyle w:val="ListDash"/>
      </w:pPr>
      <w:r>
        <w:t>t</w:t>
      </w:r>
      <w:r w:rsidR="00385EB3">
        <w:t xml:space="preserve">he AMEP </w:t>
      </w:r>
      <w:r w:rsidR="00D17151">
        <w:t>&amp;</w:t>
      </w:r>
      <w:r w:rsidR="00385EB3">
        <w:t xml:space="preserve"> </w:t>
      </w:r>
      <w:r w:rsidR="006A28F2">
        <w:t xml:space="preserve">SEE Programme </w:t>
      </w:r>
      <w:r w:rsidR="00385EB3">
        <w:t xml:space="preserve">Alignment </w:t>
      </w:r>
      <w:r w:rsidR="00D17151">
        <w:t>R</w:t>
      </w:r>
      <w:r w:rsidR="00385EB3">
        <w:t>eport.</w:t>
      </w:r>
    </w:p>
    <w:p w14:paraId="7376BF32" w14:textId="77777777" w:rsidR="009B56B2" w:rsidRDefault="00855657" w:rsidP="009B56B2">
      <w:pPr>
        <w:pStyle w:val="Heading2"/>
      </w:pPr>
      <w:bookmarkStart w:id="9" w:name="_Toc420065429"/>
      <w:r>
        <w:t>Research questions</w:t>
      </w:r>
      <w:bookmarkEnd w:id="9"/>
    </w:p>
    <w:p w14:paraId="2D91E63D" w14:textId="01786ED8" w:rsidR="00802532" w:rsidRDefault="00266CA5" w:rsidP="00266CA5">
      <w:pPr>
        <w:pStyle w:val="BodyText"/>
      </w:pPr>
      <w:r>
        <w:t xml:space="preserve">The </w:t>
      </w:r>
      <w:r w:rsidR="00147674">
        <w:t>SEE programme</w:t>
      </w:r>
      <w:r w:rsidR="006A28F2">
        <w:t xml:space="preserve"> </w:t>
      </w:r>
      <w:r>
        <w:t xml:space="preserve">evaluation research questions are outlined in </w:t>
      </w:r>
      <w:r w:rsidR="00802532">
        <w:fldChar w:fldCharType="begin"/>
      </w:r>
      <w:r w:rsidR="00802532">
        <w:instrText xml:space="preserve"> REF _Ref407381141 \h  \* MERGEFORMAT </w:instrText>
      </w:r>
      <w:r w:rsidR="00802532">
        <w:fldChar w:fldCharType="separate"/>
      </w:r>
      <w:r w:rsidR="00294A5A" w:rsidRPr="00294A5A">
        <w:t>Table 1</w:t>
      </w:r>
      <w:r w:rsidR="00802532">
        <w:fldChar w:fldCharType="end"/>
      </w:r>
      <w:r w:rsidR="009B56B2">
        <w:t xml:space="preserve">. </w:t>
      </w:r>
      <w:r>
        <w:t>The research questions are grouped under four key areas of investigation – appropriateness, effectiveness, efficiency and performance assessment.</w:t>
      </w:r>
    </w:p>
    <w:p w14:paraId="4B8672C6" w14:textId="77777777" w:rsidR="00EE7926" w:rsidRPr="00104B0F" w:rsidRDefault="00EE7926" w:rsidP="00266CA5">
      <w:pPr>
        <w:pStyle w:val="BodyText"/>
      </w:pPr>
    </w:p>
    <w:p w14:paraId="513A7C6A" w14:textId="4CA42E8E" w:rsidR="009B56B2" w:rsidRPr="00443917" w:rsidRDefault="009B56B2" w:rsidP="009B56B2">
      <w:pPr>
        <w:keepNext/>
        <w:spacing w:before="360" w:after="40"/>
        <w:ind w:left="-1417" w:hanging="1247"/>
        <w:outlineLvl w:val="8"/>
        <w:rPr>
          <w:rFonts w:asciiTheme="majorHAnsi" w:hAnsiTheme="majorHAnsi" w:cs="Arial"/>
          <w:sz w:val="20"/>
        </w:rPr>
      </w:pPr>
      <w:bookmarkStart w:id="10" w:name="_Ref407381141"/>
      <w:bookmarkStart w:id="11" w:name="_Toc420065497"/>
      <w:r w:rsidRPr="00443917">
        <w:rPr>
          <w:rFonts w:asciiTheme="majorHAnsi" w:hAnsiTheme="majorHAnsi" w:cs="Arial"/>
          <w:sz w:val="20"/>
        </w:rPr>
        <w:t xml:space="preserve">Table </w:t>
      </w:r>
      <w:r w:rsidRPr="00443917">
        <w:rPr>
          <w:rFonts w:asciiTheme="majorHAnsi" w:hAnsiTheme="majorHAnsi" w:cs="Arial"/>
          <w:sz w:val="20"/>
        </w:rPr>
        <w:fldChar w:fldCharType="begin"/>
      </w:r>
      <w:r w:rsidRPr="00443917">
        <w:rPr>
          <w:rFonts w:asciiTheme="majorHAnsi" w:hAnsiTheme="majorHAnsi" w:cs="Arial"/>
          <w:sz w:val="20"/>
        </w:rPr>
        <w:instrText xml:space="preserve"> SEQ Table \* MERGEFORMAT </w:instrText>
      </w:r>
      <w:r w:rsidRPr="00443917">
        <w:rPr>
          <w:rFonts w:asciiTheme="majorHAnsi" w:hAnsiTheme="majorHAnsi" w:cs="Arial"/>
          <w:sz w:val="20"/>
        </w:rPr>
        <w:fldChar w:fldCharType="separate"/>
      </w:r>
      <w:r w:rsidR="00294A5A">
        <w:rPr>
          <w:rFonts w:asciiTheme="majorHAnsi" w:hAnsiTheme="majorHAnsi" w:cs="Arial"/>
          <w:noProof/>
          <w:sz w:val="20"/>
        </w:rPr>
        <w:t>1</w:t>
      </w:r>
      <w:r w:rsidRPr="00443917">
        <w:rPr>
          <w:rFonts w:asciiTheme="majorHAnsi" w:hAnsiTheme="majorHAnsi" w:cs="Arial"/>
          <w:noProof/>
          <w:sz w:val="20"/>
        </w:rPr>
        <w:fldChar w:fldCharType="end"/>
      </w:r>
      <w:bookmarkEnd w:id="10"/>
      <w:r w:rsidRPr="00443917">
        <w:rPr>
          <w:rFonts w:asciiTheme="majorHAnsi" w:hAnsiTheme="majorHAnsi" w:cs="Arial"/>
          <w:b/>
          <w:color w:val="000000"/>
          <w:sz w:val="20"/>
        </w:rPr>
        <w:tab/>
      </w:r>
      <w:r>
        <w:rPr>
          <w:rFonts w:asciiTheme="majorHAnsi" w:hAnsiTheme="majorHAnsi" w:cs="Arial"/>
          <w:b/>
          <w:color w:val="000000"/>
          <w:sz w:val="20"/>
        </w:rPr>
        <w:t>K</w:t>
      </w:r>
      <w:r w:rsidRPr="00443917">
        <w:rPr>
          <w:rFonts w:asciiTheme="majorHAnsi" w:hAnsiTheme="majorHAnsi" w:cs="Arial"/>
          <w:b/>
          <w:color w:val="000000"/>
          <w:sz w:val="20"/>
        </w:rPr>
        <w:t>ey research questions</w:t>
      </w:r>
      <w:r>
        <w:rPr>
          <w:rFonts w:asciiTheme="majorHAnsi" w:hAnsiTheme="majorHAnsi" w:cs="Arial"/>
          <w:b/>
          <w:color w:val="000000"/>
          <w:sz w:val="20"/>
        </w:rPr>
        <w:t xml:space="preserve"> for the </w:t>
      </w:r>
      <w:r w:rsidR="00147674">
        <w:rPr>
          <w:rFonts w:asciiTheme="majorHAnsi" w:hAnsiTheme="majorHAnsi" w:cs="Arial"/>
          <w:b/>
          <w:color w:val="000000"/>
          <w:sz w:val="20"/>
        </w:rPr>
        <w:t>SEE programme</w:t>
      </w:r>
      <w:r w:rsidR="006A28F2">
        <w:rPr>
          <w:rFonts w:asciiTheme="majorHAnsi" w:hAnsiTheme="majorHAnsi" w:cs="Arial"/>
          <w:b/>
          <w:color w:val="000000"/>
          <w:sz w:val="20"/>
        </w:rPr>
        <w:t xml:space="preserve"> </w:t>
      </w:r>
      <w:r>
        <w:rPr>
          <w:rFonts w:asciiTheme="majorHAnsi" w:hAnsiTheme="majorHAnsi" w:cs="Arial"/>
          <w:b/>
          <w:color w:val="000000"/>
          <w:sz w:val="20"/>
        </w:rPr>
        <w:t>evaluation</w:t>
      </w:r>
      <w:bookmarkEnd w:id="11"/>
    </w:p>
    <w:tbl>
      <w:tblPr>
        <w:tblW w:w="10062" w:type="dxa"/>
        <w:tblInd w:w="-2552"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1560"/>
        <w:gridCol w:w="8502"/>
      </w:tblGrid>
      <w:tr w:rsidR="00134A56" w:rsidRPr="00443917" w14:paraId="5FB0CD6C" w14:textId="77777777" w:rsidTr="00134A56">
        <w:trPr>
          <w:cantSplit/>
          <w:trHeight w:val="618"/>
          <w:tblHeader/>
        </w:trPr>
        <w:tc>
          <w:tcPr>
            <w:tcW w:w="1560" w:type="dxa"/>
            <w:tcBorders>
              <w:top w:val="single" w:sz="2" w:space="0" w:color="C0C0C0"/>
              <w:left w:val="single" w:sz="2" w:space="0" w:color="C0C0C0"/>
              <w:right w:val="single" w:sz="2" w:space="0" w:color="C0C0C0"/>
            </w:tcBorders>
            <w:shd w:val="solid" w:color="9757A6" w:fill="auto"/>
            <w:vAlign w:val="center"/>
          </w:tcPr>
          <w:p w14:paraId="4BC3C892" w14:textId="77777777" w:rsidR="00134A56" w:rsidRPr="00443917" w:rsidRDefault="00134A56" w:rsidP="003C37AA">
            <w:pPr>
              <w:spacing w:before="60" w:after="60" w:line="220" w:lineRule="exact"/>
              <w:rPr>
                <w:rFonts w:asciiTheme="majorHAnsi" w:hAnsiTheme="majorHAnsi"/>
                <w:b/>
                <w:color w:val="FFFFFF" w:themeColor="background1"/>
                <w:sz w:val="18"/>
                <w:szCs w:val="16"/>
              </w:rPr>
            </w:pPr>
            <w:r w:rsidRPr="00443917">
              <w:rPr>
                <w:rFonts w:asciiTheme="majorHAnsi" w:hAnsiTheme="majorHAnsi"/>
                <w:b/>
                <w:color w:val="FFFFFF" w:themeColor="background1"/>
                <w:sz w:val="18"/>
                <w:szCs w:val="16"/>
              </w:rPr>
              <w:t>Area of investigation</w:t>
            </w:r>
          </w:p>
        </w:tc>
        <w:tc>
          <w:tcPr>
            <w:tcW w:w="8502" w:type="dxa"/>
            <w:tcBorders>
              <w:right w:val="single" w:sz="2" w:space="0" w:color="C0C0C0"/>
            </w:tcBorders>
            <w:shd w:val="solid" w:color="9757A6" w:fill="auto"/>
            <w:vAlign w:val="center"/>
          </w:tcPr>
          <w:p w14:paraId="30F26F9E" w14:textId="77777777" w:rsidR="00134A56" w:rsidRPr="00443917" w:rsidRDefault="00134A56" w:rsidP="00134A56">
            <w:pPr>
              <w:spacing w:before="60" w:after="60" w:line="220" w:lineRule="exact"/>
              <w:rPr>
                <w:rFonts w:asciiTheme="majorHAnsi" w:hAnsiTheme="majorHAnsi"/>
                <w:b/>
                <w:color w:val="FFFFFF" w:themeColor="background1"/>
                <w:sz w:val="18"/>
                <w:szCs w:val="16"/>
              </w:rPr>
            </w:pPr>
            <w:r>
              <w:rPr>
                <w:rFonts w:asciiTheme="majorHAnsi" w:hAnsiTheme="majorHAnsi"/>
                <w:b/>
                <w:color w:val="FFFFFF" w:themeColor="background1"/>
                <w:sz w:val="18"/>
                <w:szCs w:val="16"/>
              </w:rPr>
              <w:t>Research questions</w:t>
            </w:r>
          </w:p>
        </w:tc>
      </w:tr>
      <w:tr w:rsidR="00134A56" w:rsidRPr="00443917" w14:paraId="676E941E" w14:textId="77777777" w:rsidTr="00134A56">
        <w:trPr>
          <w:cantSplit/>
        </w:trPr>
        <w:tc>
          <w:tcPr>
            <w:tcW w:w="1560" w:type="dxa"/>
            <w:vMerge w:val="restart"/>
            <w:tcBorders>
              <w:top w:val="single" w:sz="2" w:space="0" w:color="C0C0C0"/>
              <w:left w:val="single" w:sz="2" w:space="0" w:color="C0C0C0"/>
              <w:right w:val="single" w:sz="2" w:space="0" w:color="C0C0C0"/>
            </w:tcBorders>
            <w:shd w:val="clear" w:color="auto" w:fill="auto"/>
            <w:vAlign w:val="center"/>
          </w:tcPr>
          <w:p w14:paraId="1CC59DF3" w14:textId="77777777" w:rsidR="00134A56" w:rsidRPr="00443917" w:rsidRDefault="00134A56" w:rsidP="003C37AA">
            <w:pPr>
              <w:keepLines/>
              <w:spacing w:before="40" w:after="40" w:line="240" w:lineRule="auto"/>
              <w:rPr>
                <w:rFonts w:ascii="Arial" w:hAnsi="Arial"/>
                <w:b/>
                <w:color w:val="000000"/>
                <w:sz w:val="16"/>
              </w:rPr>
            </w:pPr>
            <w:r>
              <w:rPr>
                <w:rFonts w:ascii="Arial" w:hAnsi="Arial"/>
                <w:b/>
                <w:color w:val="000000"/>
                <w:sz w:val="16"/>
              </w:rPr>
              <w:t>Appropriateness</w:t>
            </w:r>
          </w:p>
        </w:tc>
        <w:tc>
          <w:tcPr>
            <w:tcW w:w="8502" w:type="dxa"/>
            <w:tcBorders>
              <w:top w:val="single" w:sz="2" w:space="0" w:color="C0C0C0"/>
              <w:right w:val="single" w:sz="2" w:space="0" w:color="C0C0C0"/>
            </w:tcBorders>
            <w:shd w:val="clear" w:color="auto" w:fill="auto"/>
          </w:tcPr>
          <w:p w14:paraId="64493477" w14:textId="1887DA61" w:rsidR="00134A56" w:rsidRPr="001E6D19" w:rsidRDefault="00134A56" w:rsidP="003C37AA">
            <w:pPr>
              <w:pStyle w:val="Tabletext"/>
            </w:pPr>
            <w:r w:rsidRPr="001E6D19">
              <w:t xml:space="preserve">What are the needs of job seekers with low language, literacy and numeracy skills and are the </w:t>
            </w:r>
            <w:r w:rsidR="00BD5F48">
              <w:t>programme</w:t>
            </w:r>
            <w:r w:rsidRPr="001E6D19">
              <w:t>’s current target groups appropriate</w:t>
            </w:r>
            <w:r>
              <w:t>?</w:t>
            </w:r>
          </w:p>
        </w:tc>
      </w:tr>
      <w:tr w:rsidR="00134A56" w:rsidRPr="00443917" w14:paraId="7C3E8DC9"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18352967"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right w:val="single" w:sz="2" w:space="0" w:color="C0C0C0"/>
            </w:tcBorders>
            <w:shd w:val="clear" w:color="auto" w:fill="auto"/>
          </w:tcPr>
          <w:p w14:paraId="4A821A7A" w14:textId="77777777" w:rsidR="00134A56" w:rsidRDefault="00134A56" w:rsidP="003C37AA">
            <w:pPr>
              <w:pStyle w:val="Tabletext"/>
            </w:pPr>
            <w:r w:rsidRPr="001E6D19">
              <w:t>How are these needs assessed</w:t>
            </w:r>
            <w:r>
              <w:t>, are the benchmarks appropriate,</w:t>
            </w:r>
            <w:r w:rsidRPr="001E6D19">
              <w:t xml:space="preserve"> and to what extent is the </w:t>
            </w:r>
            <w:r w:rsidR="00B05FA8">
              <w:t xml:space="preserve">programme </w:t>
            </w:r>
            <w:r w:rsidRPr="001E6D19">
              <w:t>appropriate in addressing these?</w:t>
            </w:r>
            <w:r>
              <w:t xml:space="preserve"> </w:t>
            </w:r>
          </w:p>
        </w:tc>
      </w:tr>
      <w:tr w:rsidR="00134A56" w:rsidRPr="00443917" w14:paraId="189D670A"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06D26590"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bottom w:val="single" w:sz="2" w:space="0" w:color="C0C0C0"/>
              <w:right w:val="single" w:sz="2" w:space="0" w:color="C0C0C0"/>
            </w:tcBorders>
            <w:shd w:val="clear" w:color="auto" w:fill="auto"/>
          </w:tcPr>
          <w:p w14:paraId="508EFD6F" w14:textId="77777777" w:rsidR="00134A56" w:rsidRPr="001E6D19" w:rsidRDefault="00134A56" w:rsidP="003C37AA">
            <w:pPr>
              <w:pStyle w:val="Tabletext"/>
            </w:pPr>
            <w:r w:rsidRPr="001E6D19">
              <w:t>Are there opportunities to improve assessment of these needs through novel assessment tools?</w:t>
            </w:r>
          </w:p>
        </w:tc>
      </w:tr>
      <w:tr w:rsidR="00134A56" w:rsidRPr="00443917" w14:paraId="745ADA7D"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6986AAB2"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top w:val="single" w:sz="2" w:space="0" w:color="C0C0C0"/>
              <w:bottom w:val="single" w:sz="2" w:space="0" w:color="C0C0C0"/>
              <w:right w:val="single" w:sz="2" w:space="0" w:color="C0C0C0"/>
            </w:tcBorders>
            <w:shd w:val="clear" w:color="auto" w:fill="auto"/>
          </w:tcPr>
          <w:p w14:paraId="6E4F541D" w14:textId="77777777" w:rsidR="00134A56" w:rsidRPr="001E6D19" w:rsidRDefault="00134A56" w:rsidP="003C37AA">
            <w:pPr>
              <w:pStyle w:val="Tabletext"/>
            </w:pPr>
            <w:r w:rsidRPr="001E6D19">
              <w:t xml:space="preserve">What are the barriers to vulnerable job seekers accessing and participating in the </w:t>
            </w:r>
            <w:r w:rsidR="00B05FA8">
              <w:t xml:space="preserve">programme </w:t>
            </w:r>
            <w:r w:rsidRPr="001E6D19">
              <w:t xml:space="preserve">including awareness of the </w:t>
            </w:r>
            <w:r w:rsidR="00B05FA8">
              <w:t xml:space="preserve">programme </w:t>
            </w:r>
            <w:r w:rsidRPr="001E6D19">
              <w:t>and referral opportunities?</w:t>
            </w:r>
          </w:p>
        </w:tc>
      </w:tr>
      <w:tr w:rsidR="00134A56" w:rsidRPr="00443917" w14:paraId="6F8616F8"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5C7CD449"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top w:val="single" w:sz="2" w:space="0" w:color="C0C0C0"/>
              <w:right w:val="single" w:sz="2" w:space="0" w:color="C0C0C0"/>
            </w:tcBorders>
            <w:shd w:val="clear" w:color="auto" w:fill="auto"/>
          </w:tcPr>
          <w:p w14:paraId="3BE8DD7F" w14:textId="1A938876" w:rsidR="00134A56" w:rsidRPr="001E6D19" w:rsidRDefault="00134A56" w:rsidP="003C37AA">
            <w:pPr>
              <w:pStyle w:val="Tabletext"/>
            </w:pPr>
            <w:r>
              <w:t>Are there gaps in the coverage or eligibility for the program</w:t>
            </w:r>
            <w:r w:rsidR="00BD5F48">
              <w:t>me</w:t>
            </w:r>
            <w:r>
              <w:t>?</w:t>
            </w:r>
          </w:p>
        </w:tc>
      </w:tr>
      <w:tr w:rsidR="00134A56" w:rsidRPr="00443917" w14:paraId="08D89C38"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062C0D07"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top w:val="single" w:sz="2" w:space="0" w:color="C0C0C0"/>
              <w:right w:val="single" w:sz="2" w:space="0" w:color="C0C0C0"/>
            </w:tcBorders>
            <w:shd w:val="clear" w:color="auto" w:fill="auto"/>
          </w:tcPr>
          <w:p w14:paraId="62FC6C6E" w14:textId="68F0ABEC" w:rsidR="00134A56" w:rsidRDefault="00134A56" w:rsidP="003C37AA">
            <w:pPr>
              <w:pStyle w:val="Tabletext"/>
            </w:pPr>
            <w:r>
              <w:t xml:space="preserve">How </w:t>
            </w:r>
            <w:r w:rsidR="002B59BE">
              <w:t>d</w:t>
            </w:r>
            <w:r>
              <w:t xml:space="preserve">o the two </w:t>
            </w:r>
            <w:r w:rsidR="00BD5F48">
              <w:t>programme</w:t>
            </w:r>
            <w:r>
              <w:t xml:space="preserve">s overlap/align? What are the opportunities for improving how the two </w:t>
            </w:r>
            <w:r w:rsidR="00BD5F48">
              <w:t>programme</w:t>
            </w:r>
            <w:r>
              <w:t>s work together?</w:t>
            </w:r>
          </w:p>
        </w:tc>
      </w:tr>
      <w:tr w:rsidR="00134A56" w:rsidRPr="00443917" w14:paraId="46B6C8CA"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78EDC52A"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top w:val="single" w:sz="2" w:space="0" w:color="C0C0C0"/>
              <w:right w:val="single" w:sz="2" w:space="0" w:color="C0C0C0"/>
            </w:tcBorders>
            <w:shd w:val="clear" w:color="auto" w:fill="auto"/>
          </w:tcPr>
          <w:p w14:paraId="54B1DEA2" w14:textId="390FD03D" w:rsidR="00134A56" w:rsidRPr="001E6D19" w:rsidRDefault="00134A56" w:rsidP="003C37AA">
            <w:pPr>
              <w:pStyle w:val="Tabletext"/>
            </w:pPr>
            <w:r w:rsidRPr="001E6D19">
              <w:t xml:space="preserve">How well does the </w:t>
            </w:r>
            <w:r w:rsidR="00B05FA8">
              <w:t xml:space="preserve">programme </w:t>
            </w:r>
            <w:r w:rsidRPr="001E6D19">
              <w:t>align with broader government objectives</w:t>
            </w:r>
            <w:r>
              <w:t xml:space="preserve"> including emerging changes to government policies and program</w:t>
            </w:r>
            <w:r w:rsidR="00BD5F48">
              <w:t>me</w:t>
            </w:r>
            <w:r>
              <w:t>s</w:t>
            </w:r>
            <w:r w:rsidRPr="001E6D19">
              <w:t>?</w:t>
            </w:r>
          </w:p>
        </w:tc>
      </w:tr>
      <w:tr w:rsidR="00245909" w:rsidRPr="00443917" w14:paraId="6F352ACF" w14:textId="77777777" w:rsidTr="00134A56">
        <w:trPr>
          <w:cantSplit/>
        </w:trPr>
        <w:tc>
          <w:tcPr>
            <w:tcW w:w="1560" w:type="dxa"/>
            <w:vMerge w:val="restart"/>
            <w:tcBorders>
              <w:top w:val="single" w:sz="2" w:space="0" w:color="C0C0C0"/>
              <w:left w:val="single" w:sz="2" w:space="0" w:color="C0C0C0"/>
              <w:right w:val="single" w:sz="2" w:space="0" w:color="C0C0C0"/>
            </w:tcBorders>
            <w:shd w:val="clear" w:color="auto" w:fill="auto"/>
            <w:vAlign w:val="center"/>
          </w:tcPr>
          <w:p w14:paraId="6D41C259" w14:textId="77777777" w:rsidR="00245909" w:rsidRPr="00443917" w:rsidRDefault="00245909" w:rsidP="003C37AA">
            <w:pPr>
              <w:keepLines/>
              <w:spacing w:before="40" w:after="40" w:line="240" w:lineRule="auto"/>
              <w:rPr>
                <w:rFonts w:ascii="Arial" w:hAnsi="Arial"/>
                <w:color w:val="000000"/>
                <w:sz w:val="16"/>
              </w:rPr>
            </w:pPr>
            <w:r>
              <w:rPr>
                <w:rFonts w:ascii="Arial" w:hAnsi="Arial"/>
                <w:b/>
                <w:color w:val="000000"/>
                <w:sz w:val="16"/>
              </w:rPr>
              <w:t>Effectiveness</w:t>
            </w:r>
          </w:p>
        </w:tc>
        <w:tc>
          <w:tcPr>
            <w:tcW w:w="8502" w:type="dxa"/>
            <w:tcBorders>
              <w:right w:val="single" w:sz="2" w:space="0" w:color="C0C0C0"/>
            </w:tcBorders>
            <w:shd w:val="clear" w:color="auto" w:fill="auto"/>
          </w:tcPr>
          <w:p w14:paraId="0EC9CFCA" w14:textId="77777777" w:rsidR="00245909" w:rsidRPr="00E32BA0" w:rsidRDefault="00245909" w:rsidP="003C37AA">
            <w:pPr>
              <w:pStyle w:val="Tabletext"/>
            </w:pPr>
            <w:r w:rsidRPr="001E6D19">
              <w:rPr>
                <w:rFonts w:eastAsia="Calibri"/>
              </w:rPr>
              <w:t xml:space="preserve">Are the </w:t>
            </w:r>
            <w:r>
              <w:rPr>
                <w:rFonts w:eastAsia="Calibri"/>
              </w:rPr>
              <w:t xml:space="preserve">programme </w:t>
            </w:r>
            <w:r w:rsidRPr="001E6D19">
              <w:rPr>
                <w:rFonts w:eastAsia="Calibri"/>
              </w:rPr>
              <w:t xml:space="preserve">objectives clear and to what extent do they allow for measurement of successful </w:t>
            </w:r>
            <w:r>
              <w:rPr>
                <w:rFonts w:eastAsia="Calibri"/>
              </w:rPr>
              <w:t xml:space="preserve">programme </w:t>
            </w:r>
            <w:r w:rsidRPr="001E6D19">
              <w:rPr>
                <w:rFonts w:eastAsia="Calibri"/>
              </w:rPr>
              <w:t xml:space="preserve">outcomes? </w:t>
            </w:r>
          </w:p>
        </w:tc>
      </w:tr>
      <w:tr w:rsidR="00245909" w:rsidRPr="00443917" w14:paraId="54A2940F" w14:textId="77777777" w:rsidTr="007B7EAC">
        <w:trPr>
          <w:cantSplit/>
        </w:trPr>
        <w:tc>
          <w:tcPr>
            <w:tcW w:w="1560" w:type="dxa"/>
            <w:vMerge/>
            <w:tcBorders>
              <w:left w:val="single" w:sz="2" w:space="0" w:color="C0C0C0"/>
              <w:right w:val="single" w:sz="2" w:space="0" w:color="C0C0C0"/>
            </w:tcBorders>
            <w:shd w:val="clear" w:color="auto" w:fill="auto"/>
          </w:tcPr>
          <w:p w14:paraId="65B82A67" w14:textId="77777777" w:rsidR="00245909" w:rsidRPr="00443917" w:rsidRDefault="00245909" w:rsidP="003C37AA">
            <w:pPr>
              <w:keepLines/>
              <w:spacing w:before="40" w:after="40" w:line="240" w:lineRule="auto"/>
              <w:rPr>
                <w:rFonts w:ascii="Arial" w:hAnsi="Arial"/>
                <w:b/>
                <w:color w:val="000000"/>
                <w:sz w:val="16"/>
              </w:rPr>
            </w:pPr>
          </w:p>
        </w:tc>
        <w:tc>
          <w:tcPr>
            <w:tcW w:w="8502" w:type="dxa"/>
            <w:tcBorders>
              <w:top w:val="single" w:sz="2" w:space="0" w:color="C0C0C0"/>
              <w:right w:val="single" w:sz="2" w:space="0" w:color="C0C0C0"/>
            </w:tcBorders>
            <w:shd w:val="clear" w:color="auto" w:fill="auto"/>
          </w:tcPr>
          <w:p w14:paraId="653F9E23" w14:textId="77777777" w:rsidR="00245909" w:rsidRDefault="00245909" w:rsidP="003C37AA">
            <w:pPr>
              <w:pStyle w:val="Tabletext"/>
            </w:pPr>
            <w:r w:rsidRPr="001E6D19">
              <w:rPr>
                <w:rFonts w:eastAsia="Calibri"/>
              </w:rPr>
              <w:t xml:space="preserve">To what extent is the </w:t>
            </w:r>
            <w:r>
              <w:rPr>
                <w:rFonts w:eastAsia="Calibri"/>
              </w:rPr>
              <w:t xml:space="preserve">programme </w:t>
            </w:r>
            <w:r w:rsidRPr="001E6D19">
              <w:rPr>
                <w:rFonts w:eastAsia="Calibri"/>
              </w:rPr>
              <w:t xml:space="preserve">effective in achieving the </w:t>
            </w:r>
            <w:r>
              <w:rPr>
                <w:rFonts w:eastAsia="Calibri"/>
              </w:rPr>
              <w:t xml:space="preserve">programme </w:t>
            </w:r>
            <w:r w:rsidRPr="001E6D19">
              <w:rPr>
                <w:rFonts w:eastAsia="Calibri"/>
              </w:rPr>
              <w:t>objectives?</w:t>
            </w:r>
          </w:p>
        </w:tc>
      </w:tr>
      <w:tr w:rsidR="00245909" w:rsidRPr="00443917" w14:paraId="19D08E92" w14:textId="77777777" w:rsidTr="007B7EAC">
        <w:trPr>
          <w:cantSplit/>
          <w:trHeight w:val="309"/>
        </w:trPr>
        <w:tc>
          <w:tcPr>
            <w:tcW w:w="1560" w:type="dxa"/>
            <w:vMerge/>
            <w:tcBorders>
              <w:left w:val="single" w:sz="2" w:space="0" w:color="C0C0C0"/>
              <w:right w:val="single" w:sz="2" w:space="0" w:color="C0C0C0"/>
            </w:tcBorders>
            <w:shd w:val="clear" w:color="auto" w:fill="auto"/>
          </w:tcPr>
          <w:p w14:paraId="7C16DA23" w14:textId="77777777" w:rsidR="00245909" w:rsidRPr="00443917" w:rsidRDefault="00245909" w:rsidP="003C37AA">
            <w:pPr>
              <w:keepLines/>
              <w:spacing w:before="40" w:after="40" w:line="240" w:lineRule="auto"/>
              <w:rPr>
                <w:rFonts w:ascii="Arial" w:hAnsi="Arial"/>
                <w:color w:val="000000"/>
                <w:sz w:val="16"/>
              </w:rPr>
            </w:pPr>
          </w:p>
        </w:tc>
        <w:tc>
          <w:tcPr>
            <w:tcW w:w="8502" w:type="dxa"/>
            <w:tcBorders>
              <w:right w:val="single" w:sz="2" w:space="0" w:color="C0C0C0"/>
            </w:tcBorders>
            <w:shd w:val="clear" w:color="auto" w:fill="auto"/>
          </w:tcPr>
          <w:p w14:paraId="13BB76FD" w14:textId="77777777" w:rsidR="00245909" w:rsidRPr="001E6D19" w:rsidRDefault="00245909" w:rsidP="003C37AA">
            <w:pPr>
              <w:pStyle w:val="Tabletext"/>
            </w:pPr>
            <w:r w:rsidRPr="001E6D19">
              <w:rPr>
                <w:rFonts w:eastAsia="Calibri"/>
              </w:rPr>
              <w:t xml:space="preserve">To what extent does the </w:t>
            </w:r>
            <w:r>
              <w:rPr>
                <w:rFonts w:eastAsia="Calibri"/>
              </w:rPr>
              <w:t xml:space="preserve">programme </w:t>
            </w:r>
            <w:r w:rsidRPr="001E6D19">
              <w:rPr>
                <w:rFonts w:eastAsia="Calibri"/>
              </w:rPr>
              <w:t xml:space="preserve">deliver value to the government and the community? </w:t>
            </w:r>
          </w:p>
        </w:tc>
      </w:tr>
      <w:tr w:rsidR="00245909" w:rsidRPr="00443917" w14:paraId="5A8E3084" w14:textId="77777777" w:rsidTr="007B7EAC">
        <w:trPr>
          <w:cantSplit/>
          <w:trHeight w:val="270"/>
        </w:trPr>
        <w:tc>
          <w:tcPr>
            <w:tcW w:w="1560" w:type="dxa"/>
            <w:vMerge/>
            <w:tcBorders>
              <w:left w:val="single" w:sz="2" w:space="0" w:color="C0C0C0"/>
              <w:right w:val="single" w:sz="2" w:space="0" w:color="C0C0C0"/>
            </w:tcBorders>
            <w:shd w:val="clear" w:color="auto" w:fill="auto"/>
          </w:tcPr>
          <w:p w14:paraId="70FA3587" w14:textId="77777777" w:rsidR="00245909" w:rsidRPr="00443917" w:rsidRDefault="00245909" w:rsidP="003C37AA">
            <w:pPr>
              <w:keepLines/>
              <w:spacing w:before="40" w:after="40" w:line="240" w:lineRule="auto"/>
              <w:rPr>
                <w:rFonts w:ascii="Arial" w:hAnsi="Arial"/>
                <w:color w:val="000000"/>
                <w:sz w:val="16"/>
              </w:rPr>
            </w:pPr>
          </w:p>
        </w:tc>
        <w:tc>
          <w:tcPr>
            <w:tcW w:w="8502" w:type="dxa"/>
            <w:tcBorders>
              <w:right w:val="single" w:sz="2" w:space="0" w:color="C0C0C0"/>
            </w:tcBorders>
            <w:shd w:val="clear" w:color="auto" w:fill="auto"/>
          </w:tcPr>
          <w:p w14:paraId="49E4689D" w14:textId="77777777" w:rsidR="00245909" w:rsidRPr="001E6D19" w:rsidRDefault="00245909" w:rsidP="003C37AA">
            <w:pPr>
              <w:pStyle w:val="Tabletext"/>
            </w:pPr>
            <w:r w:rsidRPr="001E6D19">
              <w:rPr>
                <w:rFonts w:eastAsia="Calibri"/>
              </w:rPr>
              <w:t xml:space="preserve">To what extent do </w:t>
            </w:r>
            <w:r>
              <w:rPr>
                <w:rFonts w:eastAsia="Calibri"/>
              </w:rPr>
              <w:t xml:space="preserve">programme </w:t>
            </w:r>
            <w:r w:rsidRPr="001E6D19">
              <w:rPr>
                <w:rFonts w:eastAsia="Calibri"/>
              </w:rPr>
              <w:t>clients value the services provided?</w:t>
            </w:r>
          </w:p>
        </w:tc>
      </w:tr>
      <w:tr w:rsidR="00245909" w:rsidRPr="00443917" w14:paraId="2BEAFCA9" w14:textId="77777777" w:rsidTr="007B7EAC">
        <w:trPr>
          <w:cantSplit/>
        </w:trPr>
        <w:tc>
          <w:tcPr>
            <w:tcW w:w="1560" w:type="dxa"/>
            <w:vMerge/>
            <w:tcBorders>
              <w:left w:val="single" w:sz="2" w:space="0" w:color="C0C0C0"/>
              <w:right w:val="single" w:sz="2" w:space="0" w:color="C0C0C0"/>
            </w:tcBorders>
            <w:shd w:val="clear" w:color="auto" w:fill="auto"/>
          </w:tcPr>
          <w:p w14:paraId="1BE81DDC" w14:textId="77777777" w:rsidR="00245909" w:rsidRPr="00443917" w:rsidRDefault="00245909" w:rsidP="003C37AA">
            <w:pPr>
              <w:keepLines/>
              <w:spacing w:before="40" w:after="40" w:line="240" w:lineRule="auto"/>
              <w:rPr>
                <w:rFonts w:ascii="Arial" w:hAnsi="Arial"/>
                <w:color w:val="000000"/>
                <w:sz w:val="16"/>
              </w:rPr>
            </w:pPr>
          </w:p>
        </w:tc>
        <w:tc>
          <w:tcPr>
            <w:tcW w:w="8502" w:type="dxa"/>
            <w:tcBorders>
              <w:right w:val="single" w:sz="2" w:space="0" w:color="C0C0C0"/>
            </w:tcBorders>
            <w:shd w:val="clear" w:color="auto" w:fill="auto"/>
          </w:tcPr>
          <w:p w14:paraId="32CE3599" w14:textId="77777777" w:rsidR="00245909" w:rsidRPr="001E6D19" w:rsidRDefault="00245909" w:rsidP="003C37AA">
            <w:pPr>
              <w:pStyle w:val="Tabletext"/>
            </w:pPr>
            <w:r w:rsidRPr="001E6D19">
              <w:rPr>
                <w:rFonts w:eastAsia="Calibri"/>
              </w:rPr>
              <w:t xml:space="preserve">What would be the effect of changing the number of hours of tuition on </w:t>
            </w:r>
            <w:r>
              <w:rPr>
                <w:rFonts w:eastAsia="Calibri"/>
              </w:rPr>
              <w:t xml:space="preserve">programme </w:t>
            </w:r>
            <w:r w:rsidRPr="001E6D19">
              <w:rPr>
                <w:rFonts w:eastAsia="Calibri"/>
              </w:rPr>
              <w:t xml:space="preserve">outcomes? </w:t>
            </w:r>
          </w:p>
        </w:tc>
      </w:tr>
      <w:tr w:rsidR="00245909" w:rsidRPr="00443917" w14:paraId="4B8F95E0" w14:textId="77777777" w:rsidTr="007B7EAC">
        <w:trPr>
          <w:cantSplit/>
        </w:trPr>
        <w:tc>
          <w:tcPr>
            <w:tcW w:w="1560" w:type="dxa"/>
            <w:vMerge/>
            <w:tcBorders>
              <w:left w:val="single" w:sz="2" w:space="0" w:color="C0C0C0"/>
              <w:right w:val="single" w:sz="2" w:space="0" w:color="C0C0C0"/>
            </w:tcBorders>
            <w:shd w:val="clear" w:color="auto" w:fill="auto"/>
          </w:tcPr>
          <w:p w14:paraId="70EB9D35" w14:textId="77777777" w:rsidR="00245909" w:rsidRPr="00443917" w:rsidRDefault="00245909" w:rsidP="003C37AA">
            <w:pPr>
              <w:keepLines/>
              <w:spacing w:before="40" w:after="40" w:line="240" w:lineRule="auto"/>
              <w:rPr>
                <w:rFonts w:ascii="Arial" w:hAnsi="Arial"/>
                <w:b/>
                <w:color w:val="000000"/>
                <w:sz w:val="16"/>
              </w:rPr>
            </w:pPr>
          </w:p>
        </w:tc>
        <w:tc>
          <w:tcPr>
            <w:tcW w:w="8502" w:type="dxa"/>
            <w:tcBorders>
              <w:top w:val="single" w:sz="2" w:space="0" w:color="C0C0C0"/>
              <w:right w:val="single" w:sz="2" w:space="0" w:color="C0C0C0"/>
            </w:tcBorders>
            <w:shd w:val="clear" w:color="auto" w:fill="auto"/>
          </w:tcPr>
          <w:p w14:paraId="19FAF4D7" w14:textId="77777777" w:rsidR="00245909" w:rsidRPr="001E6D19" w:rsidRDefault="00245909" w:rsidP="003C37AA">
            <w:pPr>
              <w:pStyle w:val="Tabletext"/>
            </w:pPr>
            <w:r w:rsidRPr="001E6D19">
              <w:rPr>
                <w:rFonts w:eastAsia="Calibri"/>
              </w:rPr>
              <w:t xml:space="preserve">What impact does tuition method have on </w:t>
            </w:r>
            <w:r>
              <w:rPr>
                <w:rFonts w:eastAsia="Calibri"/>
              </w:rPr>
              <w:t xml:space="preserve">programme </w:t>
            </w:r>
            <w:r w:rsidRPr="001E6D19">
              <w:rPr>
                <w:rFonts w:eastAsia="Calibri"/>
              </w:rPr>
              <w:t>outcomes and what method(s) are considered best practice in the provision of vocational training?</w:t>
            </w:r>
            <w:r>
              <w:rPr>
                <w:rFonts w:eastAsia="Calibri"/>
              </w:rPr>
              <w:t xml:space="preserve"> </w:t>
            </w:r>
          </w:p>
        </w:tc>
      </w:tr>
      <w:tr w:rsidR="00245909" w:rsidRPr="00443917" w14:paraId="6100C28A" w14:textId="77777777" w:rsidTr="007B7EAC">
        <w:trPr>
          <w:cantSplit/>
        </w:trPr>
        <w:tc>
          <w:tcPr>
            <w:tcW w:w="1560" w:type="dxa"/>
            <w:vMerge/>
            <w:tcBorders>
              <w:left w:val="single" w:sz="2" w:space="0" w:color="C0C0C0"/>
              <w:right w:val="single" w:sz="2" w:space="0" w:color="C0C0C0"/>
            </w:tcBorders>
            <w:shd w:val="clear" w:color="auto" w:fill="auto"/>
          </w:tcPr>
          <w:p w14:paraId="5E758DF0" w14:textId="77777777" w:rsidR="00245909" w:rsidRPr="00443917" w:rsidRDefault="00245909" w:rsidP="003C37AA">
            <w:pPr>
              <w:keepLines/>
              <w:spacing w:before="40" w:after="40" w:line="240" w:lineRule="auto"/>
              <w:rPr>
                <w:rFonts w:ascii="Arial" w:hAnsi="Arial"/>
                <w:b/>
                <w:color w:val="000000"/>
                <w:sz w:val="16"/>
              </w:rPr>
            </w:pPr>
          </w:p>
        </w:tc>
        <w:tc>
          <w:tcPr>
            <w:tcW w:w="8502" w:type="dxa"/>
            <w:tcBorders>
              <w:top w:val="single" w:sz="2" w:space="0" w:color="C0C0C0"/>
              <w:right w:val="single" w:sz="2" w:space="0" w:color="C0C0C0"/>
            </w:tcBorders>
            <w:shd w:val="clear" w:color="auto" w:fill="auto"/>
          </w:tcPr>
          <w:p w14:paraId="5ED308AD" w14:textId="669B3562" w:rsidR="00245909" w:rsidRPr="001E6D19" w:rsidRDefault="00245909" w:rsidP="00FD3600">
            <w:pPr>
              <w:pStyle w:val="Tabletext"/>
              <w:rPr>
                <w:rFonts w:eastAsia="Calibri"/>
              </w:rPr>
            </w:pPr>
            <w:r>
              <w:rPr>
                <w:rFonts w:eastAsia="Calibri"/>
              </w:rPr>
              <w:t>What is the take</w:t>
            </w:r>
            <w:r w:rsidR="00FD3600">
              <w:rPr>
                <w:rFonts w:eastAsia="Calibri"/>
              </w:rPr>
              <w:t xml:space="preserve"> </w:t>
            </w:r>
            <w:r>
              <w:rPr>
                <w:rFonts w:eastAsia="Calibri"/>
              </w:rPr>
              <w:t xml:space="preserve">up and completion rate of the </w:t>
            </w:r>
            <w:r w:rsidR="00BD5F48">
              <w:rPr>
                <w:rFonts w:eastAsia="Calibri"/>
              </w:rPr>
              <w:t>programme</w:t>
            </w:r>
            <w:r>
              <w:rPr>
                <w:rFonts w:eastAsia="Calibri"/>
              </w:rPr>
              <w:t>? What are the barriers to take</w:t>
            </w:r>
            <w:r w:rsidR="00FD3600">
              <w:rPr>
                <w:rFonts w:eastAsia="Calibri"/>
              </w:rPr>
              <w:t xml:space="preserve"> </w:t>
            </w:r>
            <w:r>
              <w:rPr>
                <w:rFonts w:eastAsia="Calibri"/>
              </w:rPr>
              <w:t>up and completion?</w:t>
            </w:r>
          </w:p>
        </w:tc>
      </w:tr>
      <w:tr w:rsidR="00134A56" w:rsidRPr="00443917" w14:paraId="68B92AEB" w14:textId="77777777" w:rsidTr="00134A56">
        <w:trPr>
          <w:cantSplit/>
        </w:trPr>
        <w:tc>
          <w:tcPr>
            <w:tcW w:w="1560" w:type="dxa"/>
            <w:vMerge w:val="restart"/>
            <w:tcBorders>
              <w:top w:val="single" w:sz="2" w:space="0" w:color="C0C0C0"/>
              <w:left w:val="single" w:sz="2" w:space="0" w:color="C0C0C0"/>
              <w:right w:val="single" w:sz="2" w:space="0" w:color="C0C0C0"/>
            </w:tcBorders>
            <w:shd w:val="clear" w:color="auto" w:fill="auto"/>
            <w:vAlign w:val="center"/>
          </w:tcPr>
          <w:p w14:paraId="75342556" w14:textId="77777777" w:rsidR="00134A56" w:rsidRPr="00443917" w:rsidRDefault="00134A56" w:rsidP="003C37AA">
            <w:pPr>
              <w:keepLines/>
              <w:spacing w:before="40" w:after="40" w:line="240" w:lineRule="auto"/>
              <w:rPr>
                <w:rFonts w:ascii="Arial" w:hAnsi="Arial"/>
                <w:color w:val="000000"/>
                <w:sz w:val="16"/>
              </w:rPr>
            </w:pPr>
            <w:r>
              <w:rPr>
                <w:rFonts w:ascii="Arial" w:hAnsi="Arial"/>
                <w:b/>
                <w:color w:val="000000"/>
                <w:sz w:val="16"/>
              </w:rPr>
              <w:t>Efficiency</w:t>
            </w:r>
          </w:p>
        </w:tc>
        <w:tc>
          <w:tcPr>
            <w:tcW w:w="8502" w:type="dxa"/>
            <w:tcBorders>
              <w:right w:val="single" w:sz="2" w:space="0" w:color="C0C0C0"/>
            </w:tcBorders>
            <w:shd w:val="clear" w:color="auto" w:fill="auto"/>
          </w:tcPr>
          <w:p w14:paraId="6C894216" w14:textId="77777777" w:rsidR="00134A56" w:rsidRPr="001A5AD7" w:rsidRDefault="00134A56" w:rsidP="003C37AA">
            <w:pPr>
              <w:pStyle w:val="Tabletext"/>
            </w:pPr>
            <w:r w:rsidRPr="001A5AD7">
              <w:t xml:space="preserve">Is the </w:t>
            </w:r>
            <w:r w:rsidR="00B05FA8">
              <w:t xml:space="preserve">programme </w:t>
            </w:r>
            <w:r w:rsidRPr="001A5AD7">
              <w:t>design and funding model a cost efficient means to deliver services to the identified client groups? What impact do multi-service training providers have?</w:t>
            </w:r>
          </w:p>
        </w:tc>
      </w:tr>
      <w:tr w:rsidR="00134A56" w:rsidRPr="00443917" w14:paraId="119D0AAA"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22B06CFD"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right w:val="single" w:sz="2" w:space="0" w:color="C0C0C0"/>
            </w:tcBorders>
            <w:shd w:val="clear" w:color="auto" w:fill="auto"/>
          </w:tcPr>
          <w:p w14:paraId="6551E3CD" w14:textId="77777777" w:rsidR="00134A56" w:rsidRPr="001A5AD7" w:rsidRDefault="00134A56" w:rsidP="003C37AA">
            <w:pPr>
              <w:pStyle w:val="Tabletext"/>
            </w:pPr>
            <w:r w:rsidRPr="001A5AD7">
              <w:t xml:space="preserve">Is there duplication of quality assurance monitoring undertaken under the </w:t>
            </w:r>
            <w:r w:rsidR="00B05FA8">
              <w:t xml:space="preserve">programme </w:t>
            </w:r>
            <w:r w:rsidRPr="001A5AD7">
              <w:t xml:space="preserve">by the Australian Skills Quality Authority (ASQA)? If so, what opportunities are there to streamline quality assurance monitoring arrangements? </w:t>
            </w:r>
          </w:p>
        </w:tc>
      </w:tr>
      <w:tr w:rsidR="00134A56" w:rsidRPr="00443917" w14:paraId="05D28DD1"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50AED168"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right w:val="single" w:sz="2" w:space="0" w:color="C0C0C0"/>
            </w:tcBorders>
            <w:shd w:val="clear" w:color="auto" w:fill="auto"/>
          </w:tcPr>
          <w:p w14:paraId="5DA45EB7" w14:textId="77777777" w:rsidR="00134A56" w:rsidRPr="001A5AD7" w:rsidRDefault="00134A56" w:rsidP="003C37AA">
            <w:pPr>
              <w:pStyle w:val="Tabletext"/>
            </w:pPr>
            <w:r w:rsidRPr="001A5AD7">
              <w:t>Are there improvements that could be made to deliver similar outcomes at a lesser cost?</w:t>
            </w:r>
          </w:p>
        </w:tc>
      </w:tr>
      <w:tr w:rsidR="00134A56" w:rsidRPr="00443917" w14:paraId="39BF73D7"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79973DA6"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right w:val="single" w:sz="2" w:space="0" w:color="C0C0C0"/>
            </w:tcBorders>
            <w:shd w:val="clear" w:color="auto" w:fill="auto"/>
          </w:tcPr>
          <w:p w14:paraId="3A250862" w14:textId="77777777" w:rsidR="00134A56" w:rsidRPr="001A5AD7" w:rsidRDefault="00134A56" w:rsidP="003C37AA">
            <w:pPr>
              <w:pStyle w:val="Tabletext"/>
            </w:pPr>
            <w:r w:rsidRPr="001A5AD7">
              <w:t xml:space="preserve">What cost effective changes could be made to </w:t>
            </w:r>
            <w:r w:rsidR="00B05FA8">
              <w:t xml:space="preserve">programme </w:t>
            </w:r>
            <w:r w:rsidRPr="001A5AD7">
              <w:t>design and delivery to improve outcomes?</w:t>
            </w:r>
          </w:p>
        </w:tc>
      </w:tr>
      <w:tr w:rsidR="00134A56" w:rsidRPr="00443917" w14:paraId="3D37C14C"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00CBC997"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right w:val="single" w:sz="2" w:space="0" w:color="C0C0C0"/>
            </w:tcBorders>
            <w:shd w:val="clear" w:color="auto" w:fill="auto"/>
          </w:tcPr>
          <w:p w14:paraId="2501481A" w14:textId="66E3F92F" w:rsidR="00134A56" w:rsidRPr="001A5AD7" w:rsidRDefault="00134A56" w:rsidP="003C37AA">
            <w:pPr>
              <w:pStyle w:val="Tabletext"/>
            </w:pPr>
            <w:r w:rsidRPr="001A5AD7">
              <w:t xml:space="preserve">What does it cost to deliver an outcome for a job seeker under this </w:t>
            </w:r>
            <w:r w:rsidR="00BD5F48">
              <w:t>programme</w:t>
            </w:r>
            <w:r w:rsidRPr="001A5AD7">
              <w:t>?</w:t>
            </w:r>
          </w:p>
        </w:tc>
      </w:tr>
      <w:tr w:rsidR="00134A56" w:rsidRPr="00443917" w14:paraId="5937DF60" w14:textId="77777777" w:rsidTr="00134A56">
        <w:trPr>
          <w:cantSplit/>
        </w:trPr>
        <w:tc>
          <w:tcPr>
            <w:tcW w:w="1560" w:type="dxa"/>
            <w:vMerge/>
            <w:tcBorders>
              <w:top w:val="single" w:sz="2" w:space="0" w:color="C0C0C0"/>
              <w:left w:val="single" w:sz="2" w:space="0" w:color="C0C0C0"/>
              <w:right w:val="single" w:sz="2" w:space="0" w:color="C0C0C0"/>
            </w:tcBorders>
            <w:shd w:val="clear" w:color="auto" w:fill="auto"/>
            <w:vAlign w:val="center"/>
          </w:tcPr>
          <w:p w14:paraId="1EFF5A43"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right w:val="single" w:sz="2" w:space="0" w:color="C0C0C0"/>
            </w:tcBorders>
            <w:shd w:val="clear" w:color="auto" w:fill="auto"/>
          </w:tcPr>
          <w:p w14:paraId="45368FCF" w14:textId="77777777" w:rsidR="00134A56" w:rsidRPr="001A5AD7" w:rsidRDefault="00134A56" w:rsidP="003C37AA">
            <w:pPr>
              <w:pStyle w:val="Tabletext"/>
            </w:pPr>
            <w:r w:rsidRPr="001A5AD7">
              <w:t>What are the applicable regulations and legislation in relation to participation requirements and client eligibility? Is there scope for reducing associated regulatory complexity and administrative burden for contracted services providers and the department?</w:t>
            </w:r>
          </w:p>
        </w:tc>
      </w:tr>
      <w:tr w:rsidR="00134A56" w:rsidRPr="00443917" w14:paraId="11A9E9E4" w14:textId="77777777" w:rsidTr="00134A56">
        <w:trPr>
          <w:cantSplit/>
        </w:trPr>
        <w:tc>
          <w:tcPr>
            <w:tcW w:w="1560" w:type="dxa"/>
            <w:vMerge w:val="restart"/>
            <w:tcBorders>
              <w:top w:val="single" w:sz="2" w:space="0" w:color="C0C0C0"/>
              <w:left w:val="single" w:sz="2" w:space="0" w:color="C0C0C0"/>
              <w:right w:val="single" w:sz="2" w:space="0" w:color="C0C0C0"/>
            </w:tcBorders>
            <w:shd w:val="clear" w:color="auto" w:fill="auto"/>
            <w:vAlign w:val="center"/>
          </w:tcPr>
          <w:p w14:paraId="4F814449" w14:textId="77777777" w:rsidR="00134A56" w:rsidRPr="00443917" w:rsidRDefault="00134A56" w:rsidP="003C37AA">
            <w:pPr>
              <w:keepLines/>
              <w:spacing w:before="40" w:after="40" w:line="240" w:lineRule="auto"/>
              <w:rPr>
                <w:rFonts w:ascii="Arial" w:hAnsi="Arial"/>
                <w:color w:val="000000"/>
                <w:sz w:val="16"/>
              </w:rPr>
            </w:pPr>
            <w:r>
              <w:rPr>
                <w:rFonts w:ascii="Arial" w:hAnsi="Arial"/>
                <w:b/>
                <w:color w:val="000000"/>
                <w:sz w:val="16"/>
              </w:rPr>
              <w:t>Performance assessment</w:t>
            </w:r>
          </w:p>
        </w:tc>
        <w:tc>
          <w:tcPr>
            <w:tcW w:w="8502" w:type="dxa"/>
            <w:tcBorders>
              <w:right w:val="single" w:sz="2" w:space="0" w:color="C0C0C0"/>
            </w:tcBorders>
            <w:shd w:val="clear" w:color="auto" w:fill="auto"/>
          </w:tcPr>
          <w:p w14:paraId="2D257944" w14:textId="77777777" w:rsidR="00134A56" w:rsidRPr="00087A3D" w:rsidRDefault="00134A56" w:rsidP="003C37AA">
            <w:pPr>
              <w:pStyle w:val="Tabletext"/>
            </w:pPr>
            <w:r w:rsidRPr="008A2CB2">
              <w:t xml:space="preserve">To what extent does the </w:t>
            </w:r>
            <w:r w:rsidR="00B05FA8">
              <w:t xml:space="preserve">programme </w:t>
            </w:r>
            <w:r w:rsidRPr="008A2CB2">
              <w:t xml:space="preserve">have sound data collection methodologies for measuring and reporting against </w:t>
            </w:r>
            <w:r w:rsidR="00B05FA8">
              <w:t xml:space="preserve">programme </w:t>
            </w:r>
            <w:r w:rsidRPr="008A2CB2">
              <w:t>objectives/KPIs and client outcomes?</w:t>
            </w:r>
          </w:p>
        </w:tc>
      </w:tr>
      <w:tr w:rsidR="00134A56" w:rsidRPr="00443917" w14:paraId="688E46B7" w14:textId="77777777" w:rsidTr="00134A56">
        <w:trPr>
          <w:cantSplit/>
        </w:trPr>
        <w:tc>
          <w:tcPr>
            <w:tcW w:w="1560" w:type="dxa"/>
            <w:vMerge/>
            <w:tcBorders>
              <w:left w:val="single" w:sz="2" w:space="0" w:color="C0C0C0"/>
              <w:right w:val="single" w:sz="2" w:space="0" w:color="C0C0C0"/>
            </w:tcBorders>
            <w:shd w:val="clear" w:color="auto" w:fill="auto"/>
            <w:vAlign w:val="center"/>
          </w:tcPr>
          <w:p w14:paraId="3E7E8E8B" w14:textId="77777777" w:rsidR="00134A56" w:rsidRDefault="00134A56" w:rsidP="003C37AA">
            <w:pPr>
              <w:keepLines/>
              <w:spacing w:before="40" w:after="40" w:line="240" w:lineRule="auto"/>
              <w:rPr>
                <w:rFonts w:ascii="Arial" w:hAnsi="Arial"/>
                <w:b/>
                <w:color w:val="000000"/>
                <w:sz w:val="16"/>
              </w:rPr>
            </w:pPr>
          </w:p>
        </w:tc>
        <w:tc>
          <w:tcPr>
            <w:tcW w:w="8502" w:type="dxa"/>
            <w:tcBorders>
              <w:right w:val="single" w:sz="2" w:space="0" w:color="C0C0C0"/>
            </w:tcBorders>
            <w:shd w:val="clear" w:color="auto" w:fill="auto"/>
          </w:tcPr>
          <w:p w14:paraId="182F459D" w14:textId="77777777" w:rsidR="00134A56" w:rsidRPr="00087A3D" w:rsidRDefault="00134A56" w:rsidP="003C37AA">
            <w:pPr>
              <w:pStyle w:val="Tabletext"/>
            </w:pPr>
            <w:r w:rsidRPr="008A2CB2">
              <w:t xml:space="preserve">Are monitoring protocols in place for the </w:t>
            </w:r>
            <w:r w:rsidR="00B05FA8">
              <w:t xml:space="preserve">programme </w:t>
            </w:r>
            <w:r w:rsidRPr="008A2CB2">
              <w:t xml:space="preserve">sufficient? </w:t>
            </w:r>
          </w:p>
        </w:tc>
      </w:tr>
      <w:tr w:rsidR="00134A56" w:rsidRPr="00443917" w14:paraId="19D8002F" w14:textId="77777777" w:rsidTr="00134A56">
        <w:trPr>
          <w:cantSplit/>
        </w:trPr>
        <w:tc>
          <w:tcPr>
            <w:tcW w:w="1560" w:type="dxa"/>
            <w:vMerge/>
            <w:tcBorders>
              <w:left w:val="single" w:sz="2" w:space="0" w:color="C0C0C0"/>
              <w:right w:val="single" w:sz="2" w:space="0" w:color="C0C0C0"/>
            </w:tcBorders>
            <w:shd w:val="clear" w:color="auto" w:fill="auto"/>
            <w:vAlign w:val="center"/>
          </w:tcPr>
          <w:p w14:paraId="353BBA8A" w14:textId="77777777" w:rsidR="00134A56" w:rsidRDefault="00134A56" w:rsidP="003C37AA">
            <w:pPr>
              <w:keepLines/>
              <w:spacing w:before="40" w:after="40" w:line="240" w:lineRule="auto"/>
              <w:rPr>
                <w:rFonts w:ascii="Arial" w:hAnsi="Arial"/>
                <w:b/>
                <w:color w:val="000000"/>
                <w:sz w:val="16"/>
              </w:rPr>
            </w:pPr>
          </w:p>
        </w:tc>
        <w:tc>
          <w:tcPr>
            <w:tcW w:w="8502" w:type="dxa"/>
            <w:tcBorders>
              <w:right w:val="single" w:sz="2" w:space="0" w:color="C0C0C0"/>
            </w:tcBorders>
            <w:shd w:val="clear" w:color="auto" w:fill="auto"/>
          </w:tcPr>
          <w:p w14:paraId="4F7014BA" w14:textId="77777777" w:rsidR="00134A56" w:rsidRPr="00087A3D" w:rsidRDefault="00134A56" w:rsidP="003C37AA">
            <w:pPr>
              <w:pStyle w:val="Tabletext"/>
            </w:pPr>
            <w:r w:rsidRPr="008A2CB2">
              <w:t xml:space="preserve">Are there opportunities for improved methods for measuring and reporting post </w:t>
            </w:r>
            <w:r w:rsidR="00B05FA8">
              <w:t xml:space="preserve">programme </w:t>
            </w:r>
            <w:r w:rsidRPr="008A2CB2">
              <w:t>outcomes data?</w:t>
            </w:r>
          </w:p>
        </w:tc>
      </w:tr>
      <w:tr w:rsidR="00134A56" w:rsidRPr="00443917" w14:paraId="58F1CE27" w14:textId="77777777" w:rsidTr="00134A56">
        <w:trPr>
          <w:cantSplit/>
        </w:trPr>
        <w:tc>
          <w:tcPr>
            <w:tcW w:w="1560" w:type="dxa"/>
            <w:vMerge/>
            <w:tcBorders>
              <w:left w:val="single" w:sz="2" w:space="0" w:color="C0C0C0"/>
              <w:bottom w:val="single" w:sz="2" w:space="0" w:color="999999"/>
              <w:right w:val="single" w:sz="2" w:space="0" w:color="C0C0C0"/>
            </w:tcBorders>
            <w:shd w:val="clear" w:color="auto" w:fill="auto"/>
            <w:vAlign w:val="center"/>
          </w:tcPr>
          <w:p w14:paraId="0E8BD209" w14:textId="77777777" w:rsidR="00134A56" w:rsidRPr="00443917" w:rsidRDefault="00134A56" w:rsidP="003C37AA">
            <w:pPr>
              <w:keepLines/>
              <w:spacing w:before="40" w:after="40" w:line="240" w:lineRule="auto"/>
              <w:rPr>
                <w:rFonts w:ascii="Arial" w:hAnsi="Arial"/>
                <w:color w:val="000000"/>
                <w:sz w:val="16"/>
              </w:rPr>
            </w:pPr>
          </w:p>
        </w:tc>
        <w:tc>
          <w:tcPr>
            <w:tcW w:w="8502" w:type="dxa"/>
            <w:tcBorders>
              <w:bottom w:val="single" w:sz="2" w:space="0" w:color="999999"/>
              <w:right w:val="single" w:sz="2" w:space="0" w:color="C0C0C0"/>
            </w:tcBorders>
            <w:shd w:val="clear" w:color="auto" w:fill="auto"/>
          </w:tcPr>
          <w:p w14:paraId="25055746" w14:textId="77777777" w:rsidR="00134A56" w:rsidRPr="00D76976" w:rsidRDefault="00134A56" w:rsidP="003C37AA">
            <w:pPr>
              <w:pStyle w:val="Tablebody"/>
            </w:pPr>
            <w:r w:rsidRPr="008A2CB2">
              <w:t xml:space="preserve">What Australian longitudinal data is available to support an examination of the relationship between clients participating in the </w:t>
            </w:r>
            <w:r w:rsidR="00B05FA8">
              <w:t xml:space="preserve">programme </w:t>
            </w:r>
            <w:r w:rsidRPr="008A2CB2">
              <w:t>and employment outcomes in the future?</w:t>
            </w:r>
          </w:p>
        </w:tc>
      </w:tr>
    </w:tbl>
    <w:p w14:paraId="4F7E9113" w14:textId="52DB5C76" w:rsidR="009B56B2" w:rsidRDefault="009B56B2" w:rsidP="009B56B2">
      <w:pPr>
        <w:pBdr>
          <w:bottom w:val="single" w:sz="2" w:space="1" w:color="C0C0C0"/>
        </w:pBdr>
        <w:spacing w:before="40" w:after="60" w:line="180" w:lineRule="exact"/>
        <w:ind w:left="-2551"/>
        <w:rPr>
          <w:rFonts w:ascii="Arial" w:hAnsi="Arial"/>
          <w:sz w:val="16"/>
          <w:szCs w:val="14"/>
          <w:lang w:eastAsia="en-AU"/>
        </w:rPr>
      </w:pPr>
      <w:r w:rsidRPr="00443917">
        <w:rPr>
          <w:rFonts w:ascii="Arial" w:hAnsi="Arial"/>
          <w:sz w:val="16"/>
          <w:szCs w:val="14"/>
          <w:lang w:eastAsia="en-AU"/>
        </w:rPr>
        <w:t>Source</w:t>
      </w:r>
      <w:r w:rsidRPr="00443917">
        <w:rPr>
          <w:rFonts w:ascii="Arial" w:hAnsi="Arial"/>
          <w:i/>
          <w:sz w:val="16"/>
          <w:szCs w:val="14"/>
          <w:lang w:eastAsia="en-AU"/>
        </w:rPr>
        <w:t xml:space="preserve">: </w:t>
      </w:r>
      <w:r>
        <w:rPr>
          <w:rFonts w:ascii="Arial" w:hAnsi="Arial"/>
          <w:sz w:val="16"/>
          <w:szCs w:val="14"/>
          <w:lang w:eastAsia="en-AU"/>
        </w:rPr>
        <w:t xml:space="preserve">RFQ documentation, </w:t>
      </w:r>
      <w:r w:rsidR="00E343CD">
        <w:rPr>
          <w:rFonts w:ascii="Arial" w:hAnsi="Arial"/>
          <w:sz w:val="16"/>
          <w:szCs w:val="14"/>
          <w:lang w:eastAsia="en-AU"/>
        </w:rPr>
        <w:t>AMEP and SEE Evaluation Project Plan</w:t>
      </w:r>
    </w:p>
    <w:p w14:paraId="459056C0" w14:textId="77777777" w:rsidR="00266CA5" w:rsidRDefault="00266CA5" w:rsidP="00757900">
      <w:pPr>
        <w:pStyle w:val="Heading2"/>
      </w:pPr>
      <w:bookmarkStart w:id="12" w:name="_Toc420065430"/>
      <w:r>
        <w:t>Evaluation method</w:t>
      </w:r>
      <w:bookmarkEnd w:id="12"/>
    </w:p>
    <w:p w14:paraId="4D5CDD37" w14:textId="519AD330" w:rsidR="00266CA5" w:rsidRDefault="00266CA5" w:rsidP="00266CA5">
      <w:pPr>
        <w:pStyle w:val="BodyText"/>
      </w:pPr>
      <w:r>
        <w:t xml:space="preserve">The </w:t>
      </w:r>
      <w:r w:rsidR="00147674">
        <w:t>SEE programme</w:t>
      </w:r>
      <w:r w:rsidR="006A28F2">
        <w:t xml:space="preserve"> </w:t>
      </w:r>
      <w:r>
        <w:t>evaluation method included:</w:t>
      </w:r>
    </w:p>
    <w:p w14:paraId="7E9F5C2C" w14:textId="2A963535" w:rsidR="00266CA5" w:rsidRDefault="00266CA5" w:rsidP="00266CA5">
      <w:pPr>
        <w:pStyle w:val="ListDash"/>
      </w:pPr>
      <w:r>
        <w:t>A programme document review, and national and international literature review</w:t>
      </w:r>
      <w:r w:rsidR="008952ED">
        <w:t>.</w:t>
      </w:r>
    </w:p>
    <w:p w14:paraId="429FF1FB" w14:textId="20BA6A8C" w:rsidR="00266CA5" w:rsidRDefault="00266CA5" w:rsidP="00266CA5">
      <w:pPr>
        <w:pStyle w:val="ListDash"/>
      </w:pPr>
      <w:r>
        <w:t>Programme data analysis</w:t>
      </w:r>
      <w:r w:rsidR="008952ED">
        <w:t>.</w:t>
      </w:r>
    </w:p>
    <w:p w14:paraId="0D12F68A" w14:textId="449009A2" w:rsidR="00266CA5" w:rsidRDefault="00266CA5" w:rsidP="00266CA5">
      <w:pPr>
        <w:pStyle w:val="ListDash"/>
      </w:pPr>
      <w:r>
        <w:t>Stakeholder consultations including interviews, focus groups, surveys and a public submission process</w:t>
      </w:r>
      <w:r w:rsidR="00725A9D">
        <w:t>.</w:t>
      </w:r>
    </w:p>
    <w:p w14:paraId="2B88C322" w14:textId="77777777" w:rsidR="00266CA5" w:rsidRPr="00485D4E" w:rsidRDefault="00266CA5" w:rsidP="00266CA5">
      <w:pPr>
        <w:pStyle w:val="Heading3"/>
        <w:numPr>
          <w:ilvl w:val="2"/>
          <w:numId w:val="20"/>
        </w:numPr>
      </w:pPr>
      <w:r w:rsidRPr="00485D4E">
        <w:t>Document and literature review</w:t>
      </w:r>
    </w:p>
    <w:p w14:paraId="38B2AF44" w14:textId="74006927" w:rsidR="00485D4E" w:rsidRDefault="00485D4E" w:rsidP="00485D4E">
      <w:pPr>
        <w:pStyle w:val="BodyText"/>
      </w:pPr>
      <w:r w:rsidRPr="00A90CB5">
        <w:t xml:space="preserve">The </w:t>
      </w:r>
      <w:r>
        <w:t xml:space="preserve">review analysed a range of internal documentation relevant to the programme’s design, delivery and quality assurance. Additional investigation was undertaken to check the accuracy of these documents and to identify other </w:t>
      </w:r>
      <w:r w:rsidR="008D0896">
        <w:t>Australian Government</w:t>
      </w:r>
      <w:r>
        <w:t xml:space="preserve"> or state and territory </w:t>
      </w:r>
      <w:r w:rsidR="008D0896">
        <w:t xml:space="preserve">government </w:t>
      </w:r>
      <w:r>
        <w:t>program</w:t>
      </w:r>
      <w:r w:rsidR="00BC3BE9">
        <w:t>me</w:t>
      </w:r>
      <w:r>
        <w:t xml:space="preserve">s relevant to </w:t>
      </w:r>
      <w:r w:rsidR="002A312B">
        <w:t xml:space="preserve">the </w:t>
      </w:r>
      <w:r w:rsidR="00147674">
        <w:t>SEE programme</w:t>
      </w:r>
      <w:r>
        <w:t>.</w:t>
      </w:r>
    </w:p>
    <w:p w14:paraId="39FA9B38" w14:textId="5141215A" w:rsidR="00485D4E" w:rsidRDefault="00485D4E" w:rsidP="00485D4E">
      <w:pPr>
        <w:pStyle w:val="BodyText"/>
      </w:pPr>
      <w:r>
        <w:t>On the basis of this material, the project team prepared an overview of the programme that encompassed programme guidelines, referral processes, eligibility criteria</w:t>
      </w:r>
      <w:r w:rsidR="00E2651E">
        <w:t>, SEE</w:t>
      </w:r>
      <w:r>
        <w:t xml:space="preserve"> provider agreements, programme funding model, implementation and reporting documents, and quality assurance and monitoring protocols.</w:t>
      </w:r>
    </w:p>
    <w:p w14:paraId="5E21932D" w14:textId="4ECEF700" w:rsidR="00485D4E" w:rsidRPr="00A90CB5" w:rsidRDefault="00485D4E" w:rsidP="00485D4E">
      <w:pPr>
        <w:pStyle w:val="BodyText"/>
      </w:pPr>
      <w:r>
        <w:t xml:space="preserve">This material informed analysis presented in later chapters of this report and was used </w:t>
      </w:r>
      <w:r w:rsidR="002B59BE">
        <w:t>in</w:t>
      </w:r>
      <w:r>
        <w:t xml:space="preserve"> the design of stakeholder consultation tools.</w:t>
      </w:r>
    </w:p>
    <w:p w14:paraId="49180B66" w14:textId="77777777" w:rsidR="00485D4E" w:rsidRDefault="00485D4E" w:rsidP="00485D4E">
      <w:pPr>
        <w:pStyle w:val="BodyText"/>
      </w:pPr>
      <w:r>
        <w:t>The literature review was based on a search strategy that identified a set of key research questions relevant to the programme and its evaluation. Appropriate search terms were derived from this question set and an initial search undertaken to confirm appropriate national and international search targets.</w:t>
      </w:r>
    </w:p>
    <w:p w14:paraId="3A7A3108" w14:textId="56593DB7" w:rsidR="00266CA5" w:rsidRDefault="00485D4E" w:rsidP="00266CA5">
      <w:pPr>
        <w:pStyle w:val="BodyText"/>
      </w:pPr>
      <w:r>
        <w:t xml:space="preserve">The search targets included national and international journal indexes and a hand search of selected and highly relevant journals. The search strategy extended to literature </w:t>
      </w:r>
      <w:r w:rsidR="00725A9D">
        <w:t xml:space="preserve">such as </w:t>
      </w:r>
      <w:r>
        <w:t>monographs and reports published by academic and research institutes, and reports commissioned by governments. Search terms and strategies were refined over three waves of searching and materials selected for inclusion in the literature review were entered into a bibliographic management database.</w:t>
      </w:r>
    </w:p>
    <w:p w14:paraId="7CB7C5BC" w14:textId="77777777" w:rsidR="00266CA5" w:rsidRDefault="00266CA5" w:rsidP="00266CA5">
      <w:pPr>
        <w:pStyle w:val="Heading3"/>
        <w:numPr>
          <w:ilvl w:val="2"/>
          <w:numId w:val="20"/>
        </w:numPr>
      </w:pPr>
      <w:r>
        <w:t>Programme data analysis</w:t>
      </w:r>
    </w:p>
    <w:p w14:paraId="3129C897" w14:textId="4AA94CF1" w:rsidR="00266CA5" w:rsidRDefault="00266CA5" w:rsidP="00266CA5">
      <w:pPr>
        <w:pStyle w:val="BodyText"/>
      </w:pPr>
      <w:r>
        <w:t xml:space="preserve">The </w:t>
      </w:r>
      <w:r w:rsidR="00147674">
        <w:t>SEE programme</w:t>
      </w:r>
      <w:r w:rsidR="006A28F2">
        <w:t xml:space="preserve"> </w:t>
      </w:r>
      <w:r>
        <w:t>evaluation draws on the following datasets:</w:t>
      </w:r>
    </w:p>
    <w:p w14:paraId="2B01161C" w14:textId="5BF98BD2" w:rsidR="00266CA5" w:rsidRDefault="00147674" w:rsidP="00266CA5">
      <w:pPr>
        <w:pStyle w:val="ListDash"/>
      </w:pPr>
      <w:r>
        <w:t>SEE programme</w:t>
      </w:r>
      <w:r w:rsidR="006A28F2">
        <w:t xml:space="preserve"> </w:t>
      </w:r>
      <w:r w:rsidR="00266CA5">
        <w:t xml:space="preserve">de-identified </w:t>
      </w:r>
      <w:r w:rsidR="00637779">
        <w:t>referral</w:t>
      </w:r>
      <w:r w:rsidR="00266CA5">
        <w:t>-level data</w:t>
      </w:r>
      <w:r w:rsidR="008952ED">
        <w:t>.</w:t>
      </w:r>
    </w:p>
    <w:p w14:paraId="63B9EE10" w14:textId="7B839812" w:rsidR="00266CA5" w:rsidRDefault="00266CA5" w:rsidP="00266CA5">
      <w:pPr>
        <w:pStyle w:val="ListDash"/>
      </w:pPr>
      <w:r>
        <w:t xml:space="preserve">De-identified </w:t>
      </w:r>
      <w:r w:rsidR="00147674">
        <w:t xml:space="preserve">SEE </w:t>
      </w:r>
      <w:r>
        <w:t>provider contract prices</w:t>
      </w:r>
      <w:r w:rsidR="008952ED">
        <w:t>.</w:t>
      </w:r>
    </w:p>
    <w:p w14:paraId="6EEEB6FF" w14:textId="026DE713" w:rsidR="00266CA5" w:rsidRDefault="00147674" w:rsidP="00266CA5">
      <w:pPr>
        <w:pStyle w:val="ListDash"/>
      </w:pPr>
      <w:r>
        <w:t>SEE programme</w:t>
      </w:r>
      <w:r w:rsidR="006A28F2">
        <w:t xml:space="preserve"> </w:t>
      </w:r>
      <w:r w:rsidR="00266CA5">
        <w:t>aggregate expenditure data</w:t>
      </w:r>
      <w:r w:rsidR="008952ED">
        <w:t>.</w:t>
      </w:r>
    </w:p>
    <w:p w14:paraId="56EF5703" w14:textId="17DF27AC" w:rsidR="00266CA5" w:rsidRDefault="00637779" w:rsidP="00266CA5">
      <w:pPr>
        <w:pStyle w:val="ListDash"/>
      </w:pPr>
      <w:r>
        <w:t>JSA client numbers, aggregated at the service delivery area</w:t>
      </w:r>
      <w:r w:rsidR="00421841">
        <w:t xml:space="preserve"> (SDA)</w:t>
      </w:r>
      <w:r>
        <w:t xml:space="preserve"> level</w:t>
      </w:r>
      <w:r w:rsidR="00A05BAC">
        <w:t>.</w:t>
      </w:r>
    </w:p>
    <w:p w14:paraId="36E9EA07" w14:textId="74E6A253" w:rsidR="00560A97" w:rsidRPr="00560A97" w:rsidRDefault="00560A97" w:rsidP="00560A97">
      <w:pPr>
        <w:pStyle w:val="BodyText"/>
      </w:pPr>
      <w:r>
        <w:t xml:space="preserve">The </w:t>
      </w:r>
      <w:r w:rsidR="00147674">
        <w:t>SEE programme</w:t>
      </w:r>
      <w:r w:rsidR="006A28F2">
        <w:t xml:space="preserve"> </w:t>
      </w:r>
      <w:r w:rsidRPr="00560A97">
        <w:t>de-identified referral-level data</w:t>
      </w:r>
      <w:r>
        <w:t xml:space="preserve"> </w:t>
      </w:r>
      <w:r w:rsidR="00A75125">
        <w:t>are</w:t>
      </w:r>
      <w:r>
        <w:t xml:space="preserve"> for referrals that took place in the four financial years: 2010-11, 2011-12, 2012-13 and 2013-14. </w:t>
      </w:r>
      <w:r w:rsidR="00F10C0B">
        <w:t xml:space="preserve">While the data </w:t>
      </w:r>
      <w:r w:rsidR="00066F56">
        <w:t xml:space="preserve">are </w:t>
      </w:r>
      <w:r w:rsidR="00F10C0B">
        <w:t xml:space="preserve">at the referral level, unique client identification </w:t>
      </w:r>
      <w:r w:rsidR="00725A9D">
        <w:t xml:space="preserve">also </w:t>
      </w:r>
      <w:r w:rsidR="00F10C0B">
        <w:t>allows analysis to be undertaken at the client level.</w:t>
      </w:r>
      <w:r w:rsidR="00E71C69">
        <w:t xml:space="preserve"> Due to the small number of years for which data are available, care must be taken when interpreting time series analysis.</w:t>
      </w:r>
    </w:p>
    <w:p w14:paraId="46C3E383" w14:textId="10C5ABAA" w:rsidR="00560A97" w:rsidRPr="00560A97" w:rsidRDefault="00560A97" w:rsidP="00F10C0B">
      <w:pPr>
        <w:pStyle w:val="BodyText"/>
      </w:pPr>
      <w:r>
        <w:t>The d</w:t>
      </w:r>
      <w:r w:rsidRPr="00560A97">
        <w:t xml:space="preserve">e-identified </w:t>
      </w:r>
      <w:r w:rsidR="00147674">
        <w:t xml:space="preserve">SEE </w:t>
      </w:r>
      <w:r>
        <w:t xml:space="preserve">provider contract prices </w:t>
      </w:r>
      <w:r w:rsidR="00A75125">
        <w:t>are</w:t>
      </w:r>
      <w:r>
        <w:t xml:space="preserve"> for the 2010-13 contact and the 2013-16 contract. </w:t>
      </w:r>
      <w:r w:rsidR="00F10C0B">
        <w:t>In this report, prices are in 201</w:t>
      </w:r>
      <w:r w:rsidR="00976596">
        <w:t>2</w:t>
      </w:r>
      <w:r w:rsidR="00F10C0B">
        <w:t>-1</w:t>
      </w:r>
      <w:r w:rsidR="00976596">
        <w:t>3</w:t>
      </w:r>
      <w:r w:rsidR="00F10C0B">
        <w:t xml:space="preserve"> dollars</w:t>
      </w:r>
      <w:r w:rsidR="00976596">
        <w:t xml:space="preserve"> to aid comparisons with other programmes</w:t>
      </w:r>
      <w:r w:rsidR="00F10C0B">
        <w:t>. Nominal prices are adjusted using the ABS Ge</w:t>
      </w:r>
      <w:r w:rsidR="00F10C0B" w:rsidRPr="0069443D">
        <w:t>neral</w:t>
      </w:r>
      <w:r w:rsidR="00F10C0B">
        <w:t xml:space="preserve"> </w:t>
      </w:r>
      <w:r w:rsidR="00F10C0B" w:rsidRPr="0069443D">
        <w:t>Government</w:t>
      </w:r>
      <w:r w:rsidR="00F10C0B">
        <w:t xml:space="preserve"> </w:t>
      </w:r>
      <w:r w:rsidR="00F10C0B" w:rsidRPr="0069443D">
        <w:t>Final</w:t>
      </w:r>
      <w:r w:rsidR="00F10C0B">
        <w:t xml:space="preserve"> </w:t>
      </w:r>
      <w:r w:rsidR="00F10C0B" w:rsidRPr="0069443D">
        <w:t>Consumption</w:t>
      </w:r>
      <w:r w:rsidR="00F10C0B">
        <w:t xml:space="preserve"> Expenditure </w:t>
      </w:r>
      <w:r w:rsidR="00F10C0B" w:rsidRPr="0069443D">
        <w:t>Chain</w:t>
      </w:r>
      <w:r w:rsidR="00F10C0B">
        <w:t xml:space="preserve"> P</w:t>
      </w:r>
      <w:r w:rsidR="00F10C0B" w:rsidRPr="0069443D">
        <w:t>rice</w:t>
      </w:r>
      <w:r w:rsidR="00F10C0B">
        <w:t xml:space="preserve"> </w:t>
      </w:r>
      <w:r w:rsidR="00F10C0B" w:rsidRPr="0069443D">
        <w:t>Index</w:t>
      </w:r>
      <w:r w:rsidR="00F10C0B">
        <w:t xml:space="preserve"> and the 2014-15 MYEFO CPI inflation forecasts. </w:t>
      </w:r>
    </w:p>
    <w:p w14:paraId="63FBF1AD" w14:textId="0A57414C" w:rsidR="00560A97" w:rsidRPr="00560A97" w:rsidRDefault="00A75125" w:rsidP="00976596">
      <w:pPr>
        <w:pStyle w:val="BodyText"/>
      </w:pPr>
      <w:r>
        <w:t xml:space="preserve">The </w:t>
      </w:r>
      <w:r w:rsidR="00147674">
        <w:t>SEE programme</w:t>
      </w:r>
      <w:r w:rsidR="006A28F2">
        <w:t xml:space="preserve"> </w:t>
      </w:r>
      <w:r w:rsidR="00560A97" w:rsidRPr="00560A97">
        <w:t>aggregate expenditure data</w:t>
      </w:r>
      <w:r w:rsidR="00976596">
        <w:t xml:space="preserve"> are for three financial years: 2011-12, 2012-13 and 2013-14. Appropriations data are for 2014-15, 2015-16, 2016-17 and 2017-18 and are taken from the 2014-15 Budget and the 2014-15 MYEFO. In this report, expenditure is in 2013-14 dollars. Nominal prices are adjusted using the ABS Ge</w:t>
      </w:r>
      <w:r w:rsidR="00976596" w:rsidRPr="0069443D">
        <w:t>neral</w:t>
      </w:r>
      <w:r w:rsidR="00976596">
        <w:t xml:space="preserve"> </w:t>
      </w:r>
      <w:r w:rsidR="00976596" w:rsidRPr="0069443D">
        <w:t>Government</w:t>
      </w:r>
      <w:r w:rsidR="00976596">
        <w:t xml:space="preserve"> </w:t>
      </w:r>
      <w:r w:rsidR="00976596" w:rsidRPr="0069443D">
        <w:t>Final</w:t>
      </w:r>
      <w:r w:rsidR="00976596">
        <w:t xml:space="preserve"> </w:t>
      </w:r>
      <w:r w:rsidR="00976596" w:rsidRPr="0069443D">
        <w:t>Consumption</w:t>
      </w:r>
      <w:r w:rsidR="00976596">
        <w:t xml:space="preserve"> Expenditure </w:t>
      </w:r>
      <w:r w:rsidR="00976596" w:rsidRPr="0069443D">
        <w:t>Chain</w:t>
      </w:r>
      <w:r w:rsidR="00976596">
        <w:t xml:space="preserve"> P</w:t>
      </w:r>
      <w:r w:rsidR="00976596" w:rsidRPr="0069443D">
        <w:t>rice</w:t>
      </w:r>
      <w:r w:rsidR="00976596">
        <w:t xml:space="preserve"> </w:t>
      </w:r>
      <w:r w:rsidR="00976596" w:rsidRPr="0069443D">
        <w:t>Index</w:t>
      </w:r>
      <w:r w:rsidR="00976596">
        <w:t xml:space="preserve"> and the 2014-15 MYEFO CPI inflation forecasts.</w:t>
      </w:r>
    </w:p>
    <w:p w14:paraId="537378ED" w14:textId="0159463B" w:rsidR="00560A97" w:rsidRPr="006F7A4E" w:rsidRDefault="00474593" w:rsidP="00266CA5">
      <w:pPr>
        <w:pStyle w:val="BodyText"/>
      </w:pPr>
      <w:r>
        <w:t xml:space="preserve">The </w:t>
      </w:r>
      <w:r w:rsidR="00560A97" w:rsidRPr="00560A97">
        <w:t>JSA client numbers</w:t>
      </w:r>
      <w:r>
        <w:t xml:space="preserve"> data</w:t>
      </w:r>
      <w:r w:rsidR="00560A97" w:rsidRPr="00560A97">
        <w:t xml:space="preserve">, aggregated at the </w:t>
      </w:r>
      <w:r w:rsidR="00421841">
        <w:t>SDA</w:t>
      </w:r>
      <w:r w:rsidR="00560A97" w:rsidRPr="00560A97">
        <w:t xml:space="preserve"> level</w:t>
      </w:r>
      <w:r>
        <w:t>, are for 30 September 2014.</w:t>
      </w:r>
    </w:p>
    <w:p w14:paraId="0FF2F856" w14:textId="77777777" w:rsidR="00266CA5" w:rsidRPr="00FD676B" w:rsidRDefault="00266CA5" w:rsidP="00096F64">
      <w:pPr>
        <w:pStyle w:val="Heading3"/>
        <w:keepLines/>
        <w:numPr>
          <w:ilvl w:val="2"/>
          <w:numId w:val="20"/>
        </w:numPr>
      </w:pPr>
      <w:r w:rsidRPr="00FD676B">
        <w:t>Stakeholder consultations</w:t>
      </w:r>
    </w:p>
    <w:p w14:paraId="772DC5B8" w14:textId="48F68209" w:rsidR="000E6099" w:rsidRPr="000E6099" w:rsidRDefault="000E6099" w:rsidP="00096F64">
      <w:pPr>
        <w:keepNext/>
        <w:keepLines/>
        <w:spacing w:line="280" w:lineRule="exact"/>
        <w:rPr>
          <w:sz w:val="22"/>
          <w:szCs w:val="22"/>
          <w:lang w:eastAsia="en-AU"/>
        </w:rPr>
      </w:pPr>
      <w:r w:rsidRPr="000E6099">
        <w:rPr>
          <w:sz w:val="22"/>
          <w:szCs w:val="22"/>
          <w:lang w:eastAsia="en-AU"/>
        </w:rPr>
        <w:t>The stakeholder consultations</w:t>
      </w:r>
      <w:r w:rsidR="00725A9D">
        <w:rPr>
          <w:sz w:val="22"/>
          <w:szCs w:val="22"/>
          <w:lang w:eastAsia="en-AU"/>
        </w:rPr>
        <w:t xml:space="preserve"> for this evaluation</w:t>
      </w:r>
      <w:r w:rsidRPr="000E6099">
        <w:rPr>
          <w:sz w:val="22"/>
          <w:szCs w:val="22"/>
          <w:lang w:eastAsia="en-AU"/>
        </w:rPr>
        <w:t xml:space="preserve"> had four parts:</w:t>
      </w:r>
    </w:p>
    <w:p w14:paraId="320712D0" w14:textId="4941FCFB" w:rsidR="000E6099" w:rsidRPr="000E6099" w:rsidRDefault="008952ED" w:rsidP="00096F64">
      <w:pPr>
        <w:pStyle w:val="ListDash"/>
        <w:keepNext/>
        <w:keepLines/>
      </w:pPr>
      <w:r w:rsidRPr="000E6099">
        <w:t>interviews</w:t>
      </w:r>
    </w:p>
    <w:p w14:paraId="54698FDA" w14:textId="0F58D0F0" w:rsidR="000E6099" w:rsidRPr="000E6099" w:rsidRDefault="008952ED" w:rsidP="00096F64">
      <w:pPr>
        <w:pStyle w:val="ListDash"/>
        <w:keepNext/>
        <w:keepLines/>
      </w:pPr>
      <w:r w:rsidRPr="000E6099">
        <w:t>focus groups with clients</w:t>
      </w:r>
    </w:p>
    <w:p w14:paraId="70C07350" w14:textId="702DBAB0" w:rsidR="000E6099" w:rsidRPr="000E6099" w:rsidRDefault="008952ED" w:rsidP="00096F64">
      <w:pPr>
        <w:pStyle w:val="ListDash"/>
        <w:keepNext/>
        <w:keepLines/>
      </w:pPr>
      <w:r w:rsidRPr="000E6099">
        <w:t>survey</w:t>
      </w:r>
      <w:r>
        <w:t>s</w:t>
      </w:r>
    </w:p>
    <w:p w14:paraId="2214AB17" w14:textId="03614AFE" w:rsidR="000E6099" w:rsidRPr="000E6099" w:rsidRDefault="008952ED" w:rsidP="00D84D8F">
      <w:pPr>
        <w:pStyle w:val="ListDash"/>
      </w:pPr>
      <w:r>
        <w:t>a p</w:t>
      </w:r>
      <w:r w:rsidRPr="000E6099">
        <w:t>ublic submission process</w:t>
      </w:r>
      <w:r>
        <w:t>.</w:t>
      </w:r>
    </w:p>
    <w:p w14:paraId="0DF461E8" w14:textId="015EDB2C" w:rsidR="000E6099" w:rsidRPr="000E6099" w:rsidRDefault="000E6099" w:rsidP="000E6099">
      <w:pPr>
        <w:spacing w:line="280" w:lineRule="exact"/>
        <w:rPr>
          <w:sz w:val="22"/>
          <w:szCs w:val="22"/>
          <w:lang w:eastAsia="en-AU"/>
        </w:rPr>
      </w:pPr>
      <w:r w:rsidRPr="000E6099">
        <w:rPr>
          <w:sz w:val="22"/>
          <w:szCs w:val="22"/>
          <w:lang w:eastAsia="en-AU"/>
        </w:rPr>
        <w:t xml:space="preserve">The stakeholder consultations component of the evaluation provided valuable insights into the design of the </w:t>
      </w:r>
      <w:r w:rsidR="00147674">
        <w:rPr>
          <w:sz w:val="22"/>
          <w:szCs w:val="22"/>
          <w:lang w:eastAsia="en-AU"/>
        </w:rPr>
        <w:t>SEE programme</w:t>
      </w:r>
      <w:r w:rsidRPr="000E6099">
        <w:rPr>
          <w:sz w:val="22"/>
          <w:szCs w:val="22"/>
          <w:lang w:eastAsia="en-AU"/>
        </w:rPr>
        <w:t xml:space="preserve">, training under the </w:t>
      </w:r>
      <w:r w:rsidR="00147674">
        <w:rPr>
          <w:sz w:val="22"/>
          <w:szCs w:val="22"/>
          <w:lang w:eastAsia="en-AU"/>
        </w:rPr>
        <w:t>SEE programme</w:t>
      </w:r>
      <w:r w:rsidRPr="000E6099">
        <w:rPr>
          <w:sz w:val="22"/>
          <w:szCs w:val="22"/>
          <w:lang w:eastAsia="en-AU"/>
        </w:rPr>
        <w:t xml:space="preserve">, the effectiveness of the programme, funding and efficiency, performance assessment and reporting, and transition from the AMEP to the </w:t>
      </w:r>
      <w:r w:rsidR="00147674">
        <w:rPr>
          <w:sz w:val="22"/>
          <w:szCs w:val="22"/>
          <w:lang w:eastAsia="en-AU"/>
        </w:rPr>
        <w:t>SEE programme</w:t>
      </w:r>
      <w:r w:rsidR="006A28F2">
        <w:rPr>
          <w:sz w:val="22"/>
          <w:szCs w:val="22"/>
          <w:lang w:eastAsia="en-AU"/>
        </w:rPr>
        <w:t xml:space="preserve"> </w:t>
      </w:r>
      <w:r w:rsidRPr="000E6099">
        <w:rPr>
          <w:sz w:val="22"/>
          <w:szCs w:val="22"/>
          <w:lang w:eastAsia="en-AU"/>
        </w:rPr>
        <w:t>or other types of training.</w:t>
      </w:r>
    </w:p>
    <w:p w14:paraId="735CBEDF" w14:textId="77777777" w:rsidR="000E6099" w:rsidRPr="000E6099" w:rsidRDefault="000E6099" w:rsidP="000E6099">
      <w:pPr>
        <w:keepNext/>
        <w:numPr>
          <w:ilvl w:val="4"/>
          <w:numId w:val="29"/>
        </w:numPr>
        <w:spacing w:before="300" w:after="20" w:line="280" w:lineRule="exact"/>
        <w:outlineLvl w:val="4"/>
        <w:rPr>
          <w:rFonts w:asciiTheme="majorHAnsi" w:hAnsiTheme="majorHAnsi"/>
          <w:b/>
          <w:i/>
          <w:color w:val="9757A6"/>
          <w:sz w:val="20"/>
          <w:szCs w:val="22"/>
          <w:lang w:eastAsia="en-AU"/>
        </w:rPr>
      </w:pPr>
      <w:r w:rsidRPr="000E6099">
        <w:rPr>
          <w:rFonts w:asciiTheme="majorHAnsi" w:hAnsiTheme="majorHAnsi"/>
          <w:b/>
          <w:i/>
          <w:color w:val="9757A6"/>
          <w:sz w:val="20"/>
          <w:szCs w:val="22"/>
          <w:lang w:eastAsia="en-AU"/>
        </w:rPr>
        <w:t>Interviews</w:t>
      </w:r>
    </w:p>
    <w:p w14:paraId="481356B0" w14:textId="77777777" w:rsidR="000E6099" w:rsidRPr="000E6099" w:rsidRDefault="000E6099" w:rsidP="000E6099">
      <w:pPr>
        <w:spacing w:line="280" w:lineRule="exact"/>
        <w:rPr>
          <w:sz w:val="22"/>
          <w:szCs w:val="22"/>
          <w:lang w:eastAsia="en-AU"/>
        </w:rPr>
      </w:pPr>
      <w:r w:rsidRPr="000E6099">
        <w:rPr>
          <w:sz w:val="22"/>
          <w:szCs w:val="22"/>
          <w:lang w:eastAsia="en-AU"/>
        </w:rPr>
        <w:t xml:space="preserve">Interviews were conducted nation-wide in the capital city of each state and territory, and in a regional town in all states and territories apart from the ACT. In NSW, interviews were conducted in two regional towns. </w:t>
      </w:r>
    </w:p>
    <w:p w14:paraId="28F18A83" w14:textId="77777777" w:rsidR="000E6099" w:rsidRPr="000E6099" w:rsidRDefault="000E6099" w:rsidP="000E6099">
      <w:pPr>
        <w:spacing w:line="280" w:lineRule="exact"/>
        <w:rPr>
          <w:sz w:val="22"/>
          <w:szCs w:val="22"/>
          <w:lang w:eastAsia="en-AU"/>
        </w:rPr>
      </w:pPr>
      <w:r w:rsidRPr="000E6099">
        <w:rPr>
          <w:sz w:val="22"/>
          <w:szCs w:val="22"/>
          <w:lang w:eastAsia="en-AU"/>
        </w:rPr>
        <w:t>A discussion guide was developed which provided background on the evaluation for interviewees. It also included questions to guide and ensure consistency across the interviews.</w:t>
      </w:r>
    </w:p>
    <w:p w14:paraId="555B7EA2" w14:textId="55A0AF0E" w:rsidR="000E6099" w:rsidRPr="000E6099" w:rsidRDefault="000E6099" w:rsidP="000E6099">
      <w:pPr>
        <w:spacing w:line="280" w:lineRule="exact"/>
        <w:rPr>
          <w:sz w:val="22"/>
          <w:szCs w:val="22"/>
          <w:lang w:eastAsia="en-AU"/>
        </w:rPr>
      </w:pPr>
      <w:r w:rsidRPr="000E6099">
        <w:rPr>
          <w:sz w:val="22"/>
          <w:szCs w:val="22"/>
          <w:lang w:eastAsia="en-AU"/>
        </w:rPr>
        <w:t xml:space="preserve">A total of </w:t>
      </w:r>
      <w:r w:rsidR="00943BF8">
        <w:rPr>
          <w:sz w:val="22"/>
          <w:szCs w:val="22"/>
          <w:lang w:eastAsia="en-AU"/>
        </w:rPr>
        <w:t>50</w:t>
      </w:r>
      <w:r w:rsidRPr="000E6099">
        <w:rPr>
          <w:sz w:val="22"/>
          <w:szCs w:val="22"/>
          <w:lang w:eastAsia="en-AU"/>
        </w:rPr>
        <w:t xml:space="preserve"> interviews with </w:t>
      </w:r>
      <w:r w:rsidR="00147674">
        <w:rPr>
          <w:sz w:val="22"/>
          <w:szCs w:val="22"/>
          <w:lang w:eastAsia="en-AU"/>
        </w:rPr>
        <w:t>SEE programme</w:t>
      </w:r>
      <w:r w:rsidR="006A28F2">
        <w:rPr>
          <w:sz w:val="22"/>
          <w:szCs w:val="22"/>
          <w:lang w:eastAsia="en-AU"/>
        </w:rPr>
        <w:t xml:space="preserve"> </w:t>
      </w:r>
      <w:r>
        <w:rPr>
          <w:sz w:val="22"/>
          <w:szCs w:val="22"/>
          <w:lang w:eastAsia="en-AU"/>
        </w:rPr>
        <w:t xml:space="preserve">stakeholders took place – </w:t>
      </w:r>
      <w:r w:rsidR="00943BF8">
        <w:rPr>
          <w:sz w:val="22"/>
          <w:szCs w:val="22"/>
          <w:lang w:eastAsia="en-AU"/>
        </w:rPr>
        <w:t>44</w:t>
      </w:r>
      <w:r w:rsidRPr="000E6099">
        <w:rPr>
          <w:sz w:val="22"/>
          <w:szCs w:val="22"/>
          <w:lang w:eastAsia="en-AU"/>
        </w:rPr>
        <w:t xml:space="preserve"> </w:t>
      </w:r>
      <w:r>
        <w:rPr>
          <w:sz w:val="22"/>
          <w:szCs w:val="22"/>
          <w:lang w:eastAsia="en-AU"/>
        </w:rPr>
        <w:t>were face</w:t>
      </w:r>
      <w:r w:rsidR="00CE7B4D">
        <w:rPr>
          <w:sz w:val="22"/>
          <w:szCs w:val="22"/>
          <w:lang w:eastAsia="en-AU"/>
        </w:rPr>
        <w:noBreakHyphen/>
      </w:r>
      <w:r>
        <w:rPr>
          <w:sz w:val="22"/>
          <w:szCs w:val="22"/>
          <w:lang w:eastAsia="en-AU"/>
        </w:rPr>
        <w:t>to</w:t>
      </w:r>
      <w:r w:rsidR="00CE7B4D">
        <w:rPr>
          <w:sz w:val="22"/>
          <w:szCs w:val="22"/>
          <w:lang w:eastAsia="en-AU"/>
        </w:rPr>
        <w:noBreakHyphen/>
      </w:r>
      <w:r>
        <w:rPr>
          <w:sz w:val="22"/>
          <w:szCs w:val="22"/>
          <w:lang w:eastAsia="en-AU"/>
        </w:rPr>
        <w:t xml:space="preserve">face and </w:t>
      </w:r>
      <w:r w:rsidR="00943BF8">
        <w:rPr>
          <w:sz w:val="22"/>
          <w:szCs w:val="22"/>
          <w:lang w:eastAsia="en-AU"/>
        </w:rPr>
        <w:t>six</w:t>
      </w:r>
      <w:r w:rsidRPr="000E6099">
        <w:rPr>
          <w:sz w:val="22"/>
          <w:szCs w:val="22"/>
          <w:lang w:eastAsia="en-AU"/>
        </w:rPr>
        <w:t xml:space="preserve"> </w:t>
      </w:r>
      <w:r>
        <w:rPr>
          <w:sz w:val="22"/>
          <w:szCs w:val="22"/>
          <w:lang w:eastAsia="en-AU"/>
        </w:rPr>
        <w:t>were conducted via telephone</w:t>
      </w:r>
      <w:r w:rsidRPr="000E6099">
        <w:rPr>
          <w:sz w:val="22"/>
          <w:szCs w:val="22"/>
          <w:lang w:eastAsia="en-AU"/>
        </w:rPr>
        <w:t xml:space="preserve">. In addition, </w:t>
      </w:r>
      <w:r>
        <w:rPr>
          <w:sz w:val="22"/>
          <w:szCs w:val="22"/>
          <w:lang w:eastAsia="en-AU"/>
        </w:rPr>
        <w:t>eight</w:t>
      </w:r>
      <w:r w:rsidRPr="000E6099">
        <w:rPr>
          <w:sz w:val="22"/>
          <w:szCs w:val="22"/>
          <w:lang w:eastAsia="en-AU"/>
        </w:rPr>
        <w:t xml:space="preserve"> interviews were conducted with providers of both the </w:t>
      </w:r>
      <w:r w:rsidR="00147674">
        <w:rPr>
          <w:sz w:val="22"/>
          <w:szCs w:val="22"/>
          <w:lang w:eastAsia="en-AU"/>
        </w:rPr>
        <w:t>SEE programme</w:t>
      </w:r>
      <w:r w:rsidR="006A28F2">
        <w:rPr>
          <w:sz w:val="22"/>
          <w:szCs w:val="22"/>
          <w:lang w:eastAsia="en-AU"/>
        </w:rPr>
        <w:t xml:space="preserve"> </w:t>
      </w:r>
      <w:r>
        <w:rPr>
          <w:sz w:val="22"/>
          <w:szCs w:val="22"/>
          <w:lang w:eastAsia="en-AU"/>
        </w:rPr>
        <w:t xml:space="preserve">and </w:t>
      </w:r>
      <w:r w:rsidR="00096F64">
        <w:rPr>
          <w:sz w:val="22"/>
          <w:szCs w:val="22"/>
          <w:lang w:eastAsia="en-AU"/>
        </w:rPr>
        <w:t xml:space="preserve">the </w:t>
      </w:r>
      <w:r w:rsidRPr="000E6099">
        <w:rPr>
          <w:sz w:val="22"/>
          <w:szCs w:val="22"/>
          <w:lang w:eastAsia="en-AU"/>
        </w:rPr>
        <w:t xml:space="preserve">AMEP. </w:t>
      </w:r>
    </w:p>
    <w:p w14:paraId="3215EBC9" w14:textId="12A43909" w:rsidR="000E6099" w:rsidRPr="000E6099" w:rsidRDefault="000E6099" w:rsidP="000E6099">
      <w:pPr>
        <w:spacing w:line="280" w:lineRule="exact"/>
        <w:rPr>
          <w:sz w:val="22"/>
          <w:szCs w:val="22"/>
          <w:lang w:eastAsia="en-AU"/>
        </w:rPr>
      </w:pPr>
      <w:r w:rsidRPr="000E6099">
        <w:rPr>
          <w:sz w:val="22"/>
          <w:szCs w:val="22"/>
          <w:lang w:eastAsia="en-AU"/>
        </w:rPr>
        <w:t xml:space="preserve">Interviews were conducted with a variety of </w:t>
      </w:r>
      <w:r w:rsidR="00147674">
        <w:rPr>
          <w:sz w:val="22"/>
          <w:szCs w:val="22"/>
          <w:lang w:eastAsia="en-AU"/>
        </w:rPr>
        <w:t>SEE programme</w:t>
      </w:r>
      <w:r w:rsidR="006A28F2">
        <w:rPr>
          <w:sz w:val="22"/>
          <w:szCs w:val="22"/>
          <w:lang w:eastAsia="en-AU"/>
        </w:rPr>
        <w:t xml:space="preserve"> </w:t>
      </w:r>
      <w:r w:rsidRPr="000E6099">
        <w:rPr>
          <w:sz w:val="22"/>
          <w:szCs w:val="22"/>
          <w:lang w:eastAsia="en-AU"/>
        </w:rPr>
        <w:t xml:space="preserve">stakeholders including contracted </w:t>
      </w:r>
      <w:r w:rsidR="00445018">
        <w:rPr>
          <w:sz w:val="22"/>
          <w:szCs w:val="22"/>
          <w:lang w:eastAsia="en-AU"/>
        </w:rPr>
        <w:t>SEE</w:t>
      </w:r>
      <w:r w:rsidR="00445018" w:rsidRPr="000E6099">
        <w:rPr>
          <w:sz w:val="22"/>
          <w:szCs w:val="22"/>
          <w:lang w:eastAsia="en-AU"/>
        </w:rPr>
        <w:t xml:space="preserve"> </w:t>
      </w:r>
      <w:r w:rsidRPr="000E6099">
        <w:rPr>
          <w:sz w:val="22"/>
          <w:szCs w:val="22"/>
          <w:lang w:eastAsia="en-AU"/>
        </w:rPr>
        <w:t xml:space="preserve">providers, referring agencies, </w:t>
      </w:r>
      <w:r w:rsidR="008D0896">
        <w:rPr>
          <w:sz w:val="22"/>
          <w:szCs w:val="22"/>
          <w:lang w:eastAsia="en-AU"/>
        </w:rPr>
        <w:t>Australian Government</w:t>
      </w:r>
      <w:r w:rsidRPr="000E6099">
        <w:rPr>
          <w:sz w:val="22"/>
          <w:szCs w:val="22"/>
          <w:lang w:eastAsia="en-AU"/>
        </w:rPr>
        <w:t xml:space="preserve"> and state and territory government officials, and other organisations with an interest in the</w:t>
      </w:r>
      <w:r>
        <w:rPr>
          <w:sz w:val="22"/>
          <w:szCs w:val="22"/>
          <w:lang w:eastAsia="en-AU"/>
        </w:rPr>
        <w:t xml:space="preserve"> programme</w:t>
      </w:r>
      <w:r w:rsidRPr="000E6099">
        <w:rPr>
          <w:sz w:val="22"/>
          <w:szCs w:val="22"/>
          <w:lang w:eastAsia="en-AU"/>
        </w:rPr>
        <w:t>.</w:t>
      </w:r>
    </w:p>
    <w:p w14:paraId="0E035D2F" w14:textId="77777777" w:rsidR="000E6099" w:rsidRPr="000E6099" w:rsidRDefault="000E6099" w:rsidP="000E6099">
      <w:pPr>
        <w:keepNext/>
        <w:numPr>
          <w:ilvl w:val="4"/>
          <w:numId w:val="29"/>
        </w:numPr>
        <w:spacing w:before="300" w:after="20" w:line="280" w:lineRule="exact"/>
        <w:outlineLvl w:val="4"/>
        <w:rPr>
          <w:rFonts w:asciiTheme="majorHAnsi" w:hAnsiTheme="majorHAnsi"/>
          <w:b/>
          <w:i/>
          <w:color w:val="9757A6"/>
          <w:sz w:val="20"/>
          <w:szCs w:val="22"/>
          <w:lang w:eastAsia="en-AU"/>
        </w:rPr>
      </w:pPr>
      <w:r w:rsidRPr="000E6099">
        <w:rPr>
          <w:rFonts w:asciiTheme="majorHAnsi" w:hAnsiTheme="majorHAnsi"/>
          <w:b/>
          <w:i/>
          <w:color w:val="9757A6"/>
          <w:sz w:val="20"/>
          <w:szCs w:val="22"/>
          <w:lang w:eastAsia="en-AU"/>
        </w:rPr>
        <w:t xml:space="preserve">Focus groups </w:t>
      </w:r>
    </w:p>
    <w:p w14:paraId="321A7B6A" w14:textId="4EEE3680" w:rsidR="000E6099" w:rsidRPr="000E6099" w:rsidRDefault="00CA63FA" w:rsidP="000E6099">
      <w:pPr>
        <w:spacing w:line="280" w:lineRule="exact"/>
        <w:rPr>
          <w:sz w:val="22"/>
          <w:szCs w:val="22"/>
          <w:lang w:eastAsia="en-AU"/>
        </w:rPr>
      </w:pPr>
      <w:r>
        <w:rPr>
          <w:sz w:val="22"/>
          <w:szCs w:val="22"/>
          <w:lang w:eastAsia="en-AU"/>
        </w:rPr>
        <w:t xml:space="preserve">Six </w:t>
      </w:r>
      <w:r w:rsidR="000E6099" w:rsidRPr="000E6099">
        <w:rPr>
          <w:sz w:val="22"/>
          <w:szCs w:val="22"/>
          <w:lang w:eastAsia="en-AU"/>
        </w:rPr>
        <w:t xml:space="preserve">focus groups were conducted with </w:t>
      </w:r>
      <w:r w:rsidR="00147674">
        <w:rPr>
          <w:sz w:val="22"/>
          <w:szCs w:val="22"/>
          <w:lang w:eastAsia="en-AU"/>
        </w:rPr>
        <w:t>SEE programme</w:t>
      </w:r>
      <w:r w:rsidR="006A28F2">
        <w:rPr>
          <w:sz w:val="22"/>
          <w:szCs w:val="22"/>
          <w:lang w:eastAsia="en-AU"/>
        </w:rPr>
        <w:t xml:space="preserve"> </w:t>
      </w:r>
      <w:r w:rsidR="000E6099" w:rsidRPr="000E6099">
        <w:rPr>
          <w:sz w:val="22"/>
          <w:szCs w:val="22"/>
          <w:lang w:eastAsia="en-AU"/>
        </w:rPr>
        <w:t xml:space="preserve">clients, across four states – Queensland, New South Wales, Victoria and Tasmania – in both capital cities and regional towns. Focus group participants included a wide variety of </w:t>
      </w:r>
      <w:r w:rsidR="00147674">
        <w:rPr>
          <w:sz w:val="22"/>
          <w:szCs w:val="22"/>
          <w:lang w:eastAsia="en-AU"/>
        </w:rPr>
        <w:t>SEE programme</w:t>
      </w:r>
      <w:r w:rsidR="006A28F2">
        <w:rPr>
          <w:sz w:val="22"/>
          <w:szCs w:val="22"/>
          <w:lang w:eastAsia="en-AU"/>
        </w:rPr>
        <w:t xml:space="preserve"> </w:t>
      </w:r>
      <w:r w:rsidR="000E6099" w:rsidRPr="000E6099">
        <w:rPr>
          <w:sz w:val="22"/>
          <w:szCs w:val="22"/>
          <w:lang w:eastAsia="en-AU"/>
        </w:rPr>
        <w:t xml:space="preserve">clients from </w:t>
      </w:r>
      <w:r w:rsidR="004653DE">
        <w:rPr>
          <w:sz w:val="22"/>
          <w:szCs w:val="22"/>
          <w:lang w:eastAsia="en-AU"/>
        </w:rPr>
        <w:t xml:space="preserve">a </w:t>
      </w:r>
      <w:r w:rsidR="000E6099" w:rsidRPr="000E6099">
        <w:rPr>
          <w:sz w:val="22"/>
          <w:szCs w:val="22"/>
          <w:lang w:eastAsia="en-AU"/>
        </w:rPr>
        <w:t xml:space="preserve">variety of backgrounds, with a variety of </w:t>
      </w:r>
      <w:r w:rsidR="00147674">
        <w:rPr>
          <w:sz w:val="22"/>
          <w:szCs w:val="22"/>
          <w:lang w:eastAsia="en-AU"/>
        </w:rPr>
        <w:t>SEE programme</w:t>
      </w:r>
      <w:r w:rsidR="006A28F2">
        <w:rPr>
          <w:sz w:val="22"/>
          <w:szCs w:val="22"/>
          <w:lang w:eastAsia="en-AU"/>
        </w:rPr>
        <w:t xml:space="preserve"> </w:t>
      </w:r>
      <w:r w:rsidR="000E6099" w:rsidRPr="000E6099">
        <w:rPr>
          <w:sz w:val="22"/>
          <w:szCs w:val="22"/>
          <w:lang w:eastAsia="en-AU"/>
        </w:rPr>
        <w:t xml:space="preserve">hours attended and with a </w:t>
      </w:r>
      <w:r w:rsidR="00066F56">
        <w:rPr>
          <w:sz w:val="22"/>
          <w:szCs w:val="22"/>
          <w:lang w:eastAsia="en-AU"/>
        </w:rPr>
        <w:t>range</w:t>
      </w:r>
      <w:r w:rsidR="00066F56" w:rsidRPr="000E6099">
        <w:rPr>
          <w:sz w:val="22"/>
          <w:szCs w:val="22"/>
          <w:lang w:eastAsia="en-AU"/>
        </w:rPr>
        <w:t xml:space="preserve"> </w:t>
      </w:r>
      <w:r w:rsidR="000E6099" w:rsidRPr="000E6099">
        <w:rPr>
          <w:sz w:val="22"/>
          <w:szCs w:val="22"/>
          <w:lang w:eastAsia="en-AU"/>
        </w:rPr>
        <w:t>of language</w:t>
      </w:r>
      <w:r>
        <w:rPr>
          <w:sz w:val="22"/>
          <w:szCs w:val="22"/>
          <w:lang w:eastAsia="en-AU"/>
        </w:rPr>
        <w:t>, literacy and numeracy skill levels</w:t>
      </w:r>
      <w:r w:rsidR="000E6099" w:rsidRPr="000E6099">
        <w:rPr>
          <w:sz w:val="22"/>
          <w:szCs w:val="22"/>
          <w:lang w:eastAsia="en-AU"/>
        </w:rPr>
        <w:t>. Where appropriate, translators were used to facilitate focus groups.</w:t>
      </w:r>
    </w:p>
    <w:p w14:paraId="3CFD52D9" w14:textId="77777777" w:rsidR="000E6099" w:rsidRPr="000E6099" w:rsidRDefault="000E6099" w:rsidP="000E6099">
      <w:pPr>
        <w:keepNext/>
        <w:numPr>
          <w:ilvl w:val="4"/>
          <w:numId w:val="29"/>
        </w:numPr>
        <w:spacing w:before="300" w:after="20" w:line="280" w:lineRule="exact"/>
        <w:outlineLvl w:val="4"/>
        <w:rPr>
          <w:rFonts w:asciiTheme="majorHAnsi" w:hAnsiTheme="majorHAnsi"/>
          <w:b/>
          <w:i/>
          <w:color w:val="9757A6"/>
          <w:sz w:val="20"/>
          <w:szCs w:val="22"/>
          <w:lang w:eastAsia="en-AU"/>
        </w:rPr>
      </w:pPr>
      <w:r w:rsidRPr="000E6099">
        <w:rPr>
          <w:rFonts w:asciiTheme="majorHAnsi" w:hAnsiTheme="majorHAnsi"/>
          <w:b/>
          <w:i/>
          <w:color w:val="9757A6"/>
          <w:sz w:val="20"/>
          <w:szCs w:val="22"/>
          <w:lang w:eastAsia="en-AU"/>
        </w:rPr>
        <w:t>Survey</w:t>
      </w:r>
    </w:p>
    <w:p w14:paraId="5D60114B" w14:textId="24E99D8F" w:rsidR="000E6099" w:rsidRPr="000E6099" w:rsidRDefault="000E6099" w:rsidP="000E6099">
      <w:pPr>
        <w:spacing w:line="280" w:lineRule="exact"/>
        <w:rPr>
          <w:sz w:val="22"/>
          <w:szCs w:val="22"/>
          <w:lang w:eastAsia="en-AU"/>
        </w:rPr>
      </w:pPr>
      <w:r w:rsidRPr="000E6099">
        <w:rPr>
          <w:sz w:val="22"/>
          <w:szCs w:val="22"/>
          <w:lang w:eastAsia="en-AU"/>
        </w:rPr>
        <w:t xml:space="preserve">An online survey was developed for the evaluation. The survey included multiple choice and open ended questions, and covered the appropriateness, effectiveness, and efficiency of the </w:t>
      </w:r>
      <w:r w:rsidR="00147674">
        <w:rPr>
          <w:sz w:val="22"/>
          <w:szCs w:val="22"/>
          <w:lang w:eastAsia="en-AU"/>
        </w:rPr>
        <w:t>SEE programme</w:t>
      </w:r>
      <w:r w:rsidRPr="000E6099">
        <w:rPr>
          <w:sz w:val="22"/>
          <w:szCs w:val="22"/>
          <w:lang w:eastAsia="en-AU"/>
        </w:rPr>
        <w:t xml:space="preserve">, and the strategic alignment between </w:t>
      </w:r>
      <w:r w:rsidR="00147674">
        <w:rPr>
          <w:sz w:val="22"/>
          <w:szCs w:val="22"/>
          <w:lang w:eastAsia="en-AU"/>
        </w:rPr>
        <w:t>SEE programme</w:t>
      </w:r>
      <w:r w:rsidR="006A28F2">
        <w:rPr>
          <w:sz w:val="22"/>
          <w:szCs w:val="22"/>
          <w:lang w:eastAsia="en-AU"/>
        </w:rPr>
        <w:t xml:space="preserve"> </w:t>
      </w:r>
      <w:r w:rsidR="00CA63FA">
        <w:rPr>
          <w:sz w:val="22"/>
          <w:szCs w:val="22"/>
          <w:lang w:eastAsia="en-AU"/>
        </w:rPr>
        <w:t xml:space="preserve">and </w:t>
      </w:r>
      <w:r w:rsidR="00CA63FA" w:rsidRPr="000E6099">
        <w:rPr>
          <w:sz w:val="22"/>
          <w:szCs w:val="22"/>
          <w:lang w:eastAsia="en-AU"/>
        </w:rPr>
        <w:t>the AMEP</w:t>
      </w:r>
      <w:r w:rsidRPr="000E6099">
        <w:rPr>
          <w:sz w:val="22"/>
          <w:szCs w:val="22"/>
          <w:lang w:eastAsia="en-AU"/>
        </w:rPr>
        <w:t xml:space="preserve">. </w:t>
      </w:r>
    </w:p>
    <w:p w14:paraId="49844881" w14:textId="1E9307DE" w:rsidR="000E6099" w:rsidRPr="000E6099" w:rsidRDefault="000E6099" w:rsidP="000E6099">
      <w:pPr>
        <w:spacing w:line="280" w:lineRule="exact"/>
        <w:rPr>
          <w:sz w:val="22"/>
          <w:szCs w:val="22"/>
          <w:lang w:eastAsia="en-AU"/>
        </w:rPr>
      </w:pPr>
      <w:r w:rsidRPr="000E6099">
        <w:rPr>
          <w:sz w:val="22"/>
          <w:szCs w:val="22"/>
          <w:lang w:eastAsia="en-AU"/>
        </w:rPr>
        <w:t xml:space="preserve">The survey was open to contracted </w:t>
      </w:r>
      <w:r w:rsidR="00445018">
        <w:rPr>
          <w:sz w:val="22"/>
          <w:szCs w:val="22"/>
          <w:lang w:eastAsia="en-AU"/>
        </w:rPr>
        <w:t>SEE</w:t>
      </w:r>
      <w:r w:rsidR="00445018" w:rsidRPr="000E6099">
        <w:rPr>
          <w:sz w:val="22"/>
          <w:szCs w:val="22"/>
          <w:lang w:eastAsia="en-AU"/>
        </w:rPr>
        <w:t xml:space="preserve"> </w:t>
      </w:r>
      <w:r w:rsidRPr="000E6099">
        <w:rPr>
          <w:sz w:val="22"/>
          <w:szCs w:val="22"/>
          <w:lang w:eastAsia="en-AU"/>
        </w:rPr>
        <w:t xml:space="preserve">providers and employers of past or present programme participants. </w:t>
      </w:r>
      <w:r w:rsidR="00066F56">
        <w:rPr>
          <w:sz w:val="22"/>
          <w:szCs w:val="22"/>
          <w:lang w:eastAsia="en-AU"/>
        </w:rPr>
        <w:t>Thirty eight (</w:t>
      </w:r>
      <w:r w:rsidR="00943BF8">
        <w:rPr>
          <w:sz w:val="22"/>
          <w:szCs w:val="22"/>
          <w:lang w:eastAsia="en-AU"/>
        </w:rPr>
        <w:t>38</w:t>
      </w:r>
      <w:r w:rsidR="00066F56">
        <w:rPr>
          <w:sz w:val="22"/>
          <w:szCs w:val="22"/>
          <w:lang w:eastAsia="en-AU"/>
        </w:rPr>
        <w:t>)</w:t>
      </w:r>
      <w:r w:rsidRPr="000E6099">
        <w:rPr>
          <w:sz w:val="22"/>
          <w:szCs w:val="22"/>
          <w:lang w:eastAsia="en-AU"/>
        </w:rPr>
        <w:t xml:space="preserve"> </w:t>
      </w:r>
      <w:r w:rsidR="00147674">
        <w:rPr>
          <w:sz w:val="22"/>
          <w:szCs w:val="22"/>
          <w:lang w:eastAsia="en-AU"/>
        </w:rPr>
        <w:t>SEE programme</w:t>
      </w:r>
      <w:r w:rsidR="006A28F2">
        <w:rPr>
          <w:sz w:val="22"/>
          <w:szCs w:val="22"/>
          <w:lang w:eastAsia="en-AU"/>
        </w:rPr>
        <w:t xml:space="preserve"> </w:t>
      </w:r>
      <w:r w:rsidRPr="000E6099">
        <w:rPr>
          <w:sz w:val="22"/>
          <w:szCs w:val="22"/>
          <w:lang w:eastAsia="en-AU"/>
        </w:rPr>
        <w:t>stakeholders completed the survey.</w:t>
      </w:r>
    </w:p>
    <w:p w14:paraId="72DE6A08" w14:textId="77777777" w:rsidR="000E6099" w:rsidRPr="000E6099" w:rsidRDefault="000E6099" w:rsidP="000E6099">
      <w:pPr>
        <w:keepNext/>
        <w:numPr>
          <w:ilvl w:val="4"/>
          <w:numId w:val="29"/>
        </w:numPr>
        <w:spacing w:before="300" w:after="20" w:line="280" w:lineRule="exact"/>
        <w:outlineLvl w:val="4"/>
        <w:rPr>
          <w:rFonts w:asciiTheme="majorHAnsi" w:hAnsiTheme="majorHAnsi"/>
          <w:b/>
          <w:i/>
          <w:color w:val="9757A6"/>
          <w:sz w:val="20"/>
          <w:szCs w:val="22"/>
          <w:lang w:eastAsia="en-AU"/>
        </w:rPr>
      </w:pPr>
      <w:r w:rsidRPr="000E6099">
        <w:rPr>
          <w:rFonts w:asciiTheme="majorHAnsi" w:hAnsiTheme="majorHAnsi"/>
          <w:b/>
          <w:i/>
          <w:color w:val="9757A6"/>
          <w:sz w:val="20"/>
          <w:szCs w:val="22"/>
          <w:lang w:eastAsia="en-AU"/>
        </w:rPr>
        <w:t>Public submission process</w:t>
      </w:r>
    </w:p>
    <w:p w14:paraId="5996A7B2" w14:textId="77777777" w:rsidR="000E6099" w:rsidRPr="000E6099" w:rsidRDefault="000E6099" w:rsidP="000E6099">
      <w:pPr>
        <w:spacing w:line="280" w:lineRule="exact"/>
        <w:rPr>
          <w:sz w:val="22"/>
          <w:szCs w:val="22"/>
          <w:lang w:eastAsia="en-AU"/>
        </w:rPr>
      </w:pPr>
      <w:r w:rsidRPr="000E6099">
        <w:rPr>
          <w:sz w:val="22"/>
          <w:szCs w:val="22"/>
          <w:lang w:eastAsia="en-AU"/>
        </w:rPr>
        <w:t xml:space="preserve">Organisations and individuals were invited to make a public submission to the evaluation. An invitation was sent to stakeholders and added to the evaluation website. </w:t>
      </w:r>
    </w:p>
    <w:p w14:paraId="03AC3BFF" w14:textId="60DA8526" w:rsidR="000E6099" w:rsidRPr="000E6099" w:rsidRDefault="000E6099" w:rsidP="000E6099">
      <w:pPr>
        <w:spacing w:line="280" w:lineRule="exact"/>
        <w:rPr>
          <w:sz w:val="22"/>
          <w:szCs w:val="22"/>
          <w:lang w:eastAsia="en-AU"/>
        </w:rPr>
      </w:pPr>
      <w:r w:rsidRPr="000E6099">
        <w:rPr>
          <w:sz w:val="22"/>
          <w:szCs w:val="22"/>
          <w:lang w:eastAsia="en-AU"/>
        </w:rPr>
        <w:t xml:space="preserve">The evaluation received </w:t>
      </w:r>
      <w:r w:rsidR="00943BF8">
        <w:rPr>
          <w:sz w:val="22"/>
          <w:szCs w:val="22"/>
          <w:lang w:eastAsia="en-AU"/>
        </w:rPr>
        <w:t>19</w:t>
      </w:r>
      <w:r w:rsidRPr="000E6099">
        <w:rPr>
          <w:sz w:val="22"/>
          <w:szCs w:val="22"/>
          <w:lang w:eastAsia="en-AU"/>
        </w:rPr>
        <w:t xml:space="preserve"> submissions from </w:t>
      </w:r>
      <w:r w:rsidR="00147674">
        <w:rPr>
          <w:sz w:val="22"/>
          <w:szCs w:val="22"/>
          <w:lang w:eastAsia="en-AU"/>
        </w:rPr>
        <w:t>SEE programme</w:t>
      </w:r>
      <w:r w:rsidR="006A28F2">
        <w:rPr>
          <w:sz w:val="22"/>
          <w:szCs w:val="22"/>
          <w:lang w:eastAsia="en-AU"/>
        </w:rPr>
        <w:t xml:space="preserve"> </w:t>
      </w:r>
      <w:r w:rsidRPr="000E6099">
        <w:rPr>
          <w:sz w:val="22"/>
          <w:szCs w:val="22"/>
          <w:lang w:eastAsia="en-AU"/>
        </w:rPr>
        <w:t xml:space="preserve">stakeholders. Submissions were received from </w:t>
      </w:r>
      <w:r w:rsidR="00890F56">
        <w:rPr>
          <w:sz w:val="22"/>
          <w:szCs w:val="22"/>
          <w:lang w:eastAsia="en-AU"/>
        </w:rPr>
        <w:t xml:space="preserve">SEE </w:t>
      </w:r>
      <w:r w:rsidR="00445018">
        <w:rPr>
          <w:sz w:val="22"/>
          <w:szCs w:val="22"/>
          <w:lang w:eastAsia="en-AU"/>
        </w:rPr>
        <w:t>p</w:t>
      </w:r>
      <w:r w:rsidR="00890F56">
        <w:rPr>
          <w:sz w:val="22"/>
          <w:szCs w:val="22"/>
          <w:lang w:eastAsia="en-AU"/>
        </w:rPr>
        <w:t>roviders</w:t>
      </w:r>
      <w:r w:rsidRPr="000E6099">
        <w:rPr>
          <w:sz w:val="22"/>
          <w:szCs w:val="22"/>
          <w:lang w:eastAsia="en-AU"/>
        </w:rPr>
        <w:t>, other service providers, other organisations</w:t>
      </w:r>
      <w:r w:rsidR="008B648D">
        <w:rPr>
          <w:sz w:val="22"/>
          <w:szCs w:val="22"/>
          <w:lang w:eastAsia="en-AU"/>
        </w:rPr>
        <w:t xml:space="preserve"> and teachers</w:t>
      </w:r>
      <w:r w:rsidRPr="000E6099">
        <w:rPr>
          <w:sz w:val="22"/>
          <w:szCs w:val="22"/>
          <w:lang w:eastAsia="en-AU"/>
        </w:rPr>
        <w:t>.</w:t>
      </w:r>
    </w:p>
    <w:p w14:paraId="1B5490DB" w14:textId="77777777" w:rsidR="00266CA5" w:rsidRDefault="00266CA5" w:rsidP="00266CA5">
      <w:pPr>
        <w:pStyle w:val="Heading2"/>
        <w:numPr>
          <w:ilvl w:val="1"/>
          <w:numId w:val="20"/>
        </w:numPr>
      </w:pPr>
      <w:bookmarkStart w:id="13" w:name="_Toc407380300"/>
      <w:bookmarkStart w:id="14" w:name="_Toc420065431"/>
      <w:r>
        <w:t>Report structure</w:t>
      </w:r>
      <w:bookmarkEnd w:id="13"/>
      <w:bookmarkEnd w:id="14"/>
    </w:p>
    <w:p w14:paraId="4DFD0763" w14:textId="77777777" w:rsidR="00F34C0B" w:rsidRDefault="00F34C0B" w:rsidP="00F34C0B">
      <w:pPr>
        <w:pStyle w:val="BodyText"/>
      </w:pPr>
      <w:r>
        <w:t>The remainder of this report is structured as follows:</w:t>
      </w:r>
    </w:p>
    <w:p w14:paraId="7F114ECE" w14:textId="3A32F825" w:rsidR="00F34C0B" w:rsidRDefault="00F34C0B" w:rsidP="00F34C0B">
      <w:pPr>
        <w:pStyle w:val="ListDash"/>
      </w:pPr>
      <w:r>
        <w:t xml:space="preserve">Chapter 2: The current design of </w:t>
      </w:r>
      <w:r w:rsidRPr="00F34C0B">
        <w:t xml:space="preserve">the </w:t>
      </w:r>
      <w:r w:rsidR="00147674">
        <w:t>SEE programme</w:t>
      </w:r>
    </w:p>
    <w:p w14:paraId="56093FFA" w14:textId="634233A1" w:rsidR="00F34C0B" w:rsidRDefault="00F34C0B" w:rsidP="00F34C0B">
      <w:pPr>
        <w:pStyle w:val="ListDash"/>
      </w:pPr>
      <w:r>
        <w:t>Chapter 3: Client needs and good practices in adult LLN programmes</w:t>
      </w:r>
    </w:p>
    <w:p w14:paraId="3BE83F80" w14:textId="50666826" w:rsidR="00F34C0B" w:rsidRDefault="00F34C0B" w:rsidP="00F34C0B">
      <w:pPr>
        <w:pStyle w:val="ListDash"/>
      </w:pPr>
      <w:r>
        <w:t xml:space="preserve">Chapter 4: The </w:t>
      </w:r>
      <w:r w:rsidR="00147674">
        <w:t>SEE programme</w:t>
      </w:r>
      <w:r w:rsidR="006A28F2">
        <w:t xml:space="preserve"> </w:t>
      </w:r>
      <w:r>
        <w:t>cohort, take up and clients’ LLN skills</w:t>
      </w:r>
    </w:p>
    <w:p w14:paraId="57D8D7A2" w14:textId="03B6694D" w:rsidR="00F34C0B" w:rsidRDefault="00F34C0B" w:rsidP="00F34C0B">
      <w:pPr>
        <w:pStyle w:val="ListDash"/>
      </w:pPr>
      <w:r>
        <w:t xml:space="preserve">Chapter 5: The effectiveness of the </w:t>
      </w:r>
      <w:r w:rsidR="00147674">
        <w:t>SEE programme</w:t>
      </w:r>
    </w:p>
    <w:p w14:paraId="34D53C4B" w14:textId="77777777" w:rsidR="00F34C0B" w:rsidRDefault="00F34C0B" w:rsidP="00F34C0B">
      <w:pPr>
        <w:pStyle w:val="ListDash"/>
      </w:pPr>
      <w:r>
        <w:t>Chapter 6: Efficiency and performance management</w:t>
      </w:r>
    </w:p>
    <w:p w14:paraId="7376C5EF" w14:textId="09A18C92" w:rsidR="00F34C0B" w:rsidRDefault="00F34C0B" w:rsidP="00F34C0B">
      <w:pPr>
        <w:pStyle w:val="ListDash"/>
      </w:pPr>
      <w:r>
        <w:t>Chapter 7: The appropriateness and future of the AMEP</w:t>
      </w:r>
      <w:r w:rsidR="00066F56">
        <w:t>.</w:t>
      </w:r>
    </w:p>
    <w:p w14:paraId="5A4CFBD5" w14:textId="77777777" w:rsidR="00266CA5" w:rsidRDefault="00266CA5" w:rsidP="00473688">
      <w:pPr>
        <w:pStyle w:val="BodyText"/>
      </w:pPr>
    </w:p>
    <w:p w14:paraId="56660932" w14:textId="77777777" w:rsidR="00266CA5" w:rsidRDefault="00266CA5" w:rsidP="00473688">
      <w:pPr>
        <w:pStyle w:val="BodyText"/>
      </w:pPr>
    </w:p>
    <w:p w14:paraId="237BB5CE" w14:textId="07F26D3E" w:rsidR="001B016C" w:rsidRDefault="00F34C0B" w:rsidP="001B016C">
      <w:pPr>
        <w:pStyle w:val="Heading1"/>
      </w:pPr>
      <w:bookmarkStart w:id="15" w:name="_Toc420065432"/>
      <w:r>
        <w:t>The current d</w:t>
      </w:r>
      <w:r w:rsidR="001B016C">
        <w:t xml:space="preserve">esign of the </w:t>
      </w:r>
      <w:r w:rsidR="00147674">
        <w:t>SEE programme</w:t>
      </w:r>
      <w:bookmarkEnd w:id="15"/>
    </w:p>
    <w:p w14:paraId="5BFA763A" w14:textId="37C52ED0" w:rsidR="001B016C" w:rsidRPr="00CF6DC0" w:rsidRDefault="00076300" w:rsidP="001B016C">
      <w:pPr>
        <w:pStyle w:val="BodyText"/>
        <w:rPr>
          <w:b/>
          <w:i/>
          <w:color w:val="7F7F7F" w:themeColor="text1" w:themeTint="80"/>
        </w:rPr>
      </w:pPr>
      <w:r w:rsidRPr="00076300">
        <w:rPr>
          <w:b/>
          <w:i/>
          <w:color w:val="7F7F7F" w:themeColor="text1" w:themeTint="80"/>
        </w:rPr>
        <w:t xml:space="preserve">This chapter </w:t>
      </w:r>
      <w:r>
        <w:rPr>
          <w:b/>
          <w:i/>
          <w:color w:val="7F7F7F" w:themeColor="text1" w:themeTint="80"/>
        </w:rPr>
        <w:t xml:space="preserve">provides an overview of the </w:t>
      </w:r>
      <w:r w:rsidR="00147674">
        <w:rPr>
          <w:b/>
          <w:i/>
          <w:color w:val="7F7F7F" w:themeColor="text1" w:themeTint="80"/>
        </w:rPr>
        <w:t>SEE programme</w:t>
      </w:r>
      <w:r w:rsidR="006A28F2">
        <w:rPr>
          <w:b/>
          <w:i/>
          <w:color w:val="7F7F7F" w:themeColor="text1" w:themeTint="80"/>
        </w:rPr>
        <w:t xml:space="preserve"> </w:t>
      </w:r>
      <w:r w:rsidR="00094679">
        <w:rPr>
          <w:b/>
          <w:i/>
          <w:color w:val="7F7F7F" w:themeColor="text1" w:themeTint="80"/>
        </w:rPr>
        <w:t xml:space="preserve">including </w:t>
      </w:r>
      <w:r>
        <w:rPr>
          <w:b/>
          <w:i/>
          <w:color w:val="7F7F7F" w:themeColor="text1" w:themeTint="80"/>
        </w:rPr>
        <w:t xml:space="preserve">the </w:t>
      </w:r>
      <w:r w:rsidR="008B648D">
        <w:rPr>
          <w:b/>
          <w:i/>
          <w:color w:val="7F7F7F" w:themeColor="text1" w:themeTint="80"/>
        </w:rPr>
        <w:t>p</w:t>
      </w:r>
      <w:r>
        <w:rPr>
          <w:b/>
          <w:i/>
          <w:color w:val="7F7F7F" w:themeColor="text1" w:themeTint="80"/>
        </w:rPr>
        <w:t xml:space="preserve">rogramme’s objectives, design and curriculum. This chapter also details how other relevant </w:t>
      </w:r>
      <w:r w:rsidR="008D0896">
        <w:rPr>
          <w:b/>
          <w:i/>
          <w:color w:val="7F7F7F" w:themeColor="text1" w:themeTint="80"/>
        </w:rPr>
        <w:t>Australian Government</w:t>
      </w:r>
      <w:r>
        <w:rPr>
          <w:b/>
          <w:i/>
          <w:color w:val="7F7F7F" w:themeColor="text1" w:themeTint="80"/>
        </w:rPr>
        <w:t xml:space="preserve">, and state and territory </w:t>
      </w:r>
      <w:r w:rsidR="008D0896">
        <w:rPr>
          <w:b/>
          <w:i/>
          <w:color w:val="7F7F7F" w:themeColor="text1" w:themeTint="80"/>
        </w:rPr>
        <w:t xml:space="preserve">government </w:t>
      </w:r>
      <w:r>
        <w:rPr>
          <w:b/>
          <w:i/>
          <w:color w:val="7F7F7F" w:themeColor="text1" w:themeTint="80"/>
        </w:rPr>
        <w:t xml:space="preserve">programmes and services relate to the </w:t>
      </w:r>
      <w:r w:rsidR="00147674">
        <w:rPr>
          <w:b/>
          <w:i/>
          <w:color w:val="7F7F7F" w:themeColor="text1" w:themeTint="80"/>
        </w:rPr>
        <w:t>SEE programme</w:t>
      </w:r>
      <w:r>
        <w:rPr>
          <w:b/>
          <w:i/>
          <w:color w:val="7F7F7F" w:themeColor="text1" w:themeTint="80"/>
        </w:rPr>
        <w:t>.</w:t>
      </w:r>
    </w:p>
    <w:p w14:paraId="32967978" w14:textId="77777777" w:rsidR="00994AED" w:rsidRDefault="00B05FA8" w:rsidP="00994AED">
      <w:pPr>
        <w:pStyle w:val="Heading2"/>
        <w:numPr>
          <w:ilvl w:val="1"/>
          <w:numId w:val="20"/>
        </w:numPr>
      </w:pPr>
      <w:bookmarkStart w:id="16" w:name="_Toc420065433"/>
      <w:r>
        <w:t xml:space="preserve">Programme </w:t>
      </w:r>
      <w:r w:rsidR="00741221">
        <w:t>overview, objectives and eligibility</w:t>
      </w:r>
      <w:bookmarkEnd w:id="16"/>
    </w:p>
    <w:p w14:paraId="51BEC7BC" w14:textId="2D2EF898" w:rsidR="00994AED" w:rsidRPr="00414605" w:rsidRDefault="00994AED" w:rsidP="00994AED">
      <w:pPr>
        <w:pStyle w:val="BodyText"/>
      </w:pPr>
      <w:r>
        <w:t xml:space="preserve">The Skills for Education and Employment (SEE) </w:t>
      </w:r>
      <w:r w:rsidR="00445018">
        <w:t xml:space="preserve">programme </w:t>
      </w:r>
      <w:r>
        <w:t xml:space="preserve">commenced in 2013 as the continuation of the </w:t>
      </w:r>
      <w:r w:rsidRPr="001937B8">
        <w:t xml:space="preserve">Language, Literacy and Numeracy </w:t>
      </w:r>
      <w:r w:rsidR="00B05FA8">
        <w:t xml:space="preserve">Programme </w:t>
      </w:r>
      <w:r>
        <w:t xml:space="preserve">(LLNP). SEE is the Australian Government’s primary </w:t>
      </w:r>
      <w:r w:rsidR="00B05FA8">
        <w:t xml:space="preserve">programme </w:t>
      </w:r>
      <w:r>
        <w:t xml:space="preserve">for helping eligible job seekers to improve their language, literacy and numeracy (LLN) skills with the expectation that such improvements will enable them to participate more effectively in training or in the labour force. </w:t>
      </w:r>
    </w:p>
    <w:p w14:paraId="1F015AA7" w14:textId="1792EBB5" w:rsidR="00994AED" w:rsidRDefault="00994AED" w:rsidP="00994AED">
      <w:pPr>
        <w:pStyle w:val="BodyText"/>
      </w:pPr>
      <w:r>
        <w:t xml:space="preserve">The LLNP commenced in 2002 </w:t>
      </w:r>
      <w:r w:rsidRPr="00913832">
        <w:t xml:space="preserve">when the Literacy and Numeracy Training </w:t>
      </w:r>
      <w:r w:rsidR="00B05FA8">
        <w:t xml:space="preserve">Programme </w:t>
      </w:r>
      <w:r w:rsidRPr="00913832">
        <w:t xml:space="preserve">and the Advanced English for Migrants </w:t>
      </w:r>
      <w:r w:rsidR="00B05FA8">
        <w:t xml:space="preserve">programme </w:t>
      </w:r>
      <w:r w:rsidRPr="00913832">
        <w:t>amalgamated to provide a more integrated management approach to addressing LLN needs among job seekers at the national level.</w:t>
      </w:r>
    </w:p>
    <w:p w14:paraId="11FF8CF7" w14:textId="012A7C03" w:rsidR="00994AED" w:rsidRDefault="00994AED" w:rsidP="00994AED">
      <w:pPr>
        <w:pStyle w:val="BodyText"/>
      </w:pPr>
      <w:r>
        <w:t xml:space="preserve">A review of the LLNP in 2013 identified opportunities to make the </w:t>
      </w:r>
      <w:r w:rsidR="00B05FA8">
        <w:t xml:space="preserve">programme </w:t>
      </w:r>
      <w:r>
        <w:t>more flexible and efficient. This included a name change to remove perceived social stigma associated with the program</w:t>
      </w:r>
      <w:r w:rsidR="00940361">
        <w:t>me</w:t>
      </w:r>
      <w:r>
        <w:t>’s name.</w:t>
      </w:r>
    </w:p>
    <w:p w14:paraId="13CFA079" w14:textId="77777777" w:rsidR="00994AED" w:rsidRPr="003B3D0A" w:rsidRDefault="00B05FA8" w:rsidP="00741221">
      <w:pPr>
        <w:pStyle w:val="Heading3"/>
      </w:pPr>
      <w:r>
        <w:t xml:space="preserve">Programme </w:t>
      </w:r>
      <w:r w:rsidR="00994AED" w:rsidRPr="003B3D0A">
        <w:t xml:space="preserve">objectives </w:t>
      </w:r>
    </w:p>
    <w:p w14:paraId="1F4BF30A" w14:textId="7E0399E2" w:rsidR="006F30F7" w:rsidRDefault="00994AED" w:rsidP="00994AED">
      <w:pPr>
        <w:pStyle w:val="BodyText"/>
      </w:pPr>
      <w:r w:rsidRPr="001937B8">
        <w:t xml:space="preserve">The </w:t>
      </w:r>
      <w:r w:rsidR="00147674">
        <w:t>SEE programme</w:t>
      </w:r>
      <w:r w:rsidR="006A28F2">
        <w:t xml:space="preserve"> </w:t>
      </w:r>
      <w:r w:rsidRPr="001937B8">
        <w:t xml:space="preserve">seeks to improve eligible job seeker’s LLN skills with the expectation that such improvements will enable them to participate more effectively in training or in the labour force, and lead to long-term gains for </w:t>
      </w:r>
      <w:r w:rsidR="00485D4E">
        <w:t>the economy and the community more broadly</w:t>
      </w:r>
      <w:r w:rsidR="00017DD2">
        <w:t xml:space="preserve"> </w:t>
      </w:r>
      <w:sdt>
        <w:sdtPr>
          <w:id w:val="215635527"/>
          <w:citation/>
        </w:sdtPr>
        <w:sdtEndPr/>
        <w:sdtContent>
          <w:r w:rsidR="00017DD2">
            <w:fldChar w:fldCharType="begin"/>
          </w:r>
          <w:r w:rsidR="00017DD2">
            <w:instrText xml:space="preserve"> CITATION Dep1412 \l 3081 </w:instrText>
          </w:r>
          <w:r w:rsidR="00017DD2">
            <w:fldChar w:fldCharType="separate"/>
          </w:r>
          <w:r w:rsidR="00B66B50">
            <w:rPr>
              <w:noProof/>
            </w:rPr>
            <w:t>(Department of Industry, 2014)</w:t>
          </w:r>
          <w:r w:rsidR="00017DD2">
            <w:fldChar w:fldCharType="end"/>
          </w:r>
        </w:sdtContent>
      </w:sdt>
      <w:r w:rsidR="004C0F46">
        <w:t>.</w:t>
      </w:r>
    </w:p>
    <w:p w14:paraId="3FB77923" w14:textId="15F2E4C3" w:rsidR="00994AED" w:rsidRDefault="00994AED" w:rsidP="00994AED">
      <w:pPr>
        <w:pStyle w:val="BodyText"/>
      </w:pPr>
      <w:r>
        <w:t xml:space="preserve">For the purposes of the </w:t>
      </w:r>
      <w:r w:rsidR="00007C78">
        <w:t>programme,</w:t>
      </w:r>
      <w:r>
        <w:t xml:space="preserve"> language, literacy and numeracy are defined as follows:</w:t>
      </w:r>
    </w:p>
    <w:p w14:paraId="7CAEF786" w14:textId="77777777" w:rsidR="00994AED" w:rsidRDefault="00994AED" w:rsidP="00994AED">
      <w:pPr>
        <w:pStyle w:val="ListDash"/>
      </w:pPr>
      <w:r w:rsidRPr="00687D04">
        <w:rPr>
          <w:i/>
        </w:rPr>
        <w:t>Language</w:t>
      </w:r>
      <w:r>
        <w:t xml:space="preserve"> – refers to the understanding and use of spoken and written English.</w:t>
      </w:r>
    </w:p>
    <w:p w14:paraId="5F5AB847" w14:textId="77777777" w:rsidR="00994AED" w:rsidRDefault="00994AED" w:rsidP="00994AED">
      <w:pPr>
        <w:pStyle w:val="ListDash"/>
      </w:pPr>
      <w:r w:rsidRPr="00687D04">
        <w:rPr>
          <w:i/>
        </w:rPr>
        <w:t>Literacy</w:t>
      </w:r>
      <w:r>
        <w:t xml:space="preserve"> – refers to the integration of listening, speaking, reading, writing and critical thinking. It incorporates numeracy and it includes the cultural knowledge that enables a speaker, writer or reader to recognise and use language appropriate to different social situations.</w:t>
      </w:r>
    </w:p>
    <w:p w14:paraId="365C6B83" w14:textId="77777777" w:rsidR="00994AED" w:rsidRDefault="00994AED" w:rsidP="00994AED">
      <w:pPr>
        <w:pStyle w:val="ListDash"/>
      </w:pPr>
      <w:r w:rsidRPr="00687D04">
        <w:rPr>
          <w:i/>
        </w:rPr>
        <w:t>Numeracy</w:t>
      </w:r>
      <w:r>
        <w:t xml:space="preserve"> – refers to the ability to use mathematics effectively to meet the general demands of life at home, in paid work and for participation in community and civic life.</w:t>
      </w:r>
    </w:p>
    <w:p w14:paraId="129553C3" w14:textId="77777777" w:rsidR="00233FF6" w:rsidRDefault="00233FF6" w:rsidP="00233FF6">
      <w:pPr>
        <w:pStyle w:val="Heading3"/>
      </w:pPr>
      <w:bookmarkStart w:id="17" w:name="_Ref408318868"/>
      <w:r w:rsidRPr="00884ABC">
        <w:t>Eligibility criteria</w:t>
      </w:r>
      <w:bookmarkEnd w:id="17"/>
    </w:p>
    <w:p w14:paraId="05BB2B26" w14:textId="77777777" w:rsidR="00233FF6" w:rsidRDefault="00233FF6" w:rsidP="00233FF6">
      <w:pPr>
        <w:pStyle w:val="BodyText"/>
      </w:pPr>
      <w:r>
        <w:t>To be eligible for the programme, an Australian job seeker must:</w:t>
      </w:r>
    </w:p>
    <w:p w14:paraId="7872F2F8" w14:textId="3C7DA11F" w:rsidR="00233FF6" w:rsidRDefault="00233FF6" w:rsidP="00233FF6">
      <w:pPr>
        <w:pStyle w:val="ListDash"/>
      </w:pPr>
      <w:r>
        <w:t>be of working age (15 to 64 years of ages)</w:t>
      </w:r>
      <w:r w:rsidR="006C08DE">
        <w:t xml:space="preserve"> and looking for full time work</w:t>
      </w:r>
      <w:r w:rsidR="00421841">
        <w:t>,</w:t>
      </w:r>
      <w:r w:rsidR="001D129D">
        <w:t xml:space="preserve"> </w:t>
      </w:r>
      <w:r w:rsidR="003C0C30">
        <w:t xml:space="preserve">however these criteria are dependent on individual participation requirements, which are </w:t>
      </w:r>
      <w:r w:rsidR="001D129D">
        <w:t>assessed on a case by case basis</w:t>
      </w:r>
    </w:p>
    <w:p w14:paraId="6CE00DB3" w14:textId="201FE36E" w:rsidR="006C08DE" w:rsidRDefault="00233FF6" w:rsidP="006C08DE">
      <w:pPr>
        <w:pStyle w:val="ListDash"/>
      </w:pPr>
      <w:r>
        <w:t xml:space="preserve">be registered as a job seeker with </w:t>
      </w:r>
      <w:r w:rsidR="00485D4E" w:rsidRPr="00485D4E">
        <w:t>Department of Human Services</w:t>
      </w:r>
      <w:r w:rsidR="00485D4E">
        <w:t xml:space="preserve"> (</w:t>
      </w:r>
      <w:r>
        <w:t>DHS</w:t>
      </w:r>
      <w:r w:rsidR="00485D4E">
        <w:t>)</w:t>
      </w:r>
      <w:r>
        <w:t xml:space="preserve"> and </w:t>
      </w:r>
      <w:r w:rsidR="006C08DE" w:rsidRPr="006C08DE">
        <w:t xml:space="preserve">eligible for Job Services Australia (JSA), Disability Employment Services (DES) or Remote Jobs and Communities </w:t>
      </w:r>
      <w:r w:rsidR="006A28F2">
        <w:t xml:space="preserve">Programme </w:t>
      </w:r>
      <w:r w:rsidR="006C08DE" w:rsidRPr="006C08DE">
        <w:t>(RJCP) assistance</w:t>
      </w:r>
    </w:p>
    <w:p w14:paraId="6A7A84BC" w14:textId="4E9678AE" w:rsidR="006C08DE" w:rsidRPr="00BC791B" w:rsidRDefault="006C08DE" w:rsidP="006C08DE">
      <w:pPr>
        <w:pStyle w:val="ListDash"/>
      </w:pPr>
      <w:r w:rsidRPr="00BC791B">
        <w:t>be deemed suitable for training without any barriers that would prevent successful participation</w:t>
      </w:r>
      <w:r w:rsidR="00F91F01">
        <w:t xml:space="preserve"> (see </w:t>
      </w:r>
      <w:r w:rsidR="004B189E">
        <w:fldChar w:fldCharType="begin"/>
      </w:r>
      <w:r w:rsidR="004B189E">
        <w:instrText xml:space="preserve"> REF _Ref408508788 \h </w:instrText>
      </w:r>
      <w:r w:rsidR="004B189E">
        <w:fldChar w:fldCharType="separate"/>
      </w:r>
      <w:r w:rsidR="00294A5A" w:rsidRPr="00D26202">
        <w:t>Box</w:t>
      </w:r>
      <w:r w:rsidR="00294A5A">
        <w:t xml:space="preserve"> </w:t>
      </w:r>
      <w:r w:rsidR="00294A5A">
        <w:rPr>
          <w:noProof/>
        </w:rPr>
        <w:t>1</w:t>
      </w:r>
      <w:r w:rsidR="004B189E">
        <w:fldChar w:fldCharType="end"/>
      </w:r>
      <w:r w:rsidR="004B189E">
        <w:t>)</w:t>
      </w:r>
    </w:p>
    <w:p w14:paraId="7943121C" w14:textId="77777777" w:rsidR="006C08DE" w:rsidRDefault="006C08DE" w:rsidP="006C08DE">
      <w:pPr>
        <w:pStyle w:val="ListDash"/>
      </w:pPr>
      <w:r>
        <w:t xml:space="preserve">be </w:t>
      </w:r>
      <w:r w:rsidR="009C3D10">
        <w:t xml:space="preserve">an </w:t>
      </w:r>
      <w:r w:rsidRPr="006C08DE">
        <w:t>Australian citizen or permanent resident, or have working rights in Australia</w:t>
      </w:r>
    </w:p>
    <w:p w14:paraId="1D1AB901" w14:textId="77777777" w:rsidR="00A449AB" w:rsidRDefault="00A449AB" w:rsidP="00A449AB">
      <w:pPr>
        <w:pStyle w:val="ListDash"/>
      </w:pPr>
      <w:r>
        <w:t xml:space="preserve">and satisfy one of the following: </w:t>
      </w:r>
    </w:p>
    <w:p w14:paraId="25382685" w14:textId="77777777" w:rsidR="00A449AB" w:rsidRDefault="00A449AB" w:rsidP="000949F2">
      <w:pPr>
        <w:pStyle w:val="ListDash2"/>
      </w:pPr>
      <w:r>
        <w:t xml:space="preserve">are in receipt of </w:t>
      </w:r>
      <w:r w:rsidR="009C3D10">
        <w:t>income support, including</w:t>
      </w:r>
      <w:r>
        <w:t xml:space="preserve">: </w:t>
      </w:r>
      <w:r w:rsidRPr="00A449AB">
        <w:t>Youth Allowance</w:t>
      </w:r>
      <w:r>
        <w:t xml:space="preserve">, </w:t>
      </w:r>
      <w:r w:rsidRPr="00A449AB">
        <w:t>Newstart Allowance</w:t>
      </w:r>
      <w:r>
        <w:t xml:space="preserve">, </w:t>
      </w:r>
      <w:r w:rsidRPr="00A449AB">
        <w:t>Disability Support Pension</w:t>
      </w:r>
      <w:r>
        <w:t xml:space="preserve">, </w:t>
      </w:r>
      <w:r w:rsidRPr="00A449AB">
        <w:t>Parenting Payments (single and partnered)</w:t>
      </w:r>
      <w:r>
        <w:t>,</w:t>
      </w:r>
      <w:r w:rsidRPr="00A449AB">
        <w:t xml:space="preserve"> Community Development Employment Project (grandfathered participants)</w:t>
      </w:r>
      <w:r>
        <w:t xml:space="preserve">, </w:t>
      </w:r>
      <w:r w:rsidRPr="00A449AB">
        <w:t>Widow B Pension</w:t>
      </w:r>
      <w:r>
        <w:t xml:space="preserve">, </w:t>
      </w:r>
      <w:r w:rsidRPr="00A449AB">
        <w:t>Widow Allowance</w:t>
      </w:r>
      <w:r>
        <w:t xml:space="preserve">, </w:t>
      </w:r>
      <w:r w:rsidRPr="00A449AB">
        <w:t>Partner Allowance</w:t>
      </w:r>
      <w:r>
        <w:t>, or</w:t>
      </w:r>
      <w:r w:rsidRPr="00A449AB">
        <w:t xml:space="preserve"> Special Benefit</w:t>
      </w:r>
      <w:r>
        <w:t>; or</w:t>
      </w:r>
    </w:p>
    <w:p w14:paraId="762A76E8" w14:textId="77777777" w:rsidR="00A449AB" w:rsidRPr="00BC791B" w:rsidRDefault="00A449AB" w:rsidP="000949F2">
      <w:pPr>
        <w:pStyle w:val="ListDash2"/>
      </w:pPr>
      <w:r w:rsidRPr="00BC791B">
        <w:t xml:space="preserve">are </w:t>
      </w:r>
      <w:r w:rsidR="002A466D" w:rsidRPr="00BC791B">
        <w:t>aged 15-21 years</w:t>
      </w:r>
      <w:r w:rsidR="00BC791B" w:rsidRPr="000949F2">
        <w:t xml:space="preserve"> (</w:t>
      </w:r>
      <w:r w:rsidR="002A466D" w:rsidRPr="00BC791B">
        <w:t>irrespective of</w:t>
      </w:r>
      <w:r w:rsidRPr="00BC791B">
        <w:t xml:space="preserve"> </w:t>
      </w:r>
      <w:r w:rsidR="00BC791B" w:rsidRPr="000949F2">
        <w:t xml:space="preserve">the </w:t>
      </w:r>
      <w:r w:rsidRPr="00BC791B">
        <w:t>receipt of income support</w:t>
      </w:r>
      <w:r w:rsidR="00BC791B" w:rsidRPr="000949F2">
        <w:t>)</w:t>
      </w:r>
      <w:r w:rsidRPr="00BC791B">
        <w:t>, or</w:t>
      </w:r>
    </w:p>
    <w:p w14:paraId="5620A422" w14:textId="77777777" w:rsidR="00A449AB" w:rsidRPr="00BC791B" w:rsidRDefault="00A449AB" w:rsidP="000949F2">
      <w:pPr>
        <w:pStyle w:val="ListDash2"/>
      </w:pPr>
      <w:r w:rsidRPr="00BC791B">
        <w:t xml:space="preserve">are migrants serving the two-year newly arrived residents waiting period (NARWP) for income support.  </w:t>
      </w:r>
    </w:p>
    <w:p w14:paraId="3D457DF3" w14:textId="77777777" w:rsidR="00F91F01" w:rsidRPr="00D26202" w:rsidRDefault="00F91F01" w:rsidP="00330A6F">
      <w:pPr>
        <w:pStyle w:val="Caption"/>
        <w:keepLines/>
      </w:pPr>
      <w:bookmarkStart w:id="18" w:name="_Ref408508788"/>
      <w:bookmarkStart w:id="19" w:name="_Toc420065460"/>
      <w:r w:rsidRPr="00D26202">
        <w:t>Box</w:t>
      </w:r>
      <w:r>
        <w:t xml:space="preserve"> </w:t>
      </w:r>
      <w:r w:rsidR="006A2396">
        <w:fldChar w:fldCharType="begin"/>
      </w:r>
      <w:r w:rsidR="006A2396">
        <w:instrText xml:space="preserve"> SEQ Box \* ARABIC  </w:instrText>
      </w:r>
      <w:r w:rsidR="006A2396">
        <w:fldChar w:fldCharType="separate"/>
      </w:r>
      <w:r w:rsidR="00294A5A">
        <w:rPr>
          <w:noProof/>
        </w:rPr>
        <w:t>1</w:t>
      </w:r>
      <w:r w:rsidR="006A2396">
        <w:rPr>
          <w:noProof/>
        </w:rPr>
        <w:fldChar w:fldCharType="end"/>
      </w:r>
      <w:bookmarkEnd w:id="18"/>
      <w:r w:rsidRPr="00FB2565">
        <w:tab/>
      </w:r>
      <w:r w:rsidR="004B189E">
        <w:rPr>
          <w:rStyle w:val="CaptionLabel"/>
        </w:rPr>
        <w:t>Suitability for training</w:t>
      </w:r>
      <w:bookmarkEnd w:id="19"/>
      <w:r w:rsidR="004B189E">
        <w:rPr>
          <w:rStyle w:val="CaptionLabel"/>
        </w:rPr>
        <w:t xml:space="preserve">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F91F01" w:rsidRPr="00D26202" w14:paraId="76CA965F" w14:textId="77777777" w:rsidTr="00330A6F">
        <w:tc>
          <w:tcPr>
            <w:tcW w:w="5000" w:type="pct"/>
            <w:shd w:val="pct12" w:color="auto" w:fill="auto"/>
          </w:tcPr>
          <w:p w14:paraId="2DFDA5B3" w14:textId="77777777" w:rsidR="00F91F01" w:rsidRPr="00D26202" w:rsidRDefault="00F91F01" w:rsidP="00330A6F">
            <w:pPr>
              <w:pStyle w:val="SmallDeltasRightAligned"/>
              <w:keepNext/>
              <w:keepLines/>
            </w:pPr>
            <w:r w:rsidRPr="00D26202">
              <w:rPr>
                <w:noProof/>
                <w:lang w:eastAsia="en-AU"/>
              </w:rPr>
              <w:drawing>
                <wp:inline distT="0" distB="0" distL="0" distR="0" wp14:anchorId="7B089AB5" wp14:editId="142407C5">
                  <wp:extent cx="481330" cy="23431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F91F01" w14:paraId="5AF39C1E" w14:textId="77777777" w:rsidTr="00330A6F">
        <w:tc>
          <w:tcPr>
            <w:tcW w:w="5000" w:type="pct"/>
            <w:shd w:val="pct12" w:color="auto" w:fill="auto"/>
          </w:tcPr>
          <w:p w14:paraId="54F7AC40" w14:textId="6B337BEB" w:rsidR="00F91F01" w:rsidRDefault="004B189E" w:rsidP="00F91F01">
            <w:pPr>
              <w:pStyle w:val="BoxText"/>
            </w:pPr>
            <w:r>
              <w:t xml:space="preserve">Clients must be deemed suitable </w:t>
            </w:r>
            <w:r w:rsidRPr="004B189E">
              <w:t xml:space="preserve">for </w:t>
            </w:r>
            <w:r w:rsidR="00147674">
              <w:t>SEE programme</w:t>
            </w:r>
            <w:r w:rsidR="006A28F2">
              <w:t xml:space="preserve"> </w:t>
            </w:r>
            <w:r w:rsidR="00663BF8">
              <w:t>training</w:t>
            </w:r>
            <w:r>
              <w:t>. C</w:t>
            </w:r>
            <w:r w:rsidR="00F91F01">
              <w:t>lient</w:t>
            </w:r>
            <w:r>
              <w:t xml:space="preserve">s are considered </w:t>
            </w:r>
            <w:r w:rsidR="00F91F01">
              <w:t xml:space="preserve">suitable </w:t>
            </w:r>
            <w:r>
              <w:t>for training if</w:t>
            </w:r>
            <w:r w:rsidR="00F91F01">
              <w:t>:</w:t>
            </w:r>
          </w:p>
          <w:p w14:paraId="3C980943" w14:textId="3C6FD585" w:rsidR="004B189E" w:rsidRPr="00330A6F" w:rsidRDefault="00BE384D" w:rsidP="00D84D8F">
            <w:pPr>
              <w:pStyle w:val="BoxListBullet"/>
            </w:pPr>
            <w:r w:rsidRPr="00330A6F">
              <w:t xml:space="preserve">they </w:t>
            </w:r>
            <w:r w:rsidR="00F91F01" w:rsidRPr="00330A6F">
              <w:t>demonstrate the potential to benefit from a particular s</w:t>
            </w:r>
            <w:r w:rsidR="004B189E" w:rsidRPr="00330A6F">
              <w:t>tream and level of LLN training</w:t>
            </w:r>
          </w:p>
          <w:p w14:paraId="2FA82C67" w14:textId="77777777" w:rsidR="004B189E" w:rsidRDefault="00F91F01" w:rsidP="00D84D8F">
            <w:pPr>
              <w:pStyle w:val="BoxListBullet"/>
            </w:pPr>
            <w:r w:rsidRPr="00D84D8F">
              <w:t>have no potential barriers which could inhibit their capacity to measurably improve their LLN skills, for instance, substance abuse or potential pr</w:t>
            </w:r>
            <w:r w:rsidR="004B189E" w:rsidRPr="00D84D8F">
              <w:t>olonged attendance difficulties</w:t>
            </w:r>
          </w:p>
          <w:p w14:paraId="61BC35D2" w14:textId="223EC929" w:rsidR="004B189E" w:rsidRDefault="00F91F01" w:rsidP="00D84D8F">
            <w:pPr>
              <w:pStyle w:val="BoxListBullet"/>
            </w:pPr>
            <w:r w:rsidRPr="00330A6F">
              <w:t xml:space="preserve">are only engaged in acceptable concurrent participation in other </w:t>
            </w:r>
            <w:r w:rsidR="00956392">
              <w:t>programmes</w:t>
            </w:r>
          </w:p>
          <w:p w14:paraId="0C69A14B" w14:textId="77777777" w:rsidR="00F91F01" w:rsidRDefault="00F91F01" w:rsidP="00D84D8F">
            <w:pPr>
              <w:pStyle w:val="BoxListBullet"/>
            </w:pPr>
            <w:r w:rsidRPr="00330A6F">
              <w:t>demonstrate they have the intention and capacity to meet attendance requirements.</w:t>
            </w:r>
          </w:p>
          <w:p w14:paraId="4B5D7238" w14:textId="77777777" w:rsidR="00F91F01" w:rsidRPr="00F3152C" w:rsidRDefault="00F91F01" w:rsidP="00330A6F">
            <w:pPr>
              <w:pStyle w:val="BoxText"/>
            </w:pPr>
          </w:p>
        </w:tc>
      </w:tr>
    </w:tbl>
    <w:p w14:paraId="4EB91991" w14:textId="77777777" w:rsidR="00F91F01" w:rsidRDefault="00F91F01" w:rsidP="00330A6F">
      <w:pPr>
        <w:pStyle w:val="Source"/>
        <w:keepLines/>
      </w:pPr>
      <w:r w:rsidRPr="00071B29">
        <w:t>Source:</w:t>
      </w:r>
      <w:r>
        <w:t xml:space="preserve"> SEE Provider Instructions</w:t>
      </w:r>
    </w:p>
    <w:p w14:paraId="2E16B461" w14:textId="0A7A956E" w:rsidR="00A449AB" w:rsidRDefault="008D0896" w:rsidP="00A449AB">
      <w:pPr>
        <w:pStyle w:val="BodyText"/>
      </w:pPr>
      <w:r>
        <w:t xml:space="preserve">The </w:t>
      </w:r>
      <w:r w:rsidR="00A449AB" w:rsidRPr="002A466D">
        <w:t xml:space="preserve">AMEP clients are eligible for referral to the </w:t>
      </w:r>
      <w:r w:rsidR="00147674">
        <w:t>SEE programme</w:t>
      </w:r>
      <w:r w:rsidR="00007C78">
        <w:t>,</w:t>
      </w:r>
      <w:r w:rsidR="00A449AB" w:rsidRPr="002A466D">
        <w:t xml:space="preserve"> </w:t>
      </w:r>
      <w:r w:rsidR="000D1869">
        <w:t>though</w:t>
      </w:r>
      <w:r w:rsidR="00A449AB" w:rsidRPr="002A466D">
        <w:t xml:space="preserve"> </w:t>
      </w:r>
      <w:r w:rsidR="002A466D" w:rsidRPr="000949F2">
        <w:t xml:space="preserve">their participation in </w:t>
      </w:r>
      <w:r>
        <w:t xml:space="preserve">the </w:t>
      </w:r>
      <w:r w:rsidR="002A466D" w:rsidRPr="000949F2">
        <w:t xml:space="preserve">AMEP </w:t>
      </w:r>
      <w:r w:rsidR="000D1869">
        <w:t>must</w:t>
      </w:r>
      <w:r w:rsidR="000D1869" w:rsidRPr="000949F2">
        <w:t xml:space="preserve"> </w:t>
      </w:r>
      <w:r w:rsidR="002A466D" w:rsidRPr="000949F2">
        <w:t xml:space="preserve">cease upon </w:t>
      </w:r>
      <w:r w:rsidR="00A449AB" w:rsidRPr="002A466D">
        <w:t>commencement</w:t>
      </w:r>
      <w:r w:rsidR="002A466D" w:rsidRPr="000949F2">
        <w:t xml:space="preserve"> in the </w:t>
      </w:r>
      <w:r w:rsidR="00147674">
        <w:t>SEE programme</w:t>
      </w:r>
      <w:r w:rsidR="00007C78">
        <w:t>.</w:t>
      </w:r>
    </w:p>
    <w:p w14:paraId="3812CBE0" w14:textId="77777777" w:rsidR="00A449AB" w:rsidRDefault="00A449AB" w:rsidP="00A449AB">
      <w:pPr>
        <w:pStyle w:val="BodyText"/>
      </w:pPr>
      <w:r>
        <w:t xml:space="preserve">Clients are not </w:t>
      </w:r>
      <w:r w:rsidR="002A466D">
        <w:t>eligible</w:t>
      </w:r>
      <w:r>
        <w:t xml:space="preserve"> for the programme if they:</w:t>
      </w:r>
    </w:p>
    <w:p w14:paraId="442413A9" w14:textId="77777777" w:rsidR="00233FF6" w:rsidRDefault="00A449AB" w:rsidP="006F30F7">
      <w:pPr>
        <w:pStyle w:val="ListDash"/>
      </w:pPr>
      <w:r>
        <w:t xml:space="preserve">are </w:t>
      </w:r>
      <w:r w:rsidR="00233FF6">
        <w:t>a full-time student at the time of referral</w:t>
      </w:r>
    </w:p>
    <w:p w14:paraId="37131895" w14:textId="47C14862" w:rsidR="00A449AB" w:rsidRDefault="009C3D10" w:rsidP="006F30F7">
      <w:pPr>
        <w:pStyle w:val="ListDash"/>
      </w:pPr>
      <w:r>
        <w:t xml:space="preserve">are undertaking either the Green Corps or New Enterprise Incentive Scheme (NEIS) </w:t>
      </w:r>
      <w:r w:rsidR="00956392">
        <w:t>programmes</w:t>
      </w:r>
    </w:p>
    <w:p w14:paraId="72A2CBF7" w14:textId="77777777" w:rsidR="009C3D10" w:rsidRDefault="009C3D10" w:rsidP="009C3D10">
      <w:pPr>
        <w:pStyle w:val="ListDash"/>
      </w:pPr>
      <w:r>
        <w:t>a</w:t>
      </w:r>
      <w:r w:rsidRPr="009C3D10">
        <w:t>re currently a secondary visa holder</w:t>
      </w:r>
      <w:r w:rsidR="002A466D">
        <w:t xml:space="preserve"> (dependent)</w:t>
      </w:r>
      <w:r w:rsidRPr="009C3D10">
        <w:t xml:space="preserve"> of a person w</w:t>
      </w:r>
      <w:r w:rsidR="002A466D">
        <w:t>ho holds a Skilled Migrant Visa</w:t>
      </w:r>
    </w:p>
    <w:p w14:paraId="6A77B9A4" w14:textId="77777777" w:rsidR="002A466D" w:rsidRDefault="002A466D" w:rsidP="002A466D">
      <w:pPr>
        <w:pStyle w:val="ListDash"/>
      </w:pPr>
      <w:r w:rsidRPr="002A466D">
        <w:t>are current holders of a Skilled Migrant Visa</w:t>
      </w:r>
    </w:p>
    <w:p w14:paraId="0E19AC9C" w14:textId="6A912583" w:rsidR="00233FF6" w:rsidRDefault="00233FF6" w:rsidP="009C3D10">
      <w:pPr>
        <w:pStyle w:val="ListDash"/>
      </w:pPr>
      <w:r>
        <w:t xml:space="preserve">have completed the programme (800 hours) </w:t>
      </w:r>
      <w:r w:rsidR="009C3D10" w:rsidRPr="009C3D10">
        <w:t xml:space="preserve">with the last </w:t>
      </w:r>
      <w:r w:rsidR="006A28F2">
        <w:t xml:space="preserve">programme </w:t>
      </w:r>
      <w:r w:rsidR="009C3D10" w:rsidRPr="009C3D10">
        <w:t xml:space="preserve">exit date </w:t>
      </w:r>
      <w:r>
        <w:t xml:space="preserve">within </w:t>
      </w:r>
      <w:r w:rsidR="00B868A0">
        <w:t>six</w:t>
      </w:r>
      <w:r>
        <w:t xml:space="preserve"> months of the referral date</w:t>
      </w:r>
      <w:r w:rsidR="002A466D">
        <w:t>, or</w:t>
      </w:r>
    </w:p>
    <w:p w14:paraId="09FFA2F5" w14:textId="663E7E32" w:rsidR="00FC3D56" w:rsidRDefault="00233FF6" w:rsidP="0065436D">
      <w:pPr>
        <w:pStyle w:val="ListDash"/>
      </w:pPr>
      <w:r>
        <w:t xml:space="preserve">have withdrawn or been suspended from the programme within 12 weeks of the </w:t>
      </w:r>
      <w:r w:rsidR="009C3D10">
        <w:t xml:space="preserve">exit </w:t>
      </w:r>
      <w:r>
        <w:t>date, except where the client is transferring to a new provider</w:t>
      </w:r>
      <w:sdt>
        <w:sdtPr>
          <w:id w:val="919223965"/>
          <w:citation/>
        </w:sdtPr>
        <w:sdtEndPr/>
        <w:sdtContent>
          <w:r w:rsidR="004C0F46" w:rsidRPr="007D4D5D">
            <w:fldChar w:fldCharType="begin"/>
          </w:r>
          <w:r w:rsidR="007D4D5D" w:rsidRPr="007D4D5D">
            <w:instrText xml:space="preserve">CITATION Dep15 \l 3081 </w:instrText>
          </w:r>
          <w:r w:rsidR="004C0F46" w:rsidRPr="007D4D5D">
            <w:fldChar w:fldCharType="separate"/>
          </w:r>
          <w:r w:rsidR="00B66B50">
            <w:rPr>
              <w:noProof/>
            </w:rPr>
            <w:t xml:space="preserve"> (Department of Industry, 2014)</w:t>
          </w:r>
          <w:r w:rsidR="004C0F46" w:rsidRPr="007D4D5D">
            <w:fldChar w:fldCharType="end"/>
          </w:r>
        </w:sdtContent>
      </w:sdt>
      <w:r w:rsidR="004C0F46" w:rsidRPr="007D4D5D">
        <w:t>.</w:t>
      </w:r>
    </w:p>
    <w:p w14:paraId="2F1B5304" w14:textId="024B2DAD" w:rsidR="002120F6" w:rsidRDefault="003D4499" w:rsidP="002120F6">
      <w:pPr>
        <w:pStyle w:val="Heading2"/>
        <w:numPr>
          <w:ilvl w:val="1"/>
          <w:numId w:val="20"/>
        </w:numPr>
      </w:pPr>
      <w:bookmarkStart w:id="20" w:name="_Toc420065434"/>
      <w:r>
        <w:t>Services provided under</w:t>
      </w:r>
      <w:r w:rsidR="002120F6">
        <w:t xml:space="preserve"> the </w:t>
      </w:r>
      <w:r w:rsidR="00147674">
        <w:t>SEE programme</w:t>
      </w:r>
      <w:bookmarkEnd w:id="20"/>
    </w:p>
    <w:p w14:paraId="464C9B44" w14:textId="19240072" w:rsidR="003D4499" w:rsidRDefault="00147674" w:rsidP="003D4499">
      <w:pPr>
        <w:pStyle w:val="BodyText"/>
      </w:pPr>
      <w:r>
        <w:t>SEE programme</w:t>
      </w:r>
      <w:r w:rsidR="006A28F2">
        <w:t xml:space="preserve"> </w:t>
      </w:r>
      <w:r w:rsidR="003D4499">
        <w:t xml:space="preserve">clients can access </w:t>
      </w:r>
      <w:r w:rsidR="003D4499" w:rsidRPr="003B3D0A">
        <w:t>up to 800 hours of free training which can be undertaken on a part-time (10 to 19 hours per week) or full-time (20 to 25 hours per week) basis over no more than a two year period</w:t>
      </w:r>
      <w:r w:rsidR="00971A47">
        <w:t>.</w:t>
      </w:r>
      <w:r w:rsidR="00971A47" w:rsidRPr="00971A47">
        <w:t xml:space="preserve"> </w:t>
      </w:r>
      <w:r w:rsidR="003D4499" w:rsidRPr="003B3D0A">
        <w:t xml:space="preserve">The </w:t>
      </w:r>
      <w:r w:rsidR="003D4499">
        <w:t xml:space="preserve">programme </w:t>
      </w:r>
      <w:r w:rsidR="003D4499" w:rsidRPr="003B3D0A">
        <w:t>provides initial, basic and advanced accredited English language training, as well as basic and advanced literacy and numeracy training.</w:t>
      </w:r>
      <w:r w:rsidR="00971A47" w:rsidRPr="00971A47">
        <w:t xml:space="preserve"> The number of </w:t>
      </w:r>
      <w:r w:rsidR="00367FA4">
        <w:t xml:space="preserve">training </w:t>
      </w:r>
      <w:r w:rsidR="00971A47" w:rsidRPr="00971A47">
        <w:t>hours undertaken</w:t>
      </w:r>
      <w:r w:rsidR="00971A47">
        <w:t xml:space="preserve"> weekly</w:t>
      </w:r>
      <w:r w:rsidR="00971A47" w:rsidRPr="00971A47">
        <w:t xml:space="preserve"> by each client is set out in </w:t>
      </w:r>
      <w:r w:rsidR="00367FA4">
        <w:t>their</w:t>
      </w:r>
      <w:r w:rsidR="00971A47" w:rsidRPr="00971A47">
        <w:t xml:space="preserve"> </w:t>
      </w:r>
      <w:r w:rsidR="00971A47">
        <w:t>Individual Training Plans (ITP).</w:t>
      </w:r>
    </w:p>
    <w:p w14:paraId="03ED5F3E" w14:textId="37FDA668" w:rsidR="002120F6" w:rsidRDefault="002120F6" w:rsidP="002120F6">
      <w:pPr>
        <w:pStyle w:val="BodyText"/>
      </w:pPr>
      <w:r>
        <w:t xml:space="preserve">Clients are offered one </w:t>
      </w:r>
      <w:r w:rsidR="00705A41">
        <w:t xml:space="preserve">or more </w:t>
      </w:r>
      <w:r>
        <w:t>of three streams of training, based on their assessment results:</w:t>
      </w:r>
    </w:p>
    <w:p w14:paraId="446B7157" w14:textId="1BC34F9D" w:rsidR="00F842C5" w:rsidRDefault="00F842C5" w:rsidP="00F842C5">
      <w:pPr>
        <w:pStyle w:val="ListDash"/>
      </w:pPr>
      <w:r w:rsidRPr="00D8282B">
        <w:rPr>
          <w:i/>
        </w:rPr>
        <w:t>Initial Language stream</w:t>
      </w:r>
      <w:r>
        <w:t xml:space="preserve"> – is designed solely for clients whose first language is not English and who at the time of the Pre Training Assessment (PTA), achieve Australian Core Skills Framework (ACSF) Level 1 or below in all ACSF reading and oral communication indicators.</w:t>
      </w:r>
    </w:p>
    <w:p w14:paraId="68E7E9B3" w14:textId="77777777" w:rsidR="002120F6" w:rsidRDefault="002120F6" w:rsidP="002120F6">
      <w:pPr>
        <w:pStyle w:val="ListDash"/>
      </w:pPr>
      <w:r w:rsidRPr="00D8282B">
        <w:rPr>
          <w:i/>
        </w:rPr>
        <w:t>Basic Language, Literacy and Numeracy stream</w:t>
      </w:r>
      <w:r>
        <w:t xml:space="preserve"> – accommodates the needs of both language and literacy/numeracy clients and focuses on consolidating functional LLN skills.</w:t>
      </w:r>
    </w:p>
    <w:p w14:paraId="23FD62BA" w14:textId="77777777" w:rsidR="002120F6" w:rsidRDefault="002120F6" w:rsidP="002120F6">
      <w:pPr>
        <w:pStyle w:val="ListDash"/>
      </w:pPr>
      <w:r w:rsidRPr="00D8282B">
        <w:rPr>
          <w:i/>
        </w:rPr>
        <w:t>Advanced Language, Literacy and Numeracy stream</w:t>
      </w:r>
      <w:r>
        <w:t xml:space="preserve"> – accommodates both language and literacy/numeracy clients who have higher ACSF scores than those in the Basic stream. These clients generally achieve between ACSF Levels 3 and 5 in reading, writing and oral communication.</w:t>
      </w:r>
    </w:p>
    <w:p w14:paraId="4AC14639" w14:textId="4A090C18" w:rsidR="002619D7" w:rsidRDefault="002619D7" w:rsidP="00AC718A">
      <w:pPr>
        <w:pStyle w:val="BodyText"/>
      </w:pPr>
      <w:r>
        <w:t>Finding employment after undertaking the program</w:t>
      </w:r>
      <w:r w:rsidR="00DB654F">
        <w:t>me</w:t>
      </w:r>
      <w:r>
        <w:t>’s training is the ultimate measure of success, however, attainment is also important. Attainment is measured by comparing the client’s LLN improvements in ACSF indicators from their PTA to the later assessments during and at the end of their training.</w:t>
      </w:r>
    </w:p>
    <w:p w14:paraId="73AFCB93" w14:textId="77777777" w:rsidR="00AC718A" w:rsidRDefault="00AC718A" w:rsidP="00AC718A">
      <w:pPr>
        <w:pStyle w:val="Heading3"/>
      </w:pPr>
      <w:r>
        <w:t>Programme delivery</w:t>
      </w:r>
    </w:p>
    <w:p w14:paraId="3A21C28F" w14:textId="77777777" w:rsidR="00AC718A" w:rsidRDefault="00AC718A" w:rsidP="00AC718A">
      <w:pPr>
        <w:pStyle w:val="BodyText"/>
      </w:pPr>
      <w:r>
        <w:t>SEE is delivered through Registered Training Organisations (RTOs) who are contracted to provide LLN training at sites within a specified Service Delivery Area (SDA, previously known as a Business Service Area). The programme provides for different service delivery options in remote areas. These include:</w:t>
      </w:r>
    </w:p>
    <w:p w14:paraId="3C31C10A" w14:textId="77777777" w:rsidR="00AC718A" w:rsidRDefault="00AC718A" w:rsidP="00AC718A">
      <w:pPr>
        <w:pStyle w:val="ListDash"/>
      </w:pPr>
      <w:r>
        <w:t>The ability for providers to scope potential communities to determine whether there is a need for LLN training and whether the delivery of the programme can be sustained.</w:t>
      </w:r>
    </w:p>
    <w:p w14:paraId="5BC77559" w14:textId="77777777" w:rsidR="00AC718A" w:rsidRDefault="00AC718A" w:rsidP="00AC718A">
      <w:pPr>
        <w:pStyle w:val="ListDash"/>
      </w:pPr>
      <w:r>
        <w:t>Community protocols in remote areas and Indigenous community engagement.</w:t>
      </w:r>
    </w:p>
    <w:p w14:paraId="0DEDB392" w14:textId="2E555D65" w:rsidR="00AC718A" w:rsidRDefault="00705A41" w:rsidP="00AC718A">
      <w:pPr>
        <w:pStyle w:val="ListDash"/>
      </w:pPr>
      <w:r>
        <w:t>A m</w:t>
      </w:r>
      <w:r w:rsidR="00AC718A">
        <w:t>ore flexible referral process.</w:t>
      </w:r>
    </w:p>
    <w:p w14:paraId="730EB284" w14:textId="77777777" w:rsidR="00AC718A" w:rsidRDefault="00AC718A" w:rsidP="00AC718A">
      <w:pPr>
        <w:pStyle w:val="ListDash"/>
      </w:pPr>
      <w:r>
        <w:t>The need to create strong working relationships with Remote Jobs and Community Programme providers.</w:t>
      </w:r>
    </w:p>
    <w:p w14:paraId="15E360ED" w14:textId="320995DF" w:rsidR="00AC718A" w:rsidRDefault="00AC718A" w:rsidP="00AC718A">
      <w:pPr>
        <w:pStyle w:val="BodyText"/>
      </w:pPr>
      <w:r>
        <w:t>Additionally, guidelines on remote service delivery recommend innovative and flexible practices when supporting client attendance, such as drawing on relationships with referral agencies and other service providers</w:t>
      </w:r>
      <w:r w:rsidR="000D1869">
        <w:t>,</w:t>
      </w:r>
      <w:r>
        <w:t xml:space="preserve"> and knowledge of social and cultural demographics within communities.</w:t>
      </w:r>
    </w:p>
    <w:p w14:paraId="4F0A1806" w14:textId="77777777" w:rsidR="00AC718A" w:rsidRDefault="00AC718A" w:rsidP="00AC718A">
      <w:pPr>
        <w:pStyle w:val="BodyText"/>
      </w:pPr>
      <w:r>
        <w:t>The programme requires that teachers and assessors must have a minimum three-year undergraduate degree and either:</w:t>
      </w:r>
    </w:p>
    <w:p w14:paraId="5148734C" w14:textId="0F645631" w:rsidR="00AC718A" w:rsidRDefault="00AC718A" w:rsidP="00AC718A">
      <w:pPr>
        <w:pStyle w:val="ListDash"/>
      </w:pPr>
      <w:r>
        <w:t>a Certificate IV in Training and Assessment and at least 100 hours teaching English as a Second Language (ESL) or adult literacy/numeracy</w:t>
      </w:r>
      <w:r w:rsidR="00BE384D">
        <w:t>,</w:t>
      </w:r>
      <w:r>
        <w:t xml:space="preserve"> or</w:t>
      </w:r>
    </w:p>
    <w:p w14:paraId="637C11A2" w14:textId="174B550B" w:rsidR="00AC718A" w:rsidRDefault="00AC718A" w:rsidP="00AC718A">
      <w:pPr>
        <w:pStyle w:val="ListDash"/>
      </w:pPr>
      <w:r>
        <w:t>a specialist adult literacy qualifications</w:t>
      </w:r>
      <w:r w:rsidR="00BE384D">
        <w:t>,</w:t>
      </w:r>
      <w:r>
        <w:t xml:space="preserve"> or</w:t>
      </w:r>
    </w:p>
    <w:p w14:paraId="29BD6AB1" w14:textId="77777777" w:rsidR="00AC718A" w:rsidRDefault="00AC718A" w:rsidP="00AC718A">
      <w:pPr>
        <w:pStyle w:val="ListDash"/>
      </w:pPr>
      <w:r>
        <w:t>a recognised specialist TESOL qualification.</w:t>
      </w:r>
    </w:p>
    <w:p w14:paraId="7FEDF755" w14:textId="5B1A4A13" w:rsidR="00EE7926" w:rsidRDefault="00AC718A" w:rsidP="00AC718A">
      <w:pPr>
        <w:pStyle w:val="BodyText"/>
      </w:pPr>
      <w:r>
        <w:t>In remote SDAs, where providers face a shortage of teachers and assessors meeting these minimum requirements, an application for a waiver may be made.</w:t>
      </w:r>
    </w:p>
    <w:p w14:paraId="7E534D88" w14:textId="77777777" w:rsidR="002619D7" w:rsidRDefault="002619D7" w:rsidP="00DA075E">
      <w:pPr>
        <w:pStyle w:val="Heading3"/>
      </w:pPr>
      <w:bookmarkStart w:id="21" w:name="_Ref408510723"/>
      <w:r>
        <w:t>Training delivery</w:t>
      </w:r>
      <w:bookmarkEnd w:id="21"/>
    </w:p>
    <w:p w14:paraId="5CD24687" w14:textId="2ED20BC9" w:rsidR="00BA1F62" w:rsidRDefault="00276A03" w:rsidP="00E7051B">
      <w:pPr>
        <w:pStyle w:val="BodyText"/>
        <w:keepNext/>
      </w:pPr>
      <w:r>
        <w:t>SEE programme training</w:t>
      </w:r>
      <w:r w:rsidR="00F842C5">
        <w:t xml:space="preserve"> is delivered through</w:t>
      </w:r>
      <w:r w:rsidR="00BA1F62">
        <w:t>:</w:t>
      </w:r>
    </w:p>
    <w:p w14:paraId="09E88715" w14:textId="4891C59E" w:rsidR="00BA1F62" w:rsidRDefault="00F842C5" w:rsidP="00E7051B">
      <w:pPr>
        <w:pStyle w:val="ListDash"/>
        <w:keepNext/>
      </w:pPr>
      <w:r>
        <w:t xml:space="preserve">face-to-face classes </w:t>
      </w:r>
    </w:p>
    <w:p w14:paraId="3892E288" w14:textId="718BB13B" w:rsidR="00BA1F62" w:rsidRDefault="00F842C5" w:rsidP="00E7051B">
      <w:pPr>
        <w:pStyle w:val="ListDash"/>
        <w:keepNext/>
      </w:pPr>
      <w:r>
        <w:t>small group training classes</w:t>
      </w:r>
    </w:p>
    <w:p w14:paraId="76095431" w14:textId="77777777" w:rsidR="00BA1F62" w:rsidRDefault="00BA1F62" w:rsidP="00E7051B">
      <w:pPr>
        <w:pStyle w:val="ListDash"/>
        <w:keepNext/>
      </w:pPr>
      <w:r>
        <w:t>distance mode</w:t>
      </w:r>
    </w:p>
    <w:p w14:paraId="5EEFE55E" w14:textId="77777777" w:rsidR="00BA1F62" w:rsidRDefault="00BA1F62" w:rsidP="00E7051B">
      <w:pPr>
        <w:pStyle w:val="ListDash"/>
        <w:keepNext/>
      </w:pPr>
      <w:r>
        <w:t>mixed mode.</w:t>
      </w:r>
    </w:p>
    <w:p w14:paraId="343F33DF" w14:textId="77777777" w:rsidR="00F842C5" w:rsidRDefault="00F842C5" w:rsidP="00E7051B">
      <w:pPr>
        <w:pStyle w:val="BodyText"/>
        <w:keepNext/>
      </w:pPr>
      <w:r>
        <w:t xml:space="preserve">In addition, participants are eligible to participate in work experience during their </w:t>
      </w:r>
      <w:r w:rsidR="00583A25">
        <w:t>training</w:t>
      </w:r>
      <w:r>
        <w:t>.</w:t>
      </w:r>
    </w:p>
    <w:p w14:paraId="77B5BAFD" w14:textId="77777777" w:rsidR="00BA1F62" w:rsidRDefault="00BA1F62" w:rsidP="00D84D8F">
      <w:pPr>
        <w:pStyle w:val="Heading5"/>
      </w:pPr>
      <w:r>
        <w:t>Face-to-face delivery</w:t>
      </w:r>
    </w:p>
    <w:p w14:paraId="11D378F8" w14:textId="77777777" w:rsidR="00F842C5" w:rsidRDefault="00F842C5" w:rsidP="00F842C5">
      <w:pPr>
        <w:pStyle w:val="BodyText"/>
      </w:pPr>
      <w:r>
        <w:t xml:space="preserve">Face-to-face delivery is standard training usually delivered via teacher contact in </w:t>
      </w:r>
      <w:r w:rsidR="00B868A0">
        <w:t xml:space="preserve">a </w:t>
      </w:r>
      <w:r>
        <w:t>classroom with a maximum of 20 clients per class, or by other electronic means such as video conferencing (Department of Industry</w:t>
      </w:r>
      <w:r w:rsidRPr="00C31CC0">
        <w:t xml:space="preserve"> 2013b</w:t>
      </w:r>
      <w:r>
        <w:t>).</w:t>
      </w:r>
    </w:p>
    <w:p w14:paraId="78D47BB6" w14:textId="77777777" w:rsidR="00BA1F62" w:rsidRDefault="00BA1F62" w:rsidP="00D84D8F">
      <w:pPr>
        <w:pStyle w:val="Heading5"/>
      </w:pPr>
      <w:r w:rsidRPr="00971A47">
        <w:t>Small Group Training</w:t>
      </w:r>
    </w:p>
    <w:p w14:paraId="0A9AE91C" w14:textId="77777777" w:rsidR="00CF5F46" w:rsidRDefault="00CF5F46" w:rsidP="00CF5F46">
      <w:pPr>
        <w:pStyle w:val="BodyText"/>
      </w:pPr>
      <w:r w:rsidRPr="00971A47">
        <w:t>Small Group Training</w:t>
      </w:r>
      <w:r>
        <w:t xml:space="preserve"> (SGT) differs from standard </w:t>
      </w:r>
      <w:r w:rsidRPr="007A411F">
        <w:t xml:space="preserve">face-to-face </w:t>
      </w:r>
      <w:r>
        <w:t xml:space="preserve">training by restricting </w:t>
      </w:r>
      <w:r w:rsidRPr="00971A47">
        <w:t>class size to no more than five individuals</w:t>
      </w:r>
      <w:r>
        <w:t xml:space="preserve"> (Department of Industry</w:t>
      </w:r>
      <w:r w:rsidRPr="00C31CC0">
        <w:t xml:space="preserve"> 2013b</w:t>
      </w:r>
      <w:r>
        <w:t>). SG</w:t>
      </w:r>
      <w:r w:rsidRPr="00971A47">
        <w:t xml:space="preserve">T allows participants who are uncomfortable or struggling in a larger class to build their confidence in a smaller class, before returning to </w:t>
      </w:r>
      <w:r w:rsidRPr="004011F0">
        <w:t xml:space="preserve">larger classes. </w:t>
      </w:r>
    </w:p>
    <w:p w14:paraId="73ED918A" w14:textId="400A4629" w:rsidR="00CF5F46" w:rsidRDefault="00CF5F46" w:rsidP="00CF5F46">
      <w:pPr>
        <w:pStyle w:val="BodyText"/>
      </w:pPr>
      <w:r w:rsidRPr="004011F0">
        <w:t xml:space="preserve">SGT </w:t>
      </w:r>
      <w:r>
        <w:t>can</w:t>
      </w:r>
      <w:r w:rsidRPr="004011F0">
        <w:t xml:space="preserve"> be undertaken for the first </w:t>
      </w:r>
      <w:r w:rsidR="00604F47">
        <w:t>20</w:t>
      </w:r>
      <w:r w:rsidR="00705A41">
        <w:t xml:space="preserve"> </w:t>
      </w:r>
      <w:r w:rsidRPr="004011F0">
        <w:t>hours of training</w:t>
      </w:r>
      <w:r w:rsidR="00BE384D">
        <w:t>,</w:t>
      </w:r>
      <w:r w:rsidRPr="004011F0">
        <w:t xml:space="preserve"> however after the </w:t>
      </w:r>
      <w:r w:rsidR="00604F47">
        <w:t>20</w:t>
      </w:r>
      <w:r w:rsidR="00604F47" w:rsidRPr="004011F0">
        <w:t xml:space="preserve"> </w:t>
      </w:r>
      <w:r w:rsidRPr="004011F0">
        <w:t xml:space="preserve">hours of SGT, clients must commence in </w:t>
      </w:r>
      <w:r>
        <w:t>standard</w:t>
      </w:r>
      <w:r w:rsidRPr="004011F0">
        <w:t xml:space="preserve"> training</w:t>
      </w:r>
      <w:r>
        <w:t xml:space="preserve"> (Department of Industry</w:t>
      </w:r>
      <w:r w:rsidRPr="00C31CC0">
        <w:t xml:space="preserve"> 2013b</w:t>
      </w:r>
      <w:r>
        <w:t>)</w:t>
      </w:r>
      <w:r w:rsidRPr="004011F0">
        <w:t>.</w:t>
      </w:r>
    </w:p>
    <w:p w14:paraId="7BF54813" w14:textId="77777777" w:rsidR="00BA1F62" w:rsidRDefault="00BA1F62" w:rsidP="00D84D8F">
      <w:pPr>
        <w:pStyle w:val="Heading5"/>
      </w:pPr>
      <w:r>
        <w:t>Distance mode</w:t>
      </w:r>
    </w:p>
    <w:p w14:paraId="3F5F8745" w14:textId="77777777" w:rsidR="00705A41" w:rsidRDefault="00F842C5" w:rsidP="00F842C5">
      <w:pPr>
        <w:pStyle w:val="BodyText"/>
      </w:pPr>
      <w:r>
        <w:t>Distance</w:t>
      </w:r>
      <w:r w:rsidR="00BA1F62">
        <w:t xml:space="preserve"> </w:t>
      </w:r>
      <w:r>
        <w:t>mode provision is intended to service</w:t>
      </w:r>
      <w:r w:rsidR="00705A41">
        <w:t>:</w:t>
      </w:r>
    </w:p>
    <w:p w14:paraId="56A25A19" w14:textId="2F278406" w:rsidR="00705A41" w:rsidRDefault="00F842C5" w:rsidP="00E8274A">
      <w:pPr>
        <w:pStyle w:val="ListDash"/>
      </w:pPr>
      <w:r>
        <w:t>clients in rural and remote areas who cannot easily access face-to-face training delivery</w:t>
      </w:r>
    </w:p>
    <w:p w14:paraId="00349E28" w14:textId="73222EFA" w:rsidR="00705A41" w:rsidRDefault="00705A41" w:rsidP="00E8274A">
      <w:pPr>
        <w:pStyle w:val="ListDash"/>
      </w:pPr>
      <w:r>
        <w:t>clients with disability</w:t>
      </w:r>
    </w:p>
    <w:p w14:paraId="6967E31E" w14:textId="15C1DC01" w:rsidR="00705A41" w:rsidRDefault="00705A41" w:rsidP="00E8274A">
      <w:pPr>
        <w:pStyle w:val="ListDash"/>
      </w:pPr>
      <w:r>
        <w:t>clients with primary caring responsibilities which preclude classroom attendance.</w:t>
      </w:r>
    </w:p>
    <w:p w14:paraId="0BDB054E" w14:textId="01711CEB" w:rsidR="00B868A0" w:rsidRDefault="00705A41">
      <w:pPr>
        <w:pStyle w:val="BodyText"/>
      </w:pPr>
      <w:r>
        <w:t>C</w:t>
      </w:r>
      <w:r w:rsidR="00B868A0">
        <w:t xml:space="preserve">lients may receive all 800 hours of training by distance provision. </w:t>
      </w:r>
      <w:r>
        <w:t>Distance mode training can only be delivered by designated national distance providers.</w:t>
      </w:r>
    </w:p>
    <w:p w14:paraId="6C673350" w14:textId="4B1AD804" w:rsidR="00F842C5" w:rsidRDefault="00BA1F62" w:rsidP="00F842C5">
      <w:pPr>
        <w:pStyle w:val="BodyText"/>
      </w:pPr>
      <w:r>
        <w:t xml:space="preserve">Distance </w:t>
      </w:r>
      <w:r w:rsidR="00F842C5">
        <w:t>mode delivery providers must supplement training material sent to the participants with direct contact. This may include the use of telephone, computer web cam, email or tutoring support from local tutors/mentors.</w:t>
      </w:r>
      <w:r w:rsidR="00B868A0">
        <w:t xml:space="preserve"> </w:t>
      </w:r>
    </w:p>
    <w:p w14:paraId="4E2863D2" w14:textId="77777777" w:rsidR="00BA1F62" w:rsidRDefault="00BA1F62" w:rsidP="00BA1F62">
      <w:pPr>
        <w:pStyle w:val="Heading5"/>
      </w:pPr>
      <w:r>
        <w:t>Mixed mode</w:t>
      </w:r>
    </w:p>
    <w:p w14:paraId="7E8A4E85" w14:textId="5FDDDB8E" w:rsidR="00F842C5" w:rsidRDefault="00F842C5" w:rsidP="00F842C5">
      <w:pPr>
        <w:pStyle w:val="BodyText"/>
      </w:pPr>
      <w:r w:rsidRPr="00367FA4">
        <w:t>M</w:t>
      </w:r>
      <w:r w:rsidRPr="00F419D0">
        <w:t xml:space="preserve">ixed mode is the delivery of training through a combination of </w:t>
      </w:r>
      <w:r>
        <w:t xml:space="preserve">both </w:t>
      </w:r>
      <w:r w:rsidRPr="00F419D0">
        <w:t>face-to-face and distance</w:t>
      </w:r>
      <w:r w:rsidR="00BA1F62">
        <w:t xml:space="preserve"> </w:t>
      </w:r>
      <w:r w:rsidRPr="00F419D0">
        <w:t>mode</w:t>
      </w:r>
      <w:r>
        <w:t xml:space="preserve"> </w:t>
      </w:r>
      <w:r w:rsidRPr="00F419D0">
        <w:t>delivery</w:t>
      </w:r>
      <w:r>
        <w:t xml:space="preserve">. </w:t>
      </w:r>
      <w:r w:rsidRPr="00F419D0">
        <w:t xml:space="preserve">Mixed mode clients </w:t>
      </w:r>
      <w:r w:rsidR="00663BF8">
        <w:t>must complete</w:t>
      </w:r>
      <w:r w:rsidRPr="00F419D0">
        <w:t xml:space="preserve"> </w:t>
      </w:r>
      <w:r w:rsidR="007A411F">
        <w:t>30 hours of face</w:t>
      </w:r>
      <w:r w:rsidR="007A411F">
        <w:noBreakHyphen/>
        <w:t>to</w:t>
      </w:r>
      <w:r w:rsidR="007A411F">
        <w:noBreakHyphen/>
      </w:r>
      <w:r>
        <w:t xml:space="preserve">face delivery before commencing </w:t>
      </w:r>
      <w:r w:rsidRPr="00F419D0">
        <w:t>distance mode learning</w:t>
      </w:r>
      <w:r w:rsidR="00663BF8">
        <w:t xml:space="preserve">. The distance mode must not account for more than four consecutive weeks of </w:t>
      </w:r>
      <w:r w:rsidR="00276A03">
        <w:t>SEE programme training</w:t>
      </w:r>
      <w:r w:rsidR="00663BF8">
        <w:t xml:space="preserve"> and clients must not exceed 12 weeks of distance training within 800 hours of training</w:t>
      </w:r>
      <w:r>
        <w:t xml:space="preserve"> (Department of Industry</w:t>
      </w:r>
      <w:r w:rsidRPr="00C31CC0">
        <w:t xml:space="preserve"> 2013b</w:t>
      </w:r>
      <w:r>
        <w:t>)</w:t>
      </w:r>
      <w:r w:rsidRPr="00F419D0">
        <w:t xml:space="preserve">. </w:t>
      </w:r>
    </w:p>
    <w:p w14:paraId="1AF33F5A" w14:textId="77777777" w:rsidR="00BA1F62" w:rsidRPr="00F419D0" w:rsidRDefault="00BA1F62" w:rsidP="00D84D8F">
      <w:pPr>
        <w:pStyle w:val="Heading5"/>
      </w:pPr>
      <w:r w:rsidRPr="00BA1F62">
        <w:t>Work experience</w:t>
      </w:r>
    </w:p>
    <w:p w14:paraId="00D21D11" w14:textId="1531CA8B" w:rsidR="00752DBB" w:rsidRDefault="00F842C5" w:rsidP="00971A47">
      <w:pPr>
        <w:pStyle w:val="BodyText"/>
      </w:pPr>
      <w:r>
        <w:t xml:space="preserve">Work experience can </w:t>
      </w:r>
      <w:r w:rsidR="00752DBB">
        <w:t xml:space="preserve">be offered under the </w:t>
      </w:r>
      <w:r w:rsidR="00147674">
        <w:t>SEE programme</w:t>
      </w:r>
      <w:r w:rsidR="006A28F2">
        <w:t xml:space="preserve"> </w:t>
      </w:r>
      <w:r w:rsidR="00752DBB">
        <w:t>to provide</w:t>
      </w:r>
      <w:r>
        <w:t xml:space="preserve"> an opportunity for participants to gain practical experience and understanding of employers’ needs and expectations. It is intended to increase participants’ work-related skills and knowledge and, as a result, increase their future employability.</w:t>
      </w:r>
      <w:r w:rsidR="007A411F">
        <w:t xml:space="preserve"> </w:t>
      </w:r>
    </w:p>
    <w:p w14:paraId="17B1BF97" w14:textId="4D57306E" w:rsidR="00A44E14" w:rsidRDefault="00752DBB" w:rsidP="00971A47">
      <w:pPr>
        <w:pStyle w:val="BodyText"/>
      </w:pPr>
      <w:r>
        <w:t xml:space="preserve">Providers integrate </w:t>
      </w:r>
      <w:r w:rsidRPr="00752DBB">
        <w:t xml:space="preserve">appropriate LLN preparation </w:t>
      </w:r>
      <w:r w:rsidR="00BE384D">
        <w:t xml:space="preserve">prior to </w:t>
      </w:r>
      <w:r w:rsidR="00BE384D" w:rsidRPr="00752DBB">
        <w:t>work experience</w:t>
      </w:r>
      <w:r w:rsidRPr="00752DBB">
        <w:t xml:space="preserve"> and consolidat</w:t>
      </w:r>
      <w:r w:rsidR="00FF06F8">
        <w:t>e</w:t>
      </w:r>
      <w:r w:rsidRPr="00752DBB">
        <w:t xml:space="preserve"> </w:t>
      </w:r>
      <w:r w:rsidR="00C34945" w:rsidRPr="00752DBB">
        <w:t xml:space="preserve">learning </w:t>
      </w:r>
      <w:r w:rsidR="00C34945">
        <w:t>on completion</w:t>
      </w:r>
      <w:r>
        <w:t xml:space="preserve">. </w:t>
      </w:r>
      <w:r w:rsidR="007A411F">
        <w:t>Clients must complete 30 hours of Face to Face Delivery before commencing work experience and must not exceed 12 weeks of work experience within 800 hours of training.</w:t>
      </w:r>
    </w:p>
    <w:p w14:paraId="190FAFFE" w14:textId="77777777" w:rsidR="002120F6" w:rsidRDefault="002120F6" w:rsidP="003D4499">
      <w:pPr>
        <w:pStyle w:val="Heading3"/>
      </w:pPr>
      <w:r w:rsidRPr="00884ABC">
        <w:t>Referral pathways</w:t>
      </w:r>
    </w:p>
    <w:p w14:paraId="09DF61BB" w14:textId="6B6F0CA7" w:rsidR="0075310F" w:rsidRDefault="00433D78" w:rsidP="002120F6">
      <w:pPr>
        <w:pStyle w:val="BodyText"/>
      </w:pPr>
      <w:r>
        <w:t>Centrelink</w:t>
      </w:r>
      <w:r w:rsidR="002120F6">
        <w:t>, Job Services Australia</w:t>
      </w:r>
      <w:r>
        <w:t xml:space="preserve"> providers</w:t>
      </w:r>
      <w:r w:rsidR="002120F6">
        <w:t xml:space="preserve">, Remote Jobs and Communities </w:t>
      </w:r>
      <w:r w:rsidR="00606B27">
        <w:t>Programme (RJCP) p</w:t>
      </w:r>
      <w:r w:rsidR="002120F6">
        <w:t xml:space="preserve">roviders </w:t>
      </w:r>
      <w:r w:rsidR="00705A41">
        <w:t xml:space="preserve">and </w:t>
      </w:r>
      <w:r w:rsidR="00705A41" w:rsidRPr="00705A41">
        <w:t xml:space="preserve">Disability Employment Service (DES) providers </w:t>
      </w:r>
      <w:r w:rsidR="002120F6">
        <w:t>are collectively known as Referring Agencies (RAs). After determining a job seeker’s eligibility and obtaining their agreement, the RA is required to make an appointment for a Pre-Training Assessment (PTA) on the job seeker’s behalf with the provider. The RA confirms the appointment details after discussion with the provider and advises the job seeker.</w:t>
      </w:r>
    </w:p>
    <w:p w14:paraId="59B4F279" w14:textId="3233F8A9" w:rsidR="001E6C14" w:rsidRDefault="00147674" w:rsidP="001E6C14">
      <w:pPr>
        <w:pStyle w:val="Heading2"/>
        <w:numPr>
          <w:ilvl w:val="1"/>
          <w:numId w:val="20"/>
        </w:numPr>
      </w:pPr>
      <w:bookmarkStart w:id="22" w:name="_Ref408574647"/>
      <w:bookmarkStart w:id="23" w:name="_Toc420065435"/>
      <w:r>
        <w:t>SEE programme</w:t>
      </w:r>
      <w:r w:rsidR="006A28F2">
        <w:t xml:space="preserve"> </w:t>
      </w:r>
      <w:r w:rsidR="001E6C14">
        <w:t>curriculum</w:t>
      </w:r>
      <w:bookmarkEnd w:id="22"/>
      <w:bookmarkEnd w:id="23"/>
    </w:p>
    <w:p w14:paraId="0DC7029C" w14:textId="5D3CC913" w:rsidR="00433D78" w:rsidRDefault="00433D78" w:rsidP="00433D78">
      <w:pPr>
        <w:pStyle w:val="BodyText"/>
      </w:pPr>
      <w:r>
        <w:t xml:space="preserve">The </w:t>
      </w:r>
      <w:r w:rsidR="00147674">
        <w:t>SEE programme</w:t>
      </w:r>
      <w:r w:rsidR="006A28F2">
        <w:t xml:space="preserve"> </w:t>
      </w:r>
      <w:r>
        <w:t>does not mandate a curriculum</w:t>
      </w:r>
      <w:r w:rsidR="00F842C5">
        <w:t xml:space="preserve"> in order</w:t>
      </w:r>
      <w:r>
        <w:t xml:space="preserve"> to allow </w:t>
      </w:r>
      <w:r w:rsidR="001F42CA">
        <w:t xml:space="preserve">SEE </w:t>
      </w:r>
      <w:r>
        <w:t xml:space="preserve">providers the flexibility to address the needs of individual clients and deliver training that is contextualised to local needs. </w:t>
      </w:r>
      <w:r w:rsidR="001F42CA">
        <w:t>SEE p</w:t>
      </w:r>
      <w:r>
        <w:t xml:space="preserve">roviders are required to be a Registered Training Organisation </w:t>
      </w:r>
      <w:r w:rsidR="00FF06F8">
        <w:t xml:space="preserve">(RTO) </w:t>
      </w:r>
      <w:r>
        <w:t xml:space="preserve">and to have within their scope of training </w:t>
      </w:r>
      <w:r w:rsidR="00FF06F8">
        <w:t xml:space="preserve">the </w:t>
      </w:r>
      <w:r>
        <w:t>relevant accredited training, such as the Foundation Skills Training Package or the Certificate in General Education for Adults (CGEA).</w:t>
      </w:r>
    </w:p>
    <w:p w14:paraId="26BBD305" w14:textId="7FFACCB8" w:rsidR="00433D78" w:rsidRDefault="00433D78" w:rsidP="00433D78">
      <w:pPr>
        <w:pStyle w:val="BodyText"/>
      </w:pPr>
      <w:r>
        <w:t xml:space="preserve">Other accredited training for LLN is also acceptable; this may include the Certificate in Initial Adult Literacy and Numeracy or the Certificate in Skills for Vocational Pathways (CSVP). </w:t>
      </w:r>
      <w:r w:rsidR="00A44A8F">
        <w:t>SEE providers</w:t>
      </w:r>
      <w:r>
        <w:t xml:space="preserve"> may also use the Course in Preliminary Spoken and Written English or the Certificate in Spoken and Written English (CSWE, the same curriculum </w:t>
      </w:r>
      <w:r w:rsidR="007C6D56">
        <w:t xml:space="preserve">framework </w:t>
      </w:r>
      <w:r>
        <w:t>used in the AMEP).</w:t>
      </w:r>
    </w:p>
    <w:p w14:paraId="0E9B3113" w14:textId="03960002" w:rsidR="00433D78" w:rsidRDefault="00433D78" w:rsidP="00433D78">
      <w:pPr>
        <w:pStyle w:val="BodyText"/>
      </w:pPr>
      <w:r>
        <w:t xml:space="preserve">Use of accredited training curriculum may be influenced by foundation skills curricula commonly used in the different states and territories based on their arrangements for funding of foundation skills. The Certificate in Applied Vocational Study Skills or the </w:t>
      </w:r>
      <w:r w:rsidRPr="00CF7E2A">
        <w:t xml:space="preserve">Course in Underpinning Skills for Industry Qualifications </w:t>
      </w:r>
      <w:r>
        <w:t xml:space="preserve">(USIQ) are commonly used in Western Australia, while the CSWE </w:t>
      </w:r>
      <w:r w:rsidR="00D10267">
        <w:t xml:space="preserve">curriculum framework </w:t>
      </w:r>
      <w:r>
        <w:t xml:space="preserve">is more widely used in the ACT. Victorian </w:t>
      </w:r>
      <w:r w:rsidR="00901487">
        <w:t xml:space="preserve">SEE </w:t>
      </w:r>
      <w:r>
        <w:t xml:space="preserve">providers may be more likely to use the CGEA while NSW </w:t>
      </w:r>
      <w:r w:rsidR="00901487">
        <w:t xml:space="preserve">SEE </w:t>
      </w:r>
      <w:r>
        <w:t>providers are more likely to provide the Certificate in Access to Work and Training as well as the CGEA and CSVP.</w:t>
      </w:r>
    </w:p>
    <w:p w14:paraId="72B6599A" w14:textId="2A9A6B8C" w:rsidR="00433D78" w:rsidRDefault="00433D78" w:rsidP="00433D78">
      <w:pPr>
        <w:pStyle w:val="BodyText"/>
      </w:pPr>
      <w:r>
        <w:t xml:space="preserve">The </w:t>
      </w:r>
      <w:r w:rsidR="00147674">
        <w:t>SEE programme</w:t>
      </w:r>
      <w:r w:rsidR="006A28F2">
        <w:t xml:space="preserve"> </w:t>
      </w:r>
      <w:r>
        <w:t xml:space="preserve">requires that progress and learning outcomes be recorded against the Australian Core Skills Framework (ACSF), a benchmarking tool that describes </w:t>
      </w:r>
      <w:r w:rsidRPr="0000232F">
        <w:t>the five core skills of learning, reading, writing, oral communication and numeracy</w:t>
      </w:r>
      <w:r>
        <w:t xml:space="preserve">. </w:t>
      </w:r>
      <w:r w:rsidRPr="0000232F">
        <w:t xml:space="preserve">The ACSF </w:t>
      </w:r>
      <w:r>
        <w:t>was d</w:t>
      </w:r>
      <w:r w:rsidRPr="0000232F">
        <w:t xml:space="preserve">eveloped to </w:t>
      </w:r>
      <w:r>
        <w:t>support</w:t>
      </w:r>
      <w:r w:rsidRPr="0000232F">
        <w:t xml:space="preserve"> a national approach to the identification and development of the core skills in diverse personal, community, work, and education and training contexts.</w:t>
      </w:r>
      <w:r>
        <w:t xml:space="preserve"> </w:t>
      </w:r>
      <w:r w:rsidRPr="0000232F">
        <w:t>A broad range of adult English LLN curricula have been mapped to the ACSF and it is also being used to identify, clarify and describe core skills requirements in national Training Package qualifications.</w:t>
      </w:r>
    </w:p>
    <w:p w14:paraId="58984F85" w14:textId="4371BF5B" w:rsidR="004C6370" w:rsidRDefault="00433D78" w:rsidP="00741221">
      <w:pPr>
        <w:pStyle w:val="BodyText"/>
      </w:pPr>
      <w:r>
        <w:t xml:space="preserve">SEE providers using accredited training are required by their conditions of registration to record </w:t>
      </w:r>
      <w:r w:rsidR="00221649">
        <w:t>client</w:t>
      </w:r>
      <w:r>
        <w:t xml:space="preserve"> outcomes against the course being delivered, such as the CGEA. This is in addition to recording progress and outcomes against the ACSF.</w:t>
      </w:r>
    </w:p>
    <w:p w14:paraId="662F94C7" w14:textId="773F4FD5" w:rsidR="00994AED" w:rsidRDefault="00890F56" w:rsidP="00994AED">
      <w:pPr>
        <w:pStyle w:val="Heading2"/>
        <w:numPr>
          <w:ilvl w:val="1"/>
          <w:numId w:val="20"/>
        </w:numPr>
      </w:pPr>
      <w:bookmarkStart w:id="24" w:name="_Toc420065436"/>
      <w:r>
        <w:t xml:space="preserve">SEE </w:t>
      </w:r>
      <w:r w:rsidR="00445018">
        <w:t>p</w:t>
      </w:r>
      <w:r>
        <w:t>roviders</w:t>
      </w:r>
      <w:bookmarkEnd w:id="24"/>
    </w:p>
    <w:p w14:paraId="4A6B92F9" w14:textId="1BCB53C0" w:rsidR="009C68C6" w:rsidRPr="00687D04" w:rsidRDefault="009C68C6" w:rsidP="009C68C6">
      <w:pPr>
        <w:pStyle w:val="BodyText"/>
      </w:pPr>
      <w:r w:rsidRPr="001617A7">
        <w:t xml:space="preserve">The </w:t>
      </w:r>
      <w:r w:rsidR="006E4B01">
        <w:t xml:space="preserve">SEE </w:t>
      </w:r>
      <w:r>
        <w:t xml:space="preserve">programme </w:t>
      </w:r>
      <w:r w:rsidRPr="001617A7">
        <w:t xml:space="preserve">is delivered nationally and is divided into SDAs to ensure national geographic coverage. This ensures the equitable spread of services rather than </w:t>
      </w:r>
      <w:r w:rsidR="006E4B01">
        <w:t xml:space="preserve">SEE </w:t>
      </w:r>
      <w:r w:rsidRPr="001617A7">
        <w:t>providers clustering services in high</w:t>
      </w:r>
      <w:r w:rsidR="00735BDD">
        <w:t>ly</w:t>
      </w:r>
      <w:r w:rsidRPr="001617A7">
        <w:t xml:space="preserve"> populated areas. These areas </w:t>
      </w:r>
      <w:r w:rsidR="00594EF8">
        <w:t>were</w:t>
      </w:r>
      <w:r w:rsidRPr="001617A7">
        <w:t xml:space="preserve"> mapped to align with the Employment Service Areas developed by the Department of </w:t>
      </w:r>
      <w:r w:rsidR="00594EF8">
        <w:t>Employment</w:t>
      </w:r>
      <w:r>
        <w:t>.</w:t>
      </w:r>
    </w:p>
    <w:p w14:paraId="1BF23DE4" w14:textId="77777777" w:rsidR="00994AED" w:rsidRDefault="00B32F66" w:rsidP="00994AED">
      <w:pPr>
        <w:pStyle w:val="BodyText"/>
      </w:pPr>
      <w:r>
        <w:fldChar w:fldCharType="begin"/>
      </w:r>
      <w:r>
        <w:instrText xml:space="preserve"> REF _Ref408503235 \h </w:instrText>
      </w:r>
      <w:r>
        <w:fldChar w:fldCharType="separate"/>
      </w:r>
      <w:r w:rsidR="00294A5A">
        <w:t xml:space="preserve">Figure </w:t>
      </w:r>
      <w:r w:rsidR="00294A5A">
        <w:rPr>
          <w:noProof/>
        </w:rPr>
        <w:t>1</w:t>
      </w:r>
      <w:r>
        <w:fldChar w:fldCharType="end"/>
      </w:r>
      <w:r>
        <w:t xml:space="preserve"> </w:t>
      </w:r>
      <w:r w:rsidR="00994AED">
        <w:t>provides an overview of SEE service provision in each state and territory. It indicates the number of SDAs and providers per jurisdiction.</w:t>
      </w:r>
    </w:p>
    <w:p w14:paraId="373D08BA" w14:textId="721EF870" w:rsidR="00DB74E2" w:rsidRDefault="00DB74E2">
      <w:pPr>
        <w:pStyle w:val="Caption"/>
      </w:pPr>
      <w:bookmarkStart w:id="25" w:name="_Ref408503235"/>
      <w:bookmarkStart w:id="26" w:name="_Toc420065461"/>
      <w:r>
        <w:t xml:space="preserve">Figure </w:t>
      </w:r>
      <w:r w:rsidR="006A2396">
        <w:fldChar w:fldCharType="begin"/>
      </w:r>
      <w:r w:rsidR="006A2396">
        <w:instrText xml:space="preserve"> SEQ Figure \* ARABIC </w:instrText>
      </w:r>
      <w:r w:rsidR="006A2396">
        <w:fldChar w:fldCharType="separate"/>
      </w:r>
      <w:r w:rsidR="00294A5A">
        <w:rPr>
          <w:noProof/>
        </w:rPr>
        <w:t>1</w:t>
      </w:r>
      <w:r w:rsidR="006A2396">
        <w:rPr>
          <w:noProof/>
        </w:rPr>
        <w:fldChar w:fldCharType="end"/>
      </w:r>
      <w:bookmarkEnd w:id="25"/>
      <w:r w:rsidRPr="004E0C91">
        <w:rPr>
          <w:b/>
          <w:color w:val="000080"/>
        </w:rPr>
        <w:tab/>
      </w:r>
      <w:r>
        <w:rPr>
          <w:rStyle w:val="CaptionLabel"/>
        </w:rPr>
        <w:t xml:space="preserve">Overview of </w:t>
      </w:r>
      <w:r w:rsidR="00147674">
        <w:rPr>
          <w:rStyle w:val="CaptionLabel"/>
        </w:rPr>
        <w:t xml:space="preserve">SEE </w:t>
      </w:r>
      <w:r w:rsidR="00096F64">
        <w:rPr>
          <w:rStyle w:val="CaptionLabel"/>
        </w:rPr>
        <w:t>providers</w:t>
      </w:r>
      <w:bookmarkEnd w:id="26"/>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DB74E2" w14:paraId="6B8FBB09" w14:textId="77777777" w:rsidTr="00330A6F">
        <w:trPr>
          <w:cantSplit/>
        </w:trPr>
        <w:tc>
          <w:tcPr>
            <w:tcW w:w="5000" w:type="pct"/>
          </w:tcPr>
          <w:p w14:paraId="3B84AA8D" w14:textId="77777777" w:rsidR="00DB74E2" w:rsidRDefault="00DB74E2" w:rsidP="00330A6F">
            <w:pPr>
              <w:pStyle w:val="SmallDeltasRightAligned"/>
              <w:keepNext/>
            </w:pPr>
            <w:r>
              <w:rPr>
                <w:noProof/>
                <w:lang w:eastAsia="en-AU"/>
              </w:rPr>
              <w:drawing>
                <wp:inline distT="0" distB="0" distL="0" distR="0" wp14:anchorId="454AC757" wp14:editId="60CE25FA">
                  <wp:extent cx="481585" cy="2346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363859" w14:paraId="14B348C0" w14:textId="77777777" w:rsidTr="00330A6F">
        <w:trPr>
          <w:cantSplit/>
        </w:trPr>
        <w:tc>
          <w:tcPr>
            <w:tcW w:w="5000" w:type="pct"/>
          </w:tcPr>
          <w:p w14:paraId="48DB009C" w14:textId="2FA1013A" w:rsidR="00363859" w:rsidRDefault="00363859" w:rsidP="00330A6F">
            <w:pPr>
              <w:pStyle w:val="Figure"/>
              <w:rPr>
                <w:noProof/>
                <w:lang w:eastAsia="en-AU"/>
              </w:rPr>
            </w:pPr>
            <w:r>
              <w:rPr>
                <w:noProof/>
                <w:lang w:eastAsia="en-AU"/>
              </w:rPr>
              <w:drawing>
                <wp:inline distT="0" distB="0" distL="0" distR="0" wp14:anchorId="50E0A02A" wp14:editId="582EFC40">
                  <wp:extent cx="4641215" cy="4525673"/>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3938" cy="4528328"/>
                          </a:xfrm>
                          <a:prstGeom prst="rect">
                            <a:avLst/>
                          </a:prstGeom>
                          <a:noFill/>
                        </pic:spPr>
                      </pic:pic>
                    </a:graphicData>
                  </a:graphic>
                </wp:inline>
              </w:drawing>
            </w:r>
          </w:p>
        </w:tc>
      </w:tr>
    </w:tbl>
    <w:p w14:paraId="76D6D74E" w14:textId="292DC252" w:rsidR="00DB74E2" w:rsidRPr="00B50A1B" w:rsidRDefault="00DB74E2" w:rsidP="00330A6F">
      <w:pPr>
        <w:pStyle w:val="Source"/>
        <w:rPr>
          <w:i/>
        </w:rPr>
      </w:pPr>
      <w:r>
        <w:t>S</w:t>
      </w:r>
      <w:r w:rsidRPr="00B50A1B">
        <w:t>ource:</w:t>
      </w:r>
      <w:r w:rsidRPr="00954EED">
        <w:t xml:space="preserve"> </w:t>
      </w:r>
      <w:r w:rsidR="00147674">
        <w:t>SEE programme</w:t>
      </w:r>
      <w:r w:rsidR="006A28F2">
        <w:t xml:space="preserve"> </w:t>
      </w:r>
      <w:r w:rsidR="00B32F66">
        <w:t>information</w:t>
      </w:r>
    </w:p>
    <w:p w14:paraId="2B0ECBB1" w14:textId="04918935" w:rsidR="00994AED" w:rsidRDefault="00994AED" w:rsidP="00994AED">
      <w:pPr>
        <w:pStyle w:val="BodyText"/>
      </w:pPr>
      <w:r w:rsidRPr="003B3D0A">
        <w:t xml:space="preserve">RTOs are contracted to deliver assessment and training services. All training delivered as part of the </w:t>
      </w:r>
      <w:r w:rsidR="00B05FA8">
        <w:t xml:space="preserve">programme </w:t>
      </w:r>
      <w:r w:rsidRPr="003B3D0A">
        <w:t xml:space="preserve">is accredited and RTOs must have the training curriculum in scope to continue delivery of the </w:t>
      </w:r>
      <w:r w:rsidR="00007C78">
        <w:t>programme.</w:t>
      </w:r>
    </w:p>
    <w:p w14:paraId="71A8FE9E" w14:textId="77777777" w:rsidR="00994AED" w:rsidRDefault="00994AED" w:rsidP="00994AED">
      <w:pPr>
        <w:pStyle w:val="BodyText"/>
      </w:pPr>
      <w:r>
        <w:t xml:space="preserve">The </w:t>
      </w:r>
      <w:r w:rsidR="00B05FA8">
        <w:t xml:space="preserve">programme </w:t>
      </w:r>
      <w:r>
        <w:t xml:space="preserve">has </w:t>
      </w:r>
      <w:r w:rsidRPr="003B3D0A">
        <w:t xml:space="preserve">the ability for assessment and training to be delivered by distance mode. The distance mode provider(s) also covers SDAs where there is no face-to-face provider contracted to deliver the </w:t>
      </w:r>
      <w:r w:rsidR="00B05FA8">
        <w:t xml:space="preserve">programme </w:t>
      </w:r>
      <w:r w:rsidRPr="003B3D0A">
        <w:t>in that area</w:t>
      </w:r>
      <w:r>
        <w:t>.</w:t>
      </w:r>
    </w:p>
    <w:p w14:paraId="7B3CF1E0" w14:textId="0A4AA450" w:rsidR="00994AED" w:rsidRDefault="00994AED" w:rsidP="00994AED">
      <w:pPr>
        <w:pStyle w:val="BodyText"/>
      </w:pPr>
      <w:r>
        <w:t xml:space="preserve">Aside from the </w:t>
      </w:r>
      <w:r w:rsidR="00735BDD">
        <w:t xml:space="preserve">key performance indicators </w:t>
      </w:r>
      <w:r>
        <w:t>(KPIs), other factors of performance will be taken into consideration when determining the length of the contract to be offered. Those components will include but are not limited to:</w:t>
      </w:r>
    </w:p>
    <w:p w14:paraId="6C180F97" w14:textId="551BE897" w:rsidR="00994AED" w:rsidRDefault="00994AED" w:rsidP="00994AED">
      <w:pPr>
        <w:pStyle w:val="ListDash"/>
      </w:pPr>
      <w:r>
        <w:t xml:space="preserve">The target cohort </w:t>
      </w:r>
      <w:r w:rsidR="006E4B01">
        <w:t xml:space="preserve">on which </w:t>
      </w:r>
      <w:r>
        <w:t>the provider has been focussing</w:t>
      </w:r>
      <w:r w:rsidR="00735BDD">
        <w:t>.</w:t>
      </w:r>
    </w:p>
    <w:p w14:paraId="721AFF60" w14:textId="24801BE9" w:rsidR="00994AED" w:rsidRDefault="00994AED" w:rsidP="00994AED">
      <w:pPr>
        <w:pStyle w:val="ListDash"/>
      </w:pPr>
      <w:r>
        <w:t>Whether the provider has been involved with any Innovative and Research Projects</w:t>
      </w:r>
      <w:r w:rsidR="00735BDD">
        <w:t>.</w:t>
      </w:r>
    </w:p>
    <w:p w14:paraId="10C3F8E5" w14:textId="1A241849" w:rsidR="00994AED" w:rsidRDefault="00994AED" w:rsidP="00994AED">
      <w:pPr>
        <w:pStyle w:val="ListDash"/>
      </w:pPr>
      <w:r>
        <w:t>The ability of the provider to deliver on strategies outlined in their tender response and ensure site operations are commenced within the stipulated timeframe</w:t>
      </w:r>
      <w:r w:rsidR="00735BDD">
        <w:t>.</w:t>
      </w:r>
    </w:p>
    <w:p w14:paraId="493015C6" w14:textId="77777777" w:rsidR="00994AED" w:rsidRPr="00414605" w:rsidRDefault="00994AED" w:rsidP="00994AED">
      <w:pPr>
        <w:pStyle w:val="ListDash"/>
      </w:pPr>
      <w:r>
        <w:t>Linkages to the local community and/or relationships with local referring agencies. Feedback on those relationships will be sought from the referring agencies.</w:t>
      </w:r>
    </w:p>
    <w:p w14:paraId="54C029B1" w14:textId="77777777" w:rsidR="00041D4B" w:rsidRDefault="00041D4B" w:rsidP="00041D4B">
      <w:pPr>
        <w:pStyle w:val="Heading2"/>
        <w:numPr>
          <w:ilvl w:val="1"/>
          <w:numId w:val="20"/>
        </w:numPr>
      </w:pPr>
      <w:bookmarkStart w:id="27" w:name="_Ref408565301"/>
      <w:bookmarkStart w:id="28" w:name="_Ref408615601"/>
      <w:bookmarkStart w:id="29" w:name="_Ref408663278"/>
      <w:bookmarkStart w:id="30" w:name="_Toc420065437"/>
      <w:r>
        <w:t>Funding model</w:t>
      </w:r>
      <w:bookmarkEnd w:id="27"/>
      <w:bookmarkEnd w:id="28"/>
      <w:bookmarkEnd w:id="29"/>
      <w:bookmarkEnd w:id="30"/>
    </w:p>
    <w:p w14:paraId="6B0C4031" w14:textId="34575737" w:rsidR="00F9420E" w:rsidRDefault="007B7EAC" w:rsidP="00041D4B">
      <w:pPr>
        <w:pStyle w:val="BodyText"/>
      </w:pPr>
      <w:r>
        <w:t xml:space="preserve">The </w:t>
      </w:r>
      <w:r w:rsidR="00147674">
        <w:t>SEE programme</w:t>
      </w:r>
      <w:r w:rsidR="006A28F2">
        <w:t xml:space="preserve"> </w:t>
      </w:r>
      <w:r>
        <w:t xml:space="preserve">is delivered and funded under a competitive tendering model. RTOs apply to deliver services in specified SDAs and bid to provide training at SDA-specified prices. </w:t>
      </w:r>
      <w:r w:rsidR="00802170">
        <w:t xml:space="preserve">Unlike the AMEP which is demand driven, </w:t>
      </w:r>
      <w:r w:rsidR="00147674">
        <w:t>SEE programme</w:t>
      </w:r>
      <w:r w:rsidR="00802170">
        <w:t xml:space="preserve"> funding is capped annually.</w:t>
      </w:r>
    </w:p>
    <w:p w14:paraId="50079049" w14:textId="535A02BD" w:rsidR="00153200" w:rsidRDefault="007B7EAC" w:rsidP="00041D4B">
      <w:pPr>
        <w:pStyle w:val="BodyText"/>
      </w:pPr>
      <w:r>
        <w:t>The</w:t>
      </w:r>
      <w:r w:rsidR="00F9420E">
        <w:t xml:space="preserve">re are two prices in the </w:t>
      </w:r>
      <w:r w:rsidR="00445018">
        <w:t>p</w:t>
      </w:r>
      <w:r w:rsidR="00F9420E">
        <w:t xml:space="preserve">rogramme. The first is for each </w:t>
      </w:r>
      <w:r>
        <w:t>PTA</w:t>
      </w:r>
      <w:r w:rsidR="00F9420E">
        <w:t xml:space="preserve"> delivered. The second is for each </w:t>
      </w:r>
      <w:r>
        <w:t xml:space="preserve">hour of training delivered per </w:t>
      </w:r>
      <w:r w:rsidR="00221649">
        <w:t>client</w:t>
      </w:r>
      <w:r>
        <w:t xml:space="preserve">. </w:t>
      </w:r>
    </w:p>
    <w:p w14:paraId="4D371D5B" w14:textId="0DFAEA85" w:rsidR="00A0589A" w:rsidRDefault="007B7EAC" w:rsidP="00994AED">
      <w:pPr>
        <w:pStyle w:val="BodyText"/>
      </w:pPr>
      <w:r>
        <w:t xml:space="preserve">Total </w:t>
      </w:r>
      <w:r w:rsidR="00147674">
        <w:t>SEE programme</w:t>
      </w:r>
      <w:r w:rsidR="006A28F2">
        <w:t xml:space="preserve"> </w:t>
      </w:r>
      <w:r>
        <w:t xml:space="preserve">funding is set in the annual </w:t>
      </w:r>
      <w:r w:rsidR="00096F64">
        <w:t>Australian Government</w:t>
      </w:r>
      <w:r>
        <w:t xml:space="preserve"> budget process. Successful tenders are given nominal budgets for each SDA </w:t>
      </w:r>
      <w:r w:rsidR="00735BDD">
        <w:t>in which they operate</w:t>
      </w:r>
      <w:r>
        <w:t xml:space="preserve"> based on anticipated demand in each SDA and the provider’s SDA-specific cont</w:t>
      </w:r>
      <w:r w:rsidR="00735BDD">
        <w:t>r</w:t>
      </w:r>
      <w:r>
        <w:t xml:space="preserve">acted prices. </w:t>
      </w:r>
      <w:r w:rsidR="00445018">
        <w:t xml:space="preserve">SEE </w:t>
      </w:r>
      <w:r>
        <w:t xml:space="preserve">providers are paid for </w:t>
      </w:r>
      <w:r w:rsidR="0090113B">
        <w:t>each S</w:t>
      </w:r>
      <w:r w:rsidR="00B70EC1">
        <w:t>D</w:t>
      </w:r>
      <w:r w:rsidR="0090113B">
        <w:t xml:space="preserve">A and </w:t>
      </w:r>
      <w:r>
        <w:t xml:space="preserve">hour of training delivered up to their nominal budget. When </w:t>
      </w:r>
      <w:r w:rsidR="006E4B01">
        <w:t xml:space="preserve">SEE </w:t>
      </w:r>
      <w:r>
        <w:t xml:space="preserve">providers forecast they will exceed their nominal budget they may request an increased allocation from the Department. </w:t>
      </w:r>
    </w:p>
    <w:p w14:paraId="566E07EB" w14:textId="11E787D6" w:rsidR="00AA7E1B" w:rsidRDefault="00AA7E1B" w:rsidP="00994AED">
      <w:pPr>
        <w:pStyle w:val="BodyText"/>
      </w:pPr>
      <w:r>
        <w:t xml:space="preserve">Expenditure under the </w:t>
      </w:r>
      <w:r w:rsidR="00147674">
        <w:t>SEE programme</w:t>
      </w:r>
      <w:r w:rsidR="006A28F2">
        <w:t xml:space="preserve"> </w:t>
      </w:r>
      <w:r>
        <w:t>in 2013-14 was $111 million; approximately 26,000 clients commenced in 2013-14.</w:t>
      </w:r>
    </w:p>
    <w:p w14:paraId="5632B6BC" w14:textId="77777777" w:rsidR="004C6370" w:rsidRPr="00741221" w:rsidRDefault="004C6370" w:rsidP="004C6370">
      <w:pPr>
        <w:pStyle w:val="Heading2"/>
      </w:pPr>
      <w:bookmarkStart w:id="31" w:name="_Toc420065438"/>
      <w:r>
        <w:t>Recent programme changes</w:t>
      </w:r>
      <w:bookmarkEnd w:id="31"/>
      <w:r>
        <w:t xml:space="preserve"> </w:t>
      </w:r>
    </w:p>
    <w:p w14:paraId="72992781" w14:textId="7A52E652" w:rsidR="004C6370" w:rsidRDefault="004C6370" w:rsidP="004C6370">
      <w:pPr>
        <w:pStyle w:val="BodyText"/>
      </w:pPr>
      <w:r>
        <w:t xml:space="preserve">The review of the LLNP prompted a series of programmatic changes primarily </w:t>
      </w:r>
      <w:r w:rsidR="00433D78">
        <w:t xml:space="preserve">related </w:t>
      </w:r>
      <w:r>
        <w:t>to programme delivery, flexibility in adapting training to client needs and programme administration.</w:t>
      </w:r>
      <w:r w:rsidR="00433D78">
        <w:t xml:space="preserve"> These changes were introduced with the </w:t>
      </w:r>
      <w:r w:rsidR="00147674">
        <w:t>SEE programme</w:t>
      </w:r>
      <w:r w:rsidR="006A28F2">
        <w:t xml:space="preserve"> </w:t>
      </w:r>
      <w:r w:rsidR="00433D78">
        <w:t>2013-2016 cont</w:t>
      </w:r>
      <w:r w:rsidR="00735BDD">
        <w:t>r</w:t>
      </w:r>
      <w:r w:rsidR="00433D78">
        <w:t>act.</w:t>
      </w:r>
    </w:p>
    <w:p w14:paraId="788D7E90" w14:textId="7AF03514" w:rsidR="00433D78" w:rsidRDefault="00433D78" w:rsidP="00433D78">
      <w:pPr>
        <w:pStyle w:val="BodyText"/>
      </w:pPr>
      <w:r>
        <w:t xml:space="preserve">There has been an increase in the number of </w:t>
      </w:r>
      <w:r w:rsidR="00147674">
        <w:t>SEE programme</w:t>
      </w:r>
      <w:r w:rsidR="006A28F2">
        <w:t xml:space="preserve"> </w:t>
      </w:r>
      <w:r>
        <w:t xml:space="preserve">providers, and there are now more locations in which one or more </w:t>
      </w:r>
      <w:r w:rsidR="006E4B01">
        <w:t xml:space="preserve">SEE </w:t>
      </w:r>
      <w:r>
        <w:t xml:space="preserve">providers compete for clients. Flexibility in delivery has been increased through the removal of the requirement for blocks of training in 200 hours and a greater emphasis on </w:t>
      </w:r>
      <w:r w:rsidR="006E4B01">
        <w:t xml:space="preserve">SEE </w:t>
      </w:r>
      <w:r>
        <w:t xml:space="preserve">providers contextualising their training to local requirements and the needs of their </w:t>
      </w:r>
      <w:r w:rsidR="00221649">
        <w:t>client</w:t>
      </w:r>
      <w:r>
        <w:t>s.</w:t>
      </w:r>
    </w:p>
    <w:p w14:paraId="673D6082" w14:textId="6CDEC0D4" w:rsidR="00433D78" w:rsidRPr="004E772F" w:rsidRDefault="00433D78" w:rsidP="00433D78">
      <w:pPr>
        <w:pStyle w:val="BodyText"/>
      </w:pPr>
      <w:r>
        <w:t xml:space="preserve">Requirements for teacher and assessor qualifications were modified to maintain support for high quality accredited training delivery while ensuring that RTOs could access a sufficiently large pool of teaching staff to meet demand for training. There was also some modification to the wording of KPIs and they were more closely aligned to the programme’s objectives of increasing the LLN skill levels of clients. </w:t>
      </w:r>
    </w:p>
    <w:p w14:paraId="38AC415B" w14:textId="77777777" w:rsidR="004C6370" w:rsidRDefault="004C6370" w:rsidP="004C6370">
      <w:pPr>
        <w:pStyle w:val="BodyText"/>
      </w:pPr>
      <w:r>
        <w:t xml:space="preserve">Details of administrative changes are outlined in </w:t>
      </w:r>
      <w:r>
        <w:fldChar w:fldCharType="begin"/>
      </w:r>
      <w:r>
        <w:instrText xml:space="preserve"> REF _Ref401224190 \h </w:instrText>
      </w:r>
      <w:r>
        <w:fldChar w:fldCharType="separate"/>
      </w:r>
      <w:r w:rsidR="00294A5A">
        <w:t xml:space="preserve">Table </w:t>
      </w:r>
      <w:r w:rsidR="00294A5A">
        <w:rPr>
          <w:noProof/>
        </w:rPr>
        <w:t>2</w:t>
      </w:r>
      <w:r>
        <w:fldChar w:fldCharType="end"/>
      </w:r>
      <w:r>
        <w:t xml:space="preserve"> below.</w:t>
      </w:r>
    </w:p>
    <w:p w14:paraId="435409A3" w14:textId="77777777" w:rsidR="004C6370" w:rsidRDefault="004C6370" w:rsidP="00433D78">
      <w:pPr>
        <w:pStyle w:val="Caption"/>
        <w:ind w:left="-1701"/>
      </w:pPr>
      <w:bookmarkStart w:id="32" w:name="_Ref401224190"/>
      <w:bookmarkStart w:id="33" w:name="_Toc420065498"/>
      <w:r>
        <w:t xml:space="preserve">Table </w:t>
      </w:r>
      <w:fldSimple w:instr=" SEQ Table \* MERGEFORMAT ">
        <w:r w:rsidR="00294A5A">
          <w:rPr>
            <w:noProof/>
          </w:rPr>
          <w:t>2</w:t>
        </w:r>
      </w:fldSimple>
      <w:bookmarkEnd w:id="32"/>
      <w:r w:rsidRPr="00CF0F35">
        <w:rPr>
          <w:b/>
          <w:color w:val="000000"/>
        </w:rPr>
        <w:tab/>
      </w:r>
      <w:r>
        <w:rPr>
          <w:b/>
          <w:color w:val="000000"/>
        </w:rPr>
        <w:t>From LLNP to SEE: programme administrative changes for 2013-16</w:t>
      </w:r>
      <w:bookmarkEnd w:id="33"/>
    </w:p>
    <w:tbl>
      <w:tblPr>
        <w:tblW w:w="9923" w:type="dxa"/>
        <w:tblInd w:w="-2552"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1701"/>
        <w:gridCol w:w="8222"/>
      </w:tblGrid>
      <w:tr w:rsidR="004C6370" w14:paraId="2FEF7118" w14:textId="77777777" w:rsidTr="00433D78">
        <w:trPr>
          <w:cantSplit/>
        </w:trPr>
        <w:tc>
          <w:tcPr>
            <w:tcW w:w="1701" w:type="dxa"/>
            <w:tcBorders>
              <w:top w:val="nil"/>
            </w:tcBorders>
            <w:shd w:val="solid" w:color="9757A6" w:fill="auto"/>
            <w:vAlign w:val="center"/>
          </w:tcPr>
          <w:p w14:paraId="0A029A4B" w14:textId="77777777" w:rsidR="004C6370" w:rsidRDefault="004C6370" w:rsidP="00FE0356">
            <w:pPr>
              <w:pStyle w:val="Tablecolumnheadings"/>
            </w:pPr>
            <w:r>
              <w:t>Programme area</w:t>
            </w:r>
          </w:p>
        </w:tc>
        <w:tc>
          <w:tcPr>
            <w:tcW w:w="8222" w:type="dxa"/>
            <w:tcBorders>
              <w:top w:val="nil"/>
            </w:tcBorders>
            <w:shd w:val="solid" w:color="9757A6" w:fill="auto"/>
            <w:vAlign w:val="center"/>
          </w:tcPr>
          <w:p w14:paraId="20E5EE30" w14:textId="77777777" w:rsidR="004C6370" w:rsidRDefault="004C6370" w:rsidP="00FE0356">
            <w:pPr>
              <w:pStyle w:val="Tablecolumnheadings"/>
            </w:pPr>
            <w:r>
              <w:t>Details of change</w:t>
            </w:r>
          </w:p>
        </w:tc>
      </w:tr>
      <w:tr w:rsidR="004C6370" w14:paraId="57A416C3" w14:textId="77777777" w:rsidTr="00433D78">
        <w:trPr>
          <w:cantSplit/>
        </w:trPr>
        <w:tc>
          <w:tcPr>
            <w:tcW w:w="1701" w:type="dxa"/>
            <w:shd w:val="clear" w:color="auto" w:fill="auto"/>
            <w:vAlign w:val="center"/>
          </w:tcPr>
          <w:p w14:paraId="0FD26E67" w14:textId="77777777" w:rsidR="004C6370" w:rsidRDefault="004C6370" w:rsidP="00FE0356">
            <w:pPr>
              <w:pStyle w:val="Tabletext"/>
            </w:pPr>
            <w:r>
              <w:t>Assessment points</w:t>
            </w:r>
          </w:p>
        </w:tc>
        <w:tc>
          <w:tcPr>
            <w:tcW w:w="8222" w:type="dxa"/>
            <w:shd w:val="clear" w:color="auto" w:fill="auto"/>
            <w:vAlign w:val="center"/>
          </w:tcPr>
          <w:p w14:paraId="16E2203D" w14:textId="77777777" w:rsidR="004C6370" w:rsidRDefault="004C6370" w:rsidP="00FE0356">
            <w:pPr>
              <w:pStyle w:val="Tablelistbullet"/>
              <w:numPr>
                <w:ilvl w:val="0"/>
                <w:numId w:val="13"/>
              </w:numPr>
            </w:pPr>
            <w:r>
              <w:t>Regular assessments can now be undertaken at any time during a client’s training, but will be required to be completed at least once in every 200 hours of training.</w:t>
            </w:r>
          </w:p>
          <w:p w14:paraId="7BFB8E30" w14:textId="77777777" w:rsidR="004C6370" w:rsidRDefault="004C6370" w:rsidP="00FE0356">
            <w:pPr>
              <w:pStyle w:val="Tablelistbullet"/>
              <w:numPr>
                <w:ilvl w:val="0"/>
                <w:numId w:val="13"/>
              </w:numPr>
            </w:pPr>
            <w:r>
              <w:t>Where clients do not improve in ACSF indicators, a waiver will not be sought. Instead the provider will need to make an assessment whether the client will improve their LLN skills by continuing in the program</w:t>
            </w:r>
          </w:p>
          <w:p w14:paraId="7C8AB2F5" w14:textId="77777777" w:rsidR="00F842C5" w:rsidRDefault="004C6370" w:rsidP="00D84D8F">
            <w:pPr>
              <w:pStyle w:val="Tablelistbullet"/>
              <w:numPr>
                <w:ilvl w:val="0"/>
                <w:numId w:val="13"/>
              </w:numPr>
            </w:pPr>
            <w:r>
              <w:t>Failure to achieve improvements will be reflected in the Attainment KPI. Ongoing poor performance in the Attainment KPI will result in performance discussions.</w:t>
            </w:r>
          </w:p>
          <w:p w14:paraId="70005404" w14:textId="77777777" w:rsidR="004C6370" w:rsidRDefault="004C6370" w:rsidP="00D84D8F">
            <w:pPr>
              <w:pStyle w:val="Tablelistbullet"/>
              <w:numPr>
                <w:ilvl w:val="0"/>
                <w:numId w:val="13"/>
              </w:numPr>
            </w:pPr>
            <w:r>
              <w:t xml:space="preserve">Previous assessments required for the programme will continue but will be split into two different assessment points. These are the Interval Progress Assessment and Learning Outcome Assessment. </w:t>
            </w:r>
          </w:p>
        </w:tc>
      </w:tr>
      <w:tr w:rsidR="004C6370" w14:paraId="53DEA71E" w14:textId="77777777" w:rsidTr="00433D78">
        <w:trPr>
          <w:cantSplit/>
        </w:trPr>
        <w:tc>
          <w:tcPr>
            <w:tcW w:w="1701" w:type="dxa"/>
            <w:shd w:val="clear" w:color="auto" w:fill="auto"/>
            <w:vAlign w:val="center"/>
          </w:tcPr>
          <w:p w14:paraId="4D0A13AD" w14:textId="77777777" w:rsidR="004C6370" w:rsidRDefault="004C6370" w:rsidP="00FE0356">
            <w:pPr>
              <w:pStyle w:val="Tabletext"/>
            </w:pPr>
            <w:r>
              <w:t>Work experience</w:t>
            </w:r>
          </w:p>
        </w:tc>
        <w:tc>
          <w:tcPr>
            <w:tcW w:w="8222" w:type="dxa"/>
            <w:shd w:val="clear" w:color="auto" w:fill="auto"/>
            <w:vAlign w:val="center"/>
          </w:tcPr>
          <w:p w14:paraId="16A1AFB6" w14:textId="77777777" w:rsidR="004C6370" w:rsidRDefault="004C6370" w:rsidP="00FE0356">
            <w:pPr>
              <w:pStyle w:val="Tabletext"/>
            </w:pPr>
            <w:r>
              <w:t>The cap of 40 hours is removed as 200 hour training blocks will no longer apply. Clients must complete 30 hours of Standard training first before commencing work experience.</w:t>
            </w:r>
          </w:p>
        </w:tc>
      </w:tr>
      <w:tr w:rsidR="004C6370" w14:paraId="682BA259" w14:textId="77777777" w:rsidTr="00433D78">
        <w:trPr>
          <w:cantSplit/>
        </w:trPr>
        <w:tc>
          <w:tcPr>
            <w:tcW w:w="1701" w:type="dxa"/>
            <w:shd w:val="clear" w:color="auto" w:fill="auto"/>
            <w:vAlign w:val="center"/>
          </w:tcPr>
          <w:p w14:paraId="1FBE071D" w14:textId="77777777" w:rsidR="004C6370" w:rsidRDefault="004C6370" w:rsidP="00FE0356">
            <w:pPr>
              <w:pStyle w:val="Tabletext"/>
            </w:pPr>
            <w:r>
              <w:t>Small group training</w:t>
            </w:r>
          </w:p>
        </w:tc>
        <w:tc>
          <w:tcPr>
            <w:tcW w:w="8222" w:type="dxa"/>
            <w:shd w:val="clear" w:color="auto" w:fill="auto"/>
            <w:vAlign w:val="center"/>
          </w:tcPr>
          <w:p w14:paraId="58239583" w14:textId="77777777" w:rsidR="004C6370" w:rsidRDefault="004C6370" w:rsidP="00FE0356">
            <w:pPr>
              <w:pStyle w:val="Tabletext"/>
            </w:pPr>
            <w:r>
              <w:t xml:space="preserve">Small Group Training is still considered an important assimilation option and will continue to be part of the programme delivery with a minor change. The training should apply for the first 20 hours of training only as it is expected that after 20 hours of training, clients can commence in larger groups of training. </w:t>
            </w:r>
          </w:p>
        </w:tc>
      </w:tr>
      <w:tr w:rsidR="004C6370" w14:paraId="0C73F9C5" w14:textId="77777777" w:rsidTr="00433D78">
        <w:trPr>
          <w:cantSplit/>
        </w:trPr>
        <w:tc>
          <w:tcPr>
            <w:tcW w:w="1701" w:type="dxa"/>
            <w:shd w:val="clear" w:color="auto" w:fill="auto"/>
            <w:vAlign w:val="center"/>
          </w:tcPr>
          <w:p w14:paraId="6D000F6A" w14:textId="77777777" w:rsidR="004C6370" w:rsidRDefault="004C6370" w:rsidP="00FE0356">
            <w:pPr>
              <w:pStyle w:val="Tabletext"/>
            </w:pPr>
            <w:r>
              <w:t>Mixed-mode training</w:t>
            </w:r>
          </w:p>
        </w:tc>
        <w:tc>
          <w:tcPr>
            <w:tcW w:w="8222" w:type="dxa"/>
            <w:shd w:val="clear" w:color="auto" w:fill="auto"/>
            <w:vAlign w:val="center"/>
          </w:tcPr>
          <w:p w14:paraId="365C429B" w14:textId="77777777" w:rsidR="004C6370" w:rsidRDefault="004C6370" w:rsidP="00FE0356">
            <w:pPr>
              <w:pStyle w:val="Tabletext"/>
            </w:pPr>
            <w:r>
              <w:t>A mix of face-to-face and distance mode training is an important training delivery option. To reflect the removal of the 200 hour training blocks, clients must complete 30 hours of Face to Face Delivery first before commencing the distance component of Mixed Mode study. The distance component of training must be no more than four consecutive weeks, and can be utilised no more than 12 weeks in 800 hours of training.</w:t>
            </w:r>
          </w:p>
        </w:tc>
      </w:tr>
      <w:tr w:rsidR="004C6370" w14:paraId="59A0515A" w14:textId="77777777" w:rsidTr="00433D78">
        <w:trPr>
          <w:cantSplit/>
        </w:trPr>
        <w:tc>
          <w:tcPr>
            <w:tcW w:w="1701" w:type="dxa"/>
            <w:shd w:val="clear" w:color="auto" w:fill="auto"/>
            <w:vAlign w:val="center"/>
          </w:tcPr>
          <w:p w14:paraId="5841BCA7" w14:textId="77777777" w:rsidR="004C6370" w:rsidRDefault="004C6370" w:rsidP="00FE0356">
            <w:pPr>
              <w:pStyle w:val="Tabletext"/>
            </w:pPr>
            <w:r>
              <w:t>Milestone payments</w:t>
            </w:r>
          </w:p>
        </w:tc>
        <w:tc>
          <w:tcPr>
            <w:tcW w:w="8222" w:type="dxa"/>
            <w:shd w:val="clear" w:color="auto" w:fill="auto"/>
            <w:vAlign w:val="center"/>
          </w:tcPr>
          <w:p w14:paraId="6CEF3472" w14:textId="77777777" w:rsidR="004C6370" w:rsidRDefault="004C6370" w:rsidP="00FE0356">
            <w:pPr>
              <w:pStyle w:val="Tabletext"/>
            </w:pPr>
            <w:r>
              <w:t>Milestone payment system will be removed and replaced with an hour by hour payment process.</w:t>
            </w:r>
          </w:p>
          <w:p w14:paraId="2FBBFB31" w14:textId="29612B9B" w:rsidR="004C6370" w:rsidRDefault="004C6370" w:rsidP="003B424A">
            <w:pPr>
              <w:pStyle w:val="Tabletext"/>
            </w:pPr>
            <w:r>
              <w:t xml:space="preserve">The </w:t>
            </w:r>
            <w:r w:rsidR="003B424A">
              <w:t>previous system disadvantaged</w:t>
            </w:r>
            <w:r>
              <w:t xml:space="preserve"> </w:t>
            </w:r>
            <w:r w:rsidR="006E4B01">
              <w:t xml:space="preserve">SEE </w:t>
            </w:r>
            <w:r>
              <w:t>providers by not paying for services delivered when job seekers leave courses prior to reaching the next milestone. This may</w:t>
            </w:r>
            <w:r w:rsidR="008F4026">
              <w:t xml:space="preserve"> have</w:t>
            </w:r>
            <w:r>
              <w:t xml:space="preserve"> discourage</w:t>
            </w:r>
            <w:r w:rsidR="008F4026">
              <w:t>d</w:t>
            </w:r>
            <w:r>
              <w:t xml:space="preserve"> providers from taking on more disadvantaged job seekers who may be more likely to leave courses prior to completion. The new system aligns with the increased flexibility resulting from the removal of the 200 hour training block structure.</w:t>
            </w:r>
          </w:p>
        </w:tc>
      </w:tr>
    </w:tbl>
    <w:p w14:paraId="765DDFA1" w14:textId="097F66AB" w:rsidR="004C6370" w:rsidRPr="00F6261E" w:rsidRDefault="004C6370" w:rsidP="004C6370">
      <w:pPr>
        <w:pStyle w:val="Source"/>
        <w:ind w:left="-2552"/>
      </w:pPr>
      <w:r>
        <w:t xml:space="preserve">Source: Department of Industry </w:t>
      </w:r>
      <w:r w:rsidR="00147674">
        <w:t>SEE programme</w:t>
      </w:r>
      <w:r w:rsidR="006A28F2">
        <w:t xml:space="preserve"> </w:t>
      </w:r>
      <w:r>
        <w:t>documentation, 2014.</w:t>
      </w:r>
    </w:p>
    <w:p w14:paraId="0A591FF3" w14:textId="77777777" w:rsidR="00994AED" w:rsidRDefault="00994AED" w:rsidP="00994AED">
      <w:pPr>
        <w:pStyle w:val="Heading2"/>
        <w:numPr>
          <w:ilvl w:val="1"/>
          <w:numId w:val="20"/>
        </w:numPr>
      </w:pPr>
      <w:bookmarkStart w:id="34" w:name="_Toc420065439"/>
      <w:r>
        <w:t>Other relevant program</w:t>
      </w:r>
      <w:r w:rsidR="004C6370">
        <w:t>me</w:t>
      </w:r>
      <w:r>
        <w:t>s</w:t>
      </w:r>
      <w:r w:rsidR="00584F15">
        <w:t xml:space="preserve"> and services</w:t>
      </w:r>
      <w:bookmarkEnd w:id="34"/>
    </w:p>
    <w:p w14:paraId="182B5584" w14:textId="0FBC0286" w:rsidR="00D8566E" w:rsidRDefault="00A0589A" w:rsidP="002A0FFE">
      <w:pPr>
        <w:pStyle w:val="BodyText"/>
      </w:pPr>
      <w:r>
        <w:t xml:space="preserve">The </w:t>
      </w:r>
      <w:r w:rsidR="00147674">
        <w:t>SEE programme</w:t>
      </w:r>
      <w:r w:rsidR="006A28F2">
        <w:t xml:space="preserve"> </w:t>
      </w:r>
      <w:r w:rsidR="006A0400">
        <w:t xml:space="preserve">has important links to other </w:t>
      </w:r>
      <w:r w:rsidR="00096F64">
        <w:t>Australian Government</w:t>
      </w:r>
      <w:r w:rsidR="006A0400">
        <w:t xml:space="preserve">, and state and territory </w:t>
      </w:r>
      <w:r w:rsidR="00096F64">
        <w:t xml:space="preserve">government </w:t>
      </w:r>
      <w:r w:rsidR="006A0400">
        <w:t xml:space="preserve">programmes and services. </w:t>
      </w:r>
      <w:r w:rsidR="00245909">
        <w:fldChar w:fldCharType="begin"/>
      </w:r>
      <w:r w:rsidR="00245909">
        <w:instrText xml:space="preserve"> REF _Ref408057790 \h </w:instrText>
      </w:r>
      <w:r w:rsidR="00245909">
        <w:fldChar w:fldCharType="separate"/>
      </w:r>
      <w:r w:rsidR="00294A5A">
        <w:t xml:space="preserve">Figure </w:t>
      </w:r>
      <w:r w:rsidR="00294A5A">
        <w:rPr>
          <w:noProof/>
        </w:rPr>
        <w:t>2</w:t>
      </w:r>
      <w:r w:rsidR="00245909">
        <w:fldChar w:fldCharType="end"/>
      </w:r>
      <w:r w:rsidR="00245909">
        <w:t xml:space="preserve"> provides an overview of some of the most relevant programmes, which are then detailed below. </w:t>
      </w:r>
    </w:p>
    <w:p w14:paraId="517C712F" w14:textId="77777777" w:rsidR="00584F15" w:rsidRDefault="00584F15" w:rsidP="00584F15">
      <w:pPr>
        <w:pStyle w:val="Caption"/>
        <w:framePr w:w="9921" w:hSpace="181" w:wrap="notBeside" w:vAnchor="text" w:hAnchor="text" w:x="-2550" w:y="1"/>
      </w:pPr>
      <w:bookmarkStart w:id="35" w:name="_Ref408057790"/>
      <w:bookmarkStart w:id="36" w:name="_Toc420065462"/>
      <w:r>
        <w:t xml:space="preserve">Figure </w:t>
      </w:r>
      <w:r w:rsidR="006A2396">
        <w:fldChar w:fldCharType="begin"/>
      </w:r>
      <w:r w:rsidR="006A2396">
        <w:instrText xml:space="preserve"> SEQ Figure \* ARABIC </w:instrText>
      </w:r>
      <w:r w:rsidR="006A2396">
        <w:fldChar w:fldCharType="separate"/>
      </w:r>
      <w:r w:rsidR="00294A5A">
        <w:rPr>
          <w:noProof/>
        </w:rPr>
        <w:t>2</w:t>
      </w:r>
      <w:r w:rsidR="006A2396">
        <w:rPr>
          <w:noProof/>
        </w:rPr>
        <w:fldChar w:fldCharType="end"/>
      </w:r>
      <w:bookmarkEnd w:id="35"/>
      <w:r w:rsidRPr="004E0C91">
        <w:rPr>
          <w:b/>
          <w:color w:val="000080"/>
        </w:rPr>
        <w:tab/>
      </w:r>
      <w:r w:rsidR="007926F2">
        <w:rPr>
          <w:rStyle w:val="CaptionLabel"/>
        </w:rPr>
        <w:t>Overview of SEE and other relevant programme and services</w:t>
      </w:r>
      <w:bookmarkEnd w:id="36"/>
      <w:r w:rsidR="007926F2">
        <w:rPr>
          <w:rStyle w:val="CaptionLabel"/>
        </w:rPr>
        <w:t xml:space="preserve"> </w:t>
      </w:r>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19"/>
      </w:tblGrid>
      <w:tr w:rsidR="00584F15" w14:paraId="0EF8E8F5" w14:textId="77777777" w:rsidTr="007B7EAC">
        <w:tc>
          <w:tcPr>
            <w:tcW w:w="5000" w:type="pct"/>
          </w:tcPr>
          <w:p w14:paraId="2E0EF5D0" w14:textId="77777777" w:rsidR="00584F15" w:rsidRDefault="00584F15" w:rsidP="00584F15">
            <w:pPr>
              <w:pStyle w:val="SmallDeltasRightAligned"/>
              <w:keepNext/>
              <w:keepLines/>
              <w:framePr w:w="9921" w:hSpace="181" w:wrap="notBeside" w:vAnchor="text" w:hAnchor="text" w:x="-2550" w:y="1"/>
            </w:pPr>
            <w:r>
              <w:rPr>
                <w:noProof/>
                <w:lang w:eastAsia="en-AU"/>
              </w:rPr>
              <w:drawing>
                <wp:inline distT="0" distB="0" distL="0" distR="0" wp14:anchorId="79C3CCE9" wp14:editId="67990712">
                  <wp:extent cx="481585" cy="23469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584F15" w14:paraId="70D50FB6" w14:textId="77777777" w:rsidTr="007B7EAC">
        <w:tc>
          <w:tcPr>
            <w:tcW w:w="5000" w:type="pct"/>
          </w:tcPr>
          <w:p w14:paraId="7E0DC1E9" w14:textId="28378790" w:rsidR="00584F15" w:rsidRDefault="00F90CEB" w:rsidP="00584F15">
            <w:pPr>
              <w:pStyle w:val="Figure"/>
              <w:keepLines/>
              <w:framePr w:w="9921" w:hSpace="181" w:wrap="notBeside" w:vAnchor="text" w:hAnchor="text" w:x="-2550" w:y="1"/>
            </w:pPr>
            <w:r>
              <w:rPr>
                <w:noProof/>
                <w:lang w:eastAsia="en-AU"/>
              </w:rPr>
              <w:drawing>
                <wp:inline distT="0" distB="0" distL="0" distR="0" wp14:anchorId="48FE3EB5" wp14:editId="403FBE6F">
                  <wp:extent cx="5327823" cy="3614468"/>
                  <wp:effectExtent l="0" t="0" r="635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9772" cy="3615790"/>
                          </a:xfrm>
                          <a:prstGeom prst="rect">
                            <a:avLst/>
                          </a:prstGeom>
                          <a:noFill/>
                        </pic:spPr>
                      </pic:pic>
                    </a:graphicData>
                  </a:graphic>
                </wp:inline>
              </w:drawing>
            </w:r>
          </w:p>
        </w:tc>
      </w:tr>
    </w:tbl>
    <w:p w14:paraId="38C8B3ED" w14:textId="2F619042" w:rsidR="00584F15" w:rsidRDefault="00584F15" w:rsidP="00584F15">
      <w:pPr>
        <w:pStyle w:val="Note"/>
        <w:framePr w:w="9921" w:hSpace="181" w:wrap="notBeside" w:vAnchor="text" w:hAnchor="text" w:x="-2550" w:y="1"/>
      </w:pPr>
      <w:r>
        <w:rPr>
          <w:i/>
        </w:rPr>
        <w:t>Note:</w:t>
      </w:r>
      <w:r>
        <w:t xml:space="preserve"> The purple, yellow and dark grey boxes are </w:t>
      </w:r>
      <w:r w:rsidR="00F90CEB">
        <w:t>Australian</w:t>
      </w:r>
      <w:r>
        <w:t xml:space="preserve"> Government programmes; the light grey box is a state/territory government programme; the </w:t>
      </w:r>
      <w:r w:rsidR="008D0896">
        <w:t>Australian</w:t>
      </w:r>
      <w:r>
        <w:t xml:space="preserve"> Government departments in b</w:t>
      </w:r>
      <w:r w:rsidR="002160F3">
        <w:t>racket</w:t>
      </w:r>
      <w:r>
        <w:t xml:space="preserve">s indicates which agency is responsible for the </w:t>
      </w:r>
      <w:r w:rsidR="00007C78">
        <w:t>programme.</w:t>
      </w:r>
      <w:r>
        <w:t xml:space="preserve"> The acronyms are as follows: DHS – Department of Human Services; </w:t>
      </w:r>
      <w:r w:rsidRPr="00501E53">
        <w:t>DET – Department of Education and Training; DSS – Department of Social Services;</w:t>
      </w:r>
      <w:r w:rsidRPr="00462F68">
        <w:t xml:space="preserve"> </w:t>
      </w:r>
      <w:r>
        <w:t xml:space="preserve">RJCP – </w:t>
      </w:r>
      <w:r w:rsidRPr="00462F68">
        <w:t>Remote Jobs and Communities Program</w:t>
      </w:r>
      <w:r w:rsidR="0056171B">
        <w:t>me</w:t>
      </w:r>
      <w:r>
        <w:t xml:space="preserve">; PM&amp;C – </w:t>
      </w:r>
      <w:r w:rsidRPr="00462F68">
        <w:t>Prime Minister and Cabinet</w:t>
      </w:r>
      <w:r>
        <w:t xml:space="preserve">; JSA – Job Services Australia; DoE – </w:t>
      </w:r>
      <w:r w:rsidRPr="00462F68">
        <w:t xml:space="preserve">Department of </w:t>
      </w:r>
      <w:r>
        <w:t>Employment.</w:t>
      </w:r>
    </w:p>
    <w:p w14:paraId="06AB59DA" w14:textId="77777777" w:rsidR="00584F15" w:rsidRPr="00AE6C4B" w:rsidRDefault="00584F15" w:rsidP="00584F15">
      <w:pPr>
        <w:pStyle w:val="Source"/>
        <w:framePr w:w="9921" w:hSpace="181" w:wrap="notBeside" w:vAnchor="text" w:hAnchor="text" w:x="-2550" w:y="1"/>
      </w:pPr>
      <w:r w:rsidRPr="00B50A1B">
        <w:t>Source:</w:t>
      </w:r>
      <w:r w:rsidRPr="00954EED">
        <w:t xml:space="preserve"> </w:t>
      </w:r>
      <w:r w:rsidR="007926F2">
        <w:t>ACIL Allen Consulting</w:t>
      </w:r>
    </w:p>
    <w:p w14:paraId="76A2AFFF" w14:textId="773E756D" w:rsidR="00584F15" w:rsidRDefault="008D0896" w:rsidP="00584F15">
      <w:pPr>
        <w:pStyle w:val="Heading3"/>
      </w:pPr>
      <w:bookmarkStart w:id="37" w:name="_Ref411255622"/>
      <w:r>
        <w:t xml:space="preserve">The </w:t>
      </w:r>
      <w:r w:rsidR="00584F15">
        <w:t>Adult Migrant English Program</w:t>
      </w:r>
      <w:bookmarkEnd w:id="37"/>
    </w:p>
    <w:p w14:paraId="5A46C57E" w14:textId="206FACA2" w:rsidR="00584F15" w:rsidRDefault="008D0896" w:rsidP="00584F15">
      <w:pPr>
        <w:pStyle w:val="BodyText"/>
      </w:pPr>
      <w:r>
        <w:t xml:space="preserve">The </w:t>
      </w:r>
      <w:r w:rsidR="00584F15">
        <w:t xml:space="preserve">AMEP, administered by the Department of Education and Training, </w:t>
      </w:r>
      <w:r w:rsidR="00584F15" w:rsidRPr="00EE6A42">
        <w:t xml:space="preserve">provides up to 510 hours of free English language tuition to </w:t>
      </w:r>
      <w:r w:rsidR="00584F15">
        <w:t xml:space="preserve">eligible </w:t>
      </w:r>
      <w:r w:rsidR="00584F15" w:rsidRPr="00EE6A42">
        <w:t>new migrants and humanitarian entrants.</w:t>
      </w:r>
      <w:r w:rsidR="00584F15">
        <w:t xml:space="preserve"> The programme is delivered by RTOs</w:t>
      </w:r>
      <w:r w:rsidR="006A0400">
        <w:t xml:space="preserve">, a number of which also deliver the </w:t>
      </w:r>
      <w:r w:rsidR="00147674">
        <w:t>SEE programme</w:t>
      </w:r>
      <w:r w:rsidR="00584F15">
        <w:t xml:space="preserve">. In </w:t>
      </w:r>
      <w:r w:rsidR="00584F15" w:rsidRPr="00E6767F">
        <w:t xml:space="preserve">2013-14, approximately 30,000 clients enrolled with AMEP. The programme’s budget in </w:t>
      </w:r>
      <w:r w:rsidR="006A0400" w:rsidRPr="00E6767F">
        <w:t>the</w:t>
      </w:r>
      <w:r w:rsidR="006A0400">
        <w:t xml:space="preserve"> same year </w:t>
      </w:r>
      <w:r w:rsidR="00584F15">
        <w:t xml:space="preserve">was </w:t>
      </w:r>
      <w:r w:rsidR="00584F15" w:rsidRPr="00584F15">
        <w:t>$24</w:t>
      </w:r>
      <w:r w:rsidR="00584F15">
        <w:t>7 million.</w:t>
      </w:r>
    </w:p>
    <w:p w14:paraId="6813565A" w14:textId="5B449ACC" w:rsidR="00584F15" w:rsidRDefault="00D8566E" w:rsidP="00584F15">
      <w:pPr>
        <w:pStyle w:val="BodyText"/>
      </w:pPr>
      <w:r>
        <w:t xml:space="preserve">While some clients progress from the AMEP to the </w:t>
      </w:r>
      <w:r w:rsidR="00147674">
        <w:t>SEE programme</w:t>
      </w:r>
      <w:r>
        <w:t xml:space="preserve">, there </w:t>
      </w:r>
      <w:r w:rsidR="00AF7461">
        <w:t>are</w:t>
      </w:r>
      <w:r>
        <w:t xml:space="preserve"> no reliable data on the proportion of AMEP clients that move on to the </w:t>
      </w:r>
      <w:r w:rsidR="00147674">
        <w:t>SEE programme</w:t>
      </w:r>
      <w:r>
        <w:t>.</w:t>
      </w:r>
    </w:p>
    <w:p w14:paraId="48E4A3E5" w14:textId="77777777" w:rsidR="00F842C5" w:rsidRPr="00584F15" w:rsidRDefault="00F842C5" w:rsidP="00D84D8F">
      <w:pPr>
        <w:pStyle w:val="Heading3"/>
      </w:pPr>
      <w:r>
        <w:t>Referral agencies</w:t>
      </w:r>
    </w:p>
    <w:p w14:paraId="067062EF" w14:textId="77777777" w:rsidR="002A0FFE" w:rsidRDefault="002A0FFE" w:rsidP="00D84D8F">
      <w:pPr>
        <w:pStyle w:val="Heading5"/>
      </w:pPr>
      <w:r>
        <w:t>Centrelink</w:t>
      </w:r>
    </w:p>
    <w:p w14:paraId="20901D07" w14:textId="77777777" w:rsidR="002A0FFE" w:rsidRDefault="002A0FFE" w:rsidP="002A0FFE">
      <w:pPr>
        <w:pStyle w:val="BodyText"/>
      </w:pPr>
      <w:r>
        <w:t>Recipients of Newstart Allowance, Youth Allowance, Special Benefit or Parenting Payments have activity or participation requirements that are detailed in their Employment Pathway Plan (EPP) or, if in remote areas, their Individual Participation Plan (IPP).</w:t>
      </w:r>
    </w:p>
    <w:p w14:paraId="53B663D8" w14:textId="320D35A5" w:rsidR="002A0FFE" w:rsidRDefault="002A0FFE" w:rsidP="002A0FFE">
      <w:pPr>
        <w:pStyle w:val="BodyText"/>
      </w:pPr>
      <w:r>
        <w:t>These plans may describe a range of activities such as job search requirements, referrals to employment services providers, specialist assistance or other training and skills development activities. Under EPPs and IPPs, job</w:t>
      </w:r>
      <w:r w:rsidR="0089649A">
        <w:t xml:space="preserve"> </w:t>
      </w:r>
      <w:r>
        <w:t>seekers may be referred to a number of skills and training activities including accredited training and programmes such as SEE.</w:t>
      </w:r>
    </w:p>
    <w:p w14:paraId="17212831" w14:textId="0F836687" w:rsidR="002A0FFE" w:rsidRPr="00853985" w:rsidRDefault="002A0FFE" w:rsidP="002A0FFE">
      <w:pPr>
        <w:pStyle w:val="BodyText"/>
      </w:pPr>
      <w:r>
        <w:t xml:space="preserve">Centrelink </w:t>
      </w:r>
      <w:r w:rsidR="00B70EC1">
        <w:t>must connect</w:t>
      </w:r>
      <w:r>
        <w:t xml:space="preserve"> </w:t>
      </w:r>
      <w:r w:rsidR="00B70EC1">
        <w:t xml:space="preserve">job seekers </w:t>
      </w:r>
      <w:r>
        <w:t xml:space="preserve">to </w:t>
      </w:r>
      <w:r w:rsidR="0089649A">
        <w:t xml:space="preserve">a </w:t>
      </w:r>
      <w:r w:rsidRPr="006B5A4F">
        <w:t>Job Services Australia or Disabilit</w:t>
      </w:r>
      <w:r>
        <w:t>y Employment Services provider to assist with job searching and preparation for employment.</w:t>
      </w:r>
    </w:p>
    <w:p w14:paraId="6E0FA7A8" w14:textId="2CCD1577" w:rsidR="002A0FFE" w:rsidRDefault="002A0FFE" w:rsidP="00D84D8F">
      <w:pPr>
        <w:pStyle w:val="Heading5"/>
      </w:pPr>
      <w:r>
        <w:t>Job Services Australia</w:t>
      </w:r>
      <w:r w:rsidR="004F0BCB">
        <w:t xml:space="preserve"> providers</w:t>
      </w:r>
    </w:p>
    <w:p w14:paraId="699FB949" w14:textId="3F0104B0" w:rsidR="002A0FFE" w:rsidRDefault="002A0FFE" w:rsidP="002A0FFE">
      <w:pPr>
        <w:pStyle w:val="BodyText"/>
      </w:pPr>
      <w:r>
        <w:t>Job Services Australia (JSA) providers are contracted by the Australian Government to provide employment services to eligible job seekers. JSAs provide support for job</w:t>
      </w:r>
      <w:r w:rsidR="0089649A">
        <w:t xml:space="preserve"> </w:t>
      </w:r>
      <w:r>
        <w:t>seekers through assistance with job search techniques and facilities, identification of training and development opportunities, access to work experience and assistance with personal barriers to finding and keeping a job.</w:t>
      </w:r>
      <w:r w:rsidRPr="006B5A4F">
        <w:t xml:space="preserve"> </w:t>
      </w:r>
      <w:r>
        <w:t>This pathway to employment is documented in the job seeker’s Employment Pathway Plan (EPP).</w:t>
      </w:r>
    </w:p>
    <w:p w14:paraId="2F941D08" w14:textId="77777777" w:rsidR="002A0FFE" w:rsidRDefault="002A0FFE" w:rsidP="002A0FFE">
      <w:pPr>
        <w:pStyle w:val="BodyText"/>
      </w:pPr>
      <w:r>
        <w:t>The level of assistance provided by a JSA depends on the level of need of the job seeker and is categorised according to the following streams:</w:t>
      </w:r>
    </w:p>
    <w:p w14:paraId="602A8AE1" w14:textId="77777777" w:rsidR="002A0FFE" w:rsidRDefault="002A0FFE" w:rsidP="002A0FFE">
      <w:pPr>
        <w:pStyle w:val="ListDash"/>
      </w:pPr>
      <w:r>
        <w:t>Stream 1, for job seekers who are work ready</w:t>
      </w:r>
    </w:p>
    <w:p w14:paraId="5B1EC4CF" w14:textId="77777777" w:rsidR="002A0FFE" w:rsidRDefault="002A0FFE" w:rsidP="002A0FFE">
      <w:pPr>
        <w:pStyle w:val="ListDash"/>
      </w:pPr>
      <w:r>
        <w:t>Stream 2, for job seekers with relatively moderate barriers to employment</w:t>
      </w:r>
    </w:p>
    <w:p w14:paraId="467128B1" w14:textId="77777777" w:rsidR="002A0FFE" w:rsidRDefault="002A0FFE" w:rsidP="002A0FFE">
      <w:pPr>
        <w:pStyle w:val="ListDash"/>
      </w:pPr>
      <w:r>
        <w:t>Stream 3, for job seekers with relatively significant barriers to employment</w:t>
      </w:r>
    </w:p>
    <w:p w14:paraId="7E32F2ED" w14:textId="77777777" w:rsidR="002A0FFE" w:rsidRDefault="002A0FFE" w:rsidP="002A0FFE">
      <w:pPr>
        <w:pStyle w:val="ListDash"/>
      </w:pPr>
      <w:r>
        <w:t>Stream 4, for job seekers with severe barriers to employment.</w:t>
      </w:r>
    </w:p>
    <w:p w14:paraId="039E6C22" w14:textId="251D9DE5" w:rsidR="002A0FFE" w:rsidRDefault="002A0FFE" w:rsidP="002A0FFE">
      <w:pPr>
        <w:pStyle w:val="BodyText"/>
      </w:pPr>
      <w:r>
        <w:t>The most intensive assistance is offered to Stream 4 job</w:t>
      </w:r>
      <w:r w:rsidR="0089649A">
        <w:t xml:space="preserve"> </w:t>
      </w:r>
      <w:r>
        <w:t xml:space="preserve">seekers who may receive </w:t>
      </w:r>
      <w:r w:rsidRPr="001F784D">
        <w:t>a range of services to address vocational and non-vocational barriers, including providing or organising assessments, counselling or professional support, referral and advocacy and other support services.</w:t>
      </w:r>
    </w:p>
    <w:p w14:paraId="6FA6F58B" w14:textId="20F5BD8B" w:rsidR="002A0FFE" w:rsidRPr="003F05BB" w:rsidRDefault="002A0FFE" w:rsidP="002A0FFE">
      <w:pPr>
        <w:pStyle w:val="BodyText"/>
      </w:pPr>
      <w:r>
        <w:t>JSAs work with a range of training providers, community organisations and employers in their communities to access the range of services required by jo</w:t>
      </w:r>
      <w:r w:rsidR="0089649A">
        <w:t xml:space="preserve">b </w:t>
      </w:r>
      <w:r>
        <w:t>seekers.</w:t>
      </w:r>
      <w:r w:rsidRPr="00BF7C00">
        <w:t xml:space="preserve"> </w:t>
      </w:r>
      <w:r>
        <w:t xml:space="preserve">Job seekers in Streams 2, 3 or 4 may be referred to locally available LLN </w:t>
      </w:r>
      <w:r w:rsidR="00956392">
        <w:t>programmes</w:t>
      </w:r>
      <w:r>
        <w:t xml:space="preserve">, of which SEE may be one. When a JSA client is referred to </w:t>
      </w:r>
      <w:r w:rsidR="00F90CEB" w:rsidRPr="00F90CEB">
        <w:t>the</w:t>
      </w:r>
      <w:r w:rsidRPr="00F90CEB">
        <w:t xml:space="preserve"> SEE programme</w:t>
      </w:r>
      <w:r>
        <w:t>, they may also be required to attend other training by their JSA provider and will need to comply in order to continue receiving their income support payment. JSAs do not receive an outcome payment for placing a client with the SEE programme.</w:t>
      </w:r>
    </w:p>
    <w:p w14:paraId="7326C13D" w14:textId="52BD47E7" w:rsidR="002A0FFE" w:rsidRDefault="002A0FFE" w:rsidP="00D84D8F">
      <w:pPr>
        <w:pStyle w:val="Heading5"/>
      </w:pPr>
      <w:r w:rsidRPr="00970E7F">
        <w:t>R</w:t>
      </w:r>
      <w:r>
        <w:t>emote Jobs and Communities Programme</w:t>
      </w:r>
      <w:r w:rsidR="004F0BCB">
        <w:t xml:space="preserve"> providers</w:t>
      </w:r>
    </w:p>
    <w:p w14:paraId="30D04928" w14:textId="4688B6F1" w:rsidR="002A0FFE" w:rsidRDefault="002A0FFE" w:rsidP="002A0FFE">
      <w:pPr>
        <w:pStyle w:val="BodyText"/>
      </w:pPr>
      <w:r>
        <w:t>The Remote Jobs and Communities Programme (RJCP) is a</w:t>
      </w:r>
      <w:r w:rsidR="00B41F7A">
        <w:t>n</w:t>
      </w:r>
      <w:r>
        <w:t xml:space="preserve"> </w:t>
      </w:r>
      <w:r w:rsidR="008D0896">
        <w:t>Australian Government</w:t>
      </w:r>
      <w:r>
        <w:t xml:space="preserve"> </w:t>
      </w:r>
      <w:r w:rsidR="006A28F2">
        <w:t xml:space="preserve">programme </w:t>
      </w:r>
      <w:r>
        <w:t>that provides a jobs, participation and community-development service in 60 remote regions in Western Australia, the Northern Territory, Queensland and New South Wales.</w:t>
      </w:r>
    </w:p>
    <w:p w14:paraId="41935115" w14:textId="0E75486E" w:rsidR="002A0FFE" w:rsidRDefault="002A0FFE" w:rsidP="002A0FFE">
      <w:pPr>
        <w:pStyle w:val="BodyText"/>
      </w:pPr>
      <w:r>
        <w:t xml:space="preserve">A single </w:t>
      </w:r>
      <w:r w:rsidR="0089649A">
        <w:t xml:space="preserve">SEE </w:t>
      </w:r>
      <w:r>
        <w:t>provider with a permanent presence in each remote region delivers the RJCP on behalf of the Australian Government. Key features of the new programme are:</w:t>
      </w:r>
    </w:p>
    <w:p w14:paraId="4B9A6C65" w14:textId="6E147E3F" w:rsidR="002A0FFE" w:rsidRDefault="002A0FFE" w:rsidP="002A0FFE">
      <w:pPr>
        <w:pStyle w:val="ListDash"/>
      </w:pPr>
      <w:r>
        <w:t>Employment and participation activities, including personalised support for job seekers</w:t>
      </w:r>
      <w:r w:rsidR="00735BDD">
        <w:t>.</w:t>
      </w:r>
    </w:p>
    <w:p w14:paraId="7E3D2964" w14:textId="77777777" w:rsidR="002A0FFE" w:rsidRDefault="002A0FFE" w:rsidP="002A0FFE">
      <w:pPr>
        <w:pStyle w:val="ListDash"/>
      </w:pPr>
      <w:r>
        <w:t>The Remote Youth Leadership and Development Corps (Youth Corps) to help young people move successfully from school to work.</w:t>
      </w:r>
    </w:p>
    <w:p w14:paraId="0B69E535" w14:textId="2AB6BAD4" w:rsidR="002A0FFE" w:rsidRDefault="00A44A8F" w:rsidP="002A0FFE">
      <w:pPr>
        <w:pStyle w:val="ListDash"/>
      </w:pPr>
      <w:r>
        <w:t>SEE providers</w:t>
      </w:r>
      <w:r w:rsidR="002A0FFE">
        <w:t xml:space="preserve"> and communities working together through the development of Community Action Plans to identify the strategies and resources needed to overcome barriers to employment and participation.</w:t>
      </w:r>
    </w:p>
    <w:p w14:paraId="788AC9BD" w14:textId="77777777" w:rsidR="002A0FFE" w:rsidRDefault="002A0FFE" w:rsidP="002A0FFE">
      <w:pPr>
        <w:pStyle w:val="ListDash"/>
      </w:pPr>
      <w:r>
        <w:t>The Community Development Fund to help communities build strong social and economic foundations.</w:t>
      </w:r>
    </w:p>
    <w:p w14:paraId="7F6A4D4B" w14:textId="12113FBC" w:rsidR="002A0FFE" w:rsidRDefault="002A0FFE" w:rsidP="002A0FFE">
      <w:pPr>
        <w:pStyle w:val="BodyText"/>
      </w:pPr>
      <w:r>
        <w:t>RJCP providers develop a</w:t>
      </w:r>
      <w:r w:rsidRPr="0027361C">
        <w:t xml:space="preserve"> tailored</w:t>
      </w:r>
      <w:r w:rsidR="00735BDD">
        <w:t xml:space="preserve"> Individual</w:t>
      </w:r>
      <w:r w:rsidRPr="0027361C">
        <w:t xml:space="preserve"> Participation Plan that sets out the assistance </w:t>
      </w:r>
      <w:r>
        <w:t>provided to job seekers</w:t>
      </w:r>
      <w:r w:rsidRPr="0027361C">
        <w:t xml:space="preserve"> and the activities they will participate in to move into employment or towards job readiness.</w:t>
      </w:r>
      <w:r>
        <w:t xml:space="preserve"> These may include work experience and activities that address</w:t>
      </w:r>
      <w:r w:rsidRPr="0027361C">
        <w:t xml:space="preserve"> their employment and participation barriers and needs</w:t>
      </w:r>
      <w:r>
        <w:t xml:space="preserve">. </w:t>
      </w:r>
    </w:p>
    <w:p w14:paraId="2C243D58" w14:textId="05DF1295" w:rsidR="002A0FFE" w:rsidRDefault="002A0FFE" w:rsidP="002A0FFE">
      <w:pPr>
        <w:pStyle w:val="BodyText"/>
      </w:pPr>
      <w:r>
        <w:t xml:space="preserve">RJCP participants are also eligible for SEE and it is expected that SEE providers will work closely with RJCP providers to ensure that SEE </w:t>
      </w:r>
      <w:r w:rsidR="00B41F7A">
        <w:t xml:space="preserve">programme </w:t>
      </w:r>
      <w:r>
        <w:t xml:space="preserve">delivery is complementary to, or embedded within, relevant RJCP activities. It is also expected that RJCP providers will take up training and </w:t>
      </w:r>
      <w:r w:rsidR="0089649A">
        <w:t xml:space="preserve">foundation </w:t>
      </w:r>
      <w:r>
        <w:t xml:space="preserve">skills, including </w:t>
      </w:r>
      <w:r w:rsidR="00956392">
        <w:t>programmes</w:t>
      </w:r>
      <w:r>
        <w:t xml:space="preserve"> supported by the </w:t>
      </w:r>
      <w:r w:rsidR="008D0896">
        <w:t>Australian Government</w:t>
      </w:r>
      <w:r>
        <w:t xml:space="preserve"> such as SEE and financial literacy </w:t>
      </w:r>
      <w:r w:rsidR="00956392">
        <w:t>programmes</w:t>
      </w:r>
      <w:r>
        <w:t xml:space="preserve"> (RJCP Programme Guidelines 2013-2016).</w:t>
      </w:r>
    </w:p>
    <w:p w14:paraId="40DE382C" w14:textId="19EB577D" w:rsidR="004F0BCB" w:rsidRPr="002249D6" w:rsidRDefault="004F0BCB" w:rsidP="004F0BCB">
      <w:pPr>
        <w:pStyle w:val="Heading5"/>
      </w:pPr>
      <w:r w:rsidRPr="002249D6">
        <w:t>Disability Employment Service providers</w:t>
      </w:r>
    </w:p>
    <w:p w14:paraId="04D256D4" w14:textId="77777777" w:rsidR="00DB694E" w:rsidRDefault="002249D6" w:rsidP="00DB694E">
      <w:pPr>
        <w:pStyle w:val="BodyText"/>
      </w:pPr>
      <w:r w:rsidRPr="002249D6">
        <w:t xml:space="preserve">Disability Employment Service </w:t>
      </w:r>
      <w:r>
        <w:t xml:space="preserve">(DES) </w:t>
      </w:r>
      <w:r w:rsidRPr="002249D6">
        <w:t>providers</w:t>
      </w:r>
      <w:r>
        <w:t xml:space="preserve"> </w:t>
      </w:r>
      <w:r w:rsidR="006F6C10">
        <w:t xml:space="preserve">contracted by the Australian Government to provide employment services to job seekers with disability. </w:t>
      </w:r>
      <w:r w:rsidR="00DB694E">
        <w:t xml:space="preserve">There are two types of DES providers: </w:t>
      </w:r>
    </w:p>
    <w:p w14:paraId="3D4471D6" w14:textId="3AC6CA1E" w:rsidR="00DB694E" w:rsidRDefault="00DB694E" w:rsidP="00E8274A">
      <w:pPr>
        <w:pStyle w:val="ListDash"/>
      </w:pPr>
      <w:r>
        <w:t xml:space="preserve">Disability Management Service – for clients </w:t>
      </w:r>
      <w:r w:rsidR="00735BDD">
        <w:t xml:space="preserve">who </w:t>
      </w:r>
      <w:r>
        <w:t>require employment services but not long-term support in the workplace.</w:t>
      </w:r>
    </w:p>
    <w:p w14:paraId="427C424F" w14:textId="0198CCED" w:rsidR="004F0BCB" w:rsidRDefault="00DB694E" w:rsidP="00E8274A">
      <w:pPr>
        <w:pStyle w:val="ListDash"/>
      </w:pPr>
      <w:r>
        <w:t xml:space="preserve">Employment Support Service – for clients </w:t>
      </w:r>
      <w:r w:rsidR="00735BDD">
        <w:t xml:space="preserve">with </w:t>
      </w:r>
      <w:r>
        <w:t>a permanent disability who need ongoing support in the workplace.</w:t>
      </w:r>
    </w:p>
    <w:p w14:paraId="0DCE17B5" w14:textId="57D59D95" w:rsidR="00F63BEB" w:rsidRDefault="00F63BEB" w:rsidP="00F63BEB">
      <w:pPr>
        <w:pStyle w:val="BodyText"/>
      </w:pPr>
      <w:r>
        <w:t>DES providers help prepare clients for work including training in specific job skills and provide job search support, on-the-job training and co-worker and employer support, and workplace modifications.</w:t>
      </w:r>
    </w:p>
    <w:p w14:paraId="3E2982F5" w14:textId="38F020AB" w:rsidR="00F63BEB" w:rsidRDefault="00F8430A" w:rsidP="00F8430A">
      <w:pPr>
        <w:pStyle w:val="BodyText"/>
      </w:pPr>
      <w:r>
        <w:t>The DES programme is managed by DSS.</w:t>
      </w:r>
    </w:p>
    <w:p w14:paraId="05521FA1" w14:textId="2E8D5A2B" w:rsidR="00193933" w:rsidRPr="002A0FFE" w:rsidRDefault="008D0896" w:rsidP="00193933">
      <w:pPr>
        <w:pStyle w:val="Heading3"/>
      </w:pPr>
      <w:r>
        <w:t>Australian Government</w:t>
      </w:r>
      <w:r w:rsidR="00193933" w:rsidRPr="002A0FFE">
        <w:t xml:space="preserve"> </w:t>
      </w:r>
      <w:r w:rsidR="00CE765F">
        <w:t xml:space="preserve">VET </w:t>
      </w:r>
      <w:r w:rsidR="00193933" w:rsidRPr="002A0FFE">
        <w:t>program</w:t>
      </w:r>
      <w:r w:rsidR="00193933">
        <w:t>me</w:t>
      </w:r>
      <w:r w:rsidR="00193933" w:rsidRPr="002A0FFE">
        <w:t>s</w:t>
      </w:r>
    </w:p>
    <w:p w14:paraId="12CB4FFB" w14:textId="6711398D" w:rsidR="00493CBA" w:rsidRDefault="00493CBA" w:rsidP="00F842C5">
      <w:pPr>
        <w:pStyle w:val="BodyText"/>
      </w:pPr>
      <w:r>
        <w:t xml:space="preserve">While the states and territories have primary responsibility for VET, the </w:t>
      </w:r>
      <w:r w:rsidR="008D0896">
        <w:t>Australian</w:t>
      </w:r>
      <w:r>
        <w:t xml:space="preserve"> Government </w:t>
      </w:r>
      <w:r w:rsidR="00E4542B">
        <w:t xml:space="preserve">funds other programmes in the VET sector, in addition to </w:t>
      </w:r>
      <w:r w:rsidR="00B41F7A">
        <w:t xml:space="preserve">the </w:t>
      </w:r>
      <w:r w:rsidR="00E4542B">
        <w:t>SEE</w:t>
      </w:r>
      <w:r w:rsidR="00B41F7A">
        <w:t xml:space="preserve"> programme</w:t>
      </w:r>
      <w:r w:rsidR="00E4542B">
        <w:t xml:space="preserve">. </w:t>
      </w:r>
    </w:p>
    <w:p w14:paraId="07699B37" w14:textId="3FF13B93" w:rsidR="00E4542B" w:rsidRDefault="00E4542B" w:rsidP="00F842C5">
      <w:pPr>
        <w:pStyle w:val="BodyText"/>
      </w:pPr>
      <w:r>
        <w:t xml:space="preserve">For a number of years, the Workplace English Language and Literacy (WELL) provided funding to </w:t>
      </w:r>
      <w:r w:rsidRPr="007062C6">
        <w:t xml:space="preserve">businesses with demonstrated need for </w:t>
      </w:r>
      <w:r>
        <w:t>LLN training. The funding allowed for targeted training for in need individuals through registered training organisations,</w:t>
      </w:r>
      <w:r w:rsidRPr="007062C6">
        <w:t xml:space="preserve"> aimed </w:t>
      </w:r>
      <w:r>
        <w:t>at</w:t>
      </w:r>
      <w:r w:rsidRPr="007062C6">
        <w:t xml:space="preserve"> improv</w:t>
      </w:r>
      <w:r>
        <w:t>ing</w:t>
      </w:r>
      <w:r w:rsidRPr="007062C6">
        <w:t xml:space="preserve"> employee </w:t>
      </w:r>
      <w:r>
        <w:t>LLN</w:t>
      </w:r>
      <w:r w:rsidRPr="007062C6">
        <w:t xml:space="preserve"> and help</w:t>
      </w:r>
      <w:r>
        <w:t>ing</w:t>
      </w:r>
      <w:r w:rsidRPr="007062C6">
        <w:t xml:space="preserve"> employees meet their employment and training needs</w:t>
      </w:r>
      <w:r w:rsidRPr="001E0A2F">
        <w:t xml:space="preserve"> </w:t>
      </w:r>
      <w:r>
        <w:t>(</w:t>
      </w:r>
      <w:r w:rsidRPr="00782E6B">
        <w:t>Department</w:t>
      </w:r>
      <w:r>
        <w:t xml:space="preserve"> of Industry and Science 2014b)</w:t>
      </w:r>
      <w:r w:rsidRPr="007062C6">
        <w:t>.</w:t>
      </w:r>
      <w:r>
        <w:t xml:space="preserve"> WELL also undertook the development and trialling of training, assessment and reporting materials (</w:t>
      </w:r>
      <w:r w:rsidRPr="00782E6B">
        <w:t>Department</w:t>
      </w:r>
      <w:r>
        <w:t xml:space="preserve"> of Industry and Science 2014c).</w:t>
      </w:r>
    </w:p>
    <w:p w14:paraId="3A9421FB" w14:textId="2F3AEAAE" w:rsidR="00F842C5" w:rsidRDefault="004F0BCB" w:rsidP="00F842C5">
      <w:pPr>
        <w:pStyle w:val="BodyText"/>
      </w:pPr>
      <w:r>
        <w:t>In the 2014-15 Budget t</w:t>
      </w:r>
      <w:r w:rsidR="00F842C5" w:rsidRPr="00E435FF">
        <w:t xml:space="preserve">he </w:t>
      </w:r>
      <w:r w:rsidR="008D0896">
        <w:t>Australian G</w:t>
      </w:r>
      <w:r w:rsidR="00F842C5" w:rsidRPr="00E435FF">
        <w:t xml:space="preserve">overnment </w:t>
      </w:r>
      <w:r>
        <w:t xml:space="preserve">closed </w:t>
      </w:r>
      <w:r w:rsidR="00F842C5">
        <w:t xml:space="preserve">11 skills and training </w:t>
      </w:r>
      <w:r w:rsidR="00956392">
        <w:t>programmes</w:t>
      </w:r>
      <w:r w:rsidR="00F842C5">
        <w:t>, including Workplace English Language and Literacy (WELL), and creat</w:t>
      </w:r>
      <w:r>
        <w:t>ed</w:t>
      </w:r>
      <w:r w:rsidR="00F842C5">
        <w:t xml:space="preserve"> the Industry Skills Fund, which opened on 1 January 2015. </w:t>
      </w:r>
    </w:p>
    <w:p w14:paraId="70C6BDBB" w14:textId="3F2A25EA" w:rsidR="00F842C5" w:rsidRDefault="00E4542B" w:rsidP="00F842C5">
      <w:pPr>
        <w:pStyle w:val="BodyText"/>
      </w:pPr>
      <w:r>
        <w:t xml:space="preserve">Like </w:t>
      </w:r>
      <w:r w:rsidR="00F842C5" w:rsidRPr="007062C6">
        <w:t>WELL</w:t>
      </w:r>
      <w:r>
        <w:t>,</w:t>
      </w:r>
      <w:r w:rsidR="00F842C5" w:rsidRPr="007062C6">
        <w:t xml:space="preserve"> </w:t>
      </w:r>
      <w:r>
        <w:t>t</w:t>
      </w:r>
      <w:r w:rsidR="00F842C5" w:rsidRPr="00AE3884">
        <w:t>he Industry Skills Fund assists Australian businesses to access training and support services as well as develop innovative training solutions so businesses can adapt to new business opportunities, technological change and market driven structural adjustment.</w:t>
      </w:r>
      <w:r w:rsidR="00F842C5">
        <w:t xml:space="preserve"> However, unlike WELL, which provided funds for an identified need for LLN training, the Industry Skills Fund provides businesses with access to funds or: </w:t>
      </w:r>
    </w:p>
    <w:p w14:paraId="1369B43C" w14:textId="77777777" w:rsidR="00F842C5" w:rsidRDefault="00F842C5" w:rsidP="00F842C5">
      <w:pPr>
        <w:pStyle w:val="ListDash"/>
      </w:pPr>
      <w:r>
        <w:t>Skills advice: to help identify skills opportunities and maximise training outcomes, or</w:t>
      </w:r>
    </w:p>
    <w:p w14:paraId="59341AAB" w14:textId="77777777" w:rsidR="00F842C5" w:rsidRDefault="00F842C5" w:rsidP="00F842C5">
      <w:pPr>
        <w:pStyle w:val="ListDash"/>
      </w:pPr>
      <w:r>
        <w:t xml:space="preserve">Training for growth: Co-investment for businesses to improve the skills of their workplace for an identified growth opportunity. </w:t>
      </w:r>
    </w:p>
    <w:p w14:paraId="3EEFE6CA" w14:textId="77777777" w:rsidR="00F842C5" w:rsidRDefault="00F842C5" w:rsidP="00F842C5">
      <w:pPr>
        <w:pStyle w:val="BodyText"/>
      </w:pPr>
      <w:r>
        <w:t>Business who access funding for training for an identified growth opportunity must co-contribute to the project, where the amount is dependent on the size of the business</w:t>
      </w:r>
      <w:r w:rsidRPr="0011700E">
        <w:t xml:space="preserve"> </w:t>
      </w:r>
      <w:r>
        <w:t>(Business.gov.au 2014c).</w:t>
      </w:r>
    </w:p>
    <w:p w14:paraId="1475B6F7" w14:textId="662E8E0A" w:rsidR="00F842C5" w:rsidRPr="00F90CEB" w:rsidRDefault="00F842C5" w:rsidP="00F842C5">
      <w:pPr>
        <w:pStyle w:val="BodyText"/>
      </w:pPr>
      <w:r w:rsidRPr="005F7F8C">
        <w:t xml:space="preserve">The fund is targeting </w:t>
      </w:r>
      <w:r w:rsidR="00735BDD">
        <w:t>small to medium enterprises (</w:t>
      </w:r>
      <w:r w:rsidRPr="005F7F8C">
        <w:t>SMEs</w:t>
      </w:r>
      <w:r w:rsidR="00735BDD">
        <w:t>)</w:t>
      </w:r>
      <w:r w:rsidRPr="005F7F8C">
        <w:t xml:space="preserve">, including micro businesses, which are preparing to take up growth opportunities outside of their normal day-to-day </w:t>
      </w:r>
      <w:r w:rsidRPr="00F90CEB">
        <w:t>business operations (Business.gov.au 2014c). Larger businesses are also eligible, however are required to make a larger co-contribution to the costs of training.</w:t>
      </w:r>
    </w:p>
    <w:p w14:paraId="50410C81" w14:textId="4EFD661D" w:rsidR="00F842C5" w:rsidRPr="00880A99" w:rsidRDefault="00F842C5" w:rsidP="00F842C5">
      <w:pPr>
        <w:pStyle w:val="BodyText"/>
      </w:pPr>
      <w:r w:rsidRPr="00F90CEB">
        <w:t xml:space="preserve">In addition, the Industry Skills Fund </w:t>
      </w:r>
      <w:r w:rsidR="00B41F7A">
        <w:t>–</w:t>
      </w:r>
      <w:r w:rsidR="00F90CEB" w:rsidRPr="00F90CEB">
        <w:t xml:space="preserve"> Y</w:t>
      </w:r>
      <w:r w:rsidRPr="00F90CEB">
        <w:t xml:space="preserve">outh </w:t>
      </w:r>
      <w:r w:rsidR="00F90CEB" w:rsidRPr="00F90CEB">
        <w:t xml:space="preserve">Stream comprises </w:t>
      </w:r>
      <w:r w:rsidRPr="00F90CEB">
        <w:t xml:space="preserve">two </w:t>
      </w:r>
      <w:r w:rsidR="00F90CEB" w:rsidRPr="00F90CEB">
        <w:t xml:space="preserve">pilot </w:t>
      </w:r>
      <w:r w:rsidR="00956392" w:rsidRPr="00F90CEB">
        <w:t>programmes</w:t>
      </w:r>
      <w:r w:rsidR="00F90CEB" w:rsidRPr="00F90CEB">
        <w:t xml:space="preserve"> targeting youth unemployment –</w:t>
      </w:r>
      <w:r w:rsidRPr="00F90CEB">
        <w:t xml:space="preserve"> the Training for Employment Scholarship and Youth Employment Pathways.</w:t>
      </w:r>
    </w:p>
    <w:p w14:paraId="49F4A1E8" w14:textId="284543F7" w:rsidR="00F842C5" w:rsidRDefault="00F842C5" w:rsidP="00E8274A">
      <w:pPr>
        <w:pStyle w:val="BodyText"/>
      </w:pPr>
      <w:r w:rsidRPr="00880A99">
        <w:t>The Training for Employment</w:t>
      </w:r>
      <w:r>
        <w:t xml:space="preserve"> Scholarships will be trialled in 2015 and designed to tailor training to the specific requirements of the job and needs of the young person. An employer will have flexibility to negotiate with the approved training provider(s) a training programme of up to 26 weeks (Department of Industry n.d). It may deliver </w:t>
      </w:r>
      <w:r w:rsidR="00E4542B">
        <w:t>l</w:t>
      </w:r>
      <w:r>
        <w:t>iteracy, language and numeracy support</w:t>
      </w:r>
      <w:r w:rsidR="00E4542B">
        <w:t xml:space="preserve"> among other skills. </w:t>
      </w:r>
    </w:p>
    <w:p w14:paraId="6D982D3E" w14:textId="0C978156" w:rsidR="00F842C5" w:rsidRDefault="00F842C5" w:rsidP="00E4542B">
      <w:pPr>
        <w:pStyle w:val="BodyText"/>
      </w:pPr>
      <w:r>
        <w:t xml:space="preserve">It is intended that Youth Employment Pathways will assist disengaged youth to get back into school, move into the workforce or start a </w:t>
      </w:r>
      <w:r w:rsidR="005562AB">
        <w:t>VET</w:t>
      </w:r>
      <w:r>
        <w:t xml:space="preserve"> pathway. From 1 March 2015, community organisations will be able to apply for funding to deliver support services to a person aged 15-18 who is not in school (Department of Industry n.d). </w:t>
      </w:r>
    </w:p>
    <w:p w14:paraId="020C9EDC" w14:textId="77777777" w:rsidR="002A0FFE" w:rsidRDefault="002A0FFE" w:rsidP="002A0FFE">
      <w:pPr>
        <w:pStyle w:val="Heading3"/>
        <w:numPr>
          <w:ilvl w:val="2"/>
          <w:numId w:val="20"/>
        </w:numPr>
      </w:pPr>
      <w:r w:rsidRPr="00D4744E">
        <w:t>VET funded by state governments</w:t>
      </w:r>
    </w:p>
    <w:p w14:paraId="393710CD" w14:textId="77777777" w:rsidR="002A0FFE" w:rsidRDefault="002A0FFE" w:rsidP="002A0FFE">
      <w:pPr>
        <w:pStyle w:val="BodyText"/>
      </w:pPr>
      <w:r>
        <w:t>The following table provides an overview of state and territory funding arrangements for foundation skills, accessible to any student (subject to age requirements).</w:t>
      </w:r>
    </w:p>
    <w:p w14:paraId="108C48C4" w14:textId="77777777" w:rsidR="002A0FFE" w:rsidRDefault="002A0FFE" w:rsidP="002A0FFE">
      <w:pPr>
        <w:pStyle w:val="Caption"/>
        <w:ind w:left="-1701"/>
      </w:pPr>
      <w:bookmarkStart w:id="38" w:name="_Toc407737154"/>
      <w:bookmarkStart w:id="39" w:name="_Toc420065499"/>
      <w:r>
        <w:t xml:space="preserve">Table </w:t>
      </w:r>
      <w:fldSimple w:instr=" SEQ Table \* MERGEFORMAT ">
        <w:r w:rsidR="00294A5A">
          <w:rPr>
            <w:noProof/>
          </w:rPr>
          <w:t>3</w:t>
        </w:r>
      </w:fldSimple>
      <w:r w:rsidRPr="00532391">
        <w:rPr>
          <w:b/>
          <w:color w:val="000000"/>
        </w:rPr>
        <w:tab/>
      </w:r>
      <w:r>
        <w:rPr>
          <w:b/>
          <w:color w:val="000000"/>
        </w:rPr>
        <w:t>Foundation skills in VET: state and territory comparison</w:t>
      </w:r>
      <w:bookmarkEnd w:id="38"/>
      <w:bookmarkEnd w:id="39"/>
    </w:p>
    <w:tbl>
      <w:tblPr>
        <w:tblW w:w="10204" w:type="dxa"/>
        <w:tblInd w:w="-2551" w:type="dxa"/>
        <w:tblBorders>
          <w:bottom w:val="single" w:sz="2" w:space="0" w:color="C0C0C0"/>
          <w:insideH w:val="single" w:sz="2" w:space="0" w:color="C0C0C0"/>
        </w:tblBorders>
        <w:tblCellMar>
          <w:left w:w="142" w:type="dxa"/>
          <w:right w:w="56" w:type="dxa"/>
        </w:tblCellMar>
        <w:tblLook w:val="0000" w:firstRow="0" w:lastRow="0" w:firstColumn="0" w:lastColumn="0" w:noHBand="0" w:noVBand="0"/>
      </w:tblPr>
      <w:tblGrid>
        <w:gridCol w:w="1513"/>
        <w:gridCol w:w="1443"/>
        <w:gridCol w:w="1351"/>
        <w:gridCol w:w="1351"/>
        <w:gridCol w:w="1351"/>
        <w:gridCol w:w="1123"/>
        <w:gridCol w:w="1168"/>
        <w:gridCol w:w="904"/>
      </w:tblGrid>
      <w:tr w:rsidR="002A0FFE" w14:paraId="4AB1E95D" w14:textId="77777777" w:rsidTr="007B7EAC">
        <w:trPr>
          <w:cantSplit/>
        </w:trPr>
        <w:tc>
          <w:tcPr>
            <w:tcW w:w="775" w:type="pct"/>
            <w:tcBorders>
              <w:top w:val="nil"/>
            </w:tcBorders>
            <w:shd w:val="solid" w:color="9757A6" w:fill="auto"/>
            <w:vAlign w:val="center"/>
          </w:tcPr>
          <w:p w14:paraId="70D04BD6" w14:textId="77777777" w:rsidR="002A0FFE" w:rsidRDefault="002A0FFE" w:rsidP="007B7EAC">
            <w:pPr>
              <w:pStyle w:val="Tablecolumnheadings"/>
            </w:pPr>
          </w:p>
        </w:tc>
        <w:tc>
          <w:tcPr>
            <w:tcW w:w="741" w:type="pct"/>
            <w:tcBorders>
              <w:top w:val="nil"/>
            </w:tcBorders>
            <w:shd w:val="solid" w:color="9757A6" w:fill="auto"/>
            <w:vAlign w:val="center"/>
          </w:tcPr>
          <w:p w14:paraId="01FA3945" w14:textId="77777777" w:rsidR="002A0FFE" w:rsidRDefault="002A0FFE" w:rsidP="007B7EAC">
            <w:pPr>
              <w:pStyle w:val="Tablecolumnheadings"/>
            </w:pPr>
            <w:r>
              <w:t>New South Wales</w:t>
            </w:r>
          </w:p>
        </w:tc>
        <w:tc>
          <w:tcPr>
            <w:tcW w:w="696" w:type="pct"/>
            <w:tcBorders>
              <w:top w:val="nil"/>
            </w:tcBorders>
            <w:shd w:val="solid" w:color="9757A6" w:fill="auto"/>
            <w:vAlign w:val="center"/>
          </w:tcPr>
          <w:p w14:paraId="7773CE86" w14:textId="77777777" w:rsidR="002A0FFE" w:rsidRDefault="002A0FFE" w:rsidP="007B7EAC">
            <w:pPr>
              <w:pStyle w:val="Tablecolumnheadings"/>
            </w:pPr>
            <w:r>
              <w:t>Victoria</w:t>
            </w:r>
          </w:p>
        </w:tc>
        <w:tc>
          <w:tcPr>
            <w:tcW w:w="696" w:type="pct"/>
            <w:tcBorders>
              <w:top w:val="nil"/>
            </w:tcBorders>
            <w:shd w:val="solid" w:color="9757A6" w:fill="auto"/>
            <w:vAlign w:val="center"/>
          </w:tcPr>
          <w:p w14:paraId="30C6EF4E" w14:textId="77777777" w:rsidR="002A0FFE" w:rsidRDefault="002A0FFE" w:rsidP="007B7EAC">
            <w:pPr>
              <w:pStyle w:val="Tablecolumnheadings"/>
            </w:pPr>
            <w:r>
              <w:t>South Australia</w:t>
            </w:r>
          </w:p>
        </w:tc>
        <w:tc>
          <w:tcPr>
            <w:tcW w:w="696" w:type="pct"/>
            <w:tcBorders>
              <w:top w:val="nil"/>
            </w:tcBorders>
            <w:shd w:val="solid" w:color="9757A6" w:fill="auto"/>
            <w:vAlign w:val="center"/>
          </w:tcPr>
          <w:p w14:paraId="5AD76138" w14:textId="77777777" w:rsidR="002A0FFE" w:rsidRDefault="002A0FFE" w:rsidP="007B7EAC">
            <w:pPr>
              <w:pStyle w:val="Tablecolumnheadings"/>
            </w:pPr>
            <w:r>
              <w:t>Queensland</w:t>
            </w:r>
          </w:p>
        </w:tc>
        <w:tc>
          <w:tcPr>
            <w:tcW w:w="476" w:type="pct"/>
            <w:tcBorders>
              <w:top w:val="nil"/>
            </w:tcBorders>
            <w:shd w:val="solid" w:color="9757A6" w:fill="auto"/>
            <w:vAlign w:val="center"/>
          </w:tcPr>
          <w:p w14:paraId="13B9920A" w14:textId="77777777" w:rsidR="002A0FFE" w:rsidRDefault="002A0FFE" w:rsidP="007B7EAC">
            <w:pPr>
              <w:pStyle w:val="Tablecolumnheadings"/>
            </w:pPr>
            <w:r>
              <w:t>Western Australia</w:t>
            </w:r>
          </w:p>
        </w:tc>
        <w:tc>
          <w:tcPr>
            <w:tcW w:w="441" w:type="pct"/>
            <w:tcBorders>
              <w:top w:val="nil"/>
            </w:tcBorders>
            <w:shd w:val="solid" w:color="9757A6" w:fill="auto"/>
            <w:vAlign w:val="center"/>
          </w:tcPr>
          <w:p w14:paraId="5124444D" w14:textId="77777777" w:rsidR="002A0FFE" w:rsidRDefault="002A0FFE" w:rsidP="007B7EAC">
            <w:pPr>
              <w:pStyle w:val="Tablecolumnheadings"/>
            </w:pPr>
            <w:r>
              <w:t>Tasmania</w:t>
            </w:r>
          </w:p>
        </w:tc>
        <w:tc>
          <w:tcPr>
            <w:tcW w:w="477" w:type="pct"/>
            <w:tcBorders>
              <w:top w:val="nil"/>
            </w:tcBorders>
            <w:shd w:val="solid" w:color="9757A6" w:fill="auto"/>
            <w:vAlign w:val="center"/>
          </w:tcPr>
          <w:p w14:paraId="775D206D" w14:textId="77777777" w:rsidR="002A0FFE" w:rsidRDefault="002A0FFE" w:rsidP="007B7EAC">
            <w:pPr>
              <w:pStyle w:val="Tablecolumnheadings"/>
            </w:pPr>
            <w:r>
              <w:t>Northern Territory</w:t>
            </w:r>
          </w:p>
        </w:tc>
      </w:tr>
      <w:tr w:rsidR="002A0FFE" w14:paraId="375A60CE" w14:textId="77777777" w:rsidTr="007B7EAC">
        <w:trPr>
          <w:cantSplit/>
        </w:trPr>
        <w:tc>
          <w:tcPr>
            <w:tcW w:w="775" w:type="pct"/>
            <w:shd w:val="clear" w:color="auto" w:fill="auto"/>
            <w:vAlign w:val="center"/>
          </w:tcPr>
          <w:p w14:paraId="265260B0" w14:textId="77777777" w:rsidR="002A0FFE" w:rsidRDefault="002A0FFE" w:rsidP="007B7EAC">
            <w:pPr>
              <w:pStyle w:val="Tabletext"/>
            </w:pPr>
            <w:r>
              <w:t>Implementation</w:t>
            </w:r>
          </w:p>
        </w:tc>
        <w:tc>
          <w:tcPr>
            <w:tcW w:w="741" w:type="pct"/>
            <w:shd w:val="clear" w:color="auto" w:fill="auto"/>
          </w:tcPr>
          <w:p w14:paraId="415419DA" w14:textId="77777777" w:rsidR="002A0FFE" w:rsidRDefault="002A0FFE" w:rsidP="007B7EAC">
            <w:pPr>
              <w:pStyle w:val="Tabletext"/>
            </w:pPr>
            <w:r w:rsidRPr="00487E54">
              <w:t>January 2015</w:t>
            </w:r>
          </w:p>
        </w:tc>
        <w:tc>
          <w:tcPr>
            <w:tcW w:w="696" w:type="pct"/>
            <w:shd w:val="clear" w:color="auto" w:fill="auto"/>
          </w:tcPr>
          <w:p w14:paraId="527098D6" w14:textId="77777777" w:rsidR="002A0FFE" w:rsidRDefault="002A0FFE" w:rsidP="007B7EAC">
            <w:pPr>
              <w:pStyle w:val="Tabletext"/>
            </w:pPr>
            <w:r>
              <w:t>2008</w:t>
            </w:r>
          </w:p>
        </w:tc>
        <w:tc>
          <w:tcPr>
            <w:tcW w:w="696" w:type="pct"/>
            <w:shd w:val="clear" w:color="auto" w:fill="auto"/>
          </w:tcPr>
          <w:p w14:paraId="44A41F03" w14:textId="77777777" w:rsidR="002A0FFE" w:rsidRDefault="002A0FFE" w:rsidP="007B7EAC">
            <w:pPr>
              <w:pStyle w:val="Tabletext"/>
            </w:pPr>
            <w:r>
              <w:t>2012</w:t>
            </w:r>
          </w:p>
        </w:tc>
        <w:tc>
          <w:tcPr>
            <w:tcW w:w="696" w:type="pct"/>
            <w:shd w:val="clear" w:color="auto" w:fill="auto"/>
          </w:tcPr>
          <w:p w14:paraId="674684B0" w14:textId="77777777" w:rsidR="002A0FFE" w:rsidRDefault="002A0FFE" w:rsidP="007B7EAC">
            <w:pPr>
              <w:pStyle w:val="Tabletext"/>
            </w:pPr>
            <w:r>
              <w:t>2013</w:t>
            </w:r>
          </w:p>
        </w:tc>
        <w:tc>
          <w:tcPr>
            <w:tcW w:w="476" w:type="pct"/>
            <w:shd w:val="clear" w:color="auto" w:fill="auto"/>
          </w:tcPr>
          <w:p w14:paraId="175D4289" w14:textId="77777777" w:rsidR="002A0FFE" w:rsidRDefault="002A0FFE" w:rsidP="007B7EAC">
            <w:pPr>
              <w:pStyle w:val="Tabletext"/>
            </w:pPr>
            <w:r>
              <w:t>January 2014</w:t>
            </w:r>
          </w:p>
        </w:tc>
        <w:tc>
          <w:tcPr>
            <w:tcW w:w="441" w:type="pct"/>
            <w:vAlign w:val="center"/>
          </w:tcPr>
          <w:p w14:paraId="6FCE3924" w14:textId="77777777" w:rsidR="002A0FFE" w:rsidRDefault="002A0FFE" w:rsidP="007B7EAC">
            <w:pPr>
              <w:pStyle w:val="Tabletext"/>
            </w:pPr>
            <w:r>
              <w:t>2014</w:t>
            </w:r>
          </w:p>
        </w:tc>
        <w:tc>
          <w:tcPr>
            <w:tcW w:w="477" w:type="pct"/>
            <w:shd w:val="clear" w:color="auto" w:fill="auto"/>
            <w:vAlign w:val="center"/>
          </w:tcPr>
          <w:p w14:paraId="5572FCD5" w14:textId="77777777" w:rsidR="002A0FFE" w:rsidRDefault="002A0FFE" w:rsidP="007B7EAC">
            <w:pPr>
              <w:pStyle w:val="Tabletext"/>
            </w:pPr>
          </w:p>
        </w:tc>
      </w:tr>
      <w:tr w:rsidR="002A0FFE" w14:paraId="576F5FE7" w14:textId="77777777" w:rsidTr="007B7EAC">
        <w:trPr>
          <w:cantSplit/>
        </w:trPr>
        <w:tc>
          <w:tcPr>
            <w:tcW w:w="775" w:type="pct"/>
            <w:shd w:val="clear" w:color="auto" w:fill="auto"/>
            <w:vAlign w:val="center"/>
          </w:tcPr>
          <w:p w14:paraId="2140881E" w14:textId="77777777" w:rsidR="002A0FFE" w:rsidRDefault="002A0FFE" w:rsidP="007B7EAC">
            <w:pPr>
              <w:pStyle w:val="Tabletext"/>
            </w:pPr>
            <w:r>
              <w:t>Age requirements</w:t>
            </w:r>
          </w:p>
        </w:tc>
        <w:tc>
          <w:tcPr>
            <w:tcW w:w="741" w:type="pct"/>
            <w:shd w:val="clear" w:color="auto" w:fill="auto"/>
            <w:vAlign w:val="center"/>
          </w:tcPr>
          <w:p w14:paraId="43B2B31A" w14:textId="77777777" w:rsidR="002A0FFE" w:rsidRDefault="002A0FFE" w:rsidP="007B7EAC">
            <w:pPr>
              <w:pStyle w:val="Tabletext"/>
            </w:pPr>
            <w:r w:rsidRPr="009A145B">
              <w:t>15 or over without a certificate IV or above</w:t>
            </w:r>
          </w:p>
        </w:tc>
        <w:tc>
          <w:tcPr>
            <w:tcW w:w="696" w:type="pct"/>
            <w:shd w:val="clear" w:color="auto" w:fill="auto"/>
            <w:vAlign w:val="center"/>
          </w:tcPr>
          <w:p w14:paraId="398DBBDF" w14:textId="77777777" w:rsidR="002A0FFE" w:rsidRDefault="002A0FFE" w:rsidP="007B7EAC">
            <w:pPr>
              <w:pStyle w:val="Tabletext"/>
            </w:pPr>
            <w:r>
              <w:t>Over 15</w:t>
            </w:r>
          </w:p>
        </w:tc>
        <w:tc>
          <w:tcPr>
            <w:tcW w:w="696" w:type="pct"/>
            <w:shd w:val="clear" w:color="auto" w:fill="auto"/>
            <w:vAlign w:val="center"/>
          </w:tcPr>
          <w:p w14:paraId="0D6D222C" w14:textId="77777777" w:rsidR="002A0FFE" w:rsidRDefault="002A0FFE" w:rsidP="007B7EAC">
            <w:pPr>
              <w:pStyle w:val="Tabletext"/>
            </w:pPr>
            <w:r>
              <w:t>Over 16</w:t>
            </w:r>
          </w:p>
        </w:tc>
        <w:tc>
          <w:tcPr>
            <w:tcW w:w="696" w:type="pct"/>
            <w:shd w:val="clear" w:color="auto" w:fill="auto"/>
            <w:vAlign w:val="center"/>
          </w:tcPr>
          <w:p w14:paraId="2EC4A264" w14:textId="77777777" w:rsidR="002A0FFE" w:rsidRDefault="002A0FFE" w:rsidP="007B7EAC">
            <w:pPr>
              <w:pStyle w:val="Tabletext"/>
            </w:pPr>
            <w:r w:rsidRPr="009A145B">
              <w:t>15 or over, no longer at school</w:t>
            </w:r>
          </w:p>
        </w:tc>
        <w:tc>
          <w:tcPr>
            <w:tcW w:w="476" w:type="pct"/>
            <w:shd w:val="clear" w:color="auto" w:fill="auto"/>
            <w:vAlign w:val="center"/>
          </w:tcPr>
          <w:p w14:paraId="489696D7" w14:textId="77777777" w:rsidR="002A0FFE" w:rsidRDefault="002619D7" w:rsidP="007B7EAC">
            <w:pPr>
              <w:pStyle w:val="Tabletext"/>
            </w:pPr>
            <w:r>
              <w:t>-</w:t>
            </w:r>
          </w:p>
        </w:tc>
        <w:tc>
          <w:tcPr>
            <w:tcW w:w="441" w:type="pct"/>
            <w:vAlign w:val="center"/>
          </w:tcPr>
          <w:p w14:paraId="54259F01" w14:textId="77777777" w:rsidR="002A0FFE" w:rsidRPr="009A145B" w:rsidRDefault="002A0FFE" w:rsidP="007B7EAC">
            <w:pPr>
              <w:pStyle w:val="Tabletext"/>
            </w:pPr>
            <w:r>
              <w:t>Over 15</w:t>
            </w:r>
          </w:p>
        </w:tc>
        <w:tc>
          <w:tcPr>
            <w:tcW w:w="477" w:type="pct"/>
            <w:shd w:val="clear" w:color="auto" w:fill="auto"/>
            <w:vAlign w:val="center"/>
          </w:tcPr>
          <w:p w14:paraId="4251CE97" w14:textId="77777777" w:rsidR="002A0FFE" w:rsidRDefault="002A0FFE" w:rsidP="007B7EAC">
            <w:pPr>
              <w:pStyle w:val="Tabletext"/>
            </w:pPr>
            <w:r w:rsidRPr="009A145B">
              <w:t>17 and over, no longer at school</w:t>
            </w:r>
          </w:p>
        </w:tc>
      </w:tr>
      <w:tr w:rsidR="002A0FFE" w14:paraId="16875B29" w14:textId="77777777" w:rsidTr="007B7EAC">
        <w:trPr>
          <w:cantSplit/>
        </w:trPr>
        <w:tc>
          <w:tcPr>
            <w:tcW w:w="775" w:type="pct"/>
            <w:shd w:val="clear" w:color="auto" w:fill="auto"/>
            <w:vAlign w:val="center"/>
          </w:tcPr>
          <w:p w14:paraId="66BF1415" w14:textId="77777777" w:rsidR="002A0FFE" w:rsidRDefault="002A0FFE" w:rsidP="007B7EAC">
            <w:pPr>
              <w:pStyle w:val="Tabletext"/>
            </w:pPr>
            <w:r>
              <w:t>Range of courses</w:t>
            </w:r>
          </w:p>
        </w:tc>
        <w:tc>
          <w:tcPr>
            <w:tcW w:w="741" w:type="pct"/>
            <w:shd w:val="clear" w:color="auto" w:fill="auto"/>
            <w:vAlign w:val="center"/>
          </w:tcPr>
          <w:p w14:paraId="4B724A70" w14:textId="77777777" w:rsidR="002A0FFE" w:rsidRDefault="002A0FFE" w:rsidP="007B7EAC">
            <w:pPr>
              <w:pStyle w:val="Tabletext"/>
            </w:pPr>
            <w:r w:rsidRPr="009A145B">
              <w:t>Identified foundation skill qualifications, published on website</w:t>
            </w:r>
          </w:p>
        </w:tc>
        <w:tc>
          <w:tcPr>
            <w:tcW w:w="696" w:type="pct"/>
            <w:shd w:val="clear" w:color="auto" w:fill="auto"/>
            <w:vAlign w:val="center"/>
          </w:tcPr>
          <w:p w14:paraId="7A9E783C" w14:textId="77777777" w:rsidR="002A0FFE" w:rsidRDefault="002A0FFE" w:rsidP="007B7EAC">
            <w:pPr>
              <w:pStyle w:val="Tabletext"/>
            </w:pPr>
            <w:r w:rsidRPr="009A145B">
              <w:t>Identified foundation skill qualifications, published on website</w:t>
            </w:r>
          </w:p>
        </w:tc>
        <w:tc>
          <w:tcPr>
            <w:tcW w:w="696" w:type="pct"/>
            <w:shd w:val="clear" w:color="auto" w:fill="auto"/>
            <w:vAlign w:val="center"/>
          </w:tcPr>
          <w:p w14:paraId="2C7795ED" w14:textId="77777777" w:rsidR="002A0FFE" w:rsidRDefault="002A0FFE" w:rsidP="007B7EAC">
            <w:pPr>
              <w:pStyle w:val="Tabletext"/>
            </w:pPr>
            <w:r w:rsidRPr="00D21458">
              <w:t>Identified foundation skill qualifications, published on website</w:t>
            </w:r>
          </w:p>
        </w:tc>
        <w:tc>
          <w:tcPr>
            <w:tcW w:w="696" w:type="pct"/>
            <w:shd w:val="clear" w:color="auto" w:fill="auto"/>
            <w:vAlign w:val="center"/>
          </w:tcPr>
          <w:p w14:paraId="02BF6FF5" w14:textId="77777777" w:rsidR="002A0FFE" w:rsidRDefault="002A0FFE" w:rsidP="007B7EAC">
            <w:pPr>
              <w:pStyle w:val="Tabletext"/>
            </w:pPr>
            <w:r w:rsidRPr="00D21458">
              <w:t>Identified foundation skill qualifications, published on website</w:t>
            </w:r>
          </w:p>
        </w:tc>
        <w:tc>
          <w:tcPr>
            <w:tcW w:w="476" w:type="pct"/>
            <w:shd w:val="clear" w:color="auto" w:fill="auto"/>
            <w:vAlign w:val="center"/>
          </w:tcPr>
          <w:p w14:paraId="0536A8BA" w14:textId="77777777" w:rsidR="002A0FFE" w:rsidRDefault="002619D7" w:rsidP="007B7EAC">
            <w:pPr>
              <w:pStyle w:val="Tabletext"/>
            </w:pPr>
            <w:r>
              <w:t>-</w:t>
            </w:r>
          </w:p>
        </w:tc>
        <w:tc>
          <w:tcPr>
            <w:tcW w:w="441" w:type="pct"/>
            <w:vAlign w:val="center"/>
          </w:tcPr>
          <w:p w14:paraId="1CF3AD2F" w14:textId="77777777" w:rsidR="002A0FFE" w:rsidRDefault="002A0FFE" w:rsidP="007B7EAC">
            <w:pPr>
              <w:pStyle w:val="Tabletext"/>
            </w:pPr>
            <w:r w:rsidRPr="00D21458">
              <w:t>Identified foundation skill qualifications, published on website</w:t>
            </w:r>
          </w:p>
        </w:tc>
        <w:tc>
          <w:tcPr>
            <w:tcW w:w="477" w:type="pct"/>
            <w:shd w:val="clear" w:color="auto" w:fill="auto"/>
            <w:vAlign w:val="center"/>
          </w:tcPr>
          <w:p w14:paraId="4B47A4BA" w14:textId="77777777" w:rsidR="002A0FFE" w:rsidRDefault="002619D7" w:rsidP="007B7EAC">
            <w:pPr>
              <w:pStyle w:val="Tabletext"/>
            </w:pPr>
            <w:r>
              <w:t>-</w:t>
            </w:r>
          </w:p>
        </w:tc>
      </w:tr>
      <w:tr w:rsidR="002A0FFE" w14:paraId="47A3FD15" w14:textId="77777777" w:rsidTr="007B7EAC">
        <w:trPr>
          <w:cantSplit/>
        </w:trPr>
        <w:tc>
          <w:tcPr>
            <w:tcW w:w="775" w:type="pct"/>
            <w:shd w:val="clear" w:color="auto" w:fill="auto"/>
            <w:vAlign w:val="center"/>
          </w:tcPr>
          <w:p w14:paraId="61C0FF1F" w14:textId="77777777" w:rsidR="002A0FFE" w:rsidRDefault="002A0FFE" w:rsidP="007B7EAC">
            <w:pPr>
              <w:pStyle w:val="Tabletext"/>
            </w:pPr>
            <w:r>
              <w:t>Courses limit</w:t>
            </w:r>
          </w:p>
        </w:tc>
        <w:tc>
          <w:tcPr>
            <w:tcW w:w="741" w:type="pct"/>
            <w:shd w:val="clear" w:color="auto" w:fill="auto"/>
            <w:vAlign w:val="center"/>
          </w:tcPr>
          <w:p w14:paraId="44083030" w14:textId="77777777" w:rsidR="002A0FFE" w:rsidRDefault="002619D7" w:rsidP="007B7EAC">
            <w:pPr>
              <w:pStyle w:val="Tabletext"/>
            </w:pPr>
            <w:r>
              <w:t>-</w:t>
            </w:r>
          </w:p>
        </w:tc>
        <w:tc>
          <w:tcPr>
            <w:tcW w:w="696" w:type="pct"/>
            <w:shd w:val="clear" w:color="auto" w:fill="auto"/>
            <w:vAlign w:val="center"/>
          </w:tcPr>
          <w:p w14:paraId="092D78CF" w14:textId="77777777" w:rsidR="002A0FFE" w:rsidRDefault="002A0FFE" w:rsidP="007B7EAC">
            <w:pPr>
              <w:pStyle w:val="Tabletext"/>
            </w:pPr>
            <w:r w:rsidRPr="009A145B">
              <w:t>2 courses per year</w:t>
            </w:r>
          </w:p>
        </w:tc>
        <w:tc>
          <w:tcPr>
            <w:tcW w:w="696" w:type="pct"/>
            <w:shd w:val="clear" w:color="auto" w:fill="auto"/>
            <w:vAlign w:val="center"/>
          </w:tcPr>
          <w:p w14:paraId="308048BC" w14:textId="77777777" w:rsidR="002A0FFE" w:rsidRDefault="002619D7" w:rsidP="007B7EAC">
            <w:pPr>
              <w:pStyle w:val="Tabletext"/>
            </w:pPr>
            <w:r>
              <w:t>-</w:t>
            </w:r>
          </w:p>
        </w:tc>
        <w:tc>
          <w:tcPr>
            <w:tcW w:w="696" w:type="pct"/>
            <w:shd w:val="clear" w:color="auto" w:fill="auto"/>
            <w:vAlign w:val="center"/>
          </w:tcPr>
          <w:p w14:paraId="44731C3A" w14:textId="77777777" w:rsidR="002A0FFE" w:rsidRDefault="002619D7" w:rsidP="007B7EAC">
            <w:pPr>
              <w:pStyle w:val="Tabletext"/>
            </w:pPr>
            <w:r>
              <w:t>-</w:t>
            </w:r>
          </w:p>
        </w:tc>
        <w:tc>
          <w:tcPr>
            <w:tcW w:w="476" w:type="pct"/>
            <w:shd w:val="clear" w:color="auto" w:fill="auto"/>
            <w:vAlign w:val="center"/>
          </w:tcPr>
          <w:p w14:paraId="0F0EC54D" w14:textId="77777777" w:rsidR="002A0FFE" w:rsidRDefault="002619D7" w:rsidP="007B7EAC">
            <w:pPr>
              <w:pStyle w:val="Tabletext"/>
            </w:pPr>
            <w:r>
              <w:t>-</w:t>
            </w:r>
          </w:p>
        </w:tc>
        <w:tc>
          <w:tcPr>
            <w:tcW w:w="441" w:type="pct"/>
            <w:vAlign w:val="center"/>
          </w:tcPr>
          <w:p w14:paraId="44B3C17C" w14:textId="77777777" w:rsidR="002A0FFE" w:rsidRDefault="002619D7" w:rsidP="007B7EAC">
            <w:pPr>
              <w:pStyle w:val="Tabletext"/>
            </w:pPr>
            <w:r>
              <w:t>-</w:t>
            </w:r>
          </w:p>
        </w:tc>
        <w:tc>
          <w:tcPr>
            <w:tcW w:w="477" w:type="pct"/>
            <w:shd w:val="clear" w:color="auto" w:fill="auto"/>
            <w:vAlign w:val="center"/>
          </w:tcPr>
          <w:p w14:paraId="3F1299D3" w14:textId="77777777" w:rsidR="002A0FFE" w:rsidRDefault="002619D7" w:rsidP="007B7EAC">
            <w:pPr>
              <w:pStyle w:val="Tabletext"/>
            </w:pPr>
            <w:r>
              <w:t>-</w:t>
            </w:r>
          </w:p>
        </w:tc>
      </w:tr>
      <w:tr w:rsidR="002A0FFE" w14:paraId="1B474F65" w14:textId="77777777" w:rsidTr="007B7EAC">
        <w:trPr>
          <w:cantSplit/>
        </w:trPr>
        <w:tc>
          <w:tcPr>
            <w:tcW w:w="775" w:type="pct"/>
            <w:shd w:val="clear" w:color="auto" w:fill="auto"/>
            <w:vAlign w:val="center"/>
          </w:tcPr>
          <w:p w14:paraId="7930E8C4" w14:textId="77777777" w:rsidR="002A0FFE" w:rsidRDefault="002A0FFE" w:rsidP="007B7EAC">
            <w:pPr>
              <w:pStyle w:val="Tabletext"/>
            </w:pPr>
            <w:r>
              <w:t>Student fees</w:t>
            </w:r>
          </w:p>
        </w:tc>
        <w:tc>
          <w:tcPr>
            <w:tcW w:w="741" w:type="pct"/>
            <w:shd w:val="clear" w:color="auto" w:fill="auto"/>
            <w:vAlign w:val="center"/>
          </w:tcPr>
          <w:p w14:paraId="645E94BF" w14:textId="77777777" w:rsidR="002A0FFE" w:rsidRDefault="002A0FFE" w:rsidP="007B7EAC">
            <w:pPr>
              <w:pStyle w:val="Tabletext"/>
            </w:pPr>
            <w:r w:rsidRPr="009A145B">
              <w:t>Set by NSW Government and concessions apply</w:t>
            </w:r>
          </w:p>
        </w:tc>
        <w:tc>
          <w:tcPr>
            <w:tcW w:w="696" w:type="pct"/>
            <w:shd w:val="clear" w:color="auto" w:fill="auto"/>
            <w:vAlign w:val="center"/>
          </w:tcPr>
          <w:p w14:paraId="1B7D52CF" w14:textId="77777777" w:rsidR="002A0FFE" w:rsidRDefault="002A0FFE" w:rsidP="007B7EAC">
            <w:pPr>
              <w:pStyle w:val="Tabletext"/>
            </w:pPr>
            <w:r w:rsidRPr="009A145B">
              <w:t>Set by RTO and concessions apply</w:t>
            </w:r>
          </w:p>
        </w:tc>
        <w:tc>
          <w:tcPr>
            <w:tcW w:w="696" w:type="pct"/>
            <w:shd w:val="clear" w:color="auto" w:fill="auto"/>
            <w:vAlign w:val="center"/>
          </w:tcPr>
          <w:p w14:paraId="31DE867F" w14:textId="5BB6BC1D" w:rsidR="002A0FFE" w:rsidRDefault="002A0FFE" w:rsidP="007B7EAC">
            <w:pPr>
              <w:pStyle w:val="Tabletext"/>
            </w:pPr>
            <w:r w:rsidRPr="00D21458">
              <w:t xml:space="preserve">Foundation skills courses, </w:t>
            </w:r>
            <w:r w:rsidR="004D6F2C">
              <w:t>C</w:t>
            </w:r>
            <w:r w:rsidRPr="00D21458">
              <w:t>ertificate I and II courses and courses in priority areas are student fee free</w:t>
            </w:r>
          </w:p>
        </w:tc>
        <w:tc>
          <w:tcPr>
            <w:tcW w:w="696" w:type="pct"/>
            <w:shd w:val="clear" w:color="auto" w:fill="auto"/>
            <w:vAlign w:val="center"/>
          </w:tcPr>
          <w:p w14:paraId="40DA91ED" w14:textId="77777777" w:rsidR="002A0FFE" w:rsidRDefault="002A0FFE" w:rsidP="007B7EAC">
            <w:pPr>
              <w:pStyle w:val="Tabletext"/>
            </w:pPr>
            <w:r w:rsidRPr="00D21458">
              <w:t>Set by RTO and concessions apply</w:t>
            </w:r>
          </w:p>
        </w:tc>
        <w:tc>
          <w:tcPr>
            <w:tcW w:w="476" w:type="pct"/>
            <w:shd w:val="clear" w:color="auto" w:fill="auto"/>
            <w:vAlign w:val="center"/>
          </w:tcPr>
          <w:p w14:paraId="1C1CF822" w14:textId="77777777" w:rsidR="002A0FFE" w:rsidRDefault="002A0FFE" w:rsidP="007B7EAC">
            <w:pPr>
              <w:pStyle w:val="Tabletext"/>
            </w:pPr>
            <w:r w:rsidRPr="00D21458">
              <w:t xml:space="preserve">Set by </w:t>
            </w:r>
            <w:r>
              <w:t>WA government</w:t>
            </w:r>
            <w:r w:rsidRPr="00D21458">
              <w:t xml:space="preserve"> and concessions apply</w:t>
            </w:r>
          </w:p>
        </w:tc>
        <w:tc>
          <w:tcPr>
            <w:tcW w:w="441" w:type="pct"/>
            <w:vAlign w:val="center"/>
          </w:tcPr>
          <w:p w14:paraId="1E67EB53" w14:textId="77777777" w:rsidR="002A0FFE" w:rsidRDefault="002619D7" w:rsidP="007B7EAC">
            <w:pPr>
              <w:pStyle w:val="Tabletext"/>
            </w:pPr>
            <w:r>
              <w:t>-</w:t>
            </w:r>
          </w:p>
        </w:tc>
        <w:tc>
          <w:tcPr>
            <w:tcW w:w="477" w:type="pct"/>
            <w:shd w:val="clear" w:color="auto" w:fill="auto"/>
            <w:vAlign w:val="center"/>
          </w:tcPr>
          <w:p w14:paraId="13BB80C2" w14:textId="77777777" w:rsidR="002A0FFE" w:rsidRDefault="002619D7" w:rsidP="007B7EAC">
            <w:pPr>
              <w:pStyle w:val="Tabletext"/>
            </w:pPr>
            <w:r>
              <w:t>-</w:t>
            </w:r>
          </w:p>
        </w:tc>
      </w:tr>
      <w:tr w:rsidR="002A0FFE" w14:paraId="441F00B8" w14:textId="77777777" w:rsidTr="007B7EAC">
        <w:trPr>
          <w:cantSplit/>
        </w:trPr>
        <w:tc>
          <w:tcPr>
            <w:tcW w:w="775" w:type="pct"/>
            <w:shd w:val="clear" w:color="auto" w:fill="auto"/>
            <w:vAlign w:val="center"/>
          </w:tcPr>
          <w:p w14:paraId="19BDA305" w14:textId="77777777" w:rsidR="002A0FFE" w:rsidRDefault="002A0FFE" w:rsidP="007B7EAC">
            <w:pPr>
              <w:pStyle w:val="Tabletext"/>
            </w:pPr>
            <w:r>
              <w:t>Funding mechanism</w:t>
            </w:r>
          </w:p>
        </w:tc>
        <w:tc>
          <w:tcPr>
            <w:tcW w:w="741" w:type="pct"/>
            <w:shd w:val="clear" w:color="auto" w:fill="auto"/>
            <w:vAlign w:val="center"/>
          </w:tcPr>
          <w:p w14:paraId="1B23BBAE" w14:textId="77777777" w:rsidR="002A0FFE" w:rsidRDefault="002A0FFE" w:rsidP="007B7EAC">
            <w:pPr>
              <w:pStyle w:val="Tabletext"/>
            </w:pPr>
            <w:r w:rsidRPr="009A145B">
              <w:t>Approved RTOs will be paid a loading on top of the base price for training disadvantaged students, on a per qualification basis</w:t>
            </w:r>
          </w:p>
        </w:tc>
        <w:tc>
          <w:tcPr>
            <w:tcW w:w="696" w:type="pct"/>
            <w:shd w:val="clear" w:color="auto" w:fill="auto"/>
            <w:vAlign w:val="center"/>
          </w:tcPr>
          <w:p w14:paraId="44E3B2EA" w14:textId="77777777" w:rsidR="002A0FFE" w:rsidRDefault="002A0FFE" w:rsidP="007B7EAC">
            <w:pPr>
              <w:pStyle w:val="Tabletext"/>
            </w:pPr>
            <w:r w:rsidRPr="009A145B">
              <w:t>Funding is paid per hour of training delivery and higher subsidies are provided for foundation skill qualifications</w:t>
            </w:r>
          </w:p>
        </w:tc>
        <w:tc>
          <w:tcPr>
            <w:tcW w:w="696" w:type="pct"/>
            <w:shd w:val="clear" w:color="auto" w:fill="auto"/>
            <w:vAlign w:val="center"/>
          </w:tcPr>
          <w:p w14:paraId="6E539764" w14:textId="77777777" w:rsidR="002A0FFE" w:rsidRDefault="002A0FFE" w:rsidP="007B7EAC">
            <w:pPr>
              <w:pStyle w:val="Tabletext"/>
            </w:pPr>
            <w:r w:rsidRPr="00D21458">
              <w:t>Funding is paid at an hourly rate per unit of competency</w:t>
            </w:r>
          </w:p>
        </w:tc>
        <w:tc>
          <w:tcPr>
            <w:tcW w:w="696" w:type="pct"/>
            <w:shd w:val="clear" w:color="auto" w:fill="auto"/>
            <w:vAlign w:val="center"/>
          </w:tcPr>
          <w:p w14:paraId="17E3D61C" w14:textId="77777777" w:rsidR="002A0FFE" w:rsidRDefault="002A0FFE" w:rsidP="007B7EAC">
            <w:pPr>
              <w:pStyle w:val="Tabletext"/>
            </w:pPr>
            <w:r w:rsidRPr="00804BEC">
              <w:t>Funding is provided per qualification and the Queensland Government will pay a higher subsidy for any participant requiring literacy and numeracy training</w:t>
            </w:r>
          </w:p>
        </w:tc>
        <w:tc>
          <w:tcPr>
            <w:tcW w:w="476" w:type="pct"/>
            <w:shd w:val="clear" w:color="auto" w:fill="auto"/>
            <w:vAlign w:val="center"/>
          </w:tcPr>
          <w:p w14:paraId="1A99B08A" w14:textId="77777777" w:rsidR="002A0FFE" w:rsidRDefault="002A0FFE" w:rsidP="007B7EAC">
            <w:pPr>
              <w:pStyle w:val="Tabletext"/>
            </w:pPr>
            <w:r>
              <w:t xml:space="preserve">Foundation skills courses and qualifications will receive the highest proportion of government </w:t>
            </w:r>
          </w:p>
        </w:tc>
        <w:tc>
          <w:tcPr>
            <w:tcW w:w="441" w:type="pct"/>
            <w:vAlign w:val="center"/>
          </w:tcPr>
          <w:p w14:paraId="151652BC" w14:textId="77777777" w:rsidR="002A0FFE" w:rsidRDefault="002619D7" w:rsidP="007B7EAC">
            <w:pPr>
              <w:pStyle w:val="Tabletext"/>
            </w:pPr>
            <w:r>
              <w:t>-</w:t>
            </w:r>
          </w:p>
        </w:tc>
        <w:tc>
          <w:tcPr>
            <w:tcW w:w="477" w:type="pct"/>
            <w:shd w:val="clear" w:color="auto" w:fill="auto"/>
            <w:vAlign w:val="center"/>
          </w:tcPr>
          <w:p w14:paraId="1470BD68" w14:textId="77777777" w:rsidR="002A0FFE" w:rsidRDefault="002619D7" w:rsidP="007B7EAC">
            <w:pPr>
              <w:pStyle w:val="Tabletext"/>
            </w:pPr>
            <w:r>
              <w:t>-</w:t>
            </w:r>
          </w:p>
        </w:tc>
      </w:tr>
    </w:tbl>
    <w:p w14:paraId="746B66B0" w14:textId="77777777" w:rsidR="002A0FFE" w:rsidRPr="00970E7F" w:rsidRDefault="002A0FFE" w:rsidP="002A0FFE">
      <w:pPr>
        <w:pStyle w:val="Source"/>
        <w:ind w:left="-2551"/>
      </w:pPr>
      <w:r>
        <w:t xml:space="preserve">Source: </w:t>
      </w:r>
      <w:r w:rsidRPr="00814D0A">
        <w:t>ACT Education and Training Directorate (2014)</w:t>
      </w:r>
    </w:p>
    <w:p w14:paraId="574F5197" w14:textId="77777777" w:rsidR="002A0FFE" w:rsidRDefault="002A0FFE" w:rsidP="002A0FFE">
      <w:pPr>
        <w:pStyle w:val="Heading2"/>
        <w:numPr>
          <w:ilvl w:val="1"/>
          <w:numId w:val="20"/>
        </w:numPr>
      </w:pPr>
      <w:bookmarkStart w:id="40" w:name="_Toc420065440"/>
      <w:r>
        <w:t>Previous reviews</w:t>
      </w:r>
      <w:bookmarkEnd w:id="40"/>
      <w:r>
        <w:t xml:space="preserve"> </w:t>
      </w:r>
    </w:p>
    <w:p w14:paraId="18F9FE2D" w14:textId="385D4860" w:rsidR="002A0FFE" w:rsidRDefault="002A0FFE" w:rsidP="002A0FFE">
      <w:pPr>
        <w:pStyle w:val="BodyText"/>
      </w:pPr>
      <w:r>
        <w:t xml:space="preserve">The </w:t>
      </w:r>
      <w:r w:rsidR="008D0896">
        <w:t>Australian Government</w:t>
      </w:r>
      <w:r>
        <w:t xml:space="preserve"> released a Discussion Paper in 2012 to seek stakeholder feedback on the </w:t>
      </w:r>
      <w:r w:rsidR="00007C78">
        <w:t>programme,</w:t>
      </w:r>
      <w:r>
        <w:t xml:space="preserve"> with a view to modifying it prior to the 2013-2016 contract period. The Discussion Paper sought comment on aspects of market delivery, including the multi-</w:t>
      </w:r>
      <w:r w:rsidR="0089649A">
        <w:t>provider and panel models</w:t>
      </w:r>
      <w:r>
        <w:t>. A range of programme elements was also presented for discussion including teacher and assessor qualifications, the place of work experience, service delivery, geographic coverage, the performance framework</w:t>
      </w:r>
      <w:r w:rsidR="00B41F7A">
        <w:t>,</w:t>
      </w:r>
      <w:r>
        <w:t xml:space="preserve"> and payment structure. Attention was also paid to the matter of remote service delivery and the Independent Verification process </w:t>
      </w:r>
      <w:r>
        <w:fldChar w:fldCharType="begin"/>
      </w:r>
      <w:r>
        <w:instrText xml:space="preserve"> ADDIN EN.CITE &lt;EndNote&gt;&lt;Cite&gt;&lt;Author&gt;DIISRTE&lt;/Author&gt;&lt;Year&gt;2012&lt;/Year&gt;&lt;RecNum&gt;141&lt;/RecNum&gt;&lt;DisplayText&gt;(DIISRTE 2012)&lt;/DisplayText&gt;&lt;record&gt;&lt;rec-number&gt;141&lt;/rec-number&gt;&lt;foreign-keys&gt;&lt;key app="EN" db-id="tz2999apzpzsecedfarxdvvvvfpv999z2zrv" timestamp="1419932532"&gt;141&lt;/key&gt;&lt;/foreign-keys&gt;&lt;ref-type name="Report"&gt;27&lt;/ref-type&gt;&lt;contributors&gt;&lt;authors&gt;&lt;author&gt;DIISRTE,&lt;/author&gt;&lt;/authors&gt;&lt;/contributors&gt;&lt;titles&gt;&lt;title&gt;Creating a more flexible LLNP in 2013-16&lt;/title&gt;&lt;/titles&gt;&lt;dates&gt;&lt;year&gt;2012&lt;/year&gt;&lt;/dates&gt;&lt;pub-location&gt;Canberra&lt;/pub-location&gt;&lt;urls&gt;&lt;/urls&gt;&lt;/record&gt;&lt;/Cite&gt;&lt;/EndNote&gt;</w:instrText>
      </w:r>
      <w:r>
        <w:fldChar w:fldCharType="separate"/>
      </w:r>
      <w:r>
        <w:rPr>
          <w:noProof/>
        </w:rPr>
        <w:t>(DIISRTE 2012)</w:t>
      </w:r>
      <w:r>
        <w:fldChar w:fldCharType="end"/>
      </w:r>
      <w:r>
        <w:t>.</w:t>
      </w:r>
    </w:p>
    <w:p w14:paraId="4998C28A" w14:textId="77777777" w:rsidR="002A0FFE" w:rsidRPr="008E4175" w:rsidRDefault="002A0FFE" w:rsidP="002A0FFE">
      <w:pPr>
        <w:pStyle w:val="Heading3"/>
        <w:numPr>
          <w:ilvl w:val="2"/>
          <w:numId w:val="20"/>
        </w:numPr>
      </w:pPr>
      <w:r w:rsidRPr="008E4175">
        <w:t>Review report of the Language, Literacy and Numeracy Programme, 25 February 2005</w:t>
      </w:r>
    </w:p>
    <w:p w14:paraId="046BF8D6" w14:textId="77777777" w:rsidR="002A0FFE" w:rsidRDefault="002A0FFE" w:rsidP="002A0FFE">
      <w:pPr>
        <w:pStyle w:val="BodyText"/>
      </w:pPr>
      <w:r w:rsidRPr="008E4175">
        <w:t>The Review of the Language, Literacy and Numeracy Programme (LLNP) was undertaken in response to a request by the Expenditure Review Committee (ERC), on 15 April 2004, for the Education, Science and Training portfolio to report to the ERC in the 2005 Budget context. The scope of the Review was to address the employment and other economic outcomes of the programme.</w:t>
      </w:r>
      <w:r>
        <w:t xml:space="preserve"> </w:t>
      </w:r>
      <w:r w:rsidRPr="005C72B7">
        <w:t>This was the first review of the LLNP, which commenced operation in January 2002.</w:t>
      </w:r>
    </w:p>
    <w:p w14:paraId="3D35CEE8" w14:textId="77777777" w:rsidR="002A0FFE" w:rsidRDefault="002A0FFE" w:rsidP="002A0FFE">
      <w:pPr>
        <w:pStyle w:val="BodyText"/>
      </w:pPr>
      <w:r>
        <w:t xml:space="preserve">It found that the programme had measurably improved the skill levels of participants and, consequently, the likelihood of participants finding employment, entering further education and coming off income support. Additionally, the Review found that the programme did not duplicate other training then funded by Australian Government agencies </w:t>
      </w:r>
      <w:r>
        <w:fldChar w:fldCharType="begin"/>
      </w:r>
      <w:r>
        <w:instrText xml:space="preserve"> ADDIN EN.CITE &lt;EndNote&gt;&lt;Cite&gt;&lt;Author&gt;Department of Education Science Training&lt;/Author&gt;&lt;Year&gt;2005&lt;/Year&gt;&lt;RecNum&gt;142&lt;/RecNum&gt;&lt;DisplayText&gt;(Department of Education Science Training 2005)&lt;/DisplayText&gt;&lt;record&gt;&lt;rec-number&gt;142&lt;/rec-number&gt;&lt;foreign-keys&gt;&lt;key app="EN" db-id="tz2999apzpzsecedfarxdvvvvfpv999z2zrv" timestamp="1419932671"&gt;142&lt;/key&gt;&lt;/foreign-keys&gt;&lt;ref-type name="Generic"&gt;13&lt;/ref-type&gt;&lt;contributors&gt;&lt;authors&gt;&lt;author&gt;Department of Education Science Training,&lt;/author&gt;&lt;/authors&gt;&lt;/contributors&gt;&lt;titles&gt;&lt;title&gt;Review report of the Language, Literacy and Numeracy Programme&lt;/title&gt;&lt;/titles&gt;&lt;keywords&gt;&lt;keyword&gt;Outcomes of education and training&lt;/keyword&gt;&lt;keyword&gt;Employability&lt;/keyword&gt;&lt;keyword&gt;Cost effectiveness&lt;/keyword&gt;&lt;keyword&gt;Government role&lt;/keyword&gt;&lt;keyword&gt;Skill development&lt;/keyword&gt;&lt;keyword&gt;Migrant education&lt;/keyword&gt;&lt;keyword&gt;Migrants&lt;/keyword&gt;&lt;keyword&gt;Program evaluation&lt;/keyword&gt;&lt;keyword&gt;Training evaluation&lt;/keyword&gt;&lt;keyword&gt;Educational program&lt;/keyword&gt;&lt;keyword&gt;Literacy&lt;/keyword&gt;&lt;keyword&gt;Numeracy&lt;/keyword&gt;&lt;keyword&gt;Participation&lt;/keyword&gt;&lt;keyword&gt;Outcomes&lt;/keyword&gt;&lt;keyword&gt;Employment&lt;/keyword&gt;&lt;keyword&gt;Finance&lt;/keyword&gt;&lt;keyword&gt;Governance&lt;/keyword&gt;&lt;keyword&gt;Language&lt;/keyword&gt;&lt;keyword&gt;Skills and knowledge&lt;/keyword&gt;&lt;keyword&gt;Migration&lt;/keyword&gt;&lt;keyword&gt;Evaluation&lt;/keyword&gt;&lt;keyword&gt;Teaching and learning&lt;/keyword&gt;&lt;keyword&gt;Oceania&lt;/keyword&gt;&lt;keyword&gt;Australia&lt;/keyword&gt;&lt;/keywords&gt;&lt;dates&gt;&lt;year&gt;2005&lt;/year&gt;&lt;/dates&gt;&lt;pub-location&gt;Canberra&lt;/pub-location&gt;&lt;publisher&gt;DEST&lt;/publisher&gt;&lt;urls&gt;&lt;related-urls&gt;&lt;url&gt;http://pandora.nla.gov.au/pan/89121/20081001-0919/www.llnp.deewr.gov.au/NR/rdonlyres/B98C5FAB-3046-4425-B37C-EE0B7A76D5EE/17660/Finalreportfrom2004ReviewofLLNP.pdf&lt;/url&gt;&lt;/related-urls&gt;&lt;/urls&gt;&lt;remote-database-name&gt;VOCEDplus&lt;/remote-database-name&gt;&lt;access-date&gt;30 Dec 2014&lt;/access-date&gt;&lt;/record&gt;&lt;/Cite&gt;&lt;/EndNote&gt;</w:instrText>
      </w:r>
      <w:r>
        <w:fldChar w:fldCharType="separate"/>
      </w:r>
      <w:r>
        <w:rPr>
          <w:noProof/>
        </w:rPr>
        <w:t>(Department of Education Science Training 2005)</w:t>
      </w:r>
      <w:r>
        <w:fldChar w:fldCharType="end"/>
      </w:r>
      <w:r>
        <w:t>.</w:t>
      </w:r>
    </w:p>
    <w:p w14:paraId="544F77B7" w14:textId="40343B97" w:rsidR="002A0FFE" w:rsidRDefault="002A0FFE" w:rsidP="002A0FFE">
      <w:pPr>
        <w:pStyle w:val="BodyText"/>
      </w:pPr>
      <w:r>
        <w:t xml:space="preserve">The review made a number of recommendations with regard to best practice, referrals, efficiency, monitoring and </w:t>
      </w:r>
      <w:r w:rsidR="00735BDD">
        <w:t>KPIs</w:t>
      </w:r>
      <w:r>
        <w:t>, whole of government approaches, and understanding long term programme outcomes. It recommended flexibility in programme delivery to meet individual needs and a continued emphasis on teacher quality. In order to manage the referrals process and demand, it sought better use of AMEP data and exchange of information between the two programmes, close relationships with referring agencies and the introduction of assessment of the capacity to benefit in order to access additional rounds of training.</w:t>
      </w:r>
    </w:p>
    <w:p w14:paraId="07B094BB" w14:textId="3BA56811" w:rsidR="002A0FFE" w:rsidRPr="005C72B7" w:rsidRDefault="002A0FFE" w:rsidP="002A0FFE">
      <w:pPr>
        <w:pStyle w:val="BodyText"/>
      </w:pPr>
      <w:r>
        <w:t xml:space="preserve">The review was concerned with appropriate monitoring and KPIs and recommended that progress reporting be adopted </w:t>
      </w:r>
      <w:r w:rsidR="00F90CEB">
        <w:t xml:space="preserve">along with </w:t>
      </w:r>
      <w:r>
        <w:t>clarification of programme indicators. The la</w:t>
      </w:r>
      <w:r w:rsidR="00BC13D9">
        <w:t>t</w:t>
      </w:r>
      <w:r>
        <w:t xml:space="preserve">ter sought to </w:t>
      </w:r>
      <w:r w:rsidR="00F90CEB">
        <w:t xml:space="preserve">more clearly </w:t>
      </w:r>
      <w:r>
        <w:t xml:space="preserve">denote </w:t>
      </w:r>
      <w:r w:rsidRPr="00F90CEB">
        <w:t>KPIs</w:t>
      </w:r>
      <w:r>
        <w:t xml:space="preserve"> addressing quality provision of LLN training, accurate and timely verifications, and outcomes that the programme as a whole is trying to achieve, namely increases in employment in clients on income support </w:t>
      </w:r>
      <w:r>
        <w:fldChar w:fldCharType="begin"/>
      </w:r>
      <w:r>
        <w:instrText xml:space="preserve"> ADDIN EN.CITE &lt;EndNote&gt;&lt;Cite&gt;&lt;Author&gt;Department of Education Science Training&lt;/Author&gt;&lt;Year&gt;2005&lt;/Year&gt;&lt;RecNum&gt;142&lt;/RecNum&gt;&lt;Suffix&gt;`, pp. 15-18&lt;/Suffix&gt;&lt;DisplayText&gt;(Department of Education Science Training 2005, pp. 15-18)&lt;/DisplayText&gt;&lt;record&gt;&lt;rec-number&gt;142&lt;/rec-number&gt;&lt;foreign-keys&gt;&lt;key app="EN" db-id="tz2999apzpzsecedfarxdvvvvfpv999z2zrv" timestamp="1419932671"&gt;142&lt;/key&gt;&lt;/foreign-keys&gt;&lt;ref-type name="Generic"&gt;13&lt;/ref-type&gt;&lt;contributors&gt;&lt;authors&gt;&lt;author&gt;Department of Education Science Training,&lt;/author&gt;&lt;/authors&gt;&lt;/contributors&gt;&lt;titles&gt;&lt;title&gt;Review report of the Language, Literacy and Numeracy Programme&lt;/title&gt;&lt;/titles&gt;&lt;keywords&gt;&lt;keyword&gt;Outcomes of education and training&lt;/keyword&gt;&lt;keyword&gt;Employability&lt;/keyword&gt;&lt;keyword&gt;Cost effectiveness&lt;/keyword&gt;&lt;keyword&gt;Government role&lt;/keyword&gt;&lt;keyword&gt;Skill development&lt;/keyword&gt;&lt;keyword&gt;Migrant education&lt;/keyword&gt;&lt;keyword&gt;Migrants&lt;/keyword&gt;&lt;keyword&gt;Program evaluation&lt;/keyword&gt;&lt;keyword&gt;Training evaluation&lt;/keyword&gt;&lt;keyword&gt;Educational program&lt;/keyword&gt;&lt;keyword&gt;Literacy&lt;/keyword&gt;&lt;keyword&gt;Numeracy&lt;/keyword&gt;&lt;keyword&gt;Participation&lt;/keyword&gt;&lt;keyword&gt;Outcomes&lt;/keyword&gt;&lt;keyword&gt;Employment&lt;/keyword&gt;&lt;keyword&gt;Finance&lt;/keyword&gt;&lt;keyword&gt;Governance&lt;/keyword&gt;&lt;keyword&gt;Language&lt;/keyword&gt;&lt;keyword&gt;Skills and knowledge&lt;/keyword&gt;&lt;keyword&gt;Migration&lt;/keyword&gt;&lt;keyword&gt;Evaluation&lt;/keyword&gt;&lt;keyword&gt;Teaching and learning&lt;/keyword&gt;&lt;keyword&gt;Oceania&lt;/keyword&gt;&lt;keyword&gt;Australia&lt;/keyword&gt;&lt;/keywords&gt;&lt;dates&gt;&lt;year&gt;2005&lt;/year&gt;&lt;/dates&gt;&lt;pub-location&gt;Canberra&lt;/pub-location&gt;&lt;publisher&gt;DEST&lt;/publisher&gt;&lt;urls&gt;&lt;related-urls&gt;&lt;url&gt;http://pandora.nla.gov.au/pan/89121/20081001-0919/www.llnp.deewr.gov.au/NR/rdonlyres/B98C5FAB-3046-4425-B37C-EE0B7A76D5EE/17660/Finalreportfrom2004ReviewofLLNP.pdf&lt;/url&gt;&lt;/related-urls&gt;&lt;/urls&gt;&lt;remote-database-name&gt;VOCEDplus&lt;/remote-database-name&gt;&lt;access-date&gt;30 Dec 2014&lt;/access-date&gt;&lt;/record&gt;&lt;/Cite&gt;&lt;/EndNote&gt;</w:instrText>
      </w:r>
      <w:r>
        <w:fldChar w:fldCharType="separate"/>
      </w:r>
      <w:r>
        <w:rPr>
          <w:noProof/>
        </w:rPr>
        <w:t>(Department of Education Science Training 2005, pp. 15-18)</w:t>
      </w:r>
      <w:r>
        <w:fldChar w:fldCharType="end"/>
      </w:r>
      <w:r>
        <w:t>.</w:t>
      </w:r>
    </w:p>
    <w:p w14:paraId="1C4676F8" w14:textId="77777777" w:rsidR="002A0FFE" w:rsidRDefault="002A0FFE" w:rsidP="00855309">
      <w:pPr>
        <w:pStyle w:val="BodyText"/>
        <w:rPr>
          <w:highlight w:val="yellow"/>
        </w:rPr>
      </w:pPr>
    </w:p>
    <w:p w14:paraId="564EC1F0" w14:textId="422726AC" w:rsidR="00094679" w:rsidRDefault="00F34C0B" w:rsidP="00094679">
      <w:pPr>
        <w:pStyle w:val="Heading1"/>
      </w:pPr>
      <w:bookmarkStart w:id="41" w:name="_Toc420065441"/>
      <w:r>
        <w:t xml:space="preserve">Client needs and good practices in adult </w:t>
      </w:r>
      <w:r w:rsidR="00B32F66">
        <w:t xml:space="preserve">LLN </w:t>
      </w:r>
      <w:r>
        <w:t>programmes</w:t>
      </w:r>
      <w:bookmarkEnd w:id="41"/>
    </w:p>
    <w:p w14:paraId="2672F6B8" w14:textId="77777777" w:rsidR="00B27B93" w:rsidRPr="00F339C3" w:rsidRDefault="00F339C3" w:rsidP="00094679">
      <w:pPr>
        <w:pStyle w:val="BodyText"/>
        <w:rPr>
          <w:b/>
          <w:i/>
          <w:color w:val="7F7F7F" w:themeColor="text1" w:themeTint="80"/>
        </w:rPr>
      </w:pPr>
      <w:r w:rsidRPr="00076300">
        <w:rPr>
          <w:b/>
          <w:i/>
          <w:color w:val="7F7F7F" w:themeColor="text1" w:themeTint="80"/>
        </w:rPr>
        <w:t xml:space="preserve">This chapter </w:t>
      </w:r>
      <w:r w:rsidR="00B27B93">
        <w:rPr>
          <w:b/>
          <w:i/>
          <w:color w:val="7F7F7F" w:themeColor="text1" w:themeTint="80"/>
        </w:rPr>
        <w:t xml:space="preserve">sets out findings from client focus groups undertaken as part of this evaluation. It then sets out best practice principles for LLN programmes, including cohort specific practices. </w:t>
      </w:r>
    </w:p>
    <w:p w14:paraId="236FC537" w14:textId="0B0A553B" w:rsidR="00B27B93" w:rsidRDefault="00B27B93" w:rsidP="00094679">
      <w:pPr>
        <w:pStyle w:val="Heading2"/>
        <w:numPr>
          <w:ilvl w:val="1"/>
          <w:numId w:val="20"/>
        </w:numPr>
      </w:pPr>
      <w:bookmarkStart w:id="42" w:name="_Toc420065442"/>
      <w:r>
        <w:t xml:space="preserve">Clients’ needs as </w:t>
      </w:r>
      <w:r w:rsidR="00D15873">
        <w:t xml:space="preserve">indicated </w:t>
      </w:r>
      <w:r>
        <w:t>in focus groups</w:t>
      </w:r>
      <w:bookmarkEnd w:id="42"/>
    </w:p>
    <w:p w14:paraId="11ED96B1" w14:textId="7ADA359A" w:rsidR="00B27B93" w:rsidRDefault="00B27B93" w:rsidP="00B27B93">
      <w:pPr>
        <w:pStyle w:val="BodyText"/>
      </w:pPr>
      <w:r>
        <w:t xml:space="preserve">Based on focus groups carried out for this evaluation, the primary outcome clients </w:t>
      </w:r>
      <w:r w:rsidR="00411D48">
        <w:t xml:space="preserve">seek </w:t>
      </w:r>
      <w:r>
        <w:t xml:space="preserve">to achieve following their completion of the </w:t>
      </w:r>
      <w:r w:rsidR="00147674">
        <w:t>SEE programme</w:t>
      </w:r>
      <w:r w:rsidR="006A28F2">
        <w:t xml:space="preserve"> </w:t>
      </w:r>
      <w:r>
        <w:t xml:space="preserve">is full-time employment, and many </w:t>
      </w:r>
      <w:r w:rsidR="00221649">
        <w:t>client</w:t>
      </w:r>
      <w:r>
        <w:t xml:space="preserve">s recognise that once they complete the </w:t>
      </w:r>
      <w:r w:rsidR="00147674">
        <w:t>SEE programme</w:t>
      </w:r>
      <w:r>
        <w:t xml:space="preserve">, finding employment will be easier. </w:t>
      </w:r>
    </w:p>
    <w:p w14:paraId="62BAB142" w14:textId="6BC2A2BD" w:rsidR="00B27B93" w:rsidRDefault="00B27B93" w:rsidP="00B27B93">
      <w:pPr>
        <w:pStyle w:val="BodyText"/>
      </w:pPr>
      <w:r>
        <w:t xml:space="preserve">Many </w:t>
      </w:r>
      <w:r w:rsidR="00221649">
        <w:t>client</w:t>
      </w:r>
      <w:r>
        <w:t xml:space="preserve">s also discussed their objective of transitioning from the </w:t>
      </w:r>
      <w:r w:rsidR="00147674">
        <w:t>SEE programme</w:t>
      </w:r>
      <w:r w:rsidR="006A28F2">
        <w:t xml:space="preserve"> </w:t>
      </w:r>
      <w:r>
        <w:t xml:space="preserve">into further education and training, and having their previous qualifications obtained in their home country (in the case of international students) recognised formally in Australia. </w:t>
      </w:r>
    </w:p>
    <w:p w14:paraId="2F2F0A38" w14:textId="23FA313F" w:rsidR="00B27B93" w:rsidRDefault="00B27B93" w:rsidP="00B27B93">
      <w:pPr>
        <w:pStyle w:val="BodyText"/>
      </w:pPr>
      <w:r>
        <w:t xml:space="preserve">Many </w:t>
      </w:r>
      <w:r w:rsidR="00221649">
        <w:t>client</w:t>
      </w:r>
      <w:r>
        <w:t xml:space="preserve">s also expressed their interest </w:t>
      </w:r>
      <w:r w:rsidR="00BC13D9">
        <w:t xml:space="preserve">in </w:t>
      </w:r>
      <w:r>
        <w:t xml:space="preserve">transitioning into </w:t>
      </w:r>
      <w:r w:rsidR="00411D48">
        <w:t xml:space="preserve">VET </w:t>
      </w:r>
      <w:r>
        <w:t xml:space="preserve">to undertake certificate/diploma level courses, in order to ultimately find higher level full-time employment. Concern surrounding the type of jobs available to them is shared by most </w:t>
      </w:r>
      <w:r w:rsidR="00221649">
        <w:t>client</w:t>
      </w:r>
      <w:r>
        <w:t xml:space="preserve">s, with many acknowledging that to obtain high quality, skilled employment, they need to complete further study following completion of the </w:t>
      </w:r>
      <w:r w:rsidR="00147674">
        <w:t>SEE programme</w:t>
      </w:r>
      <w:r>
        <w:t>.</w:t>
      </w:r>
    </w:p>
    <w:p w14:paraId="3AA7C6A2" w14:textId="4201189A" w:rsidR="00B27B93" w:rsidRDefault="00B27B93" w:rsidP="00B27B93">
      <w:pPr>
        <w:pStyle w:val="BodyText"/>
      </w:pPr>
      <w:r>
        <w:t xml:space="preserve">In addition to obtaining employment, the outcomes many </w:t>
      </w:r>
      <w:r w:rsidR="00221649">
        <w:t>client</w:t>
      </w:r>
      <w:r>
        <w:t xml:space="preserve">s wish to obtain </w:t>
      </w:r>
      <w:r w:rsidR="00411D48">
        <w:t xml:space="preserve">from </w:t>
      </w:r>
      <w:r>
        <w:t xml:space="preserve">undertaking the </w:t>
      </w:r>
      <w:r w:rsidR="00147674">
        <w:t>SEE programme</w:t>
      </w:r>
      <w:r w:rsidR="006A28F2">
        <w:t xml:space="preserve"> </w:t>
      </w:r>
      <w:r>
        <w:t xml:space="preserve">are communication skills, team skills, computer skills and other skills that may assist them in the workplace. Furthermore, achieving proficiency in basic LLN skills such as speaking, listening, reading and writing, were also expressed by many as </w:t>
      </w:r>
      <w:r w:rsidR="00411D48">
        <w:t xml:space="preserve">their desired </w:t>
      </w:r>
      <w:r>
        <w:t xml:space="preserve">outcomes </w:t>
      </w:r>
      <w:r w:rsidR="00411D48">
        <w:t xml:space="preserve">from </w:t>
      </w:r>
      <w:r>
        <w:t xml:space="preserve">the </w:t>
      </w:r>
      <w:r w:rsidR="00147674">
        <w:t>SEE programme</w:t>
      </w:r>
      <w:r>
        <w:t xml:space="preserve">. </w:t>
      </w:r>
    </w:p>
    <w:p w14:paraId="517C08D8" w14:textId="55058CAF" w:rsidR="00B27B93" w:rsidRPr="00B27B93" w:rsidRDefault="00B27B93" w:rsidP="00B27B93">
      <w:pPr>
        <w:pStyle w:val="BodyText"/>
      </w:pPr>
      <w:r>
        <w:t xml:space="preserve">Many </w:t>
      </w:r>
      <w:r w:rsidR="00221649">
        <w:t>client</w:t>
      </w:r>
      <w:r>
        <w:t xml:space="preserve">s also view the </w:t>
      </w:r>
      <w:r w:rsidR="00147674">
        <w:t>SEE programme</w:t>
      </w:r>
      <w:r w:rsidR="006A28F2">
        <w:t xml:space="preserve"> </w:t>
      </w:r>
      <w:r>
        <w:t>as a means to participating in the community, making them more independent and better increasing their prospects of securing employment.</w:t>
      </w:r>
    </w:p>
    <w:p w14:paraId="1E6C3810" w14:textId="77777777" w:rsidR="00094679" w:rsidRDefault="00094679" w:rsidP="00094679">
      <w:pPr>
        <w:pStyle w:val="Heading2"/>
        <w:numPr>
          <w:ilvl w:val="1"/>
          <w:numId w:val="20"/>
        </w:numPr>
      </w:pPr>
      <w:bookmarkStart w:id="43" w:name="_Toc420065443"/>
      <w:r>
        <w:t>Principles of adult literacy, language and numeracy program</w:t>
      </w:r>
      <w:r w:rsidR="00B27B93">
        <w:t>me</w:t>
      </w:r>
      <w:r>
        <w:t>s</w:t>
      </w:r>
      <w:bookmarkEnd w:id="43"/>
    </w:p>
    <w:p w14:paraId="38AF7F60" w14:textId="167AB655" w:rsidR="00094679" w:rsidRDefault="00094679" w:rsidP="00094679">
      <w:pPr>
        <w:pStyle w:val="BodyText"/>
      </w:pPr>
      <w:r>
        <w:t>The importance of adequate levels of LLN skills is seen in a range of outcomes for individuals and the economy. The economic productivity of countries is improved as higher levels of LLN proficiency among adults enables employers to access</w:t>
      </w:r>
      <w:r w:rsidRPr="00F96883">
        <w:t xml:space="preserve"> </w:t>
      </w:r>
      <w:r>
        <w:t xml:space="preserve">an increased pool of skilled labour. The benefits for individuals are seen in multiple social outcomes including improved health, ability to access services, employment rates, social inclusion and political efficacy </w:t>
      </w:r>
      <w:r>
        <w:fldChar w:fldCharType="begin"/>
      </w:r>
      <w:r>
        <w:instrText xml:space="preserve"> ADDIN EN.CITE &lt;EndNote&gt;&lt;Cite&gt;&lt;Author&gt;OECD&lt;/Author&gt;&lt;Year&gt;2013&lt;/Year&gt;&lt;RecNum&gt;31&lt;/RecNum&gt;&lt;DisplayText&gt;(OECD 2013)&lt;/DisplayText&gt;&lt;record&gt;&lt;rec-number&gt;31&lt;/rec-number&gt;&lt;foreign-keys&gt;&lt;key app="EN" db-id="tz2999apzpzsecedfarxdvvvvfpv999z2zrv" timestamp="1413241851"&gt;31&lt;/key&gt;&lt;/foreign-keys&gt;&lt;ref-type name="Book"&gt;6&lt;/ref-type&gt;&lt;contributors&gt;&lt;authors&gt;&lt;author&gt;OECD,&lt;/author&gt;&lt;/authors&gt;&lt;/contributors&gt;&lt;titles&gt;&lt;title&gt;OECD Skills Outlook 2013: First Results from the Survey of Adult Skills&lt;/title&gt;&lt;/titles&gt;&lt;keywords&gt;&lt;keyword&gt;SEE&lt;/keyword&gt;&lt;/keywords&gt;&lt;dates&gt;&lt;year&gt;2013&lt;/year&gt;&lt;/dates&gt;&lt;pub-location&gt;Paris&lt;/pub-location&gt;&lt;publisher&gt;OECD Publishing&lt;/publisher&gt;&lt;isbn&gt;9264204253&lt;/isbn&gt;&lt;label&gt;In holdings&lt;/label&gt;&lt;urls&gt;&lt;/urls&gt;&lt;/record&gt;&lt;/Cite&gt;&lt;/EndNote&gt;</w:instrText>
      </w:r>
      <w:r>
        <w:fldChar w:fldCharType="separate"/>
      </w:r>
      <w:r>
        <w:rPr>
          <w:noProof/>
        </w:rPr>
        <w:t>(OECD 2013)</w:t>
      </w:r>
      <w:r>
        <w:fldChar w:fldCharType="end"/>
      </w:r>
      <w:r>
        <w:t>.</w:t>
      </w:r>
    </w:p>
    <w:p w14:paraId="3FB65D3E" w14:textId="3ED0C940" w:rsidR="00094679" w:rsidRDefault="00094679" w:rsidP="00094679">
      <w:pPr>
        <w:pStyle w:val="BodyText"/>
      </w:pPr>
      <w:r>
        <w:t>Contemporary policy and practice acknowledges that</w:t>
      </w:r>
      <w:r w:rsidRPr="00A80EA5">
        <w:t xml:space="preserve"> </w:t>
      </w:r>
      <w:r w:rsidRPr="00355613">
        <w:t>literacy is more than reading: it encompasses speaking, listening and communication in multiple contexts</w:t>
      </w:r>
      <w:r>
        <w:t>. Similarly, n</w:t>
      </w:r>
      <w:r w:rsidRPr="00355613">
        <w:t xml:space="preserve">umeracy supports </w:t>
      </w:r>
      <w:r w:rsidR="009859DE">
        <w:t>more than</w:t>
      </w:r>
      <w:r w:rsidRPr="00355613">
        <w:t xml:space="preserve"> just </w:t>
      </w:r>
      <w:r w:rsidR="009859DE">
        <w:t xml:space="preserve">numerical </w:t>
      </w:r>
      <w:r w:rsidRPr="00355613">
        <w:t>skills</w:t>
      </w:r>
      <w:r w:rsidR="009859DE">
        <w:t xml:space="preserve">, </w:t>
      </w:r>
      <w:r>
        <w:t>encompass</w:t>
      </w:r>
      <w:r w:rsidR="005E301F">
        <w:t xml:space="preserve">ing </w:t>
      </w:r>
      <w:r w:rsidR="009859DE">
        <w:t>an</w:t>
      </w:r>
      <w:r>
        <w:t xml:space="preserve"> understanding </w:t>
      </w:r>
      <w:r w:rsidR="009859DE">
        <w:t xml:space="preserve">of </w:t>
      </w:r>
      <w:r w:rsidRPr="00355613">
        <w:t>when to apply mathematics, how to do it, the degree of accuracy required and how to act on the result</w:t>
      </w:r>
      <w:r>
        <w:t>.</w:t>
      </w:r>
    </w:p>
    <w:p w14:paraId="5223E56B" w14:textId="77777777" w:rsidR="00094679" w:rsidRPr="00355613" w:rsidRDefault="00094679" w:rsidP="00094679">
      <w:pPr>
        <w:pStyle w:val="BodyText"/>
      </w:pPr>
      <w:r>
        <w:t xml:space="preserve">From this broader understanding of what constitutes LLN proceeds the understanding that </w:t>
      </w:r>
      <w:r w:rsidRPr="00355613">
        <w:t xml:space="preserve">LLN is for </w:t>
      </w:r>
      <w:r>
        <w:t>all aspects of an individual’s life and not just their work. The goal of LLN</w:t>
      </w:r>
      <w:r w:rsidRPr="00355613">
        <w:t xml:space="preserve"> is to understand and use information for knowledge, problem solving, interpersonal communication and to engage fully in home, community and work life</w:t>
      </w:r>
      <w:r>
        <w:t xml:space="preserve"> </w:t>
      </w:r>
      <w:r>
        <w:fldChar w:fldCharType="begin"/>
      </w:r>
      <w:r>
        <w:instrText xml:space="preserve"> ADDIN EN.CITE &lt;EndNote&gt;&lt;Cite&gt;&lt;Author&gt;OECD&lt;/Author&gt;&lt;Year&gt;2013&lt;/Year&gt;&lt;RecNum&gt;31&lt;/RecNum&gt;&lt;DisplayText&gt;(OECD 2013)&lt;/DisplayText&gt;&lt;record&gt;&lt;rec-number&gt;31&lt;/rec-number&gt;&lt;foreign-keys&gt;&lt;key app="EN" db-id="tz2999apzpzsecedfarxdvvvvfpv999z2zrv" timestamp="1413241851"&gt;31&lt;/key&gt;&lt;/foreign-keys&gt;&lt;ref-type name="Book"&gt;6&lt;/ref-type&gt;&lt;contributors&gt;&lt;authors&gt;&lt;author&gt;OECD,&lt;/author&gt;&lt;/authors&gt;&lt;/contributors&gt;&lt;titles&gt;&lt;title&gt;OECD Skills Outlook 2013: First Results from the Survey of Adult Skills&lt;/title&gt;&lt;/titles&gt;&lt;keywords&gt;&lt;keyword&gt;SEE&lt;/keyword&gt;&lt;/keywords&gt;&lt;dates&gt;&lt;year&gt;2013&lt;/year&gt;&lt;/dates&gt;&lt;pub-location&gt;Paris&lt;/pub-location&gt;&lt;publisher&gt;OECD Publishing&lt;/publisher&gt;&lt;isbn&gt;9264204253&lt;/isbn&gt;&lt;label&gt;In holdings&lt;/label&gt;&lt;urls&gt;&lt;/urls&gt;&lt;/record&gt;&lt;/Cite&gt;&lt;/EndNote&gt;</w:instrText>
      </w:r>
      <w:r>
        <w:fldChar w:fldCharType="separate"/>
      </w:r>
      <w:r>
        <w:rPr>
          <w:noProof/>
        </w:rPr>
        <w:t>(OECD 2013)</w:t>
      </w:r>
      <w:r>
        <w:fldChar w:fldCharType="end"/>
      </w:r>
      <w:r w:rsidRPr="00355613">
        <w:t>.</w:t>
      </w:r>
    </w:p>
    <w:p w14:paraId="4625282A" w14:textId="77777777" w:rsidR="00094679" w:rsidRDefault="00094679" w:rsidP="00094679">
      <w:pPr>
        <w:pStyle w:val="Heading2"/>
        <w:numPr>
          <w:ilvl w:val="1"/>
          <w:numId w:val="20"/>
        </w:numPr>
      </w:pPr>
      <w:bookmarkStart w:id="44" w:name="_Ref408680507"/>
      <w:bookmarkStart w:id="45" w:name="_Toc420065444"/>
      <w:r>
        <w:t xml:space="preserve">Good practices in adult </w:t>
      </w:r>
      <w:r w:rsidR="00B27B93">
        <w:t>LLN</w:t>
      </w:r>
      <w:r>
        <w:t xml:space="preserve"> program</w:t>
      </w:r>
      <w:r w:rsidR="00B27B93">
        <w:t>mes</w:t>
      </w:r>
      <w:bookmarkEnd w:id="44"/>
      <w:bookmarkEnd w:id="45"/>
    </w:p>
    <w:p w14:paraId="1A82BB7C" w14:textId="77777777" w:rsidR="00B27B93" w:rsidRDefault="00B27B93" w:rsidP="00B27B93">
      <w:pPr>
        <w:pStyle w:val="BodyText"/>
      </w:pPr>
      <w:r>
        <w:t xml:space="preserve">This section discusses the key insights from the academic literature on good practices in adult LLN programmes, an overview of which is provided in </w:t>
      </w:r>
      <w:r>
        <w:fldChar w:fldCharType="begin"/>
      </w:r>
      <w:r>
        <w:instrText xml:space="preserve"> REF _Ref408680179 \h </w:instrText>
      </w:r>
      <w:r>
        <w:fldChar w:fldCharType="separate"/>
      </w:r>
      <w:r w:rsidR="00294A5A">
        <w:t xml:space="preserve">Figure </w:t>
      </w:r>
      <w:r w:rsidR="00294A5A">
        <w:rPr>
          <w:noProof/>
        </w:rPr>
        <w:t>3</w:t>
      </w:r>
      <w:r>
        <w:fldChar w:fldCharType="end"/>
      </w:r>
      <w:r>
        <w:t>.</w:t>
      </w:r>
    </w:p>
    <w:p w14:paraId="245F50ED" w14:textId="77777777" w:rsidR="00B27B93" w:rsidRDefault="00B27B93">
      <w:pPr>
        <w:pStyle w:val="Caption"/>
      </w:pPr>
      <w:bookmarkStart w:id="46" w:name="_Ref408680179"/>
      <w:bookmarkStart w:id="47" w:name="_Toc420065463"/>
      <w:r>
        <w:t xml:space="preserve">Figure </w:t>
      </w:r>
      <w:r w:rsidR="006A2396">
        <w:fldChar w:fldCharType="begin"/>
      </w:r>
      <w:r w:rsidR="006A2396">
        <w:instrText xml:space="preserve"> SEQ Figure \* ARABIC </w:instrText>
      </w:r>
      <w:r w:rsidR="006A2396">
        <w:fldChar w:fldCharType="separate"/>
      </w:r>
      <w:r w:rsidR="00294A5A">
        <w:rPr>
          <w:noProof/>
        </w:rPr>
        <w:t>3</w:t>
      </w:r>
      <w:r w:rsidR="006A2396">
        <w:rPr>
          <w:noProof/>
        </w:rPr>
        <w:fldChar w:fldCharType="end"/>
      </w:r>
      <w:bookmarkEnd w:id="46"/>
      <w:r w:rsidRPr="004E0C91">
        <w:rPr>
          <w:b/>
          <w:color w:val="000080"/>
        </w:rPr>
        <w:tab/>
      </w:r>
      <w:r>
        <w:rPr>
          <w:rStyle w:val="CaptionLabel"/>
        </w:rPr>
        <w:t>Overview of good practices in adult LLN</w:t>
      </w:r>
      <w:bookmarkEnd w:id="47"/>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B27B93" w14:paraId="42CD4C05" w14:textId="77777777" w:rsidTr="001228F7">
        <w:trPr>
          <w:cantSplit/>
        </w:trPr>
        <w:tc>
          <w:tcPr>
            <w:tcW w:w="5000" w:type="pct"/>
          </w:tcPr>
          <w:p w14:paraId="77B05582" w14:textId="77777777" w:rsidR="00B27B93" w:rsidRDefault="00B27B93" w:rsidP="001228F7">
            <w:pPr>
              <w:pStyle w:val="SmallDeltasRightAligned"/>
              <w:keepNext/>
            </w:pPr>
            <w:r>
              <w:rPr>
                <w:noProof/>
                <w:lang w:eastAsia="en-AU"/>
              </w:rPr>
              <w:drawing>
                <wp:inline distT="0" distB="0" distL="0" distR="0" wp14:anchorId="20D0AA61" wp14:editId="00251B1E">
                  <wp:extent cx="481585" cy="2346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B27B93" w14:paraId="2C24BF30" w14:textId="77777777" w:rsidTr="001228F7">
        <w:trPr>
          <w:cantSplit/>
        </w:trPr>
        <w:tc>
          <w:tcPr>
            <w:tcW w:w="5000" w:type="pct"/>
          </w:tcPr>
          <w:p w14:paraId="58EA35F4" w14:textId="77777777" w:rsidR="00B27B93" w:rsidRDefault="00B27B93" w:rsidP="001228F7">
            <w:pPr>
              <w:pStyle w:val="Figure"/>
            </w:pPr>
            <w:r>
              <w:rPr>
                <w:noProof/>
                <w:lang w:eastAsia="en-AU"/>
              </w:rPr>
              <w:drawing>
                <wp:inline distT="0" distB="0" distL="0" distR="0" wp14:anchorId="2A8DF324" wp14:editId="22B56A1F">
                  <wp:extent cx="4591994" cy="25879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3372" b="4660"/>
                          <a:stretch/>
                        </pic:blipFill>
                        <pic:spPr bwMode="auto">
                          <a:xfrm>
                            <a:off x="0" y="0"/>
                            <a:ext cx="4600308" cy="25926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8C75D58" w14:textId="77777777" w:rsidR="00B27B93" w:rsidRPr="00B50A1B" w:rsidRDefault="00B27B93" w:rsidP="001228F7">
      <w:pPr>
        <w:pStyle w:val="Source"/>
        <w:rPr>
          <w:i/>
        </w:rPr>
      </w:pPr>
      <w:r>
        <w:t>S</w:t>
      </w:r>
      <w:r w:rsidRPr="00B50A1B">
        <w:t>ource:</w:t>
      </w:r>
      <w:r w:rsidRPr="00954EED">
        <w:t xml:space="preserve"> </w:t>
      </w:r>
      <w:r w:rsidRPr="00B27B93">
        <w:t xml:space="preserve">Alkema and Rean 2013; Benseman </w:t>
      </w:r>
      <w:r w:rsidRPr="0054144E">
        <w:rPr>
          <w:i/>
        </w:rPr>
        <w:t>et al.</w:t>
      </w:r>
      <w:r w:rsidRPr="00B27B93">
        <w:t xml:space="preserve"> 2005; Crowther </w:t>
      </w:r>
      <w:r w:rsidRPr="0054144E">
        <w:rPr>
          <w:i/>
        </w:rPr>
        <w:t>et al.</w:t>
      </w:r>
      <w:r w:rsidRPr="00B27B93">
        <w:t xml:space="preserve"> 2010; Human Resources &amp; Skills Development Canada 2012; NIACE 2011a; NIACE 2011b; NZCER 2010; Tett </w:t>
      </w:r>
      <w:r w:rsidRPr="0054144E">
        <w:rPr>
          <w:i/>
        </w:rPr>
        <w:t>et al.</w:t>
      </w:r>
      <w:r w:rsidRPr="00B27B93">
        <w:t xml:space="preserve"> 2006; Vorhaus </w:t>
      </w:r>
      <w:r w:rsidRPr="00221649">
        <w:rPr>
          <w:i/>
        </w:rPr>
        <w:t>et al.</w:t>
      </w:r>
      <w:r w:rsidRPr="00B27B93">
        <w:t xml:space="preserve"> 2011; Vorhaus </w:t>
      </w:r>
      <w:r w:rsidRPr="00221649">
        <w:rPr>
          <w:i/>
        </w:rPr>
        <w:t>et al.</w:t>
      </w:r>
      <w:r w:rsidRPr="00B27B93">
        <w:t xml:space="preserve"> 2008</w:t>
      </w:r>
      <w:r>
        <w:t>.</w:t>
      </w:r>
    </w:p>
    <w:p w14:paraId="3354C8B2" w14:textId="77777777" w:rsidR="00094679" w:rsidRDefault="00094679" w:rsidP="00094679">
      <w:pPr>
        <w:pStyle w:val="Heading3"/>
        <w:numPr>
          <w:ilvl w:val="2"/>
          <w:numId w:val="20"/>
        </w:numPr>
      </w:pPr>
      <w:r>
        <w:t>Programme delivery</w:t>
      </w:r>
    </w:p>
    <w:p w14:paraId="56A41254" w14:textId="7E87BC86" w:rsidR="00094679" w:rsidRPr="00F90CEB" w:rsidRDefault="00094679" w:rsidP="00094679">
      <w:pPr>
        <w:pStyle w:val="BodyText"/>
      </w:pPr>
      <w:r>
        <w:t>The literature strongly supports the practice of integrating literacy and numeracy into vocational and workplace training improv</w:t>
      </w:r>
      <w:r w:rsidR="008417CA">
        <w:t>ing</w:t>
      </w:r>
      <w:r>
        <w:t xml:space="preserve"> the likelihood of </w:t>
      </w:r>
      <w:r w:rsidRPr="00F90CEB">
        <w:t xml:space="preserve">retention and success when content is tied to vocational or real life contexts and when literacy and </w:t>
      </w:r>
      <w:r w:rsidR="00713797" w:rsidRPr="00F90CEB">
        <w:t xml:space="preserve">vocational </w:t>
      </w:r>
      <w:r w:rsidRPr="00F90CEB">
        <w:t xml:space="preserve">tutors work closely together. Where embedding is not possible, it is appropriate that stand alone LLN </w:t>
      </w:r>
      <w:r w:rsidR="00956392" w:rsidRPr="00F90CEB">
        <w:t>programmes</w:t>
      </w:r>
      <w:r w:rsidRPr="00F90CEB">
        <w:t xml:space="preserve"> are heavily contextualised so as to provide a strong link to education and employability skills.</w:t>
      </w:r>
    </w:p>
    <w:p w14:paraId="6F600D29" w14:textId="1386DF4B" w:rsidR="00094679" w:rsidRDefault="00094679" w:rsidP="00094679">
      <w:pPr>
        <w:pStyle w:val="BodyText"/>
      </w:pPr>
      <w:r w:rsidRPr="00F90CEB">
        <w:t xml:space="preserve">A seminal work on embedding by </w:t>
      </w:r>
      <w:r w:rsidRPr="00F90CEB">
        <w:fldChar w:fldCharType="begin"/>
      </w:r>
      <w:r w:rsidRPr="00F90CEB">
        <w:instrText xml:space="preserve"> ADDIN EN.CITE &lt;EndNote&gt;&lt;Cite AuthorYear="1"&gt;&lt;Author&gt;Casey&lt;/Author&gt;&lt;Year&gt;2006&lt;/Year&gt;&lt;RecNum&gt;149&lt;/RecNum&gt;&lt;DisplayText&gt;Casey et al. (2006)&lt;/DisplayText&gt;&lt;record&gt;&lt;rec-number&gt;149&lt;/rec-number&gt;&lt;foreign-keys&gt;&lt;key app="EN" db-id="tz2999apzpzsecedfarxdvvvvfpv999z2zrv" timestamp="1419228481"&gt;149&lt;/key&gt;&lt;/foreign-keys&gt;&lt;ref-type name="Report"&gt;27&lt;/ref-type&gt;&lt;contributors&gt;&lt;authors&gt;&lt;author&gt;Casey, H.&lt;/author&gt;&lt;author&gt;Cara, O.&lt;/author&gt;&lt;author&gt;Eldred, J.&lt;/author&gt;&lt;author&gt;Grief, S.&lt;/author&gt;&lt;author&gt;Hodge, R.&lt;/author&gt;&lt;author&gt;Ivanic, R.&lt;/author&gt;&lt;author&gt;Jupp, T.&lt;/author&gt;&lt;author&gt;Lopez, D.&lt;/author&gt;&lt;author&gt;McNeil, B.&lt;/author&gt;&lt;/authors&gt;&lt;tertiary-authors&gt;&lt;author&gt;National Research and Development Centre&lt;/author&gt;&lt;/tertiary-authors&gt;&lt;/contributors&gt;&lt;titles&gt;&lt;title&gt;&amp;quot;You wouldn&amp;apos;t expect a maths teacher to teach plastering....&amp;quot;: embedding literacy, language and numeracy in post-w6 vocational programmes - the impact on learning and achievement&lt;/title&gt;&lt;/titles&gt;&lt;keywords&gt;&lt;keyword&gt;SEE&lt;/keyword&gt;&lt;/keywords&gt;&lt;dates&gt;&lt;year&gt;2006&lt;/year&gt;&lt;/dates&gt;&lt;pub-location&gt;London&lt;/pub-location&gt;&lt;urls&gt;&lt;/urls&gt;&lt;/record&gt;&lt;/Cite&gt;&lt;/EndNote&gt;</w:instrText>
      </w:r>
      <w:r w:rsidRPr="00F90CEB">
        <w:fldChar w:fldCharType="separate"/>
      </w:r>
      <w:r w:rsidRPr="00F90CEB">
        <w:rPr>
          <w:noProof/>
        </w:rPr>
        <w:t xml:space="preserve">Casey </w:t>
      </w:r>
      <w:r w:rsidRPr="00221649">
        <w:rPr>
          <w:i/>
          <w:noProof/>
        </w:rPr>
        <w:t>et al</w:t>
      </w:r>
      <w:r w:rsidR="00BE67D9" w:rsidRPr="00221649">
        <w:rPr>
          <w:i/>
          <w:noProof/>
        </w:rPr>
        <w:t>.</w:t>
      </w:r>
      <w:r w:rsidRPr="00F90CEB">
        <w:rPr>
          <w:noProof/>
        </w:rPr>
        <w:t xml:space="preserve"> (2006)</w:t>
      </w:r>
      <w:r w:rsidRPr="00F90CEB">
        <w:fldChar w:fldCharType="end"/>
      </w:r>
      <w:r w:rsidRPr="00F90CEB">
        <w:t xml:space="preserve"> found that where LLN skill</w:t>
      </w:r>
      <w:r>
        <w:t xml:space="preserve">s were embedded in courses, there were more positive outcomes for </w:t>
      </w:r>
      <w:r w:rsidR="00221649">
        <w:t>client</w:t>
      </w:r>
      <w:r>
        <w:t xml:space="preserve">s than in courses in which these skills were treated separately. It also found that there was a positive impact on retention, achievement and success rates and that success rates were higher in embedded than in non-embedded courses. The key factors were considered to be the removal of stigma associated with stand-alone LLN </w:t>
      </w:r>
      <w:r w:rsidR="00956392">
        <w:t>programmes</w:t>
      </w:r>
      <w:r>
        <w:t xml:space="preserve"> and that teaching LLN within </w:t>
      </w:r>
      <w:r w:rsidR="00956392">
        <w:t>programmes</w:t>
      </w:r>
      <w:r>
        <w:t xml:space="preserve"> enabled learners to cope more effectively with the content of the course.</w:t>
      </w:r>
    </w:p>
    <w:p w14:paraId="52E5C645" w14:textId="3128665E" w:rsidR="00094679" w:rsidRDefault="00094679" w:rsidP="00094679">
      <w:pPr>
        <w:pStyle w:val="BodyText"/>
      </w:pPr>
      <w:r>
        <w:t xml:space="preserve">Casey </w:t>
      </w:r>
      <w:r w:rsidRPr="005E301F">
        <w:rPr>
          <w:i/>
        </w:rPr>
        <w:t>et al.</w:t>
      </w:r>
      <w:r>
        <w:t xml:space="preserve"> found that a number of teaching and administrative practices supported LLN embedding. Team work between literacy, ESL numeracy and vocational teachers was essential and may include having specialist teachers in classrooms alongside vocational teachers. </w:t>
      </w:r>
      <w:r w:rsidR="009859DE">
        <w:t>Also important were t</w:t>
      </w:r>
      <w:r>
        <w:t xml:space="preserve">eaching and learning needed to connect LLN to vocational outcomes and positive staff understanding, </w:t>
      </w:r>
      <w:r w:rsidR="009859DE">
        <w:t xml:space="preserve">and </w:t>
      </w:r>
      <w:r>
        <w:t xml:space="preserve">values and beliefs. At the organisational level, policies and administrative practices needed to be designed so that resources could be directed into embedded </w:t>
      </w:r>
      <w:r w:rsidR="00956392">
        <w:t>programmes</w:t>
      </w:r>
      <w:r>
        <w:t xml:space="preserve"> </w:t>
      </w:r>
      <w:r>
        <w:fldChar w:fldCharType="begin"/>
      </w:r>
      <w:r>
        <w:instrText xml:space="preserve"> ADDIN EN.CITE &lt;EndNote&gt;&lt;Cite ExcludeAuth="1"&gt;&lt;Author&gt;Casey&lt;/Author&gt;&lt;Year&gt;2006&lt;/Year&gt;&lt;RecNum&gt;149&lt;/RecNum&gt;&lt;DisplayText&gt;(2006)&lt;/DisplayText&gt;&lt;record&gt;&lt;rec-number&gt;149&lt;/rec-number&gt;&lt;foreign-keys&gt;&lt;key app="EN" db-id="tz2999apzpzsecedfarxdvvvvfpv999z2zrv" timestamp="1419228481"&gt;149&lt;/key&gt;&lt;/foreign-keys&gt;&lt;ref-type name="Report"&gt;27&lt;/ref-type&gt;&lt;contributors&gt;&lt;authors&gt;&lt;author&gt;Casey, H.&lt;/author&gt;&lt;author&gt;Cara, O.&lt;/author&gt;&lt;author&gt;Eldred, J.&lt;/author&gt;&lt;author&gt;Grief, S.&lt;/author&gt;&lt;author&gt;Hodge, R.&lt;/author&gt;&lt;author&gt;Ivanic, R.&lt;/author&gt;&lt;author&gt;Jupp, T.&lt;/author&gt;&lt;author&gt;Lopez, D.&lt;/author&gt;&lt;author&gt;McNeil, B.&lt;/author&gt;&lt;/authors&gt;&lt;tertiary-authors&gt;&lt;author&gt;National Research and Development Centre&lt;/author&gt;&lt;/tertiary-authors&gt;&lt;/contributors&gt;&lt;titles&gt;&lt;title&gt;&amp;quot;You wouldn&amp;apos;t expect a maths teacher to teach plastering....&amp;quot;: embedding literacy, language and numeracy in post-w6 vocational programmes - the impact on learning and achievement&lt;/title&gt;&lt;/titles&gt;&lt;keywords&gt;&lt;keyword&gt;SEE&lt;/keyword&gt;&lt;/keywords&gt;&lt;dates&gt;&lt;year&gt;2006&lt;/year&gt;&lt;/dates&gt;&lt;pub-location&gt;London&lt;/pub-location&gt;&lt;urls&gt;&lt;/urls&gt;&lt;/record&gt;&lt;/Cite&gt;&lt;/EndNote&gt;</w:instrText>
      </w:r>
      <w:r>
        <w:fldChar w:fldCharType="separate"/>
      </w:r>
      <w:r>
        <w:rPr>
          <w:noProof/>
        </w:rPr>
        <w:t>(2006)</w:t>
      </w:r>
      <w:r>
        <w:fldChar w:fldCharType="end"/>
      </w:r>
      <w:r>
        <w:t xml:space="preserve">. </w:t>
      </w:r>
    </w:p>
    <w:p w14:paraId="53F41FF4" w14:textId="77777777" w:rsidR="00094679" w:rsidRDefault="00094679" w:rsidP="00094679">
      <w:pPr>
        <w:pStyle w:val="BodyText"/>
      </w:pPr>
      <w:r>
        <w:t xml:space="preserve">This whole-of-organisation approach was supported by </w:t>
      </w:r>
      <w:r>
        <w:fldChar w:fldCharType="begin"/>
      </w:r>
      <w:r>
        <w:instrText xml:space="preserve"> ADDIN EN.CITE &lt;EndNote&gt;&lt;Cite AuthorYear="1"&gt;&lt;Author&gt;Leach&lt;/Author&gt;&lt;Year&gt;2009&lt;/Year&gt;&lt;RecNum&gt;143&lt;/RecNum&gt;&lt;DisplayText&gt;Leach et al. (2009)&lt;/DisplayText&gt;&lt;record&gt;&lt;rec-number&gt;143&lt;/rec-number&gt;&lt;foreign-keys&gt;&lt;key app="EN" db-id="tz2999apzpzsecedfarxdvvvvfpv999z2zrv" timestamp="1415576470"&gt;143&lt;/key&gt;&lt;/foreign-keys&gt;&lt;ref-type name="Report"&gt;27&lt;/ref-type&gt;&lt;contributors&gt;&lt;authors&gt;&lt;author&gt;Leach, L.&lt;/author&gt;&lt;author&gt;Zepke, N.&lt;/author&gt;&lt;author&gt;Haworth, P.&lt;/author&gt;&lt;author&gt;Isaacs, P.&lt;/author&gt;&lt;author&gt;Nepia, W.&lt;/author&gt;&lt;/authors&gt;&lt;tertiary-authors&gt;&lt;author&gt;Massey University&lt;/author&gt;&lt;/tertiary-authors&gt;&lt;/contributors&gt;&lt;titles&gt;&lt;title&gt;Organisational factors that affect delivery of adult literacy, language and numeracy provision: A review of international literature&lt;/title&gt;&lt;/titles&gt;&lt;pages&gt;2010&lt;/pages&gt;&lt;volume&gt;31&lt;/volume&gt;&lt;keywords&gt;&lt;keyword&gt;SEE&lt;/keyword&gt;&lt;/keywords&gt;&lt;dates&gt;&lt;year&gt;2009&lt;/year&gt;&lt;/dates&gt;&lt;pub-location&gt;Auckland&lt;/pub-location&gt;&lt;label&gt;In holdings&lt;/label&gt;&lt;urls&gt;&lt;/urls&gt;&lt;/record&gt;&lt;/Cite&gt;&lt;/EndNote&gt;</w:instrText>
      </w:r>
      <w:r>
        <w:fldChar w:fldCharType="separate"/>
      </w:r>
      <w:r>
        <w:rPr>
          <w:noProof/>
        </w:rPr>
        <w:t xml:space="preserve">Leach </w:t>
      </w:r>
      <w:r w:rsidRPr="005E301F">
        <w:rPr>
          <w:i/>
          <w:noProof/>
        </w:rPr>
        <w:t xml:space="preserve">et al. </w:t>
      </w:r>
      <w:r>
        <w:rPr>
          <w:noProof/>
        </w:rPr>
        <w:t>(2009)</w:t>
      </w:r>
      <w:r>
        <w:fldChar w:fldCharType="end"/>
      </w:r>
      <w:r>
        <w:t xml:space="preserve"> whose review of organisational factors impacting on embedded LLN provision found that close collaboration across LLN and vocational teachers is required, and that ongoing professional development is also necessary. </w:t>
      </w:r>
    </w:p>
    <w:p w14:paraId="577ABA24" w14:textId="2C5F08BB" w:rsidR="00094679" w:rsidRDefault="00094679" w:rsidP="00094679">
      <w:pPr>
        <w:pStyle w:val="BodyText"/>
      </w:pPr>
      <w:r>
        <w:t xml:space="preserve">The literature also identified the need to build in understanding and support of learner persistence in adult education. As </w:t>
      </w:r>
      <w:r>
        <w:fldChar w:fldCharType="begin"/>
      </w:r>
      <w:r>
        <w:instrText xml:space="preserve"> ADDIN EN.CITE &lt;EndNote&gt;&lt;Cite AuthorYear="1"&gt;&lt;Author&gt;Crowther&lt;/Author&gt;&lt;Year&gt;2010&lt;/Year&gt;&lt;RecNum&gt;43&lt;/RecNum&gt;&lt;DisplayText&gt;Crowther et al. (2010)&lt;/DisplayText&gt;&lt;record&gt;&lt;rec-number&gt;43&lt;/rec-number&gt;&lt;foreign-keys&gt;&lt;key app="EN" db-id="tz2999apzpzsecedfarxdvvvvfpv999z2zrv" timestamp="1413243625"&gt;43&lt;/key&gt;&lt;/foreign-keys&gt;&lt;ref-type name="Journal Article"&gt;17&lt;/ref-type&gt;&lt;contributors&gt;&lt;authors&gt;&lt;author&gt;Crowther, J.&lt;/author&gt;&lt;author&gt;Maclachlan, K.&lt;/author&gt;&lt;author&gt;Tett, L.&lt;/author&gt;&lt;/authors&gt;&lt;/contributors&gt;&lt;titles&gt;&lt;title&gt;Adult literacy, learning identities and pedagogic practice&lt;/title&gt;&lt;secondary-title&gt;International Journal of Lifelong Education&lt;/secondary-title&gt;&lt;/titles&gt;&lt;periodical&gt;&lt;full-title&gt;International Journal of Lifelong Education&lt;/full-title&gt;&lt;/periodical&gt;&lt;pages&gt;651-664&lt;/pages&gt;&lt;volume&gt;29&lt;/volume&gt;&lt;number&gt;6&lt;/number&gt;&lt;keywords&gt;&lt;keyword&gt;SEE&lt;/keyword&gt;&lt;/keywords&gt;&lt;dates&gt;&lt;year&gt;2010&lt;/year&gt;&lt;/dates&gt;&lt;isbn&gt;0260-1370&lt;/isbn&gt;&lt;label&gt;In holdings&lt;/label&gt;&lt;urls&gt;&lt;/urls&gt;&lt;/record&gt;&lt;/Cite&gt;&lt;/EndNote&gt;</w:instrText>
      </w:r>
      <w:r>
        <w:fldChar w:fldCharType="separate"/>
      </w:r>
      <w:r>
        <w:rPr>
          <w:noProof/>
        </w:rPr>
        <w:t xml:space="preserve">Crowther </w:t>
      </w:r>
      <w:r w:rsidRPr="005E301F">
        <w:rPr>
          <w:i/>
          <w:noProof/>
        </w:rPr>
        <w:t>et al.</w:t>
      </w:r>
      <w:r>
        <w:rPr>
          <w:noProof/>
        </w:rPr>
        <w:t xml:space="preserve"> (2010)</w:t>
      </w:r>
      <w:r>
        <w:fldChar w:fldCharType="end"/>
      </w:r>
      <w:r>
        <w:t xml:space="preserve"> observe, LLN learners are disproportionately likely to come from areas of social deprivation and low income families, lead unstable lives, experience ill health and cope with disabilities</w:t>
      </w:r>
      <w:r w:rsidR="007D4EAB">
        <w:t>,</w:t>
      </w:r>
      <w:r>
        <w:t xml:space="preserve"> with each of these factors impacting on their ability to sustain their engagement in learning </w:t>
      </w:r>
      <w:r w:rsidR="00956392">
        <w:t>programmes</w:t>
      </w:r>
      <w:r>
        <w:t>.</w:t>
      </w:r>
      <w:r w:rsidRPr="00A7046A">
        <w:t xml:space="preserve"> </w:t>
      </w:r>
      <w:r>
        <w:t>Consequently, the formal engagement of adult learners in LLN is more often marked by breaks or pauses in learning as they swap formal study with self-directed study or take breaks to manage life circumstances.</w:t>
      </w:r>
    </w:p>
    <w:p w14:paraId="1A43E381" w14:textId="4B83D50A" w:rsidR="00094679" w:rsidRDefault="00094679" w:rsidP="00094679">
      <w:pPr>
        <w:pStyle w:val="BodyText"/>
      </w:pPr>
      <w:r>
        <w:t xml:space="preserve">Acknowledging persistence, rather than completion, through the adoption of particular teaching strategies and </w:t>
      </w:r>
      <w:r w:rsidR="00956392">
        <w:t>programmes</w:t>
      </w:r>
      <w:r>
        <w:t xml:space="preserve"> that allow </w:t>
      </w:r>
      <w:r w:rsidR="00221649">
        <w:t>client</w:t>
      </w:r>
      <w:r>
        <w:t xml:space="preserve">s to break from study and re-enter without penalty is considered a contributing factor to increasing LLN proficiency </w:t>
      </w:r>
      <w:r>
        <w:fldChar w:fldCharType="begin"/>
      </w:r>
      <w:r>
        <w:instrText xml:space="preserve"> ADDIN EN.CITE &lt;EndNote&gt;&lt;Cite&gt;&lt;Author&gt;Crowther&lt;/Author&gt;&lt;Year&gt;2010&lt;/Year&gt;&lt;RecNum&gt;43&lt;/RecNum&gt;&lt;DisplayText&gt;(Crowther et al. 2010; Reder 2013)&lt;/DisplayText&gt;&lt;record&gt;&lt;rec-number&gt;43&lt;/rec-number&gt;&lt;foreign-keys&gt;&lt;key app="EN" db-id="tz2999apzpzsecedfarxdvvvvfpv999z2zrv" timestamp="1413243625"&gt;43&lt;/key&gt;&lt;/foreign-keys&gt;&lt;ref-type name="Journal Article"&gt;17&lt;/ref-type&gt;&lt;contributors&gt;&lt;authors&gt;&lt;author&gt;Crowther, J.&lt;/author&gt;&lt;author&gt;Maclachlan, K.&lt;/author&gt;&lt;author&gt;Tett, L.&lt;/author&gt;&lt;/authors&gt;&lt;/contributors&gt;&lt;titles&gt;&lt;title&gt;Adult literacy, learning identities and pedagogic practice&lt;/title&gt;&lt;secondary-title&gt;International Journal of Lifelong Education&lt;/secondary-title&gt;&lt;/titles&gt;&lt;periodical&gt;&lt;full-title&gt;International Journal of Lifelong Education&lt;/full-title&gt;&lt;/periodical&gt;&lt;pages&gt;651-664&lt;/pages&gt;&lt;volume&gt;29&lt;/volume&gt;&lt;number&gt;6&lt;/number&gt;&lt;keywords&gt;&lt;keyword&gt;SEE&lt;/keyword&gt;&lt;/keywords&gt;&lt;dates&gt;&lt;year&gt;2010&lt;/year&gt;&lt;/dates&gt;&lt;isbn&gt;0260-1370&lt;/isbn&gt;&lt;label&gt;In holdings&lt;/label&gt;&lt;urls&gt;&lt;/urls&gt;&lt;/record&gt;&lt;/Cite&gt;&lt;Cite&gt;&lt;Author&gt;Reder&lt;/Author&gt;&lt;Year&gt;2013&lt;/Year&gt;&lt;RecNum&gt;121&lt;/RecNum&gt;&lt;record&gt;&lt;rec-number&gt;121&lt;/rec-number&gt;&lt;foreign-keys&gt;&lt;key app="EN" db-id="tz2999apzpzsecedfarxdvvvvfpv999z2zrv" timestamp="1414447895"&gt;121&lt;/key&gt;&lt;/foreign-keys&gt;&lt;ref-type name="Journal Article"&gt;17&lt;/ref-type&gt;&lt;contributors&gt;&lt;authors&gt;&lt;author&gt;Reder, S.&lt;/author&gt;&lt;/authors&gt;&lt;/contributors&gt;&lt;titles&gt;&lt;title&gt;Lifelong and life-wide adult literacy development&lt;/title&gt;&lt;secondary-title&gt;Perspectives on Language and Literacy&lt;/secondary-title&gt;&lt;/titles&gt;&lt;periodical&gt;&lt;full-title&gt;Perspectives on Language and Literacy&lt;/full-title&gt;&lt;/periodical&gt;&lt;pages&gt;18-21&lt;/pages&gt;&lt;volume&gt;39&lt;/volume&gt;&lt;number&gt;2&lt;/number&gt;&lt;keywords&gt;&lt;keyword&gt;SEE&lt;/keyword&gt;&lt;/keywords&gt;&lt;dates&gt;&lt;year&gt;2013&lt;/year&gt;&lt;/dates&gt;&lt;label&gt;in holdings&lt;/label&gt;&lt;urls&gt;&lt;/urls&gt;&lt;/record&gt;&lt;/Cite&gt;&lt;/EndNote&gt;</w:instrText>
      </w:r>
      <w:r>
        <w:fldChar w:fldCharType="separate"/>
      </w:r>
      <w:r>
        <w:rPr>
          <w:noProof/>
        </w:rPr>
        <w:t xml:space="preserve">(Crowther </w:t>
      </w:r>
      <w:r w:rsidRPr="005E301F">
        <w:rPr>
          <w:i/>
          <w:noProof/>
        </w:rPr>
        <w:t>et al.</w:t>
      </w:r>
      <w:r>
        <w:rPr>
          <w:noProof/>
        </w:rPr>
        <w:t xml:space="preserve"> 2010; Reder 2013)</w:t>
      </w:r>
      <w:r>
        <w:fldChar w:fldCharType="end"/>
      </w:r>
      <w:r>
        <w:t xml:space="preserve">. This can be considered as continuing, but not continuous, engagement. Those teaching practices which enable LLN engagement outside the classroom are appropriate and are discussed in more detail below. Attendance support strategies are also a contributing factor, including access to child care, flexible schedule and multiple delivery modes </w:t>
      </w:r>
      <w:r>
        <w:fldChar w:fldCharType="begin"/>
      </w:r>
      <w:r>
        <w:instrText xml:space="preserve"> ADDIN EN.CITE &lt;EndNote&gt;&lt;Cite&gt;&lt;Author&gt;National Institute of Adult Continuing Education&lt;/Author&gt;&lt;Year&gt;2011&lt;/Year&gt;&lt;RecNum&gt;59&lt;/RecNum&gt;&lt;DisplayText&gt;(National Institute of Adult Continuing Education 2011)&lt;/DisplayText&gt;&lt;record&gt;&lt;rec-number&gt;59&lt;/rec-number&gt;&lt;foreign-keys&gt;&lt;key app="EN" db-id="tz2999apzpzsecedfarxdvvvvfpv999z2zrv" timestamp="1413245971"&gt;59&lt;/key&gt;&lt;/foreign-keys&gt;&lt;ref-type name="Report"&gt;27&lt;/ref-type&gt;&lt;contributors&gt;&lt;authors&gt;&lt;author&gt;National Institute of Adult Continuing Education,&lt;/author&gt;&lt;/authors&gt;&lt;tertiary-authors&gt;&lt;author&gt;NIACE&lt;/author&gt;&lt;/tertiary-authors&gt;&lt;/contributors&gt;&lt;titles&gt;&lt;title&gt;Work, society and lifelong literacy: report of the inquiry into adult literacy in England&lt;/title&gt;&lt;/titles&gt;&lt;keywords&gt;&lt;keyword&gt;SEE&lt;/keyword&gt;&lt;/keywords&gt;&lt;dates&gt;&lt;year&gt;2011&lt;/year&gt;&lt;/dates&gt;&lt;pub-location&gt;London&lt;/pub-location&gt;&lt;label&gt;In holdings&lt;/label&gt;&lt;urls&gt;&lt;/urls&gt;&lt;/record&gt;&lt;/Cite&gt;&lt;/EndNote&gt;</w:instrText>
      </w:r>
      <w:r>
        <w:fldChar w:fldCharType="separate"/>
      </w:r>
      <w:r>
        <w:rPr>
          <w:noProof/>
        </w:rPr>
        <w:t>(National Institute of Adult Continuing Education 2011)</w:t>
      </w:r>
      <w:r>
        <w:fldChar w:fldCharType="end"/>
      </w:r>
      <w:r>
        <w:t>.</w:t>
      </w:r>
    </w:p>
    <w:p w14:paraId="397B78F9" w14:textId="77777777" w:rsidR="00094679" w:rsidRDefault="00094679" w:rsidP="00094679">
      <w:pPr>
        <w:pStyle w:val="Heading3"/>
        <w:numPr>
          <w:ilvl w:val="2"/>
          <w:numId w:val="20"/>
        </w:numPr>
      </w:pPr>
      <w:r>
        <w:t>Teacher qualifications and development</w:t>
      </w:r>
    </w:p>
    <w:p w14:paraId="50DCA945" w14:textId="52F58919" w:rsidR="00094679" w:rsidRDefault="00BE67D9" w:rsidP="00094679">
      <w:pPr>
        <w:pStyle w:val="BodyText"/>
      </w:pPr>
      <w:r>
        <w:t>Similar</w:t>
      </w:r>
      <w:r w:rsidR="00094679" w:rsidRPr="00BE67D9">
        <w:t xml:space="preserve"> to adult</w:t>
      </w:r>
      <w:r w:rsidR="00094679">
        <w:t xml:space="preserve"> language learning, the literature finds that t</w:t>
      </w:r>
      <w:r w:rsidR="00094679" w:rsidRPr="00355613">
        <w:t>eaching qualifications</w:t>
      </w:r>
      <w:r w:rsidR="00094679">
        <w:t xml:space="preserve"> such as a </w:t>
      </w:r>
      <w:r w:rsidR="00094679" w:rsidRPr="00355613">
        <w:t xml:space="preserve">bachelor degree </w:t>
      </w:r>
      <w:r w:rsidR="00094679">
        <w:t xml:space="preserve">and </w:t>
      </w:r>
      <w:r w:rsidR="00094679" w:rsidRPr="00355613">
        <w:t>specialist qualification</w:t>
      </w:r>
      <w:r w:rsidR="00094679">
        <w:t xml:space="preserve"> in adult LLN are essential </w:t>
      </w:r>
      <w:r w:rsidR="00094679">
        <w:fldChar w:fldCharType="begin"/>
      </w:r>
      <w:r w:rsidR="00094679">
        <w:instrText xml:space="preserve"> ADDIN EN.CITE &lt;EndNote&gt;&lt;Cite&gt;&lt;Author&gt;Alkema&lt;/Author&gt;&lt;Year&gt;2013&lt;/Year&gt;&lt;RecNum&gt;23&lt;/RecNum&gt;&lt;DisplayText&gt;(Alkema and Rean 2013)&lt;/DisplayText&gt;&lt;record&gt;&lt;rec-number&gt;23&lt;/rec-number&gt;&lt;foreign-keys&gt;&lt;key app="EN" db-id="tz2999apzpzsecedfarxdvvvvfpv999z2zrv" timestamp="1412041796"&gt;23&lt;/key&gt;&lt;/foreign-keys&gt;&lt;ref-type name="Statute"&gt;31&lt;/ref-type&gt;&lt;contributors&gt;&lt;authors&gt;&lt;author&gt;Alkema, A.&lt;/author&gt;&lt;author&gt;Rean, J.&lt;/author&gt;&lt;/authors&gt;&lt;/contributors&gt;&lt;titles&gt;&lt;title&gt;Adult literacy and numeracy: an overview of the evidence: annotated bibliography&lt;/title&gt;&lt;/titles&gt;&lt;keywords&gt;&lt;keyword&gt;SEE&lt;/keyword&gt;&lt;keyword&gt;Literature review&lt;/keyword&gt;&lt;keyword&gt;Educational practice&lt;/keyword&gt;&lt;keyword&gt;Educational policy&lt;/keyword&gt;&lt;keyword&gt;Literacy&lt;/keyword&gt;&lt;keyword&gt;Language&lt;/keyword&gt;&lt;keyword&gt;Numeracy&lt;/keyword&gt;&lt;keyword&gt;Research&lt;/keyword&gt;&lt;keyword&gt;Policy&lt;/keyword&gt;&lt;keyword&gt;Teaching and learning&lt;/keyword&gt;&lt;keyword&gt;New Zealand&lt;/keyword&gt;&lt;keyword&gt;Oceania&lt;/keyword&gt;&lt;keyword&gt;Australia&lt;/keyword&gt;&lt;keyword&gt;Canada&lt;/keyword&gt;&lt;keyword&gt;United States&lt;/keyword&gt;&lt;keyword&gt;North America&lt;/keyword&gt;&lt;keyword&gt;Great Britain&lt;/keyword&gt;&lt;keyword&gt;Ireland&lt;/keyword&gt;&lt;keyword&gt;Europe&lt;/keyword&gt;&lt;/keywords&gt;&lt;dates&gt;&lt;year&gt;2013&lt;/year&gt;&lt;/dates&gt;&lt;pub-location&gt;Wellington&lt;/pub-location&gt;&lt;publisher&gt;Tertiary Education Commission&lt;/publisher&gt;&lt;label&gt;In holdings&lt;/label&gt;&lt;urls&gt;&lt;related-urls&gt;&lt;url&gt;http://www.tec.govt.nz/Documents/Publications/Adult-Literacy-and-Numeracy-An-Overview.pdf&lt;/url&gt;&lt;/related-urls&gt;&lt;/urls&gt;&lt;remote-database-name&gt;VOCEDplus&lt;/remote-database-name&gt;&lt;access-date&gt;30 Sep 2014&lt;/access-date&gt;&lt;/record&gt;&lt;/Cite&gt;&lt;/EndNote&gt;</w:instrText>
      </w:r>
      <w:r w:rsidR="00094679">
        <w:fldChar w:fldCharType="separate"/>
      </w:r>
      <w:r w:rsidR="00094679">
        <w:rPr>
          <w:noProof/>
        </w:rPr>
        <w:t>(Alkema and Rean 2013)</w:t>
      </w:r>
      <w:r w:rsidR="00094679">
        <w:fldChar w:fldCharType="end"/>
      </w:r>
      <w:r w:rsidR="00094679">
        <w:t>.</w:t>
      </w:r>
      <w:r w:rsidR="00094679" w:rsidRPr="00341DA9">
        <w:t xml:space="preserve"> </w:t>
      </w:r>
      <w:r w:rsidR="00094679">
        <w:t xml:space="preserve">Effective </w:t>
      </w:r>
      <w:r w:rsidR="00956392">
        <w:t>programmes</w:t>
      </w:r>
      <w:r w:rsidR="00094679">
        <w:t xml:space="preserve"> provided staff with adequate time for planning and coordinating provision and used full-time staff as much as possible for consistency of teaching methods and efficient use of professional development resources. Where volunteers are used, they should be </w:t>
      </w:r>
      <w:r w:rsidR="00094679" w:rsidRPr="00355613">
        <w:t>rigorously selected, trained and supported</w:t>
      </w:r>
      <w:r w:rsidR="00094679">
        <w:t xml:space="preserve"> </w:t>
      </w:r>
      <w:r w:rsidR="00094679">
        <w:fldChar w:fldCharType="begin"/>
      </w:r>
      <w:r w:rsidR="00094679">
        <w:instrText xml:space="preserve"> ADDIN EN.CITE &lt;EndNote&gt;&lt;Cite&gt;&lt;Author&gt;Benseman&lt;/Author&gt;&lt;Year&gt;2005&lt;/Year&gt;&lt;RecNum&gt;55&lt;/RecNum&gt;&lt;DisplayText&gt;(Benseman et al. 2005)&lt;/DisplayText&gt;&lt;record&gt;&lt;rec-number&gt;55&lt;/rec-number&gt;&lt;foreign-keys&gt;&lt;key app="EN" db-id="tz2999apzpzsecedfarxdvvvvfpv999z2zrv" timestamp="1413245377"&gt;55&lt;/key&gt;&lt;/foreign-keys&gt;&lt;ref-type name="Report"&gt;27&lt;/ref-type&gt;&lt;contributors&gt;&lt;authors&gt;&lt;author&gt;Benseman, J.&lt;/author&gt;&lt;author&gt;Sutton, A.&lt;/author&gt;&lt;author&gt;Lander, J.&lt;/author&gt;&lt;/authors&gt;&lt;tertiary-authors&gt;&lt;author&gt;The University of Auckland&lt;/author&gt;&lt;/tertiary-authors&gt;&lt;/contributors&gt;&lt;titles&gt;&lt;title&gt;Working in the light of evidence, as well as commitment. A literature review of the best available evidence about effective adult literacy, numeracy and language teaching&lt;/title&gt;&lt;/titles&gt;&lt;keywords&gt;&lt;keyword&gt;SEE&lt;/keyword&gt;&lt;/keywords&gt;&lt;dates&gt;&lt;year&gt;2005&lt;/year&gt;&lt;/dates&gt;&lt;pub-location&gt;Auckland&lt;/pub-location&gt;&lt;label&gt;In holdings&lt;/label&gt;&lt;urls&gt;&lt;/urls&gt;&lt;/record&gt;&lt;/Cite&gt;&lt;/EndNote&gt;</w:instrText>
      </w:r>
      <w:r w:rsidR="00094679">
        <w:fldChar w:fldCharType="separate"/>
      </w:r>
      <w:r w:rsidR="00094679">
        <w:rPr>
          <w:noProof/>
        </w:rPr>
        <w:t xml:space="preserve">(Benseman </w:t>
      </w:r>
      <w:r w:rsidR="00094679" w:rsidRPr="00221649">
        <w:rPr>
          <w:i/>
          <w:noProof/>
        </w:rPr>
        <w:t xml:space="preserve">et al. </w:t>
      </w:r>
      <w:r w:rsidR="00094679">
        <w:rPr>
          <w:noProof/>
        </w:rPr>
        <w:t>2005)</w:t>
      </w:r>
      <w:r w:rsidR="00094679">
        <w:fldChar w:fldCharType="end"/>
      </w:r>
      <w:r w:rsidR="00094679">
        <w:t>.</w:t>
      </w:r>
    </w:p>
    <w:p w14:paraId="3C569A7A" w14:textId="6047B2D7" w:rsidR="00094679" w:rsidRDefault="00094679" w:rsidP="00094679">
      <w:pPr>
        <w:pStyle w:val="BodyText"/>
      </w:pPr>
      <w:r>
        <w:fldChar w:fldCharType="begin"/>
      </w:r>
      <w:r>
        <w:instrText xml:space="preserve"> ADDIN EN.CITE &lt;EndNote&gt;&lt;Cite AuthorYear="1"&gt;&lt;Author&gt;Benseman&lt;/Author&gt;&lt;Year&gt;2005&lt;/Year&gt;&lt;RecNum&gt;55&lt;/RecNum&gt;&lt;DisplayText&gt;Benseman et al. (2005)&lt;/DisplayText&gt;&lt;record&gt;&lt;rec-number&gt;55&lt;/rec-number&gt;&lt;foreign-keys&gt;&lt;key app="EN" db-id="tz2999apzpzsecedfarxdvvvvfpv999z2zrv" timestamp="1413245377"&gt;55&lt;/key&gt;&lt;/foreign-keys&gt;&lt;ref-type name="Report"&gt;27&lt;/ref-type&gt;&lt;contributors&gt;&lt;authors&gt;&lt;author&gt;Benseman, J.&lt;/author&gt;&lt;author&gt;Sutton, A.&lt;/author&gt;&lt;author&gt;Lander, J.&lt;/author&gt;&lt;/authors&gt;&lt;tertiary-authors&gt;&lt;author&gt;The University of Auckland&lt;/author&gt;&lt;/tertiary-authors&gt;&lt;/contributors&gt;&lt;titles&gt;&lt;title&gt;Working in the light of evidence, as well as commitment. A literature review of the best available evidence about effective adult literacy, numeracy and language teaching&lt;/title&gt;&lt;/titles&gt;&lt;keywords&gt;&lt;keyword&gt;SEE&lt;/keyword&gt;&lt;/keywords&gt;&lt;dates&gt;&lt;year&gt;2005&lt;/year&gt;&lt;/dates&gt;&lt;pub-location&gt;Auckland&lt;/pub-location&gt;&lt;label&gt;In holdings&lt;/label&gt;&lt;urls&gt;&lt;/urls&gt;&lt;/record&gt;&lt;/Cite&gt;&lt;/EndNote&gt;</w:instrText>
      </w:r>
      <w:r>
        <w:fldChar w:fldCharType="separate"/>
      </w:r>
      <w:r>
        <w:rPr>
          <w:noProof/>
        </w:rPr>
        <w:t xml:space="preserve">Benseman </w:t>
      </w:r>
      <w:r w:rsidRPr="005E301F">
        <w:rPr>
          <w:i/>
          <w:noProof/>
        </w:rPr>
        <w:t>et al.</w:t>
      </w:r>
      <w:r>
        <w:rPr>
          <w:noProof/>
        </w:rPr>
        <w:t xml:space="preserve"> (2005)</w:t>
      </w:r>
      <w:r>
        <w:fldChar w:fldCharType="end"/>
      </w:r>
      <w:r>
        <w:t xml:space="preserve"> found that providers of LLN </w:t>
      </w:r>
      <w:r w:rsidR="00956392">
        <w:t>programmes</w:t>
      </w:r>
      <w:r>
        <w:t xml:space="preserve"> can also take action to support effective LLN teaching. These included:</w:t>
      </w:r>
    </w:p>
    <w:p w14:paraId="61710F10" w14:textId="77777777" w:rsidR="00094679" w:rsidRDefault="00094679" w:rsidP="00094679">
      <w:pPr>
        <w:pStyle w:val="ListDash"/>
      </w:pPr>
      <w:r>
        <w:t>planning for professional development</w:t>
      </w:r>
    </w:p>
    <w:p w14:paraId="495BC35C" w14:textId="77777777" w:rsidR="00094679" w:rsidRDefault="00094679" w:rsidP="00094679">
      <w:pPr>
        <w:pStyle w:val="ListDash"/>
      </w:pPr>
      <w:r>
        <w:t>enabling staff to access professional and support networks</w:t>
      </w:r>
    </w:p>
    <w:p w14:paraId="60628580" w14:textId="77777777" w:rsidR="00094679" w:rsidRDefault="00094679" w:rsidP="00094679">
      <w:pPr>
        <w:pStyle w:val="ListDash"/>
      </w:pPr>
      <w:r>
        <w:t>ensuring tutors have access to resources</w:t>
      </w:r>
    </w:p>
    <w:p w14:paraId="3EA85A9D" w14:textId="77777777" w:rsidR="00094679" w:rsidRDefault="00094679" w:rsidP="00094679">
      <w:pPr>
        <w:pStyle w:val="ListDash"/>
      </w:pPr>
      <w:r>
        <w:t>providing tutor non-contact time allocation (for planning and preparation)</w:t>
      </w:r>
    </w:p>
    <w:p w14:paraId="5BA90E14" w14:textId="77777777" w:rsidR="00094679" w:rsidRDefault="00094679" w:rsidP="00094679">
      <w:pPr>
        <w:pStyle w:val="ListDash"/>
      </w:pPr>
      <w:r>
        <w:t>undertaking robust initial assessment and learning plans</w:t>
      </w:r>
    </w:p>
    <w:p w14:paraId="7F8DF552" w14:textId="77777777" w:rsidR="00094679" w:rsidRDefault="00094679" w:rsidP="00094679">
      <w:pPr>
        <w:pStyle w:val="ListDash"/>
      </w:pPr>
      <w:r>
        <w:t>recording literacy skill gain</w:t>
      </w:r>
    </w:p>
    <w:p w14:paraId="040945C0" w14:textId="77777777" w:rsidR="00094679" w:rsidRDefault="00094679" w:rsidP="00094679">
      <w:pPr>
        <w:pStyle w:val="ListDash"/>
      </w:pPr>
      <w:r>
        <w:t xml:space="preserve">ensuring tutors have learner-centred teaching strategies </w:t>
      </w:r>
    </w:p>
    <w:p w14:paraId="72C58D12" w14:textId="77777777" w:rsidR="00094679" w:rsidRDefault="00094679" w:rsidP="00094679">
      <w:pPr>
        <w:pStyle w:val="ListDash"/>
      </w:pPr>
      <w:r>
        <w:t>providing assistance for learners with high literacy needs.</w:t>
      </w:r>
    </w:p>
    <w:p w14:paraId="1FC1DFD4" w14:textId="77777777" w:rsidR="00094679" w:rsidRDefault="00094679" w:rsidP="00094679">
      <w:pPr>
        <w:pStyle w:val="BodyText"/>
      </w:pPr>
      <w:r>
        <w:fldChar w:fldCharType="begin"/>
      </w:r>
      <w:r>
        <w:instrText xml:space="preserve"> ADDIN EN.CITE &lt;EndNote&gt;&lt;Cite AuthorYear="1"&gt;&lt;Author&gt;Vorhaus&lt;/Author&gt;&lt;Year&gt;2011&lt;/Year&gt;&lt;RecNum&gt;97&lt;/RecNum&gt;&lt;DisplayText&gt;Vorhaus et al. (2011)&lt;/DisplayText&gt;&lt;record&gt;&lt;rec-number&gt;97&lt;/rec-number&gt;&lt;foreign-keys&gt;&lt;key app="EN" db-id="tz2999apzpzsecedfarxdvvvvfpv999z2zrv" timestamp="1413256494"&gt;97&lt;/key&gt;&lt;/foreign-keys&gt;&lt;ref-type name="Report"&gt;27&lt;/ref-type&gt;&lt;contributors&gt;&lt;authors&gt;&lt;author&gt;Vorhaus, J.&lt;/author&gt;&lt;author&gt;Litster, J.&lt;/author&gt;&lt;author&gt;Frearson, M.&lt;/author&gt;&lt;author&gt;Johnson, S.&lt;/author&gt;&lt;/authors&gt;&lt;tertiary-authors&gt;&lt;author&gt;Department for Business Innovation &amp;amp; Skills&lt;/author&gt;&lt;/tertiary-authors&gt;&lt;/contributors&gt;&lt;titles&gt;&lt;title&gt;Review of research and evaluation on improving adult literacy and numeracy skills&lt;/title&gt;&lt;secondary-title&gt;Research Paper No. 61&lt;/secondary-title&gt;&lt;/titles&gt;&lt;keywords&gt;&lt;keyword&gt;SEE&lt;/keyword&gt;&lt;/keywords&gt;&lt;dates&gt;&lt;year&gt;2011&lt;/year&gt;&lt;pub-dates&gt;&lt;date&gt;December 2011&lt;/date&gt;&lt;/pub-dates&gt;&lt;/dates&gt;&lt;pub-location&gt;London&lt;/pub-location&gt;&lt;publisher&gt;Institute of Education&lt;/publisher&gt;&lt;label&gt;In holdings&lt;/label&gt;&lt;urls&gt;&lt;/urls&gt;&lt;/record&gt;&lt;/Cite&gt;&lt;/EndNote&gt;</w:instrText>
      </w:r>
      <w:r>
        <w:fldChar w:fldCharType="separate"/>
      </w:r>
      <w:r>
        <w:rPr>
          <w:noProof/>
        </w:rPr>
        <w:t xml:space="preserve">Vorhaus </w:t>
      </w:r>
      <w:r w:rsidRPr="005E301F">
        <w:rPr>
          <w:i/>
          <w:noProof/>
        </w:rPr>
        <w:t>et al.</w:t>
      </w:r>
      <w:r>
        <w:rPr>
          <w:noProof/>
        </w:rPr>
        <w:t xml:space="preserve"> (2011)</w:t>
      </w:r>
      <w:r>
        <w:fldChar w:fldCharType="end"/>
      </w:r>
      <w:r>
        <w:t xml:space="preserve"> has found strong associations between teacher qualifications, experience, subject matter knowledge and learner progress.</w:t>
      </w:r>
    </w:p>
    <w:p w14:paraId="6BB49E41" w14:textId="77777777" w:rsidR="00094679" w:rsidRDefault="00094679" w:rsidP="00094679">
      <w:pPr>
        <w:pStyle w:val="Heading3"/>
        <w:numPr>
          <w:ilvl w:val="2"/>
          <w:numId w:val="20"/>
        </w:numPr>
      </w:pPr>
      <w:r>
        <w:t>Teaching practice</w:t>
      </w:r>
    </w:p>
    <w:p w14:paraId="0B282671" w14:textId="77777777" w:rsidR="00094679" w:rsidRDefault="00094679" w:rsidP="00094679">
      <w:pPr>
        <w:pStyle w:val="BodyText"/>
      </w:pPr>
      <w:r>
        <w:t xml:space="preserve">Effective teaching practice in adult LLN is characterised by flexible and individualised approaches that provide contextualised materials and curricula, recognition of progression in small steps and the need for confidence-building and raising aspiration </w:t>
      </w:r>
      <w:r>
        <w:fldChar w:fldCharType="begin"/>
      </w:r>
      <w:r>
        <w:instrText xml:space="preserve"> ADDIN EN.CITE &lt;EndNote&gt;&lt;Cite&gt;&lt;Author&gt;National Institute of Adult Continuing Education&lt;/Author&gt;&lt;Year&gt;2011&lt;/Year&gt;&lt;RecNum&gt;59&lt;/RecNum&gt;&lt;DisplayText&gt;(National Institute of Adult Continuing Education 2011)&lt;/DisplayText&gt;&lt;record&gt;&lt;rec-number&gt;59&lt;/rec-number&gt;&lt;foreign-keys&gt;&lt;key app="EN" db-id="tz2999apzpzsecedfarxdvvvvfpv999z2zrv" timestamp="1413245971"&gt;59&lt;/key&gt;&lt;/foreign-keys&gt;&lt;ref-type name="Report"&gt;27&lt;/ref-type&gt;&lt;contributors&gt;&lt;authors&gt;&lt;author&gt;National Institute of Adult Continuing Education,&lt;/author&gt;&lt;/authors&gt;&lt;tertiary-authors&gt;&lt;author&gt;NIACE&lt;/author&gt;&lt;/tertiary-authors&gt;&lt;/contributors&gt;&lt;titles&gt;&lt;title&gt;Work, society and lifelong literacy: report of the inquiry into adult literacy in England&lt;/title&gt;&lt;/titles&gt;&lt;keywords&gt;&lt;keyword&gt;SEE&lt;/keyword&gt;&lt;/keywords&gt;&lt;dates&gt;&lt;year&gt;2011&lt;/year&gt;&lt;/dates&gt;&lt;pub-location&gt;London&lt;/pub-location&gt;&lt;label&gt;In holdings&lt;/label&gt;&lt;urls&gt;&lt;/urls&gt;&lt;/record&gt;&lt;/Cite&gt;&lt;/EndNote&gt;</w:instrText>
      </w:r>
      <w:r>
        <w:fldChar w:fldCharType="separate"/>
      </w:r>
      <w:r>
        <w:rPr>
          <w:noProof/>
        </w:rPr>
        <w:t>(National Institute of Adult Continuing Education 2011)</w:t>
      </w:r>
      <w:r>
        <w:fldChar w:fldCharType="end"/>
      </w:r>
      <w:r>
        <w:t>.</w:t>
      </w:r>
    </w:p>
    <w:p w14:paraId="1E577639" w14:textId="6FBE855C" w:rsidR="00094679" w:rsidRPr="002B7D74" w:rsidRDefault="00094679" w:rsidP="00094679">
      <w:pPr>
        <w:pStyle w:val="BodyText"/>
      </w:pPr>
      <w:r>
        <w:t xml:space="preserve">More specific practices that are recommended include the integration of diagnostic assessment into curricula and teaching </w:t>
      </w:r>
      <w:r w:rsidR="00956392">
        <w:t>programmes</w:t>
      </w:r>
      <w:r>
        <w:t xml:space="preserve"> and a teaching approach that encourages engaging </w:t>
      </w:r>
      <w:r w:rsidRPr="00355613">
        <w:t>with LLN outside the classroom</w:t>
      </w:r>
      <w:r>
        <w:t xml:space="preserve">. The US-based Longitudinal Study of Adult Learning observed a strong positive relationship between programme participation and changes in literacy and numeracy practices measures. It found that there are strong relationships between participation in adult education </w:t>
      </w:r>
      <w:r w:rsidR="00956392">
        <w:t>programmes</w:t>
      </w:r>
      <w:r>
        <w:t xml:space="preserve"> and increased engagement with literacy (such as reading books) and numeracy practices (such as using maths at home or at work). Reder argues that the sequence of the observed changes makes it clear that programme participation influences practices rather than vice-versa </w:t>
      </w:r>
      <w:r>
        <w:fldChar w:fldCharType="begin"/>
      </w:r>
      <w:r>
        <w:instrText xml:space="preserve"> ADDIN EN.CITE &lt;EndNote&gt;&lt;Cite&gt;&lt;Author&gt;Reder&lt;/Author&gt;&lt;Year&gt;2013&lt;/Year&gt;&lt;RecNum&gt;121&lt;/RecNum&gt;&lt;DisplayText&gt;(Reder 2013)&lt;/DisplayText&gt;&lt;record&gt;&lt;rec-number&gt;121&lt;/rec-number&gt;&lt;foreign-keys&gt;&lt;key app="EN" db-id="tz2999apzpzsecedfarxdvvvvfpv999z2zrv" timestamp="1414447895"&gt;121&lt;/key&gt;&lt;/foreign-keys&gt;&lt;ref-type name="Journal Article"&gt;17&lt;/ref-type&gt;&lt;contributors&gt;&lt;authors&gt;&lt;author&gt;Reder, S.&lt;/author&gt;&lt;/authors&gt;&lt;/contributors&gt;&lt;titles&gt;&lt;title&gt;Lifelong and life-wide adult literacy development&lt;/title&gt;&lt;secondary-title&gt;Perspectives on Language and Literacy&lt;/secondary-title&gt;&lt;/titles&gt;&lt;periodical&gt;&lt;full-title&gt;Perspectives on Language and Literacy&lt;/full-title&gt;&lt;/periodical&gt;&lt;pages&gt;18-21&lt;/pages&gt;&lt;volume&gt;39&lt;/volume&gt;&lt;number&gt;2&lt;/number&gt;&lt;keywords&gt;&lt;keyword&gt;SEE&lt;/keyword&gt;&lt;/keywords&gt;&lt;dates&gt;&lt;year&gt;2013&lt;/year&gt;&lt;/dates&gt;&lt;label&gt;in holdings&lt;/label&gt;&lt;urls&gt;&lt;/urls&gt;&lt;/record&gt;&lt;/Cite&gt;&lt;/EndNote&gt;</w:instrText>
      </w:r>
      <w:r>
        <w:fldChar w:fldCharType="separate"/>
      </w:r>
      <w:r>
        <w:rPr>
          <w:noProof/>
        </w:rPr>
        <w:t>(Reder 2013)</w:t>
      </w:r>
      <w:r>
        <w:fldChar w:fldCharType="end"/>
      </w:r>
      <w:r>
        <w:t xml:space="preserve">. Crowther nominates working in pairs or small groups, providing immediate feedback, reciprocal teaching and encouraging fluent and oral reading as important in fostering engagement in literacy and numeracy activities outside the classroom </w:t>
      </w:r>
      <w:r>
        <w:fldChar w:fldCharType="begin"/>
      </w:r>
      <w:r>
        <w:instrText xml:space="preserve"> ADDIN EN.CITE &lt;EndNote&gt;&lt;Cite&gt;&lt;Author&gt;Crowther&lt;/Author&gt;&lt;Year&gt;2010&lt;/Year&gt;&lt;RecNum&gt;43&lt;/RecNum&gt;&lt;DisplayText&gt;(Crowther et al. 2010)&lt;/DisplayText&gt;&lt;record&gt;&lt;rec-number&gt;43&lt;/rec-number&gt;&lt;foreign-keys&gt;&lt;key app="EN" db-id="tz2999apzpzsecedfarxdvvvvfpv999z2zrv" timestamp="1413243625"&gt;43&lt;/key&gt;&lt;/foreign-keys&gt;&lt;ref-type name="Journal Article"&gt;17&lt;/ref-type&gt;&lt;contributors&gt;&lt;authors&gt;&lt;author&gt;Crowther, J.&lt;/author&gt;&lt;author&gt;Maclachlan, K.&lt;/author&gt;&lt;author&gt;Tett, L.&lt;/author&gt;&lt;/authors&gt;&lt;/contributors&gt;&lt;titles&gt;&lt;title&gt;Adult literacy, learning identities and pedagogic practice&lt;/title&gt;&lt;secondary-title&gt;International Journal of Lifelong Education&lt;/secondary-title&gt;&lt;/titles&gt;&lt;periodical&gt;&lt;full-title&gt;International Journal of Lifelong Education&lt;/full-title&gt;&lt;/periodical&gt;&lt;pages&gt;651-664&lt;/pages&gt;&lt;volume&gt;29&lt;/volume&gt;&lt;number&gt;6&lt;/number&gt;&lt;keywords&gt;&lt;keyword&gt;SEE&lt;/keyword&gt;&lt;/keywords&gt;&lt;dates&gt;&lt;year&gt;2010&lt;/year&gt;&lt;/dates&gt;&lt;isbn&gt;0260-1370&lt;/isbn&gt;&lt;label&gt;In holdings&lt;/label&gt;&lt;urls&gt;&lt;/urls&gt;&lt;/record&gt;&lt;/Cite&gt;&lt;/EndNote&gt;</w:instrText>
      </w:r>
      <w:r>
        <w:fldChar w:fldCharType="separate"/>
      </w:r>
      <w:r>
        <w:rPr>
          <w:noProof/>
        </w:rPr>
        <w:t xml:space="preserve">(Crowther </w:t>
      </w:r>
      <w:r w:rsidRPr="005E301F">
        <w:rPr>
          <w:i/>
          <w:noProof/>
        </w:rPr>
        <w:t xml:space="preserve">et al. </w:t>
      </w:r>
      <w:r>
        <w:rPr>
          <w:noProof/>
        </w:rPr>
        <w:t>2010)</w:t>
      </w:r>
      <w:r>
        <w:fldChar w:fldCharType="end"/>
      </w:r>
      <w:r>
        <w:t>.</w:t>
      </w:r>
    </w:p>
    <w:p w14:paraId="1C5F32E3" w14:textId="77777777" w:rsidR="00094679" w:rsidRDefault="00094679" w:rsidP="00094679">
      <w:pPr>
        <w:pStyle w:val="Heading2"/>
        <w:numPr>
          <w:ilvl w:val="1"/>
          <w:numId w:val="20"/>
        </w:numPr>
      </w:pPr>
      <w:bookmarkStart w:id="48" w:name="_Ref408680513"/>
      <w:bookmarkStart w:id="49" w:name="_Toc420065445"/>
      <w:r>
        <w:t xml:space="preserve">Cohort-specific good practices in adult </w:t>
      </w:r>
      <w:r w:rsidR="001228F7">
        <w:t>LLN programmes</w:t>
      </w:r>
      <w:bookmarkEnd w:id="48"/>
      <w:bookmarkEnd w:id="49"/>
    </w:p>
    <w:p w14:paraId="0B300190" w14:textId="77777777" w:rsidR="00B27B93" w:rsidRDefault="001228F7" w:rsidP="00B27B93">
      <w:pPr>
        <w:pStyle w:val="BodyText"/>
      </w:pPr>
      <w:r>
        <w:t xml:space="preserve">This section details cohort-specific good practices in adult LLN programmes based on the academic literature. An overview of these good practices is provided in </w:t>
      </w:r>
      <w:r>
        <w:fldChar w:fldCharType="begin"/>
      </w:r>
      <w:r>
        <w:instrText xml:space="preserve"> REF _Ref408680317 \h </w:instrText>
      </w:r>
      <w:r>
        <w:fldChar w:fldCharType="separate"/>
      </w:r>
      <w:r w:rsidR="00294A5A">
        <w:t xml:space="preserve">Figure </w:t>
      </w:r>
      <w:r w:rsidR="00294A5A">
        <w:rPr>
          <w:noProof/>
        </w:rPr>
        <w:t>4</w:t>
      </w:r>
      <w:r>
        <w:fldChar w:fldCharType="end"/>
      </w:r>
      <w:r>
        <w:t>.</w:t>
      </w:r>
    </w:p>
    <w:p w14:paraId="4BB8B5A6" w14:textId="77777777" w:rsidR="00B27B93" w:rsidRDefault="00B27B93">
      <w:pPr>
        <w:pStyle w:val="Caption"/>
      </w:pPr>
      <w:bookmarkStart w:id="50" w:name="_Ref408680317"/>
      <w:bookmarkStart w:id="51" w:name="_Toc420065464"/>
      <w:r>
        <w:t xml:space="preserve">Figure </w:t>
      </w:r>
      <w:r w:rsidR="006A2396">
        <w:fldChar w:fldCharType="begin"/>
      </w:r>
      <w:r w:rsidR="006A2396">
        <w:instrText xml:space="preserve"> SEQ Figure \* ARABIC </w:instrText>
      </w:r>
      <w:r w:rsidR="006A2396">
        <w:fldChar w:fldCharType="separate"/>
      </w:r>
      <w:r w:rsidR="00294A5A">
        <w:rPr>
          <w:noProof/>
        </w:rPr>
        <w:t>4</w:t>
      </w:r>
      <w:r w:rsidR="006A2396">
        <w:rPr>
          <w:noProof/>
        </w:rPr>
        <w:fldChar w:fldCharType="end"/>
      </w:r>
      <w:bookmarkEnd w:id="50"/>
      <w:r w:rsidRPr="004E0C91">
        <w:rPr>
          <w:b/>
          <w:color w:val="000080"/>
        </w:rPr>
        <w:tab/>
      </w:r>
      <w:r>
        <w:rPr>
          <w:rStyle w:val="CaptionLabel"/>
        </w:rPr>
        <w:t>Overview of cohort specific good practices</w:t>
      </w:r>
      <w:bookmarkEnd w:id="51"/>
      <w:r>
        <w:rPr>
          <w:rStyle w:val="CaptionLabel"/>
        </w:rPr>
        <w:t xml:space="preserve"> </w:t>
      </w:r>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B27B93" w14:paraId="6C1022DF" w14:textId="77777777" w:rsidTr="001228F7">
        <w:trPr>
          <w:cantSplit/>
        </w:trPr>
        <w:tc>
          <w:tcPr>
            <w:tcW w:w="5000" w:type="pct"/>
          </w:tcPr>
          <w:p w14:paraId="081D6DF6" w14:textId="77777777" w:rsidR="00B27B93" w:rsidRDefault="00B27B93" w:rsidP="001228F7">
            <w:pPr>
              <w:pStyle w:val="SmallDeltasRightAligned"/>
              <w:keepNext/>
            </w:pPr>
            <w:r>
              <w:rPr>
                <w:noProof/>
                <w:lang w:eastAsia="en-AU"/>
              </w:rPr>
              <w:drawing>
                <wp:inline distT="0" distB="0" distL="0" distR="0" wp14:anchorId="24B4F869" wp14:editId="4DAAA31E">
                  <wp:extent cx="481585" cy="23469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B27B93" w14:paraId="7DFD67B5" w14:textId="77777777" w:rsidTr="001228F7">
        <w:trPr>
          <w:cantSplit/>
        </w:trPr>
        <w:tc>
          <w:tcPr>
            <w:tcW w:w="5000" w:type="pct"/>
          </w:tcPr>
          <w:p w14:paraId="4216C12B" w14:textId="77777777" w:rsidR="00B27B93" w:rsidRDefault="00B27B93" w:rsidP="001228F7">
            <w:pPr>
              <w:pStyle w:val="Figure"/>
            </w:pPr>
            <w:r>
              <w:rPr>
                <w:noProof/>
                <w:lang w:eastAsia="en-AU"/>
              </w:rPr>
              <w:drawing>
                <wp:inline distT="0" distB="0" distL="0" distR="0" wp14:anchorId="2640A0F9" wp14:editId="186C3997">
                  <wp:extent cx="4683835" cy="2544793"/>
                  <wp:effectExtent l="0" t="0" r="254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7505" b="7321"/>
                          <a:stretch/>
                        </pic:blipFill>
                        <pic:spPr bwMode="auto">
                          <a:xfrm>
                            <a:off x="0" y="0"/>
                            <a:ext cx="4695943" cy="25513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D8089D4" w14:textId="77777777" w:rsidR="00B27B93" w:rsidRPr="00B50A1B" w:rsidRDefault="00B27B93" w:rsidP="001228F7">
      <w:pPr>
        <w:pStyle w:val="Source"/>
        <w:rPr>
          <w:i/>
        </w:rPr>
      </w:pPr>
      <w:r>
        <w:t>S</w:t>
      </w:r>
      <w:r w:rsidRPr="00B50A1B">
        <w:t>ource:</w:t>
      </w:r>
      <w:r w:rsidRPr="00954EED">
        <w:t xml:space="preserve"> </w:t>
      </w:r>
      <w:r w:rsidRPr="00B27B93">
        <w:t xml:space="preserve">Feeley and Hegarty 2013; Leach </w:t>
      </w:r>
      <w:r w:rsidRPr="00221649">
        <w:rPr>
          <w:i/>
        </w:rPr>
        <w:t>et al.</w:t>
      </w:r>
      <w:r w:rsidRPr="00B27B93">
        <w:t xml:space="preserve"> 2009; McGlusky and Thaker 2006; Vorhaus </w:t>
      </w:r>
      <w:r w:rsidRPr="00221649">
        <w:rPr>
          <w:i/>
        </w:rPr>
        <w:t>et al.</w:t>
      </w:r>
      <w:r w:rsidRPr="00B27B93">
        <w:t xml:space="preserve"> 2008.</w:t>
      </w:r>
    </w:p>
    <w:p w14:paraId="47348C9E" w14:textId="77777777" w:rsidR="00094679" w:rsidRDefault="00094679" w:rsidP="00094679">
      <w:pPr>
        <w:pStyle w:val="Heading3"/>
        <w:numPr>
          <w:ilvl w:val="2"/>
          <w:numId w:val="20"/>
        </w:numPr>
      </w:pPr>
      <w:r>
        <w:t>Indigenous learners</w:t>
      </w:r>
    </w:p>
    <w:p w14:paraId="460353F4" w14:textId="7B0F1D65" w:rsidR="00094679" w:rsidRDefault="00094679" w:rsidP="00094679">
      <w:pPr>
        <w:pStyle w:val="BodyText"/>
      </w:pPr>
      <w:r>
        <w:t xml:space="preserve">Culturally supportive environments are critical to the success of adult LLN </w:t>
      </w:r>
      <w:r w:rsidR="00956392">
        <w:t>programmes</w:t>
      </w:r>
      <w:r>
        <w:t xml:space="preserve"> for Aboriginal and Torres Strait Islander learners. This includes recognition of </w:t>
      </w:r>
      <w:r w:rsidRPr="00355613">
        <w:t>Aboriginal and Torres Strait Islander languages</w:t>
      </w:r>
      <w:r>
        <w:t xml:space="preserve"> and community ownership of the training and learning process.</w:t>
      </w:r>
    </w:p>
    <w:p w14:paraId="08B88738" w14:textId="5D511C29" w:rsidR="00094679" w:rsidRDefault="00094679" w:rsidP="00094679">
      <w:pPr>
        <w:pStyle w:val="BodyText"/>
      </w:pPr>
      <w:r>
        <w:t xml:space="preserve">McGluskey and Thaker’s </w:t>
      </w:r>
      <w:r>
        <w:fldChar w:fldCharType="begin"/>
      </w:r>
      <w:r>
        <w:instrText xml:space="preserve"> ADDIN EN.CITE &lt;EndNote&gt;&lt;Cite ExcludeAuth="1"&gt;&lt;Author&gt;McGlusky&lt;/Author&gt;&lt;Year&gt;2006&lt;/Year&gt;&lt;RecNum&gt;56&lt;/RecNum&gt;&lt;DisplayText&gt;(2006)&lt;/DisplayText&gt;&lt;record&gt;&lt;rec-number&gt;56&lt;/rec-number&gt;&lt;foreign-keys&gt;&lt;key app="EN" db-id="tz2999apzpzsecedfarxdvvvvfpv999z2zrv" timestamp="1413245492"&gt;56&lt;/key&gt;&lt;/foreign-keys&gt;&lt;ref-type name="Report"&gt;27&lt;/ref-type&gt;&lt;contributors&gt;&lt;authors&gt;&lt;author&gt;McGlusky, N.&lt;/author&gt;&lt;author&gt;Thaker, L.&lt;/author&gt;&lt;/authors&gt;&lt;tertiary-authors&gt;&lt;author&gt;NCVER&lt;/author&gt;&lt;/tertiary-authors&gt;&lt;/contributors&gt;&lt;titles&gt;&lt;title&gt;Literacy support for Indigenous people: Current systems and practices in Queensland&lt;/title&gt;&lt;/titles&gt;&lt;keywords&gt;&lt;keyword&gt;SEE&lt;/keyword&gt;&lt;/keywords&gt;&lt;dates&gt;&lt;year&gt;2006&lt;/year&gt;&lt;/dates&gt;&lt;pub-location&gt;Adelaide&lt;/pub-location&gt;&lt;label&gt;In holdings&lt;/label&gt;&lt;urls&gt;&lt;/urls&gt;&lt;/record&gt;&lt;/Cite&gt;&lt;/EndNote&gt;</w:instrText>
      </w:r>
      <w:r>
        <w:fldChar w:fldCharType="separate"/>
      </w:r>
      <w:r>
        <w:rPr>
          <w:noProof/>
        </w:rPr>
        <w:t>(2006)</w:t>
      </w:r>
      <w:r>
        <w:fldChar w:fldCharType="end"/>
      </w:r>
      <w:r>
        <w:t xml:space="preserve"> investigation of literacy support for Aboriginal and Torres Strait Islanders undertaking VET </w:t>
      </w:r>
      <w:r w:rsidRPr="00406336">
        <w:t xml:space="preserve">identified one-on-one support as the most effective method of delivery for Indigenous VET students. </w:t>
      </w:r>
      <w:r>
        <w:t>This was achieved through</w:t>
      </w:r>
      <w:r w:rsidRPr="00406336">
        <w:t xml:space="preserve"> in-class tutorial support and peer tutoring, with both teachers and students advocating these systems as the most effective. In-class tutorial support provided immediate help with class content, assessments and assignments. Students relied heavily on peer tutoring, whether informal or formal.</w:t>
      </w:r>
    </w:p>
    <w:p w14:paraId="2A281F13" w14:textId="188BD3B3" w:rsidR="00094679" w:rsidRPr="00355613" w:rsidRDefault="00D9160B" w:rsidP="00094679">
      <w:pPr>
        <w:pStyle w:val="BodyText"/>
      </w:pPr>
      <w:r>
        <w:t>Good</w:t>
      </w:r>
      <w:r w:rsidR="00094679">
        <w:t xml:space="preserve"> practice principles for adult Aboriginal and Torres Strait Islander learners were identified in the </w:t>
      </w:r>
      <w:r w:rsidR="00094679" w:rsidRPr="00406336">
        <w:rPr>
          <w:i/>
        </w:rPr>
        <w:t>Gettin’ into it! Working with Indigenous learners</w:t>
      </w:r>
      <w:r w:rsidR="00094679">
        <w:rPr>
          <w:i/>
        </w:rPr>
        <w:t xml:space="preserve"> </w:t>
      </w:r>
      <w:r w:rsidR="00094679">
        <w:t xml:space="preserve">publication produced by the </w:t>
      </w:r>
      <w:r w:rsidR="00094679" w:rsidRPr="00406336">
        <w:t>Department of Education, Science and Training</w:t>
      </w:r>
      <w:r w:rsidR="00094679">
        <w:t xml:space="preserve"> </w:t>
      </w:r>
      <w:r w:rsidR="00094679">
        <w:fldChar w:fldCharType="begin"/>
      </w:r>
      <w:r w:rsidR="00094679">
        <w:instrText xml:space="preserve"> ADDIN EN.CITE &lt;EndNote&gt;&lt;Cite&gt;&lt;Author&gt;Department of Education&lt;/Author&gt;&lt;Year&gt;2004&lt;/Year&gt;&lt;RecNum&gt;150&lt;/RecNum&gt;&lt;DisplayText&gt;(Department of Education Science and Training 2004)&lt;/DisplayText&gt;&lt;record&gt;&lt;rec-number&gt;150&lt;/rec-number&gt;&lt;foreign-keys&gt;&lt;key app="EN" db-id="tz2999apzpzsecedfarxdvvvvfpv999z2zrv" timestamp="1419234135"&gt;150&lt;/key&gt;&lt;/foreign-keys&gt;&lt;ref-type name="Book"&gt;6&lt;/ref-type&gt;&lt;contributors&gt;&lt;authors&gt;&lt;author&gt;Department of Education Science and Training,&lt;/author&gt;&lt;/authors&gt;&lt;/contributors&gt;&lt;titles&gt;&lt;title&gt;Gettin’ into it! Working with Indigenous learners &lt;/title&gt;&lt;/titles&gt;&lt;dates&gt;&lt;year&gt;2004&lt;/year&gt;&lt;/dates&gt;&lt;pub-location&gt;Melbourne&lt;/pub-location&gt;&lt;publisher&gt;Australian Traiing Products&lt;/publisher&gt;&lt;urls&gt;&lt;/urls&gt;&lt;/record&gt;&lt;/Cite&gt;&lt;/EndNote&gt;</w:instrText>
      </w:r>
      <w:r w:rsidR="00094679">
        <w:fldChar w:fldCharType="separate"/>
      </w:r>
      <w:r w:rsidR="00094679">
        <w:rPr>
          <w:noProof/>
        </w:rPr>
        <w:t>(Department of Education Science and Training 2004)</w:t>
      </w:r>
      <w:r w:rsidR="00094679">
        <w:fldChar w:fldCharType="end"/>
      </w:r>
      <w:r w:rsidR="00094679">
        <w:t>. It recommended an e</w:t>
      </w:r>
      <w:r w:rsidR="00094679" w:rsidRPr="00355613">
        <w:t>xperiential, learner-centred and cooperative approach</w:t>
      </w:r>
      <w:r w:rsidR="00094679">
        <w:t xml:space="preserve"> to learning informed by intercultural competence, respect, negotiation with the community over programme content and outcomes, deep relationships with community elders and representatives and heavily contextualised learning materials and curricula.</w:t>
      </w:r>
    </w:p>
    <w:p w14:paraId="603CEA6D" w14:textId="77777777" w:rsidR="00094679" w:rsidRDefault="00094679" w:rsidP="00094679">
      <w:pPr>
        <w:pStyle w:val="BodyText"/>
      </w:pPr>
      <w:r>
        <w:fldChar w:fldCharType="begin"/>
      </w:r>
      <w:r>
        <w:instrText xml:space="preserve"> ADDIN EN.CITE &lt;EndNote&gt;&lt;Cite AuthorYear="1"&gt;&lt;Author&gt;McGlusky&lt;/Author&gt;&lt;Year&gt;2006&lt;/Year&gt;&lt;RecNum&gt;56&lt;/RecNum&gt;&lt;DisplayText&gt;McGlusky and Thaker (2006)&lt;/DisplayText&gt;&lt;record&gt;&lt;rec-number&gt;56&lt;/rec-number&gt;&lt;foreign-keys&gt;&lt;key app="EN" db-id="tz2999apzpzsecedfarxdvvvvfpv999z2zrv" timestamp="1413245492"&gt;56&lt;/key&gt;&lt;/foreign-keys&gt;&lt;ref-type name="Report"&gt;27&lt;/ref-type&gt;&lt;contributors&gt;&lt;authors&gt;&lt;author&gt;McGlusky, N.&lt;/author&gt;&lt;author&gt;Thaker, L.&lt;/author&gt;&lt;/authors&gt;&lt;tertiary-authors&gt;&lt;author&gt;NCVER&lt;/author&gt;&lt;/tertiary-authors&gt;&lt;/contributors&gt;&lt;titles&gt;&lt;title&gt;Literacy support for Indigenous people: Current systems and practices in Queensland&lt;/title&gt;&lt;/titles&gt;&lt;keywords&gt;&lt;keyword&gt;SEE&lt;/keyword&gt;&lt;/keywords&gt;&lt;dates&gt;&lt;year&gt;2006&lt;/year&gt;&lt;/dates&gt;&lt;pub-location&gt;Adelaide&lt;/pub-location&gt;&lt;label&gt;In holdings&lt;/label&gt;&lt;urls&gt;&lt;/urls&gt;&lt;/record&gt;&lt;/Cite&gt;&lt;/EndNote&gt;</w:instrText>
      </w:r>
      <w:r>
        <w:fldChar w:fldCharType="separate"/>
      </w:r>
      <w:r>
        <w:rPr>
          <w:noProof/>
        </w:rPr>
        <w:t>McGlusky and Thaker (2006)</w:t>
      </w:r>
      <w:r>
        <w:fldChar w:fldCharType="end"/>
      </w:r>
      <w:r>
        <w:t xml:space="preserve"> also found that </w:t>
      </w:r>
      <w:r w:rsidRPr="009622ED">
        <w:t>the relationship between teacher/tutor and the student is of primary importance to Indigenous students</w:t>
      </w:r>
      <w:r>
        <w:t>. As such</w:t>
      </w:r>
      <w:r w:rsidRPr="009622ED">
        <w:t>, there is a need for more Indigenous staff throughout the VET sector, including teachers/trainers, administrators and support staff. Cross-cultural training should be made available for non-Indigenous teachers delivering courses in which Indigenous students are enrolled.</w:t>
      </w:r>
    </w:p>
    <w:p w14:paraId="1BFA3F3A" w14:textId="77777777" w:rsidR="00094679" w:rsidRDefault="00094679" w:rsidP="00094679">
      <w:pPr>
        <w:pStyle w:val="Heading3"/>
        <w:numPr>
          <w:ilvl w:val="2"/>
          <w:numId w:val="20"/>
        </w:numPr>
      </w:pPr>
      <w:r>
        <w:t>ESL learners</w:t>
      </w:r>
    </w:p>
    <w:p w14:paraId="6A584F90" w14:textId="0DE79904" w:rsidR="00094679" w:rsidRDefault="00094679" w:rsidP="00094679">
      <w:pPr>
        <w:pStyle w:val="BodyText"/>
      </w:pPr>
      <w:r>
        <w:t xml:space="preserve">Although there is less material concerning the needs of ESL learners in mainstream LLN </w:t>
      </w:r>
      <w:r w:rsidR="00956392">
        <w:t>programmes</w:t>
      </w:r>
      <w:r>
        <w:t xml:space="preserve">, evidence from Leith’s investigation </w:t>
      </w:r>
      <w:r>
        <w:fldChar w:fldCharType="begin"/>
      </w:r>
      <w:r>
        <w:instrText xml:space="preserve"> ADDIN EN.CITE &lt;EndNote&gt;&lt;Cite ExcludeAuth="1"&gt;&lt;Author&gt;Leith&lt;/Author&gt;&lt;Year&gt;2012&lt;/Year&gt;&lt;RecNum&gt;86&lt;/RecNum&gt;&lt;DisplayText&gt;(2012)&lt;/DisplayText&gt;&lt;record&gt;&lt;rec-number&gt;86&lt;/rec-number&gt;&lt;foreign-keys&gt;&lt;key app="EN" db-id="tz2999apzpzsecedfarxdvvvvfpv999z2zrv" timestamp="1413253201"&gt;86&lt;/key&gt;&lt;/foreign-keys&gt;&lt;ref-type name="Report"&gt;27&lt;/ref-type&gt;&lt;contributors&gt;&lt;authors&gt;&lt;author&gt;Leith, M.&lt;/author&gt;&lt;/authors&gt;&lt;tertiary-authors&gt;&lt;author&gt;NCVER&lt;/author&gt;&lt;/tertiary-authors&gt;&lt;/contributors&gt;&lt;titles&gt;&lt;title&gt;How learning English facilitates integration for adult migrants: the Jarrah Language Centre experience&lt;/title&gt;&lt;/titles&gt;&lt;keywords&gt;&lt;keyword&gt;AMEP&lt;/keyword&gt;&lt;keyword&gt;settlement outcomes&lt;/keyword&gt;&lt;/keywords&gt;&lt;dates&gt;&lt;year&gt;2012&lt;/year&gt;&lt;/dates&gt;&lt;pub-location&gt;Adelaide&lt;/pub-location&gt;&lt;isbn&gt;1921955880&lt;/isbn&gt;&lt;label&gt;In holdings&lt;/label&gt;&lt;urls&gt;&lt;/urls&gt;&lt;/record&gt;&lt;/Cite&gt;&lt;/EndNote&gt;</w:instrText>
      </w:r>
      <w:r>
        <w:fldChar w:fldCharType="separate"/>
      </w:r>
      <w:r>
        <w:rPr>
          <w:noProof/>
        </w:rPr>
        <w:t>(2012)</w:t>
      </w:r>
      <w:r>
        <w:fldChar w:fldCharType="end"/>
      </w:r>
      <w:r w:rsidR="00250FE7">
        <w:t xml:space="preserve"> suggests that</w:t>
      </w:r>
      <w:r>
        <w:t xml:space="preserve"> </w:t>
      </w:r>
      <w:r w:rsidR="00250FE7">
        <w:t>i</w:t>
      </w:r>
      <w:r>
        <w:t xml:space="preserve">t is essential to include </w:t>
      </w:r>
      <w:r w:rsidRPr="00355613">
        <w:t>cultural values, understandings and competencies in the curriculum</w:t>
      </w:r>
      <w:r>
        <w:t>. A v</w:t>
      </w:r>
      <w:r w:rsidRPr="00355613">
        <w:t xml:space="preserve">ocationally focused curriculum </w:t>
      </w:r>
      <w:r>
        <w:t xml:space="preserve">becomes </w:t>
      </w:r>
      <w:r w:rsidRPr="00355613">
        <w:t>appropriate after functional literacy is achieved</w:t>
      </w:r>
      <w:r>
        <w:t>. Additionally, g</w:t>
      </w:r>
      <w:r w:rsidRPr="00355613">
        <w:t>roup interactions support significant ESL learning</w:t>
      </w:r>
      <w:r>
        <w:t>.</w:t>
      </w:r>
    </w:p>
    <w:p w14:paraId="58F129B1" w14:textId="77777777" w:rsidR="00094679" w:rsidRDefault="00094679" w:rsidP="00094679">
      <w:pPr>
        <w:pStyle w:val="Heading3"/>
        <w:numPr>
          <w:ilvl w:val="2"/>
          <w:numId w:val="20"/>
        </w:numPr>
      </w:pPr>
      <w:r>
        <w:t>Learning disability or limited formal education</w:t>
      </w:r>
    </w:p>
    <w:p w14:paraId="36D95819" w14:textId="77777777" w:rsidR="00094679" w:rsidRDefault="00094679" w:rsidP="00094679">
      <w:pPr>
        <w:pStyle w:val="BodyText"/>
      </w:pPr>
      <w:r>
        <w:t>Teachers of adult LLN learners need to be cognisant of the possibility that some learners may have a learning disability that requires particular teaching strategies. Investigation of this in the literature has found that strategies appropriate for adults with learning disabilities are also appropriate for adult learners who have limited formal education.</w:t>
      </w:r>
    </w:p>
    <w:p w14:paraId="4B158708" w14:textId="77777777" w:rsidR="00094679" w:rsidRDefault="00094679" w:rsidP="00094679">
      <w:pPr>
        <w:pStyle w:val="BodyText"/>
      </w:pPr>
      <w:r>
        <w:t>For this cohort, relevant strategies include those that are multisensory and emphasise phonic and phonemic awareness strategies. It is important that tutors, whether paid or volunteer, are trained in these strategies so that they are able to support the classroom strategies adopted by the learner.</w:t>
      </w:r>
    </w:p>
    <w:p w14:paraId="13EA107B" w14:textId="77777777" w:rsidR="00094679" w:rsidRPr="00C544ED" w:rsidRDefault="00094679" w:rsidP="00094679">
      <w:pPr>
        <w:pStyle w:val="BodyText"/>
      </w:pPr>
      <w:r>
        <w:t xml:space="preserve">Teachers are recommended to be aware of, and respond to, any sensitivity arising from prior negative experiences of learning. This can be assisted by the specific teaching of learning skills such as study management, problem solving and skill transfer </w:t>
      </w:r>
      <w:r>
        <w:fldChar w:fldCharType="begin"/>
      </w:r>
      <w:r>
        <w:instrText xml:space="preserve"> ADDIN EN.CITE &lt;EndNote&gt;&lt;Cite&gt;&lt;Author&gt;Vorhaus&lt;/Author&gt;&lt;Year&gt;2008&lt;/Year&gt;&lt;RecNum&gt;99&lt;/RecNum&gt;&lt;DisplayText&gt;(Vorhaus et al. 2008)&lt;/DisplayText&gt;&lt;record&gt;&lt;rec-number&gt;99&lt;/rec-number&gt;&lt;foreign-keys&gt;&lt;key app="EN" db-id="tz2999apzpzsecedfarxdvvvvfpv999z2zrv" timestamp="1413257058"&gt;99&lt;/key&gt;&lt;/foreign-keys&gt;&lt;ref-type name="Report"&gt;27&lt;/ref-type&gt;&lt;contributors&gt;&lt;authors&gt;&lt;author&gt;Vorhaus, J.&lt;/author&gt;&lt;author&gt;Rhys Warner, J.&lt;/author&gt;&lt;author&gt;Appleby, Y.&lt;/author&gt;&lt;author&gt;Bathmaker, A.&lt;/author&gt;&lt;author&gt;Brooks, G.&lt;/author&gt;&lt;author&gt;Cole, P.&lt;/author&gt;&lt;author&gt;Pilling, M.&lt;/author&gt;&lt;author&gt;Pearce, L.&lt;/author&gt;&lt;/authors&gt;&lt;tertiary-authors&gt;&lt;author&gt;Institute of Education, University of London&lt;/author&gt;&lt;/tertiary-authors&gt;&lt;/contributors&gt;&lt;titles&gt;&lt;title&gt;The Learner Study: the impact of the Skills for Life strategy on adult literacy, language and numeracy learners&lt;/title&gt;&lt;/titles&gt;&lt;keywords&gt;&lt;keyword&gt;SEE&lt;/keyword&gt;&lt;/keywords&gt;&lt;dates&gt;&lt;year&gt;2008&lt;/year&gt;&lt;/dates&gt;&lt;pub-location&gt;London&lt;/pub-location&gt;&lt;publisher&gt;National Research and Development Centre for adult literacy and numeracy&lt;/publisher&gt;&lt;isbn&gt;190639508X&lt;/isbn&gt;&lt;label&gt;In holdings&lt;/label&gt;&lt;urls&gt;&lt;/urls&gt;&lt;/record&gt;&lt;/Cite&gt;&lt;/EndNote&gt;</w:instrText>
      </w:r>
      <w:r>
        <w:fldChar w:fldCharType="separate"/>
      </w:r>
      <w:r>
        <w:rPr>
          <w:noProof/>
        </w:rPr>
        <w:t xml:space="preserve">(Vorhaus </w:t>
      </w:r>
      <w:r w:rsidRPr="00221649">
        <w:rPr>
          <w:i/>
          <w:noProof/>
        </w:rPr>
        <w:t xml:space="preserve">et al. </w:t>
      </w:r>
      <w:r>
        <w:rPr>
          <w:noProof/>
        </w:rPr>
        <w:t>2008)</w:t>
      </w:r>
      <w:r>
        <w:fldChar w:fldCharType="end"/>
      </w:r>
      <w:r>
        <w:t xml:space="preserve">. </w:t>
      </w:r>
    </w:p>
    <w:p w14:paraId="3C8CC1AE" w14:textId="77777777" w:rsidR="00250FE7" w:rsidRDefault="00250FE7" w:rsidP="00250FE7">
      <w:pPr>
        <w:pStyle w:val="Heading2"/>
        <w:numPr>
          <w:ilvl w:val="1"/>
          <w:numId w:val="20"/>
        </w:numPr>
      </w:pPr>
      <w:bookmarkStart w:id="52" w:name="_Toc420065446"/>
      <w:r>
        <w:t>Implications for the SEE programme</w:t>
      </w:r>
      <w:bookmarkEnd w:id="52"/>
    </w:p>
    <w:p w14:paraId="7EEEFE0F" w14:textId="4745440E" w:rsidR="00250FE7" w:rsidRPr="009D31C8" w:rsidRDefault="00250FE7" w:rsidP="00250FE7">
      <w:pPr>
        <w:pStyle w:val="BodyText"/>
      </w:pPr>
      <w:r>
        <w:t xml:space="preserve">The literature strongly supports the integration of LLN into vocationally oriented or workplace training as this promotes skill retention and learner motivation. The design of the SEE programme is explicitly linked to vocational outcomes through its eligibility criteria, and its approach to curriculum. The absence of a mandated curriculum enables </w:t>
      </w:r>
      <w:r w:rsidR="00D9160B">
        <w:t xml:space="preserve">SEE providers </w:t>
      </w:r>
      <w:r>
        <w:t>to provide accredited training in LLN that is contextualised to local employment, education and training needs and is able to meet the needs of individual clients.</w:t>
      </w:r>
    </w:p>
    <w:p w14:paraId="31957B16" w14:textId="7EC7053F" w:rsidR="00250FE7" w:rsidRDefault="00250FE7" w:rsidP="00250FE7">
      <w:pPr>
        <w:pStyle w:val="BodyText"/>
      </w:pPr>
      <w:r w:rsidRPr="00FA22ED">
        <w:t>Other programme elements, such as requirements for teacher qualifications</w:t>
      </w:r>
      <w:r>
        <w:t>, attendance support through flexible delivery modes, and support for remote service delivery are in line with good practice LLN programmes. Specialist qualifications in LLN are recommended due to the need to diagnose and address complex learner needs and backgrounds and are shown to have a positive effect on learner progress. Mixed mode delivery</w:t>
      </w:r>
      <w:r w:rsidR="00D9160B">
        <w:t xml:space="preserve"> – </w:t>
      </w:r>
      <w:r>
        <w:t>such as the availability of small group tutoring and distance education</w:t>
      </w:r>
      <w:r w:rsidR="00D9160B">
        <w:t xml:space="preserve"> – </w:t>
      </w:r>
      <w:r>
        <w:t>enables providers to schedule delivery in a manner that is accessible to adult learners. Guidelines for remote service delivery recognise the circumstances of providers and clients in these areas, particularly Indigenous communities.</w:t>
      </w:r>
    </w:p>
    <w:p w14:paraId="4E9FDBB9" w14:textId="77777777" w:rsidR="00250FE7" w:rsidRPr="00FA22ED" w:rsidRDefault="00250FE7" w:rsidP="00250FE7">
      <w:pPr>
        <w:pStyle w:val="BodyText"/>
      </w:pPr>
      <w:r>
        <w:t>The efficacy of these programme elements are reviewed in the following chapters.</w:t>
      </w:r>
    </w:p>
    <w:p w14:paraId="1586F89B" w14:textId="77777777" w:rsidR="00094679" w:rsidRPr="00DE0756" w:rsidRDefault="00094679" w:rsidP="00094679">
      <w:pPr>
        <w:pStyle w:val="BodyText"/>
      </w:pPr>
    </w:p>
    <w:p w14:paraId="75FC1571" w14:textId="77777777" w:rsidR="00094679" w:rsidRDefault="00094679" w:rsidP="00855309">
      <w:pPr>
        <w:pStyle w:val="BodyText"/>
        <w:rPr>
          <w:highlight w:val="yellow"/>
        </w:rPr>
      </w:pPr>
    </w:p>
    <w:p w14:paraId="62CF86A9" w14:textId="309968C9" w:rsidR="00855657" w:rsidRDefault="00232DAD" w:rsidP="00855657">
      <w:pPr>
        <w:pStyle w:val="Heading1"/>
      </w:pPr>
      <w:bookmarkStart w:id="53" w:name="_Toc420065447"/>
      <w:r>
        <w:t xml:space="preserve">The </w:t>
      </w:r>
      <w:r w:rsidR="00147674">
        <w:t>SEE programme</w:t>
      </w:r>
      <w:r w:rsidR="006A28F2">
        <w:t xml:space="preserve"> </w:t>
      </w:r>
      <w:r>
        <w:t xml:space="preserve">cohort, take up and </w:t>
      </w:r>
      <w:r w:rsidR="00EF3828">
        <w:t xml:space="preserve">clients’ </w:t>
      </w:r>
      <w:r>
        <w:t>LLN skills</w:t>
      </w:r>
      <w:bookmarkEnd w:id="53"/>
    </w:p>
    <w:p w14:paraId="4E6DEFEA" w14:textId="492AD503" w:rsidR="00CF6DC0" w:rsidRPr="00CF6DC0" w:rsidRDefault="00CF6DC0" w:rsidP="00CF6DC0">
      <w:pPr>
        <w:pStyle w:val="BodyText"/>
        <w:rPr>
          <w:b/>
          <w:i/>
          <w:color w:val="7F7F7F" w:themeColor="text1" w:themeTint="80"/>
        </w:rPr>
      </w:pPr>
      <w:r w:rsidRPr="00076300">
        <w:rPr>
          <w:b/>
          <w:i/>
          <w:color w:val="7F7F7F" w:themeColor="text1" w:themeTint="80"/>
        </w:rPr>
        <w:t>This chapter</w:t>
      </w:r>
      <w:r w:rsidR="00B22830">
        <w:rPr>
          <w:b/>
          <w:i/>
          <w:color w:val="7F7F7F" w:themeColor="text1" w:themeTint="80"/>
        </w:rPr>
        <w:t xml:space="preserve"> details the participation and take up rates of </w:t>
      </w:r>
      <w:r w:rsidR="000D5E5E">
        <w:rPr>
          <w:b/>
          <w:i/>
          <w:color w:val="7F7F7F" w:themeColor="text1" w:themeTint="80"/>
        </w:rPr>
        <w:t xml:space="preserve">the </w:t>
      </w:r>
      <w:r w:rsidR="00147674">
        <w:rPr>
          <w:b/>
          <w:i/>
          <w:color w:val="7F7F7F" w:themeColor="text1" w:themeTint="80"/>
        </w:rPr>
        <w:t>SEE programme</w:t>
      </w:r>
      <w:r w:rsidR="000D5E5E">
        <w:rPr>
          <w:b/>
          <w:i/>
          <w:color w:val="7F7F7F" w:themeColor="text1" w:themeTint="80"/>
        </w:rPr>
        <w:t xml:space="preserve">, and SEE </w:t>
      </w:r>
      <w:r w:rsidR="00D9160B">
        <w:rPr>
          <w:b/>
          <w:i/>
          <w:color w:val="7F7F7F" w:themeColor="text1" w:themeTint="80"/>
        </w:rPr>
        <w:t xml:space="preserve">programme </w:t>
      </w:r>
      <w:r w:rsidR="000D5E5E">
        <w:rPr>
          <w:b/>
          <w:i/>
          <w:color w:val="7F7F7F" w:themeColor="text1" w:themeTint="80"/>
        </w:rPr>
        <w:t xml:space="preserve">clients’ characteristics and LLN skills. </w:t>
      </w:r>
    </w:p>
    <w:p w14:paraId="6A99BAC6" w14:textId="5D8C8151" w:rsidR="00A8047F" w:rsidRDefault="00147674" w:rsidP="00801B0A">
      <w:pPr>
        <w:pStyle w:val="Heading2"/>
      </w:pPr>
      <w:bookmarkStart w:id="54" w:name="_Ref408771509"/>
      <w:bookmarkStart w:id="55" w:name="_Toc420065448"/>
      <w:r>
        <w:t>SEE programme</w:t>
      </w:r>
      <w:r w:rsidR="006A28F2">
        <w:t xml:space="preserve"> </w:t>
      </w:r>
      <w:r w:rsidR="0087648E">
        <w:t xml:space="preserve">participation and </w:t>
      </w:r>
      <w:r w:rsidR="00232DAD">
        <w:t>take up</w:t>
      </w:r>
      <w:bookmarkEnd w:id="54"/>
      <w:bookmarkEnd w:id="55"/>
    </w:p>
    <w:p w14:paraId="3CD4733B" w14:textId="16EDECE0" w:rsidR="00965FEC" w:rsidRDefault="00965FEC" w:rsidP="00FD3600">
      <w:pPr>
        <w:pStyle w:val="BodyText"/>
      </w:pPr>
      <w:r>
        <w:t xml:space="preserve">In this report, </w:t>
      </w:r>
      <w:r w:rsidR="00147674">
        <w:t>SEE programme</w:t>
      </w:r>
      <w:r>
        <w:t xml:space="preserve"> participation is measured by the number of clients who commence training under the programme. A client is considered to have commenced training when they attend their first </w:t>
      </w:r>
      <w:r w:rsidR="00147674">
        <w:t>SEE programme</w:t>
      </w:r>
      <w:r>
        <w:t xml:space="preserve"> class. </w:t>
      </w:r>
    </w:p>
    <w:p w14:paraId="0EC63731" w14:textId="40A51DEC" w:rsidR="00FD3600" w:rsidRPr="00FD3600" w:rsidRDefault="00965FEC" w:rsidP="00FD3600">
      <w:pPr>
        <w:pStyle w:val="BodyText"/>
      </w:pPr>
      <w:r>
        <w:t xml:space="preserve">The take up of the </w:t>
      </w:r>
      <w:r w:rsidR="00147674">
        <w:t>SEE programme</w:t>
      </w:r>
      <w:r>
        <w:t xml:space="preserve"> is measured by comparing the number of clients who commence the programme with the number of eligible job seekers identified as having LLN needs. </w:t>
      </w:r>
    </w:p>
    <w:p w14:paraId="135ADA3D" w14:textId="1979CAB1" w:rsidR="004770E3" w:rsidRDefault="00147674" w:rsidP="00D84D8F">
      <w:pPr>
        <w:pStyle w:val="Heading3"/>
      </w:pPr>
      <w:bookmarkStart w:id="56" w:name="_Ref408512124"/>
      <w:r>
        <w:t>SEE programme</w:t>
      </w:r>
      <w:r w:rsidR="006A28F2">
        <w:t xml:space="preserve"> </w:t>
      </w:r>
      <w:r w:rsidR="0087648E">
        <w:t>take up</w:t>
      </w:r>
      <w:bookmarkEnd w:id="56"/>
    </w:p>
    <w:p w14:paraId="1F730A3D" w14:textId="0BE73E9A" w:rsidR="00232DAD" w:rsidRDefault="000E6099" w:rsidP="00232DAD">
      <w:pPr>
        <w:pStyle w:val="BodyText"/>
      </w:pPr>
      <w:r>
        <w:t xml:space="preserve">As detailed in Section </w:t>
      </w:r>
      <w:r>
        <w:fldChar w:fldCharType="begin"/>
      </w:r>
      <w:r>
        <w:instrText xml:space="preserve"> REF _Ref408318868 \r \h </w:instrText>
      </w:r>
      <w:r>
        <w:fldChar w:fldCharType="separate"/>
      </w:r>
      <w:r w:rsidR="00294A5A">
        <w:t>2.1.2</w:t>
      </w:r>
      <w:r>
        <w:fldChar w:fldCharType="end"/>
      </w:r>
      <w:r>
        <w:t xml:space="preserve">, </w:t>
      </w:r>
      <w:r w:rsidR="008A70F5">
        <w:t xml:space="preserve">before being referred to the </w:t>
      </w:r>
      <w:r w:rsidR="00147674">
        <w:t>SEE programme</w:t>
      </w:r>
      <w:r w:rsidR="006A28F2">
        <w:t xml:space="preserve"> </w:t>
      </w:r>
      <w:r w:rsidR="008A70F5">
        <w:t>job seekers must be registered with by a JSA</w:t>
      </w:r>
      <w:r w:rsidR="007B76AC">
        <w:t>,</w:t>
      </w:r>
      <w:r w:rsidR="008A70F5">
        <w:t xml:space="preserve"> RJCP </w:t>
      </w:r>
      <w:r w:rsidR="007B76AC">
        <w:t xml:space="preserve">or DES </w:t>
      </w:r>
      <w:r w:rsidR="008A70F5">
        <w:t>provider</w:t>
      </w:r>
      <w:r w:rsidR="00BE67D9" w:rsidRPr="00BE67D9">
        <w:t>,</w:t>
      </w:r>
      <w:r w:rsidR="00713797" w:rsidRPr="00BE67D9">
        <w:t xml:space="preserve"> or with DHS</w:t>
      </w:r>
      <w:r w:rsidR="008A70F5" w:rsidRPr="00BE67D9">
        <w:t>.</w:t>
      </w:r>
      <w:r w:rsidR="008A70F5">
        <w:t xml:space="preserve"> </w:t>
      </w:r>
      <w:r w:rsidR="00770034">
        <w:t xml:space="preserve">In order to examine the </w:t>
      </w:r>
      <w:r w:rsidR="00147674">
        <w:t>SEE programme</w:t>
      </w:r>
      <w:r w:rsidR="006A28F2">
        <w:t xml:space="preserve"> </w:t>
      </w:r>
      <w:r w:rsidR="00965FEC">
        <w:t xml:space="preserve">take up </w:t>
      </w:r>
      <w:r w:rsidR="00770034">
        <w:t>rate</w:t>
      </w:r>
      <w:r w:rsidR="007D4EAB">
        <w:t>,</w:t>
      </w:r>
      <w:r w:rsidR="00770034">
        <w:t xml:space="preserve"> this section compares the number of job seekers registered with JSA</w:t>
      </w:r>
      <w:r w:rsidR="00D34EE3">
        <w:t>s</w:t>
      </w:r>
      <w:r w:rsidR="00770034">
        <w:t xml:space="preserve">/RJCPs to the number of job seekers commencing the </w:t>
      </w:r>
      <w:r w:rsidR="00147674">
        <w:t>SEE programme</w:t>
      </w:r>
      <w:r w:rsidR="00770034">
        <w:t>.</w:t>
      </w:r>
    </w:p>
    <w:p w14:paraId="1B5C82DB" w14:textId="41595956" w:rsidR="00731181" w:rsidRDefault="00731181" w:rsidP="00232DAD">
      <w:pPr>
        <w:pStyle w:val="BodyText"/>
      </w:pPr>
      <w:r>
        <w:t xml:space="preserve">The data show that the number of referrals to the </w:t>
      </w:r>
      <w:r w:rsidR="00147674">
        <w:t>SEE programme</w:t>
      </w:r>
      <w:r w:rsidR="006A28F2">
        <w:t xml:space="preserve"> </w:t>
      </w:r>
      <w:r>
        <w:t xml:space="preserve">is split evenly between Centrelink offices (50 per cent) and JSAs/RJCPs (50 per cent). </w:t>
      </w:r>
    </w:p>
    <w:p w14:paraId="4714C3FB" w14:textId="34213427" w:rsidR="00A1306B" w:rsidRDefault="00FD5572" w:rsidP="00A1306B">
      <w:pPr>
        <w:pStyle w:val="BodyText"/>
      </w:pPr>
      <w:r>
        <w:fldChar w:fldCharType="begin"/>
      </w:r>
      <w:r>
        <w:instrText xml:space="preserve"> REF _Ref408481789 \h </w:instrText>
      </w:r>
      <w:r>
        <w:fldChar w:fldCharType="separate"/>
      </w:r>
      <w:r w:rsidR="00294A5A">
        <w:t xml:space="preserve">Figure </w:t>
      </w:r>
      <w:r w:rsidR="00294A5A">
        <w:rPr>
          <w:noProof/>
        </w:rPr>
        <w:t>5</w:t>
      </w:r>
      <w:r>
        <w:fldChar w:fldCharType="end"/>
      </w:r>
      <w:r>
        <w:t xml:space="preserve"> provides an overview of the referral and programme process, beginning from when a job seeker </w:t>
      </w:r>
      <w:r w:rsidR="007D4EAB">
        <w:t xml:space="preserve">is </w:t>
      </w:r>
      <w:r>
        <w:t xml:space="preserve">registered through </w:t>
      </w:r>
      <w:r w:rsidR="00494DB5">
        <w:t xml:space="preserve">to </w:t>
      </w:r>
      <w:r>
        <w:t xml:space="preserve">programme exit. </w:t>
      </w:r>
      <w:r w:rsidR="0092439D">
        <w:t>This section of the repor</w:t>
      </w:r>
      <w:r w:rsidR="00FD3600">
        <w:t>t analyse</w:t>
      </w:r>
      <w:r w:rsidR="00D9160B">
        <w:t>s</w:t>
      </w:r>
      <w:r w:rsidR="00FD3600">
        <w:t xml:space="preserve"> the process shown</w:t>
      </w:r>
      <w:r w:rsidR="0092439D">
        <w:t xml:space="preserve"> in the first two rows of the diagram, with the remainder of the diagram explored in the following sections. </w:t>
      </w:r>
    </w:p>
    <w:p w14:paraId="02AF4569" w14:textId="1BC50559" w:rsidR="00A1306B" w:rsidRDefault="00A1306B" w:rsidP="00A1306B">
      <w:pPr>
        <w:pStyle w:val="Caption"/>
        <w:framePr w:w="9921" w:hSpace="181" w:wrap="notBeside" w:vAnchor="text" w:hAnchor="text" w:x="-2550" w:y="1"/>
      </w:pPr>
      <w:bookmarkStart w:id="57" w:name="_Ref408481789"/>
      <w:bookmarkStart w:id="58" w:name="_Toc420065465"/>
      <w:r>
        <w:t xml:space="preserve">Figure </w:t>
      </w:r>
      <w:r w:rsidR="006A2396">
        <w:fldChar w:fldCharType="begin"/>
      </w:r>
      <w:r w:rsidR="006A2396">
        <w:instrText xml:space="preserve"> SEQ Figure \* ARABIC </w:instrText>
      </w:r>
      <w:r w:rsidR="006A2396">
        <w:fldChar w:fldCharType="separate"/>
      </w:r>
      <w:r w:rsidR="00294A5A">
        <w:rPr>
          <w:noProof/>
        </w:rPr>
        <w:t>5</w:t>
      </w:r>
      <w:r w:rsidR="006A2396">
        <w:rPr>
          <w:noProof/>
        </w:rPr>
        <w:fldChar w:fldCharType="end"/>
      </w:r>
      <w:bookmarkEnd w:id="57"/>
      <w:r w:rsidRPr="004E0C91">
        <w:rPr>
          <w:b/>
          <w:color w:val="000080"/>
        </w:rPr>
        <w:tab/>
      </w:r>
      <w:r>
        <w:rPr>
          <w:rStyle w:val="CaptionLabel"/>
        </w:rPr>
        <w:t xml:space="preserve">Overview of the </w:t>
      </w:r>
      <w:r w:rsidR="00147674">
        <w:rPr>
          <w:rStyle w:val="CaptionLabel"/>
        </w:rPr>
        <w:t>SEE programme</w:t>
      </w:r>
      <w:r w:rsidR="006A28F2">
        <w:rPr>
          <w:rStyle w:val="CaptionLabel"/>
        </w:rPr>
        <w:t xml:space="preserve"> </w:t>
      </w:r>
      <w:r w:rsidR="0092439D">
        <w:rPr>
          <w:rStyle w:val="CaptionLabel"/>
        </w:rPr>
        <w:t>flow (rows sum to 100 per cent</w:t>
      </w:r>
      <w:r>
        <w:rPr>
          <w:rStyle w:val="CaptionLabel"/>
        </w:rPr>
        <w:t>)</w:t>
      </w:r>
      <w:bookmarkEnd w:id="58"/>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19"/>
      </w:tblGrid>
      <w:tr w:rsidR="00A1306B" w14:paraId="28EBAC2A" w14:textId="77777777" w:rsidTr="00FD5572">
        <w:tc>
          <w:tcPr>
            <w:tcW w:w="5000" w:type="pct"/>
          </w:tcPr>
          <w:p w14:paraId="19067CBA" w14:textId="77777777" w:rsidR="00A1306B" w:rsidRDefault="00A1306B" w:rsidP="00FD5572">
            <w:pPr>
              <w:pStyle w:val="SmallDeltasRightAligned"/>
              <w:keepNext/>
              <w:keepLines/>
              <w:framePr w:w="9921" w:hSpace="181" w:wrap="notBeside" w:vAnchor="text" w:hAnchor="text" w:x="-2550" w:y="1"/>
            </w:pPr>
            <w:r>
              <w:rPr>
                <w:noProof/>
                <w:lang w:eastAsia="en-AU"/>
              </w:rPr>
              <w:drawing>
                <wp:inline distT="0" distB="0" distL="0" distR="0" wp14:anchorId="3AC0453A" wp14:editId="7D2CA74C">
                  <wp:extent cx="481585" cy="234696"/>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A1306B" w14:paraId="36C92476" w14:textId="77777777" w:rsidTr="00FD5572">
        <w:tc>
          <w:tcPr>
            <w:tcW w:w="5000" w:type="pct"/>
          </w:tcPr>
          <w:p w14:paraId="74388166" w14:textId="77777777" w:rsidR="00A1306B" w:rsidRDefault="00A1306B" w:rsidP="00FD5572">
            <w:pPr>
              <w:pStyle w:val="Figure"/>
              <w:keepLines/>
              <w:framePr w:w="9921" w:hSpace="181" w:wrap="notBeside" w:vAnchor="text" w:hAnchor="text" w:x="-2550" w:y="1"/>
            </w:pPr>
            <w:r>
              <w:rPr>
                <w:noProof/>
                <w:lang w:eastAsia="en-AU"/>
              </w:rPr>
              <w:drawing>
                <wp:inline distT="0" distB="0" distL="0" distR="0" wp14:anchorId="351AF7A9" wp14:editId="669BDB58">
                  <wp:extent cx="6067417" cy="4848289"/>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0804" cy="4866977"/>
                          </a:xfrm>
                          <a:prstGeom prst="rect">
                            <a:avLst/>
                          </a:prstGeom>
                          <a:noFill/>
                        </pic:spPr>
                      </pic:pic>
                    </a:graphicData>
                  </a:graphic>
                </wp:inline>
              </w:drawing>
            </w:r>
          </w:p>
        </w:tc>
      </w:tr>
    </w:tbl>
    <w:p w14:paraId="5D8886D3" w14:textId="78DA9627" w:rsidR="00A1306B" w:rsidRDefault="00A1306B" w:rsidP="00A1306B">
      <w:pPr>
        <w:pStyle w:val="Note"/>
        <w:framePr w:w="9921" w:hSpace="181" w:wrap="notBeside" w:vAnchor="text" w:hAnchor="text" w:x="-2550" w:y="1"/>
      </w:pPr>
      <w:r>
        <w:rPr>
          <w:i/>
        </w:rPr>
        <w:t>Note:</w:t>
      </w:r>
      <w:r>
        <w:t xml:space="preserve"> Figures in this diagram should be considered an approximation and are for illustrative purposes. Figures in the first row </w:t>
      </w:r>
      <w:r w:rsidR="003F5E64">
        <w:t>are</w:t>
      </w:r>
      <w:r>
        <w:t xml:space="preserve"> derived from JSA client data as at 30 September 2014. Figures in the second row are derived from combining JSA client data with SEE referrals and commencements totals for 2013-14. Figures in the third, fourth and fifth rows are derived from </w:t>
      </w:r>
      <w:r w:rsidR="00147674">
        <w:t>SEE programme</w:t>
      </w:r>
      <w:r w:rsidR="006A28F2">
        <w:t xml:space="preserve"> </w:t>
      </w:r>
      <w:r>
        <w:t xml:space="preserve">clients referred to the Programme in 2010-11 – 2013-14. Figures in the sixth row are derived from </w:t>
      </w:r>
      <w:r w:rsidR="00147674">
        <w:t>SEE programme</w:t>
      </w:r>
      <w:r w:rsidR="006A28F2">
        <w:t xml:space="preserve"> </w:t>
      </w:r>
      <w:r>
        <w:t xml:space="preserve">clients that commenced training in 2010-11 – 2013-14 and are no longer in the </w:t>
      </w:r>
      <w:r w:rsidR="00C53CB2">
        <w:t>p</w:t>
      </w:r>
      <w:r>
        <w:t>rogramme.</w:t>
      </w:r>
    </w:p>
    <w:p w14:paraId="59A94330" w14:textId="74BF5C23" w:rsidR="00A1306B" w:rsidRPr="00AE6C4B" w:rsidRDefault="00A1306B" w:rsidP="00A1306B">
      <w:pPr>
        <w:pStyle w:val="Source"/>
        <w:framePr w:w="9921" w:hSpace="181" w:wrap="notBeside" w:vAnchor="text" w:hAnchor="text" w:x="-2550" w:y="1"/>
      </w:pPr>
      <w:r w:rsidRPr="00B50A1B">
        <w:t>Source:</w:t>
      </w:r>
      <w:r w:rsidRPr="00954EED">
        <w:t xml:space="preserve"> </w:t>
      </w:r>
      <w:r>
        <w:t>JSA</w:t>
      </w:r>
      <w:r w:rsidR="00D84D8F">
        <w:t xml:space="preserve"> </w:t>
      </w:r>
      <w:r w:rsidR="007A143E">
        <w:t>dataset</w:t>
      </w:r>
      <w:r w:rsidR="007170F8">
        <w:t>,</w:t>
      </w:r>
      <w:r>
        <w:t xml:space="preserve"> </w:t>
      </w:r>
      <w:r w:rsidR="00147674">
        <w:t xml:space="preserve">SEE </w:t>
      </w:r>
      <w:r w:rsidR="00BE67D9">
        <w:t>p</w:t>
      </w:r>
      <w:r w:rsidR="00147674">
        <w:t>rogramme</w:t>
      </w:r>
      <w:r w:rsidR="006A28F2">
        <w:t xml:space="preserve"> </w:t>
      </w:r>
      <w:r w:rsidR="00BE67D9">
        <w:t>d</w:t>
      </w:r>
      <w:r w:rsidR="00147674">
        <w:t>ataset</w:t>
      </w:r>
    </w:p>
    <w:p w14:paraId="4D836FEA" w14:textId="7226E877" w:rsidR="004C1885" w:rsidRDefault="006A28F2" w:rsidP="004C1885">
      <w:pPr>
        <w:pStyle w:val="Heading3"/>
      </w:pPr>
      <w:r>
        <w:t xml:space="preserve">SEE </w:t>
      </w:r>
      <w:r w:rsidR="00147674">
        <w:t xml:space="preserve">programme </w:t>
      </w:r>
      <w:r w:rsidR="004C1885">
        <w:t xml:space="preserve">participation </w:t>
      </w:r>
    </w:p>
    <w:p w14:paraId="466937ED" w14:textId="59B10DB2" w:rsidR="004C1885" w:rsidRDefault="004C1885" w:rsidP="004C1885">
      <w:pPr>
        <w:pStyle w:val="BodyText"/>
      </w:pPr>
      <w:r>
        <w:t xml:space="preserve">The number of referrals to the </w:t>
      </w:r>
      <w:r w:rsidR="00147674">
        <w:t>SEE programme</w:t>
      </w:r>
      <w:r w:rsidR="006A28F2">
        <w:t xml:space="preserve"> </w:t>
      </w:r>
      <w:r>
        <w:t>has increased since 2011-12 to around 45,000 in 2013-14. Similarly</w:t>
      </w:r>
      <w:r w:rsidR="00494DB5">
        <w:t>,</w:t>
      </w:r>
      <w:r>
        <w:t xml:space="preserve"> annual commencements have increased to 26,000 in 2013-14 (</w:t>
      </w:r>
      <w:r w:rsidR="006A28F2">
        <w:fldChar w:fldCharType="begin"/>
      </w:r>
      <w:r w:rsidR="006A28F2">
        <w:instrText xml:space="preserve"> REF _Ref408768337 \h </w:instrText>
      </w:r>
      <w:r w:rsidR="006A28F2">
        <w:fldChar w:fldCharType="separate"/>
      </w:r>
      <w:r w:rsidR="00294A5A">
        <w:t xml:space="preserve">Figure </w:t>
      </w:r>
      <w:r w:rsidR="00294A5A">
        <w:rPr>
          <w:noProof/>
        </w:rPr>
        <w:t>6</w:t>
      </w:r>
      <w:r w:rsidR="006A28F2">
        <w:fldChar w:fldCharType="end"/>
      </w:r>
      <w:r>
        <w:t>).</w:t>
      </w:r>
    </w:p>
    <w:p w14:paraId="4D9369B8" w14:textId="7867583A" w:rsidR="004C1885" w:rsidRDefault="004C1885" w:rsidP="004C1885">
      <w:pPr>
        <w:pStyle w:val="Caption"/>
      </w:pPr>
      <w:bookmarkStart w:id="59" w:name="_Ref408768337"/>
      <w:bookmarkStart w:id="60" w:name="_Toc420065466"/>
      <w:r>
        <w:t xml:space="preserve">Figure </w:t>
      </w:r>
      <w:r w:rsidR="006A2396">
        <w:fldChar w:fldCharType="begin"/>
      </w:r>
      <w:r w:rsidR="006A2396">
        <w:instrText xml:space="preserve"> SEQ Figure \* ARABIC </w:instrText>
      </w:r>
      <w:r w:rsidR="006A2396">
        <w:fldChar w:fldCharType="separate"/>
      </w:r>
      <w:r w:rsidR="00294A5A">
        <w:rPr>
          <w:noProof/>
        </w:rPr>
        <w:t>6</w:t>
      </w:r>
      <w:r w:rsidR="006A2396">
        <w:rPr>
          <w:noProof/>
        </w:rPr>
        <w:fldChar w:fldCharType="end"/>
      </w:r>
      <w:bookmarkEnd w:id="59"/>
      <w:r w:rsidRPr="004E0C91">
        <w:rPr>
          <w:b/>
          <w:color w:val="000080"/>
        </w:rPr>
        <w:tab/>
      </w:r>
      <w:r>
        <w:rPr>
          <w:rStyle w:val="CaptionLabel"/>
        </w:rPr>
        <w:t xml:space="preserve">Referrals, PTAs and commencements in the </w:t>
      </w:r>
      <w:r w:rsidR="00147674">
        <w:rPr>
          <w:rStyle w:val="CaptionLabel"/>
        </w:rPr>
        <w:t>SEE programme</w:t>
      </w:r>
      <w:r>
        <w:rPr>
          <w:rStyle w:val="CaptionLabel"/>
        </w:rPr>
        <w:t>, 2010-11 – 2013-14</w:t>
      </w:r>
      <w:bookmarkEnd w:id="60"/>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4C1885" w14:paraId="0FDB38D3" w14:textId="77777777" w:rsidTr="004C1885">
        <w:trPr>
          <w:cantSplit/>
        </w:trPr>
        <w:tc>
          <w:tcPr>
            <w:tcW w:w="5000" w:type="pct"/>
          </w:tcPr>
          <w:p w14:paraId="2B4BA3E4" w14:textId="77777777" w:rsidR="004C1885" w:rsidRDefault="004C1885" w:rsidP="004C1885">
            <w:pPr>
              <w:pStyle w:val="SmallDeltasRightAligned"/>
              <w:keepNext/>
            </w:pPr>
            <w:r>
              <w:rPr>
                <w:noProof/>
                <w:lang w:eastAsia="en-AU"/>
              </w:rPr>
              <w:drawing>
                <wp:inline distT="0" distB="0" distL="0" distR="0" wp14:anchorId="043AADB7" wp14:editId="5A270ACA">
                  <wp:extent cx="481585" cy="23469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4C1885" w14:paraId="2124ED4B" w14:textId="77777777" w:rsidTr="004C1885">
        <w:tblPrEx>
          <w:tblCellMar>
            <w:left w:w="108" w:type="dxa"/>
            <w:right w:w="108" w:type="dxa"/>
          </w:tblCellMar>
        </w:tblPrEx>
        <w:trPr>
          <w:cantSplit/>
        </w:trPr>
        <w:tc>
          <w:tcPr>
            <w:tcW w:w="5000" w:type="pct"/>
          </w:tcPr>
          <w:p w14:paraId="681FA5B5" w14:textId="77777777" w:rsidR="004C1885" w:rsidRDefault="004C1885" w:rsidP="004C1885">
            <w:pPr>
              <w:pStyle w:val="Figure"/>
            </w:pPr>
            <w:r>
              <w:rPr>
                <w:noProof/>
                <w:lang w:eastAsia="en-AU"/>
              </w:rPr>
              <w:drawing>
                <wp:inline distT="0" distB="0" distL="0" distR="0" wp14:anchorId="26D5C1E6" wp14:editId="3B78E23A">
                  <wp:extent cx="4572000" cy="2743200"/>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14:paraId="20B0163D" w14:textId="6614BAA1" w:rsidR="004C1885" w:rsidRPr="00B50A1B" w:rsidRDefault="004C1885" w:rsidP="004C1885">
      <w:pPr>
        <w:pStyle w:val="Source"/>
        <w:rPr>
          <w:i/>
        </w:rPr>
      </w:pPr>
      <w:r>
        <w:t>S</w:t>
      </w:r>
      <w:r w:rsidRPr="00B50A1B">
        <w:t>ource:</w:t>
      </w:r>
      <w:r w:rsidRPr="00954EED">
        <w:t xml:space="preserve"> </w:t>
      </w:r>
      <w:r w:rsidR="00BE67D9">
        <w:t>SEE p</w:t>
      </w:r>
      <w:r w:rsidR="006A28F2">
        <w:t xml:space="preserve">rogramme </w:t>
      </w:r>
      <w:r w:rsidR="00BE67D9">
        <w:t>d</w:t>
      </w:r>
      <w:r>
        <w:t>ataset</w:t>
      </w:r>
    </w:p>
    <w:p w14:paraId="10DBCE13" w14:textId="3D9621CF" w:rsidR="0046052F" w:rsidRDefault="00770034" w:rsidP="00232DAD">
      <w:pPr>
        <w:pStyle w:val="BodyText"/>
      </w:pPr>
      <w:r>
        <w:t>Across all SDAs in Australia around 33 per cent of registered job seekers are identified as having LLN needs.</w:t>
      </w:r>
      <w:r w:rsidR="0046052F">
        <w:t xml:space="preserve"> Between SDAs there are significant differences in </w:t>
      </w:r>
      <w:r w:rsidR="00795D0B">
        <w:t xml:space="preserve">job seekers </w:t>
      </w:r>
      <w:r w:rsidR="0046052F">
        <w:t>identified as having LLN needs</w:t>
      </w:r>
      <w:r w:rsidR="00795D0B">
        <w:t>,</w:t>
      </w:r>
      <w:r w:rsidR="0046052F">
        <w:t xml:space="preserve"> with rates around </w:t>
      </w:r>
      <w:r w:rsidR="00621400">
        <w:t>80</w:t>
      </w:r>
      <w:r w:rsidR="0046052F">
        <w:t xml:space="preserve"> per cent in some SDAs down to </w:t>
      </w:r>
      <w:r w:rsidR="00621400">
        <w:t xml:space="preserve">25 </w:t>
      </w:r>
      <w:r w:rsidR="0046052F">
        <w:t xml:space="preserve">per cent in others. </w:t>
      </w:r>
    </w:p>
    <w:p w14:paraId="1E51DA49" w14:textId="2FB09EDC" w:rsidR="007F7EC5" w:rsidRDefault="00BD48FF" w:rsidP="00232DAD">
      <w:pPr>
        <w:pStyle w:val="BodyText"/>
      </w:pPr>
      <w:r>
        <w:fldChar w:fldCharType="begin"/>
      </w:r>
      <w:r>
        <w:instrText xml:space="preserve"> REF _Ref408481742 \h </w:instrText>
      </w:r>
      <w:r>
        <w:fldChar w:fldCharType="separate"/>
      </w:r>
      <w:r w:rsidR="00294A5A">
        <w:t xml:space="preserve">Figure </w:t>
      </w:r>
      <w:r w:rsidR="00294A5A">
        <w:rPr>
          <w:noProof/>
        </w:rPr>
        <w:t>7</w:t>
      </w:r>
      <w:r>
        <w:fldChar w:fldCharType="end"/>
      </w:r>
      <w:r w:rsidR="00770034">
        <w:t xml:space="preserve"> sets out the estimated proportion of registered job seekers with identified LLN needs that are referred to the </w:t>
      </w:r>
      <w:r w:rsidR="00147674">
        <w:t>SEE programme</w:t>
      </w:r>
      <w:r w:rsidR="006A28F2">
        <w:t xml:space="preserve"> </w:t>
      </w:r>
      <w:r w:rsidR="00770034">
        <w:t xml:space="preserve">and the estimated proportion that commence. </w:t>
      </w:r>
    </w:p>
    <w:p w14:paraId="452FD7DE" w14:textId="099DBF9E" w:rsidR="0073394C" w:rsidRDefault="007F7EC5" w:rsidP="00232DAD">
      <w:pPr>
        <w:pStyle w:val="BodyText"/>
      </w:pPr>
      <w:r>
        <w:t xml:space="preserve">An </w:t>
      </w:r>
      <w:r w:rsidR="00770034">
        <w:t xml:space="preserve">estimated 17 per cent of </w:t>
      </w:r>
      <w:r>
        <w:t xml:space="preserve">job seekers with LLN needs are referred. But as </w:t>
      </w:r>
      <w:r>
        <w:fldChar w:fldCharType="begin"/>
      </w:r>
      <w:r>
        <w:instrText xml:space="preserve"> REF _Ref408481742 \h </w:instrText>
      </w:r>
      <w:r>
        <w:fldChar w:fldCharType="separate"/>
      </w:r>
      <w:r w:rsidR="00294A5A">
        <w:t xml:space="preserve">Figure </w:t>
      </w:r>
      <w:r w:rsidR="00294A5A">
        <w:rPr>
          <w:noProof/>
        </w:rPr>
        <w:t>7</w:t>
      </w:r>
      <w:r>
        <w:fldChar w:fldCharType="end"/>
      </w:r>
      <w:r>
        <w:t xml:space="preserve"> shows there is considerable variation between SDAs</w:t>
      </w:r>
      <w:r w:rsidR="0073394C">
        <w:t>; out of a total of 134 SDAs,</w:t>
      </w:r>
      <w:r>
        <w:t xml:space="preserve"> 17 SDAs </w:t>
      </w:r>
      <w:r w:rsidR="0073394C">
        <w:t xml:space="preserve">are </w:t>
      </w:r>
      <w:r>
        <w:t xml:space="preserve">witnessing referral rates above </w:t>
      </w:r>
      <w:r w:rsidR="001E0E36">
        <w:t>30 per cent</w:t>
      </w:r>
      <w:r w:rsidR="005C69E1">
        <w:t xml:space="preserve"> and 10</w:t>
      </w:r>
      <w:r w:rsidR="0073394C">
        <w:t xml:space="preserve"> SDAs are</w:t>
      </w:r>
      <w:r w:rsidR="005C69E1">
        <w:t xml:space="preserve"> seeing take up rates above 20 per cent</w:t>
      </w:r>
      <w:r w:rsidR="001E0E36">
        <w:t xml:space="preserve">. </w:t>
      </w:r>
    </w:p>
    <w:p w14:paraId="08AC9614" w14:textId="4D214AE5" w:rsidR="00621400" w:rsidRDefault="0073394C" w:rsidP="00232DAD">
      <w:pPr>
        <w:pStyle w:val="BodyText"/>
      </w:pPr>
      <w:r>
        <w:t>In addition to differences in referral rates, there are also differences in the rate at which referrals are converted to PTAs and then commencements</w:t>
      </w:r>
      <w:r w:rsidR="00621400">
        <w:t xml:space="preserve">. An estimated 57 per cent </w:t>
      </w:r>
      <w:r w:rsidR="00494DB5">
        <w:t xml:space="preserve">of </w:t>
      </w:r>
      <w:r w:rsidR="00621400">
        <w:t xml:space="preserve">referred clients commence </w:t>
      </w:r>
      <w:r w:rsidR="00172182">
        <w:t xml:space="preserve">the </w:t>
      </w:r>
      <w:r w:rsidR="00621400">
        <w:t xml:space="preserve">SEE </w:t>
      </w:r>
      <w:r w:rsidR="00172182">
        <w:t xml:space="preserve">programme </w:t>
      </w:r>
      <w:r w:rsidR="00621400">
        <w:t>– differences between SDAs may be due to a number of factors including inappropriate referrals and/or variable capacity amongst providers to meet demand.</w:t>
      </w:r>
    </w:p>
    <w:p w14:paraId="62822C5A" w14:textId="3B6F1EBB" w:rsidR="007F7EC5" w:rsidRDefault="001E0E36" w:rsidP="00232DAD">
      <w:pPr>
        <w:pStyle w:val="BodyText"/>
      </w:pPr>
      <w:r>
        <w:t xml:space="preserve">Overall, </w:t>
      </w:r>
      <w:r w:rsidR="0073394C">
        <w:t xml:space="preserve">the result is that </w:t>
      </w:r>
      <w:r w:rsidR="007F7EC5">
        <w:t xml:space="preserve">91 per cent </w:t>
      </w:r>
      <w:r>
        <w:t>of SDAs have less than one</w:t>
      </w:r>
      <w:r w:rsidR="007F7EC5" w:rsidRPr="007F7EC5">
        <w:t xml:space="preserve"> in </w:t>
      </w:r>
      <w:r>
        <w:t>five</w:t>
      </w:r>
      <w:r w:rsidR="007F7EC5" w:rsidRPr="007F7EC5">
        <w:t xml:space="preserve"> LLN needs JSA clients commencing in </w:t>
      </w:r>
      <w:r w:rsidR="00172182">
        <w:t xml:space="preserve">the </w:t>
      </w:r>
      <w:r w:rsidR="007F7EC5" w:rsidRPr="007F7EC5">
        <w:t>SEE</w:t>
      </w:r>
      <w:r w:rsidR="00172182">
        <w:t xml:space="preserve"> programme</w:t>
      </w:r>
      <w:r>
        <w:t>.</w:t>
      </w:r>
    </w:p>
    <w:p w14:paraId="36EC76A7" w14:textId="44489EAF" w:rsidR="00232DAD" w:rsidRDefault="00232DAD" w:rsidP="00232DAD">
      <w:pPr>
        <w:pStyle w:val="Caption"/>
        <w:framePr w:w="9921" w:hSpace="181" w:wrap="notBeside" w:vAnchor="text" w:hAnchor="text" w:x="-2550" w:y="1"/>
      </w:pPr>
      <w:bookmarkStart w:id="61" w:name="_Ref408481742"/>
      <w:bookmarkStart w:id="62" w:name="_Toc420065467"/>
      <w:r>
        <w:t xml:space="preserve">Figure </w:t>
      </w:r>
      <w:r w:rsidR="006A2396">
        <w:fldChar w:fldCharType="begin"/>
      </w:r>
      <w:r w:rsidR="006A2396">
        <w:instrText xml:space="preserve"> SEQ Figure \* ARABIC </w:instrText>
      </w:r>
      <w:r w:rsidR="006A2396">
        <w:fldChar w:fldCharType="separate"/>
      </w:r>
      <w:r w:rsidR="00294A5A">
        <w:rPr>
          <w:noProof/>
        </w:rPr>
        <w:t>7</w:t>
      </w:r>
      <w:r w:rsidR="006A2396">
        <w:rPr>
          <w:noProof/>
        </w:rPr>
        <w:fldChar w:fldCharType="end"/>
      </w:r>
      <w:bookmarkEnd w:id="61"/>
      <w:r w:rsidRPr="004E0C91">
        <w:rPr>
          <w:b/>
          <w:color w:val="000080"/>
        </w:rPr>
        <w:tab/>
      </w:r>
      <w:r w:rsidR="00770034">
        <w:rPr>
          <w:rStyle w:val="CaptionLabel"/>
        </w:rPr>
        <w:t>Estimated p</w:t>
      </w:r>
      <w:r>
        <w:rPr>
          <w:rStyle w:val="CaptionLabel"/>
        </w:rPr>
        <w:t xml:space="preserve">roportion of JSA clients with identified LLN needs and proportion referred to the </w:t>
      </w:r>
      <w:r w:rsidR="00147674">
        <w:rPr>
          <w:rStyle w:val="CaptionLabel"/>
        </w:rPr>
        <w:t>SEE programme</w:t>
      </w:r>
      <w:r w:rsidR="006A28F2">
        <w:rPr>
          <w:rStyle w:val="CaptionLabel"/>
        </w:rPr>
        <w:t xml:space="preserve"> </w:t>
      </w:r>
      <w:r>
        <w:rPr>
          <w:rStyle w:val="CaptionLabel"/>
        </w:rPr>
        <w:t>by SDA</w:t>
      </w:r>
      <w:bookmarkEnd w:id="62"/>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19"/>
      </w:tblGrid>
      <w:tr w:rsidR="00232DAD" w14:paraId="501ADEBD" w14:textId="77777777" w:rsidTr="00FD5572">
        <w:tc>
          <w:tcPr>
            <w:tcW w:w="5000" w:type="pct"/>
          </w:tcPr>
          <w:p w14:paraId="2890A51C" w14:textId="77777777" w:rsidR="00232DAD" w:rsidRDefault="00232DAD" w:rsidP="00FD5572">
            <w:pPr>
              <w:pStyle w:val="SmallDeltasRightAligned"/>
              <w:keepNext/>
              <w:keepLines/>
              <w:framePr w:w="9921" w:hSpace="181" w:wrap="notBeside" w:vAnchor="text" w:hAnchor="text" w:x="-2550" w:y="1"/>
            </w:pPr>
            <w:r>
              <w:rPr>
                <w:noProof/>
                <w:lang w:eastAsia="en-AU"/>
              </w:rPr>
              <w:drawing>
                <wp:inline distT="0" distB="0" distL="0" distR="0" wp14:anchorId="4A5110A5" wp14:editId="22F85BB1">
                  <wp:extent cx="481585" cy="2346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232DAD" w14:paraId="74EE4F66" w14:textId="77777777" w:rsidTr="00FD5572">
        <w:tblPrEx>
          <w:tblCellMar>
            <w:left w:w="108" w:type="dxa"/>
            <w:right w:w="108" w:type="dxa"/>
          </w:tblCellMar>
        </w:tblPrEx>
        <w:tc>
          <w:tcPr>
            <w:tcW w:w="5000" w:type="pct"/>
          </w:tcPr>
          <w:p w14:paraId="31DFE203" w14:textId="77777777" w:rsidR="00232DAD" w:rsidRDefault="00232DAD" w:rsidP="00FD5572">
            <w:pPr>
              <w:pStyle w:val="Figure"/>
              <w:keepLines/>
              <w:framePr w:w="9921" w:hSpace="181" w:wrap="notBeside" w:vAnchor="text" w:hAnchor="text" w:x="-2550" w:y="1"/>
            </w:pPr>
            <w:r>
              <w:rPr>
                <w:noProof/>
                <w:lang w:eastAsia="en-AU"/>
              </w:rPr>
              <w:drawing>
                <wp:inline distT="0" distB="0" distL="0" distR="0" wp14:anchorId="2CE24F4C" wp14:editId="278BA55C">
                  <wp:extent cx="6219646" cy="2743200"/>
                  <wp:effectExtent l="0" t="0" r="0" b="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14:paraId="7568F2BD" w14:textId="77777777" w:rsidR="00232DAD" w:rsidRDefault="00232DAD" w:rsidP="00232DAD">
      <w:pPr>
        <w:pStyle w:val="Note"/>
        <w:framePr w:w="9921" w:hSpace="181" w:wrap="notBeside" w:vAnchor="text" w:hAnchor="text" w:x="-2550" w:y="1"/>
      </w:pPr>
      <w:r>
        <w:rPr>
          <w:i/>
        </w:rPr>
        <w:t>Note:</w:t>
      </w:r>
      <w:r>
        <w:t xml:space="preserve"> </w:t>
      </w:r>
      <w:r w:rsidR="00770034">
        <w:t xml:space="preserve">Analysis is an estimate. </w:t>
      </w:r>
      <w:r>
        <w:t>SEE referrals and commencements are totals for 2013-14. JSA clients are as at 30 September 2014. The chart excludes four outlier SDAs, two at either end, which returned invalid results.</w:t>
      </w:r>
    </w:p>
    <w:p w14:paraId="56353212" w14:textId="3BA82304" w:rsidR="00232DAD" w:rsidRPr="00AE6C4B" w:rsidRDefault="00232DAD" w:rsidP="00232DAD">
      <w:pPr>
        <w:pStyle w:val="Source"/>
        <w:framePr w:w="9921" w:hSpace="181" w:wrap="notBeside" w:vAnchor="text" w:hAnchor="text" w:x="-2550" w:y="1"/>
      </w:pPr>
      <w:r w:rsidRPr="00B50A1B">
        <w:t>Source:</w:t>
      </w:r>
      <w:r w:rsidRPr="00954EED">
        <w:t xml:space="preserve"> </w:t>
      </w:r>
      <w:r w:rsidR="007170F8">
        <w:t xml:space="preserve">JSA </w:t>
      </w:r>
      <w:r w:rsidR="007A143E">
        <w:t>dataset</w:t>
      </w:r>
      <w:r w:rsidR="007170F8">
        <w:t xml:space="preserve">, </w:t>
      </w:r>
      <w:r w:rsidR="007A143E">
        <w:t>SEE programme</w:t>
      </w:r>
      <w:r w:rsidR="006A28F2">
        <w:t xml:space="preserve"> </w:t>
      </w:r>
      <w:r w:rsidR="007A143E">
        <w:t>dataset</w:t>
      </w:r>
    </w:p>
    <w:p w14:paraId="3DB3605B" w14:textId="77777777" w:rsidR="006A28F2" w:rsidRDefault="006A28F2" w:rsidP="006A28F2">
      <w:pPr>
        <w:pStyle w:val="BodyText"/>
      </w:pP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6A28F2" w14:paraId="687F175E" w14:textId="77777777" w:rsidTr="00621400">
        <w:tc>
          <w:tcPr>
            <w:tcW w:w="5000" w:type="pct"/>
            <w:shd w:val="pct12" w:color="auto" w:fill="auto"/>
          </w:tcPr>
          <w:p w14:paraId="4843B4E2" w14:textId="77777777" w:rsidR="006A28F2" w:rsidRDefault="006A28F2" w:rsidP="00621400">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1</w:t>
            </w:r>
            <w:r w:rsidR="006A2396">
              <w:rPr>
                <w:noProof/>
              </w:rPr>
              <w:fldChar w:fldCharType="end"/>
            </w:r>
          </w:p>
        </w:tc>
      </w:tr>
      <w:tr w:rsidR="006A28F2" w14:paraId="0EA4C3F3" w14:textId="77777777" w:rsidTr="00621400">
        <w:tc>
          <w:tcPr>
            <w:tcW w:w="5000" w:type="pct"/>
            <w:shd w:val="pct12" w:color="auto" w:fill="auto"/>
          </w:tcPr>
          <w:p w14:paraId="6EB0661C" w14:textId="6274160A" w:rsidR="006A28F2" w:rsidRDefault="006A28F2" w:rsidP="00621400">
            <w:pPr>
              <w:pStyle w:val="BoxText"/>
            </w:pPr>
            <w:r>
              <w:t xml:space="preserve">An estimated 10 per cent of job seekers take up the </w:t>
            </w:r>
            <w:r w:rsidR="00147674">
              <w:t>SEE programme</w:t>
            </w:r>
            <w:r>
              <w:t xml:space="preserve">. </w:t>
            </w:r>
            <w:r w:rsidRPr="00286864">
              <w:t xml:space="preserve">17 per cent of job seekers with LLN needs </w:t>
            </w:r>
            <w:r>
              <w:t xml:space="preserve">are estimated to be </w:t>
            </w:r>
            <w:r w:rsidRPr="00286864">
              <w:t xml:space="preserve">referred </w:t>
            </w:r>
            <w:r>
              <w:t xml:space="preserve">to the </w:t>
            </w:r>
            <w:r w:rsidR="00147674">
              <w:t>SEE programme</w:t>
            </w:r>
            <w:r>
              <w:t xml:space="preserve">. </w:t>
            </w:r>
          </w:p>
          <w:p w14:paraId="004A2EC5" w14:textId="77777777" w:rsidR="006A28F2" w:rsidRDefault="006A28F2" w:rsidP="00621400">
            <w:pPr>
              <w:pStyle w:val="BoxText"/>
            </w:pPr>
            <w:r>
              <w:t xml:space="preserve">There is considerable variation between SDAs’ referral rates and take up rates, with </w:t>
            </w:r>
            <w:r w:rsidRPr="00FB1229">
              <w:t>17 SDAs witnessing referral rates above 30 per cent and 10 seeing take up rates above 20 per cent</w:t>
            </w:r>
          </w:p>
          <w:p w14:paraId="38F0F2F0" w14:textId="77777777" w:rsidR="006A28F2" w:rsidRPr="00090BC6" w:rsidRDefault="006A28F2" w:rsidP="00621400">
            <w:pPr>
              <w:pStyle w:val="SmallDeltasRightAligned"/>
            </w:pPr>
            <w:r w:rsidRPr="00090BC6">
              <w:rPr>
                <w:noProof/>
                <w:lang w:eastAsia="en-AU"/>
              </w:rPr>
              <w:drawing>
                <wp:inline distT="0" distB="0" distL="0" distR="0" wp14:anchorId="09900DE1" wp14:editId="76711440">
                  <wp:extent cx="481585" cy="234696"/>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6A28F2" w14:paraId="655BB087" w14:textId="77777777" w:rsidTr="00621400">
        <w:trPr>
          <w:trHeight w:hRule="exact" w:val="80"/>
        </w:trPr>
        <w:tc>
          <w:tcPr>
            <w:tcW w:w="5000" w:type="pct"/>
            <w:shd w:val="pct12" w:color="auto" w:fill="auto"/>
          </w:tcPr>
          <w:p w14:paraId="61FDEC36" w14:textId="77777777" w:rsidR="006A28F2" w:rsidRDefault="006A28F2" w:rsidP="00621400">
            <w:pPr>
              <w:spacing w:before="160"/>
            </w:pPr>
            <w:r>
              <w:t xml:space="preserve"> </w:t>
            </w:r>
          </w:p>
        </w:tc>
      </w:tr>
    </w:tbl>
    <w:p w14:paraId="4A857634" w14:textId="3CD692B0" w:rsidR="00AF0CC6" w:rsidRDefault="00AF0CC6" w:rsidP="00163BA3">
      <w:pPr>
        <w:pStyle w:val="Heading5"/>
      </w:pPr>
      <w:r>
        <w:t>Interstate differen</w:t>
      </w:r>
      <w:r w:rsidR="00FD3600">
        <w:t xml:space="preserve">ces in need, referrals and take </w:t>
      </w:r>
      <w:r>
        <w:t>up rates</w:t>
      </w:r>
    </w:p>
    <w:p w14:paraId="7D147B50" w14:textId="4542CD42" w:rsidR="00AF0CC6" w:rsidRDefault="00BD48FF" w:rsidP="00232DAD">
      <w:pPr>
        <w:pStyle w:val="BodyText"/>
      </w:pPr>
      <w:r>
        <w:fldChar w:fldCharType="begin"/>
      </w:r>
      <w:r>
        <w:instrText xml:space="preserve"> REF _Ref408481770 \h </w:instrText>
      </w:r>
      <w:r>
        <w:fldChar w:fldCharType="separate"/>
      </w:r>
      <w:r w:rsidR="00294A5A">
        <w:t xml:space="preserve">Table </w:t>
      </w:r>
      <w:r w:rsidR="00294A5A">
        <w:rPr>
          <w:noProof/>
        </w:rPr>
        <w:t>4</w:t>
      </w:r>
      <w:r>
        <w:fldChar w:fldCharType="end"/>
      </w:r>
      <w:r w:rsidR="001E0E36">
        <w:t xml:space="preserve"> shows </w:t>
      </w:r>
      <w:r w:rsidR="00AF0CC6">
        <w:t xml:space="preserve">the needs, referrals and </w:t>
      </w:r>
      <w:r w:rsidR="00796D42">
        <w:t xml:space="preserve">take up </w:t>
      </w:r>
      <w:r w:rsidR="00AF0CC6">
        <w:t xml:space="preserve">rates </w:t>
      </w:r>
      <w:r w:rsidR="001E0E36">
        <w:t>by state/territory</w:t>
      </w:r>
      <w:r w:rsidR="00796D42">
        <w:t xml:space="preserve">. </w:t>
      </w:r>
      <w:r w:rsidR="00AF0CC6">
        <w:t>The JSA clients in most states have similar levels of LLN needs, close to the national average of 33 per cent. The NT and ACT have above average levels of need whil</w:t>
      </w:r>
      <w:r w:rsidR="00494DB5">
        <w:t>e</w:t>
      </w:r>
      <w:r w:rsidR="00AF0CC6">
        <w:t xml:space="preserve"> Queensland has a below average level of need; the LLN needs</w:t>
      </w:r>
      <w:r w:rsidR="0047489B">
        <w:t xml:space="preserve"> in each state in part depend on the quality of compulsory schooling, as well as the size and characteristics of the migrant population.</w:t>
      </w:r>
    </w:p>
    <w:p w14:paraId="3E2FC5F8" w14:textId="1D0F6ACC" w:rsidR="00232DAD" w:rsidRDefault="00796D42" w:rsidP="00232DAD">
      <w:pPr>
        <w:pStyle w:val="BodyText"/>
      </w:pPr>
      <w:r>
        <w:t xml:space="preserve">Estimated referral rates are </w:t>
      </w:r>
      <w:r w:rsidR="002C7DCA">
        <w:t xml:space="preserve">higher than </w:t>
      </w:r>
      <w:r>
        <w:t xml:space="preserve">average in </w:t>
      </w:r>
      <w:r w:rsidR="002C7DCA">
        <w:t>SA</w:t>
      </w:r>
      <w:r w:rsidR="004E2138">
        <w:t>,</w:t>
      </w:r>
      <w:r w:rsidR="002C7DCA">
        <w:t xml:space="preserve"> NSW</w:t>
      </w:r>
      <w:r w:rsidR="004E2138">
        <w:t xml:space="preserve"> and</w:t>
      </w:r>
      <w:r w:rsidR="002C7DCA">
        <w:t xml:space="preserve"> NT</w:t>
      </w:r>
      <w:r w:rsidR="004E2138">
        <w:t xml:space="preserve">. </w:t>
      </w:r>
      <w:r w:rsidR="0047489B">
        <w:t xml:space="preserve">The referral rate in </w:t>
      </w:r>
      <w:r w:rsidR="00795D0B">
        <w:t xml:space="preserve">Tasmania </w:t>
      </w:r>
      <w:r w:rsidR="0047489B">
        <w:t>is less than half the national average.</w:t>
      </w:r>
      <w:r w:rsidR="00621400">
        <w:t xml:space="preserve"> </w:t>
      </w:r>
      <w:r w:rsidR="0047489B">
        <w:t>This result</w:t>
      </w:r>
      <w:r w:rsidR="00621400">
        <w:t>s</w:t>
      </w:r>
      <w:r w:rsidR="0047489B">
        <w:t xml:space="preserve"> in </w:t>
      </w:r>
      <w:r>
        <w:t xml:space="preserve">Tasmania </w:t>
      </w:r>
      <w:r w:rsidR="004E2138">
        <w:t>ha</w:t>
      </w:r>
      <w:r w:rsidR="0047489B">
        <w:t xml:space="preserve">ving </w:t>
      </w:r>
      <w:r>
        <w:t>a particularly low estimated take up rate</w:t>
      </w:r>
      <w:r w:rsidR="0047489B">
        <w:t xml:space="preserve">, with only 4 per cent of those with identified LLN needs commencing in </w:t>
      </w:r>
      <w:r w:rsidR="00172182">
        <w:t xml:space="preserve">the </w:t>
      </w:r>
      <w:r w:rsidR="0047489B">
        <w:t>SEE</w:t>
      </w:r>
      <w:r w:rsidR="00172182">
        <w:t xml:space="preserve"> programme</w:t>
      </w:r>
      <w:r>
        <w:t xml:space="preserve">. </w:t>
      </w:r>
    </w:p>
    <w:p w14:paraId="49CA995A" w14:textId="77777777" w:rsidR="0047489B" w:rsidRDefault="0047489B" w:rsidP="00232DAD">
      <w:pPr>
        <w:pStyle w:val="BodyText"/>
      </w:pPr>
    </w:p>
    <w:p w14:paraId="7C69FEDD" w14:textId="77777777" w:rsidR="0047489B" w:rsidRDefault="0047489B" w:rsidP="00232DAD">
      <w:pPr>
        <w:pStyle w:val="BodyText"/>
      </w:pPr>
    </w:p>
    <w:p w14:paraId="09635714" w14:textId="1A7E5AEC" w:rsidR="00232DAD" w:rsidRDefault="00232DAD" w:rsidP="005831C1">
      <w:pPr>
        <w:pStyle w:val="Caption"/>
        <w:keepLines/>
        <w:ind w:left="1247" w:hanging="1247"/>
      </w:pPr>
      <w:bookmarkStart w:id="63" w:name="_Ref408481770"/>
      <w:bookmarkStart w:id="64" w:name="_Toc420065500"/>
      <w:r>
        <w:t xml:space="preserve">Table </w:t>
      </w:r>
      <w:fldSimple w:instr=" SEQ Table \* MERGEFORMAT ">
        <w:r w:rsidR="00294A5A">
          <w:rPr>
            <w:noProof/>
          </w:rPr>
          <w:t>4</w:t>
        </w:r>
      </w:fldSimple>
      <w:bookmarkEnd w:id="63"/>
      <w:r w:rsidRPr="00FD66DB">
        <w:rPr>
          <w:b/>
          <w:color w:val="000000"/>
        </w:rPr>
        <w:tab/>
      </w:r>
      <w:r>
        <w:rPr>
          <w:rStyle w:val="CaptionLabel"/>
        </w:rPr>
        <w:t xml:space="preserve">Proportion of JSA clients with identified LLN needs and proportion referred to the </w:t>
      </w:r>
      <w:r w:rsidR="00147674">
        <w:rPr>
          <w:rStyle w:val="CaptionLabel"/>
        </w:rPr>
        <w:t>SEE programme</w:t>
      </w:r>
      <w:r w:rsidR="006A28F2">
        <w:rPr>
          <w:rStyle w:val="CaptionLabel"/>
        </w:rPr>
        <w:t xml:space="preserve"> </w:t>
      </w:r>
      <w:r>
        <w:rPr>
          <w:rStyle w:val="CaptionLabel"/>
        </w:rPr>
        <w:t>by state and territory</w:t>
      </w:r>
      <w:bookmarkEnd w:id="64"/>
    </w:p>
    <w:tbl>
      <w:tblPr>
        <w:tblW w:w="4999" w:type="pct"/>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2127"/>
        <w:gridCol w:w="1748"/>
        <w:gridCol w:w="1748"/>
        <w:gridCol w:w="1748"/>
      </w:tblGrid>
      <w:tr w:rsidR="005831C1" w14:paraId="3BDC80F8" w14:textId="77777777" w:rsidTr="005831C1">
        <w:trPr>
          <w:cantSplit/>
        </w:trPr>
        <w:tc>
          <w:tcPr>
            <w:tcW w:w="2127" w:type="dxa"/>
            <w:tcBorders>
              <w:top w:val="nil"/>
              <w:bottom w:val="single" w:sz="2" w:space="0" w:color="C0C0C0"/>
            </w:tcBorders>
            <w:shd w:val="solid" w:color="9757A6" w:fill="auto"/>
            <w:vAlign w:val="center"/>
          </w:tcPr>
          <w:p w14:paraId="4310583B" w14:textId="77777777" w:rsidR="005831C1" w:rsidRDefault="005831C1" w:rsidP="00FD5572">
            <w:pPr>
              <w:pStyle w:val="Tablecolumnheadings"/>
            </w:pPr>
          </w:p>
        </w:tc>
        <w:tc>
          <w:tcPr>
            <w:tcW w:w="1748" w:type="dxa"/>
            <w:tcBorders>
              <w:top w:val="nil"/>
              <w:bottom w:val="single" w:sz="2" w:space="0" w:color="C0C0C0"/>
            </w:tcBorders>
            <w:shd w:val="solid" w:color="9757A6" w:fill="auto"/>
            <w:vAlign w:val="center"/>
          </w:tcPr>
          <w:p w14:paraId="6515B196" w14:textId="77777777" w:rsidR="005831C1" w:rsidRDefault="005831C1" w:rsidP="00FD5572">
            <w:pPr>
              <w:pStyle w:val="Tablecolumnheadings"/>
              <w:jc w:val="center"/>
            </w:pPr>
            <w:r>
              <w:t>JSA clients with LLN needs</w:t>
            </w:r>
          </w:p>
        </w:tc>
        <w:tc>
          <w:tcPr>
            <w:tcW w:w="1748" w:type="dxa"/>
            <w:tcBorders>
              <w:top w:val="nil"/>
              <w:bottom w:val="single" w:sz="2" w:space="0" w:color="C0C0C0"/>
            </w:tcBorders>
            <w:shd w:val="solid" w:color="9757A6" w:fill="auto"/>
          </w:tcPr>
          <w:p w14:paraId="0C4AC5C0" w14:textId="77777777" w:rsidR="005831C1" w:rsidRDefault="005831C1" w:rsidP="00FD5572">
            <w:pPr>
              <w:pStyle w:val="Tablecolumnheadings"/>
              <w:jc w:val="center"/>
            </w:pPr>
            <w:r w:rsidRPr="00FC24CA">
              <w:t>Proportion of JSA clients with LLN needs referred to SEE</w:t>
            </w:r>
          </w:p>
        </w:tc>
        <w:tc>
          <w:tcPr>
            <w:tcW w:w="1748" w:type="dxa"/>
            <w:tcBorders>
              <w:top w:val="nil"/>
              <w:bottom w:val="single" w:sz="2" w:space="0" w:color="C0C0C0"/>
            </w:tcBorders>
            <w:shd w:val="solid" w:color="9757A6" w:fill="auto"/>
          </w:tcPr>
          <w:p w14:paraId="2B910CB3" w14:textId="77777777" w:rsidR="005831C1" w:rsidRDefault="005831C1" w:rsidP="00FD5572">
            <w:pPr>
              <w:pStyle w:val="Tablecolumnheadings"/>
              <w:jc w:val="center"/>
            </w:pPr>
            <w:r w:rsidRPr="00FC24CA">
              <w:t>Proportion of JSA clients with LLN needs commencing SEE</w:t>
            </w:r>
          </w:p>
        </w:tc>
      </w:tr>
      <w:tr w:rsidR="005831C1" w14:paraId="3B4624BF" w14:textId="77777777" w:rsidTr="005831C1">
        <w:trPr>
          <w:cantSplit/>
        </w:trPr>
        <w:tc>
          <w:tcPr>
            <w:tcW w:w="2127" w:type="dxa"/>
            <w:tcBorders>
              <w:top w:val="single" w:sz="2" w:space="0" w:color="C0C0C0"/>
            </w:tcBorders>
            <w:shd w:val="solid" w:color="E6E6E6" w:fill="auto"/>
            <w:vAlign w:val="center"/>
          </w:tcPr>
          <w:p w14:paraId="154C7866" w14:textId="77777777" w:rsidR="005831C1" w:rsidRDefault="005831C1" w:rsidP="00FD5572">
            <w:pPr>
              <w:pStyle w:val="Tableunitsrow"/>
            </w:pPr>
            <w:r>
              <w:t xml:space="preserve">Australian average </w:t>
            </w:r>
          </w:p>
        </w:tc>
        <w:tc>
          <w:tcPr>
            <w:tcW w:w="1748" w:type="dxa"/>
            <w:tcBorders>
              <w:top w:val="single" w:sz="2" w:space="0" w:color="C0C0C0"/>
            </w:tcBorders>
            <w:shd w:val="solid" w:color="E6E6E6" w:fill="auto"/>
            <w:vAlign w:val="center"/>
          </w:tcPr>
          <w:p w14:paraId="31B38D6A" w14:textId="77777777" w:rsidR="005831C1" w:rsidRDefault="005831C1" w:rsidP="00FD5572">
            <w:pPr>
              <w:pStyle w:val="Tabletext"/>
              <w:jc w:val="center"/>
            </w:pPr>
            <w:r>
              <w:t>33%</w:t>
            </w:r>
          </w:p>
        </w:tc>
        <w:tc>
          <w:tcPr>
            <w:tcW w:w="1748" w:type="dxa"/>
            <w:tcBorders>
              <w:top w:val="single" w:sz="2" w:space="0" w:color="C0C0C0"/>
            </w:tcBorders>
            <w:shd w:val="solid" w:color="E6E6E6" w:fill="auto"/>
            <w:vAlign w:val="center"/>
          </w:tcPr>
          <w:p w14:paraId="5044E35D" w14:textId="77777777" w:rsidR="005831C1" w:rsidRDefault="005831C1" w:rsidP="00FD5572">
            <w:pPr>
              <w:pStyle w:val="Tabletext"/>
              <w:jc w:val="center"/>
            </w:pPr>
            <w:r>
              <w:t>17%</w:t>
            </w:r>
          </w:p>
        </w:tc>
        <w:tc>
          <w:tcPr>
            <w:tcW w:w="1748" w:type="dxa"/>
            <w:tcBorders>
              <w:top w:val="single" w:sz="2" w:space="0" w:color="C0C0C0"/>
            </w:tcBorders>
            <w:shd w:val="solid" w:color="E6E6E6" w:fill="auto"/>
            <w:vAlign w:val="center"/>
          </w:tcPr>
          <w:p w14:paraId="7DD3480A" w14:textId="77777777" w:rsidR="005831C1" w:rsidRDefault="005831C1" w:rsidP="00FD5572">
            <w:pPr>
              <w:pStyle w:val="Tabletext"/>
              <w:jc w:val="center"/>
            </w:pPr>
            <w:r>
              <w:t>10%</w:t>
            </w:r>
          </w:p>
        </w:tc>
      </w:tr>
      <w:tr w:rsidR="005831C1" w14:paraId="61C3F4D9" w14:textId="77777777" w:rsidTr="005831C1">
        <w:trPr>
          <w:cantSplit/>
        </w:trPr>
        <w:tc>
          <w:tcPr>
            <w:tcW w:w="2127" w:type="dxa"/>
            <w:shd w:val="clear" w:color="auto" w:fill="auto"/>
            <w:vAlign w:val="bottom"/>
          </w:tcPr>
          <w:p w14:paraId="0CFC7913" w14:textId="77777777" w:rsidR="005831C1" w:rsidRDefault="005831C1" w:rsidP="00FD5572">
            <w:pPr>
              <w:pStyle w:val="Tabletext"/>
            </w:pPr>
            <w:r>
              <w:t>Australian Capital Territory</w:t>
            </w:r>
          </w:p>
        </w:tc>
        <w:tc>
          <w:tcPr>
            <w:tcW w:w="1748" w:type="dxa"/>
            <w:shd w:val="clear" w:color="auto" w:fill="auto"/>
            <w:vAlign w:val="center"/>
          </w:tcPr>
          <w:p w14:paraId="4CBD7E88" w14:textId="77777777" w:rsidR="005831C1" w:rsidRDefault="005831C1" w:rsidP="00FD5572">
            <w:pPr>
              <w:pStyle w:val="Tabletext"/>
              <w:jc w:val="center"/>
            </w:pPr>
            <w:r>
              <w:t>37%</w:t>
            </w:r>
          </w:p>
        </w:tc>
        <w:tc>
          <w:tcPr>
            <w:tcW w:w="1748" w:type="dxa"/>
            <w:shd w:val="clear" w:color="auto" w:fill="auto"/>
            <w:vAlign w:val="center"/>
          </w:tcPr>
          <w:p w14:paraId="1CABFCD4" w14:textId="77777777" w:rsidR="005831C1" w:rsidRPr="00936AD3" w:rsidRDefault="005831C1" w:rsidP="00FD5572">
            <w:pPr>
              <w:pStyle w:val="Tabletext"/>
              <w:jc w:val="center"/>
              <w:rPr>
                <w:b/>
              </w:rPr>
            </w:pPr>
            <w:r w:rsidRPr="00936AD3">
              <w:rPr>
                <w:b/>
              </w:rPr>
              <w:t>11%</w:t>
            </w:r>
          </w:p>
        </w:tc>
        <w:tc>
          <w:tcPr>
            <w:tcW w:w="1748" w:type="dxa"/>
            <w:shd w:val="clear" w:color="auto" w:fill="auto"/>
            <w:vAlign w:val="center"/>
          </w:tcPr>
          <w:p w14:paraId="0D0F0731" w14:textId="77777777" w:rsidR="005831C1" w:rsidRPr="00D84D8F" w:rsidRDefault="005831C1" w:rsidP="00FD5572">
            <w:pPr>
              <w:pStyle w:val="Tabletext"/>
              <w:jc w:val="center"/>
              <w:rPr>
                <w:b/>
              </w:rPr>
            </w:pPr>
            <w:r w:rsidRPr="00D84D8F">
              <w:rPr>
                <w:b/>
              </w:rPr>
              <w:t>7%</w:t>
            </w:r>
          </w:p>
        </w:tc>
      </w:tr>
      <w:tr w:rsidR="005831C1" w14:paraId="0F7A2C99" w14:textId="77777777" w:rsidTr="005831C1">
        <w:trPr>
          <w:cantSplit/>
        </w:trPr>
        <w:tc>
          <w:tcPr>
            <w:tcW w:w="2127" w:type="dxa"/>
            <w:shd w:val="clear" w:color="auto" w:fill="auto"/>
            <w:vAlign w:val="bottom"/>
          </w:tcPr>
          <w:p w14:paraId="35950E49" w14:textId="77777777" w:rsidR="005831C1" w:rsidRDefault="005831C1" w:rsidP="00FD5572">
            <w:pPr>
              <w:pStyle w:val="Tabletext"/>
            </w:pPr>
            <w:r>
              <w:t>New South Wales</w:t>
            </w:r>
          </w:p>
        </w:tc>
        <w:tc>
          <w:tcPr>
            <w:tcW w:w="1748" w:type="dxa"/>
            <w:shd w:val="clear" w:color="auto" w:fill="auto"/>
            <w:vAlign w:val="center"/>
          </w:tcPr>
          <w:p w14:paraId="3251DE1D" w14:textId="77777777" w:rsidR="005831C1" w:rsidRDefault="005831C1" w:rsidP="00FD5572">
            <w:pPr>
              <w:pStyle w:val="Tabletext"/>
              <w:jc w:val="center"/>
            </w:pPr>
            <w:r>
              <w:t>32%</w:t>
            </w:r>
          </w:p>
        </w:tc>
        <w:tc>
          <w:tcPr>
            <w:tcW w:w="1748" w:type="dxa"/>
            <w:shd w:val="clear" w:color="auto" w:fill="auto"/>
            <w:vAlign w:val="center"/>
          </w:tcPr>
          <w:p w14:paraId="09C2BEFA" w14:textId="77777777" w:rsidR="005831C1" w:rsidRPr="00C91FB7" w:rsidRDefault="005831C1" w:rsidP="00FD5572">
            <w:pPr>
              <w:pStyle w:val="Tabletext"/>
              <w:jc w:val="center"/>
              <w:rPr>
                <w:b/>
              </w:rPr>
            </w:pPr>
            <w:r>
              <w:t>21%</w:t>
            </w:r>
          </w:p>
        </w:tc>
        <w:tc>
          <w:tcPr>
            <w:tcW w:w="1748" w:type="dxa"/>
            <w:shd w:val="clear" w:color="auto" w:fill="auto"/>
            <w:vAlign w:val="center"/>
          </w:tcPr>
          <w:p w14:paraId="0F253864" w14:textId="77777777" w:rsidR="005831C1" w:rsidRDefault="005831C1" w:rsidP="00FD5572">
            <w:pPr>
              <w:pStyle w:val="Tabletext"/>
              <w:jc w:val="center"/>
            </w:pPr>
            <w:r>
              <w:t>12%</w:t>
            </w:r>
          </w:p>
        </w:tc>
      </w:tr>
      <w:tr w:rsidR="005831C1" w14:paraId="27C9B34C" w14:textId="77777777" w:rsidTr="005831C1">
        <w:trPr>
          <w:cantSplit/>
        </w:trPr>
        <w:tc>
          <w:tcPr>
            <w:tcW w:w="2127" w:type="dxa"/>
            <w:shd w:val="clear" w:color="auto" w:fill="auto"/>
            <w:vAlign w:val="bottom"/>
          </w:tcPr>
          <w:p w14:paraId="5D0DB555" w14:textId="77777777" w:rsidR="005831C1" w:rsidRDefault="005831C1" w:rsidP="00FD5572">
            <w:pPr>
              <w:pStyle w:val="Tabletext"/>
            </w:pPr>
            <w:r>
              <w:t>Northern Territory</w:t>
            </w:r>
          </w:p>
        </w:tc>
        <w:tc>
          <w:tcPr>
            <w:tcW w:w="1748" w:type="dxa"/>
            <w:shd w:val="clear" w:color="auto" w:fill="auto"/>
            <w:vAlign w:val="center"/>
          </w:tcPr>
          <w:p w14:paraId="71F27037" w14:textId="77777777" w:rsidR="005831C1" w:rsidRDefault="005831C1" w:rsidP="00FD5572">
            <w:pPr>
              <w:pStyle w:val="Tabletext"/>
              <w:jc w:val="center"/>
            </w:pPr>
            <w:r>
              <w:t>46%</w:t>
            </w:r>
          </w:p>
        </w:tc>
        <w:tc>
          <w:tcPr>
            <w:tcW w:w="1748" w:type="dxa"/>
            <w:shd w:val="clear" w:color="auto" w:fill="auto"/>
            <w:vAlign w:val="center"/>
          </w:tcPr>
          <w:p w14:paraId="7CC7F539" w14:textId="77777777" w:rsidR="005831C1" w:rsidRDefault="005831C1" w:rsidP="00FD5572">
            <w:pPr>
              <w:pStyle w:val="Tabletext"/>
              <w:jc w:val="center"/>
            </w:pPr>
            <w:r>
              <w:t>21%</w:t>
            </w:r>
          </w:p>
        </w:tc>
        <w:tc>
          <w:tcPr>
            <w:tcW w:w="1748" w:type="dxa"/>
            <w:shd w:val="clear" w:color="auto" w:fill="auto"/>
            <w:vAlign w:val="center"/>
          </w:tcPr>
          <w:p w14:paraId="1E1786AB" w14:textId="77777777" w:rsidR="005831C1" w:rsidRPr="00E839B9" w:rsidRDefault="005831C1" w:rsidP="00FD5572">
            <w:pPr>
              <w:pStyle w:val="Tabletext"/>
              <w:jc w:val="center"/>
              <w:rPr>
                <w:b/>
              </w:rPr>
            </w:pPr>
            <w:r w:rsidRPr="00E839B9">
              <w:rPr>
                <w:b/>
              </w:rPr>
              <w:t>8%</w:t>
            </w:r>
          </w:p>
        </w:tc>
      </w:tr>
      <w:tr w:rsidR="005831C1" w14:paraId="35736B85" w14:textId="77777777" w:rsidTr="005831C1">
        <w:trPr>
          <w:cantSplit/>
        </w:trPr>
        <w:tc>
          <w:tcPr>
            <w:tcW w:w="2127" w:type="dxa"/>
            <w:shd w:val="clear" w:color="auto" w:fill="auto"/>
            <w:vAlign w:val="bottom"/>
          </w:tcPr>
          <w:p w14:paraId="7FF023A0" w14:textId="77777777" w:rsidR="005831C1" w:rsidRDefault="005831C1" w:rsidP="00FD5572">
            <w:pPr>
              <w:pStyle w:val="Tabletext"/>
            </w:pPr>
            <w:r>
              <w:t>Queensland</w:t>
            </w:r>
          </w:p>
        </w:tc>
        <w:tc>
          <w:tcPr>
            <w:tcW w:w="1748" w:type="dxa"/>
            <w:shd w:val="clear" w:color="auto" w:fill="auto"/>
            <w:vAlign w:val="center"/>
          </w:tcPr>
          <w:p w14:paraId="3A93BA18" w14:textId="77777777" w:rsidR="005831C1" w:rsidRPr="001212AE" w:rsidRDefault="005831C1" w:rsidP="00FD5572">
            <w:pPr>
              <w:pStyle w:val="Tabletext"/>
              <w:jc w:val="center"/>
              <w:rPr>
                <w:b/>
              </w:rPr>
            </w:pPr>
            <w:r>
              <w:t>31%</w:t>
            </w:r>
          </w:p>
        </w:tc>
        <w:tc>
          <w:tcPr>
            <w:tcW w:w="1748" w:type="dxa"/>
            <w:shd w:val="clear" w:color="auto" w:fill="auto"/>
            <w:vAlign w:val="center"/>
          </w:tcPr>
          <w:p w14:paraId="5057060E" w14:textId="77777777" w:rsidR="005831C1" w:rsidRPr="00936AD3" w:rsidRDefault="005831C1" w:rsidP="00FD5572">
            <w:pPr>
              <w:pStyle w:val="Tabletext"/>
              <w:jc w:val="center"/>
              <w:rPr>
                <w:b/>
              </w:rPr>
            </w:pPr>
            <w:r w:rsidRPr="00936AD3">
              <w:rPr>
                <w:b/>
              </w:rPr>
              <w:t>16%</w:t>
            </w:r>
          </w:p>
        </w:tc>
        <w:tc>
          <w:tcPr>
            <w:tcW w:w="1748" w:type="dxa"/>
            <w:shd w:val="clear" w:color="auto" w:fill="auto"/>
            <w:vAlign w:val="center"/>
          </w:tcPr>
          <w:p w14:paraId="35903109" w14:textId="77777777" w:rsidR="005831C1" w:rsidRPr="00E839B9" w:rsidRDefault="005831C1" w:rsidP="00FD5572">
            <w:pPr>
              <w:pStyle w:val="Tabletext"/>
              <w:jc w:val="center"/>
              <w:rPr>
                <w:b/>
              </w:rPr>
            </w:pPr>
            <w:r w:rsidRPr="00E839B9">
              <w:rPr>
                <w:b/>
              </w:rPr>
              <w:t>9%</w:t>
            </w:r>
          </w:p>
        </w:tc>
      </w:tr>
      <w:tr w:rsidR="005831C1" w14:paraId="3AD8BD0A" w14:textId="77777777" w:rsidTr="005831C1">
        <w:trPr>
          <w:cantSplit/>
        </w:trPr>
        <w:tc>
          <w:tcPr>
            <w:tcW w:w="2127" w:type="dxa"/>
            <w:shd w:val="clear" w:color="auto" w:fill="auto"/>
            <w:vAlign w:val="bottom"/>
          </w:tcPr>
          <w:p w14:paraId="27F0AD4E" w14:textId="77777777" w:rsidR="005831C1" w:rsidRDefault="005831C1" w:rsidP="00FD5572">
            <w:pPr>
              <w:pStyle w:val="Tabletext"/>
            </w:pPr>
            <w:r>
              <w:t>South Australia</w:t>
            </w:r>
          </w:p>
        </w:tc>
        <w:tc>
          <w:tcPr>
            <w:tcW w:w="1748" w:type="dxa"/>
            <w:shd w:val="clear" w:color="auto" w:fill="auto"/>
            <w:vAlign w:val="center"/>
          </w:tcPr>
          <w:p w14:paraId="57353EFC" w14:textId="77777777" w:rsidR="005831C1" w:rsidRPr="00C91FB7" w:rsidRDefault="005831C1" w:rsidP="00FD5572">
            <w:pPr>
              <w:pStyle w:val="Tabletext"/>
              <w:jc w:val="center"/>
              <w:rPr>
                <w:b/>
              </w:rPr>
            </w:pPr>
            <w:r>
              <w:t>33%</w:t>
            </w:r>
          </w:p>
        </w:tc>
        <w:tc>
          <w:tcPr>
            <w:tcW w:w="1748" w:type="dxa"/>
            <w:shd w:val="clear" w:color="auto" w:fill="auto"/>
            <w:vAlign w:val="center"/>
          </w:tcPr>
          <w:p w14:paraId="30BE257C" w14:textId="77777777" w:rsidR="005831C1" w:rsidRDefault="005831C1" w:rsidP="00FD5572">
            <w:pPr>
              <w:pStyle w:val="Tabletext"/>
              <w:jc w:val="center"/>
            </w:pPr>
            <w:r>
              <w:t>23%</w:t>
            </w:r>
          </w:p>
        </w:tc>
        <w:tc>
          <w:tcPr>
            <w:tcW w:w="1748" w:type="dxa"/>
            <w:shd w:val="clear" w:color="auto" w:fill="auto"/>
            <w:vAlign w:val="center"/>
          </w:tcPr>
          <w:p w14:paraId="09B0DB05" w14:textId="77777777" w:rsidR="005831C1" w:rsidRDefault="005831C1" w:rsidP="00FD5572">
            <w:pPr>
              <w:pStyle w:val="Tabletext"/>
              <w:jc w:val="center"/>
            </w:pPr>
            <w:r>
              <w:t>13%</w:t>
            </w:r>
          </w:p>
        </w:tc>
      </w:tr>
      <w:tr w:rsidR="005831C1" w14:paraId="435BEBCB" w14:textId="77777777" w:rsidTr="005831C1">
        <w:trPr>
          <w:cantSplit/>
        </w:trPr>
        <w:tc>
          <w:tcPr>
            <w:tcW w:w="2127" w:type="dxa"/>
            <w:tcBorders>
              <w:bottom w:val="single" w:sz="2" w:space="0" w:color="C0C0C0"/>
            </w:tcBorders>
            <w:shd w:val="clear" w:color="auto" w:fill="auto"/>
            <w:vAlign w:val="bottom"/>
          </w:tcPr>
          <w:p w14:paraId="27D8FCBE" w14:textId="77777777" w:rsidR="005831C1" w:rsidRDefault="005831C1" w:rsidP="00FD5572">
            <w:pPr>
              <w:pStyle w:val="Tabletext"/>
            </w:pPr>
            <w:r>
              <w:t>Tasmania</w:t>
            </w:r>
          </w:p>
        </w:tc>
        <w:tc>
          <w:tcPr>
            <w:tcW w:w="1748" w:type="dxa"/>
            <w:tcBorders>
              <w:bottom w:val="single" w:sz="2" w:space="0" w:color="C0C0C0"/>
            </w:tcBorders>
            <w:shd w:val="clear" w:color="auto" w:fill="auto"/>
            <w:vAlign w:val="center"/>
          </w:tcPr>
          <w:p w14:paraId="4A64C78F" w14:textId="77777777" w:rsidR="005831C1" w:rsidRPr="00C91FB7" w:rsidRDefault="005831C1" w:rsidP="00FD5572">
            <w:pPr>
              <w:pStyle w:val="Tabletext"/>
              <w:jc w:val="center"/>
              <w:rPr>
                <w:b/>
              </w:rPr>
            </w:pPr>
            <w:r>
              <w:t>32%</w:t>
            </w:r>
          </w:p>
        </w:tc>
        <w:tc>
          <w:tcPr>
            <w:tcW w:w="1748" w:type="dxa"/>
            <w:tcBorders>
              <w:bottom w:val="single" w:sz="2" w:space="0" w:color="C0C0C0"/>
            </w:tcBorders>
            <w:shd w:val="clear" w:color="auto" w:fill="auto"/>
            <w:vAlign w:val="center"/>
          </w:tcPr>
          <w:p w14:paraId="17489E2E" w14:textId="77777777" w:rsidR="005831C1" w:rsidRPr="00936AD3" w:rsidRDefault="005831C1" w:rsidP="00FD5572">
            <w:pPr>
              <w:pStyle w:val="Tabletext"/>
              <w:jc w:val="center"/>
              <w:rPr>
                <w:b/>
              </w:rPr>
            </w:pPr>
            <w:r w:rsidRPr="00936AD3">
              <w:rPr>
                <w:b/>
              </w:rPr>
              <w:t>8%</w:t>
            </w:r>
          </w:p>
        </w:tc>
        <w:tc>
          <w:tcPr>
            <w:tcW w:w="1748" w:type="dxa"/>
            <w:tcBorders>
              <w:bottom w:val="single" w:sz="2" w:space="0" w:color="C0C0C0"/>
            </w:tcBorders>
            <w:shd w:val="clear" w:color="auto" w:fill="auto"/>
            <w:vAlign w:val="center"/>
          </w:tcPr>
          <w:p w14:paraId="57E90D65" w14:textId="77777777" w:rsidR="005831C1" w:rsidRPr="00E839B9" w:rsidRDefault="005831C1" w:rsidP="00FD5572">
            <w:pPr>
              <w:pStyle w:val="Tabletext"/>
              <w:jc w:val="center"/>
              <w:rPr>
                <w:b/>
              </w:rPr>
            </w:pPr>
            <w:r w:rsidRPr="00E839B9">
              <w:rPr>
                <w:b/>
              </w:rPr>
              <w:t>4%</w:t>
            </w:r>
          </w:p>
        </w:tc>
      </w:tr>
      <w:tr w:rsidR="005831C1" w14:paraId="406EB676" w14:textId="77777777" w:rsidTr="005831C1">
        <w:trPr>
          <w:cantSplit/>
        </w:trPr>
        <w:tc>
          <w:tcPr>
            <w:tcW w:w="2127" w:type="dxa"/>
            <w:tcBorders>
              <w:bottom w:val="single" w:sz="2" w:space="0" w:color="C0C0C0"/>
            </w:tcBorders>
            <w:shd w:val="clear" w:color="auto" w:fill="auto"/>
            <w:vAlign w:val="bottom"/>
          </w:tcPr>
          <w:p w14:paraId="3871959A" w14:textId="77777777" w:rsidR="005831C1" w:rsidRDefault="005831C1" w:rsidP="00FD5572">
            <w:pPr>
              <w:pStyle w:val="Tabletext"/>
            </w:pPr>
            <w:r>
              <w:t>Victoria</w:t>
            </w:r>
          </w:p>
        </w:tc>
        <w:tc>
          <w:tcPr>
            <w:tcW w:w="1748" w:type="dxa"/>
            <w:tcBorders>
              <w:bottom w:val="single" w:sz="2" w:space="0" w:color="C0C0C0"/>
            </w:tcBorders>
            <w:shd w:val="clear" w:color="auto" w:fill="auto"/>
            <w:vAlign w:val="center"/>
          </w:tcPr>
          <w:p w14:paraId="7884FA07" w14:textId="77777777" w:rsidR="005831C1" w:rsidRDefault="005831C1" w:rsidP="00FD5572">
            <w:pPr>
              <w:pStyle w:val="Tabletext"/>
              <w:jc w:val="center"/>
            </w:pPr>
            <w:r>
              <w:t>34%</w:t>
            </w:r>
          </w:p>
        </w:tc>
        <w:tc>
          <w:tcPr>
            <w:tcW w:w="1748" w:type="dxa"/>
            <w:tcBorders>
              <w:bottom w:val="single" w:sz="2" w:space="0" w:color="C0C0C0"/>
            </w:tcBorders>
            <w:shd w:val="clear" w:color="auto" w:fill="auto"/>
            <w:vAlign w:val="center"/>
          </w:tcPr>
          <w:p w14:paraId="2078CA84" w14:textId="77777777" w:rsidR="005831C1" w:rsidRPr="00936AD3" w:rsidRDefault="005831C1" w:rsidP="00FD5572">
            <w:pPr>
              <w:pStyle w:val="Tabletext"/>
              <w:jc w:val="center"/>
              <w:rPr>
                <w:b/>
              </w:rPr>
            </w:pPr>
            <w:r w:rsidRPr="00936AD3">
              <w:rPr>
                <w:b/>
              </w:rPr>
              <w:t>15%</w:t>
            </w:r>
          </w:p>
        </w:tc>
        <w:tc>
          <w:tcPr>
            <w:tcW w:w="1748" w:type="dxa"/>
            <w:tcBorders>
              <w:bottom w:val="single" w:sz="2" w:space="0" w:color="C0C0C0"/>
            </w:tcBorders>
            <w:shd w:val="clear" w:color="auto" w:fill="auto"/>
            <w:vAlign w:val="center"/>
          </w:tcPr>
          <w:p w14:paraId="54FDFA0D" w14:textId="77777777" w:rsidR="005831C1" w:rsidRPr="00E839B9" w:rsidRDefault="005831C1" w:rsidP="00FD5572">
            <w:pPr>
              <w:pStyle w:val="Tabletext"/>
              <w:jc w:val="center"/>
              <w:rPr>
                <w:b/>
              </w:rPr>
            </w:pPr>
            <w:r w:rsidRPr="00E839B9">
              <w:rPr>
                <w:b/>
              </w:rPr>
              <w:t>9%</w:t>
            </w:r>
          </w:p>
        </w:tc>
      </w:tr>
      <w:tr w:rsidR="005831C1" w14:paraId="1AF95F74" w14:textId="77777777" w:rsidTr="005831C1">
        <w:trPr>
          <w:cantSplit/>
        </w:trPr>
        <w:tc>
          <w:tcPr>
            <w:tcW w:w="2127" w:type="dxa"/>
            <w:tcBorders>
              <w:top w:val="single" w:sz="2" w:space="0" w:color="C0C0C0"/>
              <w:bottom w:val="single" w:sz="2" w:space="0" w:color="999999"/>
            </w:tcBorders>
            <w:shd w:val="clear" w:color="auto" w:fill="auto"/>
            <w:vAlign w:val="bottom"/>
          </w:tcPr>
          <w:p w14:paraId="725A9219" w14:textId="77777777" w:rsidR="005831C1" w:rsidRDefault="005831C1" w:rsidP="00FD5572">
            <w:pPr>
              <w:pStyle w:val="Tabletext"/>
            </w:pPr>
            <w:r>
              <w:t>Western Australia</w:t>
            </w:r>
          </w:p>
        </w:tc>
        <w:tc>
          <w:tcPr>
            <w:tcW w:w="1748" w:type="dxa"/>
            <w:tcBorders>
              <w:top w:val="single" w:sz="2" w:space="0" w:color="C0C0C0"/>
              <w:bottom w:val="single" w:sz="2" w:space="0" w:color="999999"/>
            </w:tcBorders>
            <w:shd w:val="clear" w:color="auto" w:fill="auto"/>
            <w:vAlign w:val="center"/>
          </w:tcPr>
          <w:p w14:paraId="17A3C2FE" w14:textId="77777777" w:rsidR="005831C1" w:rsidRPr="001212AE" w:rsidRDefault="005831C1" w:rsidP="00FD5572">
            <w:pPr>
              <w:pStyle w:val="Tabletext"/>
              <w:jc w:val="center"/>
              <w:rPr>
                <w:b/>
              </w:rPr>
            </w:pPr>
            <w:r>
              <w:t>33%</w:t>
            </w:r>
          </w:p>
        </w:tc>
        <w:tc>
          <w:tcPr>
            <w:tcW w:w="1748" w:type="dxa"/>
            <w:tcBorders>
              <w:top w:val="single" w:sz="2" w:space="0" w:color="C0C0C0"/>
              <w:bottom w:val="single" w:sz="2" w:space="0" w:color="999999"/>
            </w:tcBorders>
            <w:shd w:val="clear" w:color="auto" w:fill="auto"/>
            <w:vAlign w:val="center"/>
          </w:tcPr>
          <w:p w14:paraId="007C5222" w14:textId="77777777" w:rsidR="005831C1" w:rsidRPr="00936AD3" w:rsidRDefault="005831C1" w:rsidP="00FD5572">
            <w:pPr>
              <w:pStyle w:val="Tabletext"/>
              <w:jc w:val="center"/>
              <w:rPr>
                <w:b/>
              </w:rPr>
            </w:pPr>
            <w:r w:rsidRPr="00936AD3">
              <w:rPr>
                <w:b/>
              </w:rPr>
              <w:t>15%</w:t>
            </w:r>
          </w:p>
        </w:tc>
        <w:tc>
          <w:tcPr>
            <w:tcW w:w="1748" w:type="dxa"/>
            <w:tcBorders>
              <w:top w:val="single" w:sz="2" w:space="0" w:color="C0C0C0"/>
              <w:bottom w:val="single" w:sz="2" w:space="0" w:color="999999"/>
            </w:tcBorders>
            <w:shd w:val="clear" w:color="auto" w:fill="auto"/>
            <w:vAlign w:val="center"/>
          </w:tcPr>
          <w:p w14:paraId="3C679D3F" w14:textId="77777777" w:rsidR="005831C1" w:rsidRPr="00E839B9" w:rsidRDefault="005831C1" w:rsidP="00FD5572">
            <w:pPr>
              <w:pStyle w:val="Tabletext"/>
              <w:jc w:val="center"/>
              <w:rPr>
                <w:b/>
              </w:rPr>
            </w:pPr>
            <w:r w:rsidRPr="00E839B9">
              <w:rPr>
                <w:b/>
              </w:rPr>
              <w:t>8%</w:t>
            </w:r>
          </w:p>
        </w:tc>
      </w:tr>
    </w:tbl>
    <w:p w14:paraId="6BCF92EB" w14:textId="7C72C8AD" w:rsidR="00232DAD" w:rsidRDefault="00232DAD" w:rsidP="005831C1">
      <w:pPr>
        <w:pStyle w:val="Note"/>
      </w:pPr>
      <w:r w:rsidRPr="00FD66DB">
        <w:rPr>
          <w:i/>
        </w:rPr>
        <w:t>Note:</w:t>
      </w:r>
      <w:r w:rsidRPr="00FD66DB">
        <w:t xml:space="preserve"> </w:t>
      </w:r>
      <w:r>
        <w:t xml:space="preserve">SEE referrals and commencements are totals for 2013-14. JSA clients are as at 30 September 2014. Below average </w:t>
      </w:r>
      <w:r w:rsidR="00147674">
        <w:t>SEE programme</w:t>
      </w:r>
      <w:r w:rsidR="006A28F2">
        <w:t xml:space="preserve"> </w:t>
      </w:r>
      <w:r>
        <w:t>proportions are bolded.</w:t>
      </w:r>
    </w:p>
    <w:p w14:paraId="154440E7" w14:textId="2B359AFD" w:rsidR="00232DAD" w:rsidRPr="00D84D8F" w:rsidRDefault="00232DAD" w:rsidP="005831C1">
      <w:pPr>
        <w:pStyle w:val="Source"/>
      </w:pPr>
      <w:r>
        <w:t>Source</w:t>
      </w:r>
      <w:r w:rsidRPr="00FD66DB">
        <w:rPr>
          <w:i/>
        </w:rPr>
        <w:t>:</w:t>
      </w:r>
      <w:r w:rsidR="007170F8" w:rsidRPr="007170F8">
        <w:t xml:space="preserve"> JSA </w:t>
      </w:r>
      <w:r w:rsidR="007A143E">
        <w:t>dataset</w:t>
      </w:r>
      <w:r w:rsidR="007170F8" w:rsidRPr="007170F8">
        <w:t>,</w:t>
      </w:r>
      <w:r w:rsidRPr="00FD66DB">
        <w:rPr>
          <w:i/>
        </w:rPr>
        <w:t xml:space="preserve"> </w:t>
      </w:r>
      <w:r w:rsidR="007A143E">
        <w:t>SEE programme</w:t>
      </w:r>
      <w:r w:rsidR="006A28F2">
        <w:t xml:space="preserve"> </w:t>
      </w:r>
      <w:r w:rsidR="007A143E">
        <w:t>dataset</w:t>
      </w:r>
      <w:r w:rsidR="00D84D8F">
        <w:t>, ABS Census</w:t>
      </w:r>
    </w:p>
    <w:p w14:paraId="767A9763" w14:textId="5A8996D9" w:rsidR="00232DAD" w:rsidRDefault="00A9515A" w:rsidP="00232DAD">
      <w:pPr>
        <w:pStyle w:val="BodyText"/>
      </w:pPr>
      <w:r>
        <w:t xml:space="preserve">It is possible that some of the inter-state differences in the referral and take up rates are the result of intrastate characteristics such as population dispersion. </w:t>
      </w:r>
      <w:r w:rsidR="00BD48FF">
        <w:fldChar w:fldCharType="begin"/>
      </w:r>
      <w:r w:rsidR="00BD48FF">
        <w:instrText xml:space="preserve"> REF _Ref408481775 \h </w:instrText>
      </w:r>
      <w:r w:rsidR="00BD48FF">
        <w:fldChar w:fldCharType="separate"/>
      </w:r>
      <w:r w:rsidR="00294A5A">
        <w:t xml:space="preserve">Table </w:t>
      </w:r>
      <w:r w:rsidR="00294A5A">
        <w:rPr>
          <w:noProof/>
        </w:rPr>
        <w:t>5</w:t>
      </w:r>
      <w:r w:rsidR="00BD48FF">
        <w:fldChar w:fldCharType="end"/>
      </w:r>
      <w:r w:rsidR="002C7DCA">
        <w:t xml:space="preserve"> </w:t>
      </w:r>
      <w:r w:rsidR="006659FE">
        <w:t xml:space="preserve">shows the </w:t>
      </w:r>
      <w:r w:rsidR="002C7DCA">
        <w:t>p</w:t>
      </w:r>
      <w:r w:rsidR="002C7DCA" w:rsidRPr="002C7DCA">
        <w:t xml:space="preserve">roportion of JSA clients with identified LLN needs and proportion referred to the </w:t>
      </w:r>
      <w:r w:rsidR="00147674">
        <w:t>SEE programme</w:t>
      </w:r>
      <w:r w:rsidR="006A28F2">
        <w:t xml:space="preserve"> </w:t>
      </w:r>
      <w:r w:rsidR="002C7DCA" w:rsidRPr="002C7DCA">
        <w:t>by ARIA remoteness index</w:t>
      </w:r>
      <w:r w:rsidR="006128F4">
        <w:t xml:space="preserve">. </w:t>
      </w:r>
      <w:r>
        <w:t>It shows that e</w:t>
      </w:r>
      <w:r w:rsidR="006128F4">
        <w:t xml:space="preserve">stimated referrals rates are </w:t>
      </w:r>
      <w:r w:rsidR="009D2927">
        <w:t>lowest</w:t>
      </w:r>
      <w:r w:rsidR="006128F4">
        <w:t xml:space="preserve"> in </w:t>
      </w:r>
      <w:r w:rsidR="009D2927">
        <w:t>Regional Australia, as are take up rates.</w:t>
      </w:r>
      <w:r w:rsidR="00553DE4">
        <w:t xml:space="preserve"> Very Remote Australia has a high referral rate and take up rate.</w:t>
      </w:r>
      <w:r>
        <w:t xml:space="preserve"> Having remote areas out-perform regional areas in terms of referrals and subsequent take up is an unexpected result.</w:t>
      </w:r>
    </w:p>
    <w:p w14:paraId="580E9704" w14:textId="6B6CE25D" w:rsidR="00232DAD" w:rsidRDefault="00232DAD" w:rsidP="005831C1">
      <w:pPr>
        <w:pStyle w:val="Caption"/>
        <w:keepLines/>
        <w:ind w:left="1247" w:hanging="1247"/>
      </w:pPr>
      <w:bookmarkStart w:id="65" w:name="_Ref408481775"/>
      <w:bookmarkStart w:id="66" w:name="_Toc420065501"/>
      <w:r>
        <w:t xml:space="preserve">Table </w:t>
      </w:r>
      <w:fldSimple w:instr=" SEQ Table \* MERGEFORMAT ">
        <w:r w:rsidR="00294A5A">
          <w:rPr>
            <w:noProof/>
          </w:rPr>
          <w:t>5</w:t>
        </w:r>
      </w:fldSimple>
      <w:bookmarkEnd w:id="65"/>
      <w:r w:rsidRPr="00FD66DB">
        <w:rPr>
          <w:b/>
          <w:color w:val="000000"/>
        </w:rPr>
        <w:tab/>
      </w:r>
      <w:r>
        <w:rPr>
          <w:rStyle w:val="CaptionLabel"/>
        </w:rPr>
        <w:t xml:space="preserve">Proportion of JSA clients with identified LLN needs and proportion referred to the </w:t>
      </w:r>
      <w:r w:rsidR="00147674">
        <w:rPr>
          <w:rStyle w:val="CaptionLabel"/>
        </w:rPr>
        <w:t>SEE programme</w:t>
      </w:r>
      <w:r w:rsidR="006A28F2">
        <w:rPr>
          <w:rStyle w:val="CaptionLabel"/>
        </w:rPr>
        <w:t xml:space="preserve"> </w:t>
      </w:r>
      <w:r>
        <w:rPr>
          <w:rStyle w:val="CaptionLabel"/>
        </w:rPr>
        <w:t>by ARIA remoteness index</w:t>
      </w:r>
      <w:bookmarkEnd w:id="66"/>
    </w:p>
    <w:tbl>
      <w:tblPr>
        <w:tblW w:w="4999" w:type="pct"/>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1985"/>
        <w:gridCol w:w="1795"/>
        <w:gridCol w:w="1795"/>
        <w:gridCol w:w="1796"/>
      </w:tblGrid>
      <w:tr w:rsidR="005831C1" w14:paraId="59020952" w14:textId="77777777" w:rsidTr="005831C1">
        <w:trPr>
          <w:cantSplit/>
        </w:trPr>
        <w:tc>
          <w:tcPr>
            <w:tcW w:w="1985" w:type="dxa"/>
            <w:tcBorders>
              <w:top w:val="nil"/>
              <w:bottom w:val="single" w:sz="2" w:space="0" w:color="C0C0C0"/>
            </w:tcBorders>
            <w:shd w:val="solid" w:color="9757A6" w:fill="auto"/>
            <w:vAlign w:val="center"/>
          </w:tcPr>
          <w:p w14:paraId="42C45D94" w14:textId="77777777" w:rsidR="005831C1" w:rsidRDefault="005831C1" w:rsidP="00FD5572">
            <w:pPr>
              <w:pStyle w:val="Tablecolumnheadings"/>
            </w:pPr>
          </w:p>
        </w:tc>
        <w:tc>
          <w:tcPr>
            <w:tcW w:w="1795" w:type="dxa"/>
            <w:tcBorders>
              <w:top w:val="nil"/>
              <w:bottom w:val="single" w:sz="2" w:space="0" w:color="C0C0C0"/>
            </w:tcBorders>
            <w:shd w:val="solid" w:color="9757A6" w:fill="auto"/>
            <w:vAlign w:val="center"/>
          </w:tcPr>
          <w:p w14:paraId="0246CA8A" w14:textId="77777777" w:rsidR="005831C1" w:rsidRDefault="005831C1" w:rsidP="00FD5572">
            <w:pPr>
              <w:pStyle w:val="Tablecolumnheadings"/>
              <w:jc w:val="center"/>
            </w:pPr>
            <w:r>
              <w:t>JSA clients with LLN needs</w:t>
            </w:r>
          </w:p>
        </w:tc>
        <w:tc>
          <w:tcPr>
            <w:tcW w:w="1795" w:type="dxa"/>
            <w:tcBorders>
              <w:top w:val="nil"/>
              <w:bottom w:val="single" w:sz="2" w:space="0" w:color="C0C0C0"/>
            </w:tcBorders>
            <w:shd w:val="solid" w:color="9757A6" w:fill="auto"/>
          </w:tcPr>
          <w:p w14:paraId="70D4C674" w14:textId="77777777" w:rsidR="005831C1" w:rsidRDefault="005831C1" w:rsidP="00FD5572">
            <w:pPr>
              <w:pStyle w:val="Tablecolumnheadings"/>
              <w:jc w:val="center"/>
            </w:pPr>
            <w:r w:rsidRPr="00FC24CA">
              <w:t>Proportion of JSA clients with LLN needs referred to SEE</w:t>
            </w:r>
          </w:p>
        </w:tc>
        <w:tc>
          <w:tcPr>
            <w:tcW w:w="1796" w:type="dxa"/>
            <w:tcBorders>
              <w:top w:val="nil"/>
              <w:bottom w:val="single" w:sz="2" w:space="0" w:color="C0C0C0"/>
            </w:tcBorders>
            <w:shd w:val="solid" w:color="9757A6" w:fill="auto"/>
          </w:tcPr>
          <w:p w14:paraId="2DCE446F" w14:textId="77777777" w:rsidR="005831C1" w:rsidRDefault="005831C1" w:rsidP="00FD5572">
            <w:pPr>
              <w:pStyle w:val="Tablecolumnheadings"/>
              <w:jc w:val="center"/>
            </w:pPr>
            <w:r w:rsidRPr="00FC24CA">
              <w:t>Proportion of JSA clients with LLN needs commencing SEE</w:t>
            </w:r>
          </w:p>
        </w:tc>
      </w:tr>
      <w:tr w:rsidR="005831C1" w14:paraId="509649C0" w14:textId="77777777" w:rsidTr="005831C1">
        <w:trPr>
          <w:cantSplit/>
        </w:trPr>
        <w:tc>
          <w:tcPr>
            <w:tcW w:w="1985" w:type="dxa"/>
            <w:tcBorders>
              <w:top w:val="single" w:sz="2" w:space="0" w:color="C0C0C0"/>
            </w:tcBorders>
            <w:shd w:val="solid" w:color="E6E6E6" w:fill="auto"/>
            <w:vAlign w:val="center"/>
          </w:tcPr>
          <w:p w14:paraId="3E2C8600" w14:textId="77777777" w:rsidR="005831C1" w:rsidRDefault="005831C1" w:rsidP="00FD5572">
            <w:pPr>
              <w:pStyle w:val="Tableunitsrow"/>
            </w:pPr>
            <w:r>
              <w:t xml:space="preserve">Australian average </w:t>
            </w:r>
          </w:p>
        </w:tc>
        <w:tc>
          <w:tcPr>
            <w:tcW w:w="1795" w:type="dxa"/>
            <w:tcBorders>
              <w:top w:val="single" w:sz="2" w:space="0" w:color="C0C0C0"/>
            </w:tcBorders>
            <w:shd w:val="solid" w:color="E6E6E6" w:fill="auto"/>
            <w:vAlign w:val="center"/>
          </w:tcPr>
          <w:p w14:paraId="4D1D8777" w14:textId="77777777" w:rsidR="005831C1" w:rsidRDefault="005831C1" w:rsidP="00FD5572">
            <w:pPr>
              <w:pStyle w:val="Tabletext"/>
              <w:jc w:val="center"/>
            </w:pPr>
            <w:r>
              <w:t>33%</w:t>
            </w:r>
          </w:p>
        </w:tc>
        <w:tc>
          <w:tcPr>
            <w:tcW w:w="1795" w:type="dxa"/>
            <w:tcBorders>
              <w:top w:val="single" w:sz="2" w:space="0" w:color="C0C0C0"/>
            </w:tcBorders>
            <w:shd w:val="solid" w:color="E6E6E6" w:fill="auto"/>
            <w:vAlign w:val="center"/>
          </w:tcPr>
          <w:p w14:paraId="00E2B56E" w14:textId="77777777" w:rsidR="005831C1" w:rsidRDefault="005831C1" w:rsidP="00FD5572">
            <w:pPr>
              <w:pStyle w:val="Tabletext"/>
              <w:jc w:val="center"/>
            </w:pPr>
            <w:r>
              <w:t>17%</w:t>
            </w:r>
          </w:p>
        </w:tc>
        <w:tc>
          <w:tcPr>
            <w:tcW w:w="1796" w:type="dxa"/>
            <w:tcBorders>
              <w:top w:val="single" w:sz="2" w:space="0" w:color="C0C0C0"/>
            </w:tcBorders>
            <w:shd w:val="solid" w:color="E6E6E6" w:fill="auto"/>
            <w:vAlign w:val="center"/>
          </w:tcPr>
          <w:p w14:paraId="1456DE3B" w14:textId="77777777" w:rsidR="005831C1" w:rsidRDefault="005831C1" w:rsidP="00FD5572">
            <w:pPr>
              <w:pStyle w:val="Tabletext"/>
              <w:jc w:val="center"/>
            </w:pPr>
            <w:r>
              <w:t>10%</w:t>
            </w:r>
          </w:p>
        </w:tc>
      </w:tr>
      <w:tr w:rsidR="005831C1" w14:paraId="6ED2BA7C" w14:textId="77777777" w:rsidTr="005831C1">
        <w:trPr>
          <w:cantSplit/>
        </w:trPr>
        <w:tc>
          <w:tcPr>
            <w:tcW w:w="1985" w:type="dxa"/>
            <w:shd w:val="clear" w:color="auto" w:fill="auto"/>
            <w:vAlign w:val="bottom"/>
          </w:tcPr>
          <w:p w14:paraId="30982CAF" w14:textId="77777777" w:rsidR="005831C1" w:rsidRDefault="005831C1" w:rsidP="00FD5572">
            <w:pPr>
              <w:pStyle w:val="Tabletext"/>
            </w:pPr>
            <w:r>
              <w:t>Major Cities of Australia</w:t>
            </w:r>
          </w:p>
        </w:tc>
        <w:tc>
          <w:tcPr>
            <w:tcW w:w="1795" w:type="dxa"/>
            <w:shd w:val="clear" w:color="auto" w:fill="auto"/>
          </w:tcPr>
          <w:p w14:paraId="58F6F88F" w14:textId="77777777" w:rsidR="005831C1" w:rsidRPr="001212AE" w:rsidRDefault="005831C1" w:rsidP="00FD5572">
            <w:pPr>
              <w:pStyle w:val="Tabletext"/>
              <w:jc w:val="center"/>
              <w:rPr>
                <w:b/>
              </w:rPr>
            </w:pPr>
            <w:r w:rsidRPr="00332C4A">
              <w:t>32%</w:t>
            </w:r>
          </w:p>
        </w:tc>
        <w:tc>
          <w:tcPr>
            <w:tcW w:w="1795" w:type="dxa"/>
            <w:shd w:val="clear" w:color="auto" w:fill="auto"/>
          </w:tcPr>
          <w:p w14:paraId="15AA6EA0" w14:textId="77777777" w:rsidR="005831C1" w:rsidRPr="00936AD3" w:rsidRDefault="005831C1" w:rsidP="00FD5572">
            <w:pPr>
              <w:pStyle w:val="Tabletext"/>
              <w:jc w:val="center"/>
              <w:rPr>
                <w:b/>
              </w:rPr>
            </w:pPr>
            <w:r w:rsidRPr="00332C4A">
              <w:t>20%</w:t>
            </w:r>
          </w:p>
        </w:tc>
        <w:tc>
          <w:tcPr>
            <w:tcW w:w="1796" w:type="dxa"/>
            <w:shd w:val="clear" w:color="auto" w:fill="auto"/>
          </w:tcPr>
          <w:p w14:paraId="4662C073" w14:textId="77777777" w:rsidR="005831C1" w:rsidRPr="00E839B9" w:rsidRDefault="005831C1" w:rsidP="00FD5572">
            <w:pPr>
              <w:pStyle w:val="Tabletext"/>
              <w:jc w:val="center"/>
              <w:rPr>
                <w:b/>
              </w:rPr>
            </w:pPr>
            <w:r w:rsidRPr="00332C4A">
              <w:t>12%</w:t>
            </w:r>
          </w:p>
        </w:tc>
      </w:tr>
      <w:tr w:rsidR="005831C1" w14:paraId="07167EAE" w14:textId="77777777" w:rsidTr="005831C1">
        <w:trPr>
          <w:cantSplit/>
        </w:trPr>
        <w:tc>
          <w:tcPr>
            <w:tcW w:w="1985" w:type="dxa"/>
            <w:shd w:val="clear" w:color="auto" w:fill="auto"/>
            <w:vAlign w:val="bottom"/>
          </w:tcPr>
          <w:p w14:paraId="2549218E" w14:textId="77777777" w:rsidR="005831C1" w:rsidRDefault="005831C1" w:rsidP="00FD5572">
            <w:pPr>
              <w:pStyle w:val="Tabletext"/>
            </w:pPr>
            <w:r>
              <w:t>Inner Regional Australia</w:t>
            </w:r>
          </w:p>
        </w:tc>
        <w:tc>
          <w:tcPr>
            <w:tcW w:w="1795" w:type="dxa"/>
            <w:shd w:val="clear" w:color="auto" w:fill="auto"/>
          </w:tcPr>
          <w:p w14:paraId="01991DD4" w14:textId="77777777" w:rsidR="005831C1" w:rsidRPr="00C91FB7" w:rsidRDefault="005831C1" w:rsidP="00FD5572">
            <w:pPr>
              <w:pStyle w:val="Tabletext"/>
              <w:jc w:val="center"/>
              <w:rPr>
                <w:b/>
              </w:rPr>
            </w:pPr>
            <w:r w:rsidRPr="00332C4A">
              <w:t>31%</w:t>
            </w:r>
          </w:p>
        </w:tc>
        <w:tc>
          <w:tcPr>
            <w:tcW w:w="1795" w:type="dxa"/>
            <w:shd w:val="clear" w:color="auto" w:fill="auto"/>
          </w:tcPr>
          <w:p w14:paraId="6A1A0E4D" w14:textId="77777777" w:rsidR="005831C1" w:rsidRPr="00741190" w:rsidRDefault="005831C1" w:rsidP="00FD5572">
            <w:pPr>
              <w:pStyle w:val="Tabletext"/>
              <w:jc w:val="center"/>
              <w:rPr>
                <w:b/>
              </w:rPr>
            </w:pPr>
            <w:r w:rsidRPr="00741190">
              <w:rPr>
                <w:b/>
              </w:rPr>
              <w:t>12%</w:t>
            </w:r>
          </w:p>
        </w:tc>
        <w:tc>
          <w:tcPr>
            <w:tcW w:w="1796" w:type="dxa"/>
            <w:shd w:val="clear" w:color="auto" w:fill="auto"/>
          </w:tcPr>
          <w:p w14:paraId="04A39A56" w14:textId="77777777" w:rsidR="005831C1" w:rsidRPr="00741190" w:rsidRDefault="005831C1" w:rsidP="00FD5572">
            <w:pPr>
              <w:pStyle w:val="Tabletext"/>
              <w:jc w:val="center"/>
              <w:rPr>
                <w:b/>
              </w:rPr>
            </w:pPr>
            <w:r w:rsidRPr="00741190">
              <w:rPr>
                <w:b/>
              </w:rPr>
              <w:t>6%</w:t>
            </w:r>
          </w:p>
        </w:tc>
      </w:tr>
      <w:tr w:rsidR="005831C1" w14:paraId="0C795083" w14:textId="77777777" w:rsidTr="005831C1">
        <w:trPr>
          <w:cantSplit/>
        </w:trPr>
        <w:tc>
          <w:tcPr>
            <w:tcW w:w="1985" w:type="dxa"/>
            <w:tcBorders>
              <w:bottom w:val="single" w:sz="2" w:space="0" w:color="C0C0C0"/>
            </w:tcBorders>
            <w:shd w:val="clear" w:color="auto" w:fill="auto"/>
            <w:vAlign w:val="bottom"/>
          </w:tcPr>
          <w:p w14:paraId="05069F6C" w14:textId="77777777" w:rsidR="005831C1" w:rsidRDefault="005831C1" w:rsidP="00FD5572">
            <w:pPr>
              <w:pStyle w:val="Tabletext"/>
            </w:pPr>
            <w:r>
              <w:t>Outer Regional Australia</w:t>
            </w:r>
          </w:p>
        </w:tc>
        <w:tc>
          <w:tcPr>
            <w:tcW w:w="1795" w:type="dxa"/>
            <w:tcBorders>
              <w:bottom w:val="single" w:sz="2" w:space="0" w:color="C0C0C0"/>
            </w:tcBorders>
            <w:shd w:val="clear" w:color="auto" w:fill="auto"/>
          </w:tcPr>
          <w:p w14:paraId="6A1EAD47" w14:textId="77777777" w:rsidR="005831C1" w:rsidRPr="00C91FB7" w:rsidRDefault="005831C1" w:rsidP="00FD5572">
            <w:pPr>
              <w:pStyle w:val="Tabletext"/>
              <w:jc w:val="center"/>
              <w:rPr>
                <w:b/>
              </w:rPr>
            </w:pPr>
            <w:r w:rsidRPr="00332C4A">
              <w:t>37%</w:t>
            </w:r>
          </w:p>
        </w:tc>
        <w:tc>
          <w:tcPr>
            <w:tcW w:w="1795" w:type="dxa"/>
            <w:tcBorders>
              <w:bottom w:val="single" w:sz="2" w:space="0" w:color="C0C0C0"/>
            </w:tcBorders>
            <w:shd w:val="clear" w:color="auto" w:fill="auto"/>
          </w:tcPr>
          <w:p w14:paraId="35EA5BBA" w14:textId="77777777" w:rsidR="005831C1" w:rsidRPr="00741190" w:rsidRDefault="005831C1" w:rsidP="00FD5572">
            <w:pPr>
              <w:pStyle w:val="Tabletext"/>
              <w:jc w:val="center"/>
              <w:rPr>
                <w:b/>
              </w:rPr>
            </w:pPr>
            <w:r w:rsidRPr="00741190">
              <w:rPr>
                <w:b/>
              </w:rPr>
              <w:t>11%</w:t>
            </w:r>
          </w:p>
        </w:tc>
        <w:tc>
          <w:tcPr>
            <w:tcW w:w="1796" w:type="dxa"/>
            <w:tcBorders>
              <w:bottom w:val="single" w:sz="2" w:space="0" w:color="C0C0C0"/>
            </w:tcBorders>
            <w:shd w:val="clear" w:color="auto" w:fill="auto"/>
          </w:tcPr>
          <w:p w14:paraId="7ACDCDBA" w14:textId="77777777" w:rsidR="005831C1" w:rsidRPr="00741190" w:rsidRDefault="005831C1" w:rsidP="00FD5572">
            <w:pPr>
              <w:pStyle w:val="Tabletext"/>
              <w:jc w:val="center"/>
              <w:rPr>
                <w:b/>
              </w:rPr>
            </w:pPr>
            <w:r w:rsidRPr="00741190">
              <w:rPr>
                <w:b/>
              </w:rPr>
              <w:t>5%</w:t>
            </w:r>
          </w:p>
        </w:tc>
      </w:tr>
      <w:tr w:rsidR="005831C1" w14:paraId="4CCA315B" w14:textId="77777777" w:rsidTr="005831C1">
        <w:trPr>
          <w:cantSplit/>
        </w:trPr>
        <w:tc>
          <w:tcPr>
            <w:tcW w:w="1985" w:type="dxa"/>
            <w:tcBorders>
              <w:bottom w:val="single" w:sz="2" w:space="0" w:color="C0C0C0"/>
            </w:tcBorders>
            <w:shd w:val="clear" w:color="auto" w:fill="auto"/>
            <w:vAlign w:val="bottom"/>
          </w:tcPr>
          <w:p w14:paraId="251278C6" w14:textId="77777777" w:rsidR="005831C1" w:rsidRDefault="005831C1" w:rsidP="00FD5572">
            <w:pPr>
              <w:pStyle w:val="Tabletext"/>
            </w:pPr>
            <w:r>
              <w:t>Remote Australia</w:t>
            </w:r>
          </w:p>
        </w:tc>
        <w:tc>
          <w:tcPr>
            <w:tcW w:w="1795" w:type="dxa"/>
            <w:tcBorders>
              <w:bottom w:val="single" w:sz="2" w:space="0" w:color="C0C0C0"/>
            </w:tcBorders>
            <w:shd w:val="clear" w:color="auto" w:fill="auto"/>
          </w:tcPr>
          <w:p w14:paraId="50B00CD6" w14:textId="77777777" w:rsidR="005831C1" w:rsidRDefault="005831C1" w:rsidP="00FD5572">
            <w:pPr>
              <w:pStyle w:val="Tabletext"/>
              <w:jc w:val="center"/>
            </w:pPr>
            <w:r w:rsidRPr="00332C4A">
              <w:t>44%</w:t>
            </w:r>
          </w:p>
        </w:tc>
        <w:tc>
          <w:tcPr>
            <w:tcW w:w="1795" w:type="dxa"/>
            <w:tcBorders>
              <w:bottom w:val="single" w:sz="2" w:space="0" w:color="C0C0C0"/>
            </w:tcBorders>
            <w:shd w:val="clear" w:color="auto" w:fill="auto"/>
          </w:tcPr>
          <w:p w14:paraId="0CE93D78" w14:textId="77777777" w:rsidR="005831C1" w:rsidRPr="00936AD3" w:rsidRDefault="005831C1" w:rsidP="00FD5572">
            <w:pPr>
              <w:pStyle w:val="Tabletext"/>
              <w:jc w:val="center"/>
              <w:rPr>
                <w:b/>
              </w:rPr>
            </w:pPr>
            <w:r w:rsidRPr="00332C4A">
              <w:t>17%</w:t>
            </w:r>
          </w:p>
        </w:tc>
        <w:tc>
          <w:tcPr>
            <w:tcW w:w="1796" w:type="dxa"/>
            <w:tcBorders>
              <w:bottom w:val="single" w:sz="2" w:space="0" w:color="C0C0C0"/>
            </w:tcBorders>
            <w:shd w:val="clear" w:color="auto" w:fill="auto"/>
          </w:tcPr>
          <w:p w14:paraId="6AE7E242" w14:textId="77777777" w:rsidR="005831C1" w:rsidRPr="00741190" w:rsidRDefault="005831C1" w:rsidP="00FD5572">
            <w:pPr>
              <w:pStyle w:val="Tabletext"/>
              <w:jc w:val="center"/>
              <w:rPr>
                <w:b/>
              </w:rPr>
            </w:pPr>
            <w:r w:rsidRPr="00741190">
              <w:rPr>
                <w:b/>
              </w:rPr>
              <w:t>8%</w:t>
            </w:r>
          </w:p>
        </w:tc>
      </w:tr>
      <w:tr w:rsidR="005831C1" w14:paraId="3C52A45B" w14:textId="77777777" w:rsidTr="005831C1">
        <w:trPr>
          <w:cantSplit/>
        </w:trPr>
        <w:tc>
          <w:tcPr>
            <w:tcW w:w="1985" w:type="dxa"/>
            <w:tcBorders>
              <w:top w:val="single" w:sz="2" w:space="0" w:color="C0C0C0"/>
              <w:bottom w:val="single" w:sz="2" w:space="0" w:color="999999"/>
            </w:tcBorders>
            <w:shd w:val="clear" w:color="auto" w:fill="auto"/>
            <w:vAlign w:val="bottom"/>
          </w:tcPr>
          <w:p w14:paraId="03D4615B" w14:textId="77777777" w:rsidR="005831C1" w:rsidRDefault="005831C1" w:rsidP="00FD5572">
            <w:pPr>
              <w:pStyle w:val="Tabletext"/>
            </w:pPr>
            <w:r>
              <w:t>Very Remote Australia</w:t>
            </w:r>
          </w:p>
        </w:tc>
        <w:tc>
          <w:tcPr>
            <w:tcW w:w="1795" w:type="dxa"/>
            <w:tcBorders>
              <w:top w:val="single" w:sz="2" w:space="0" w:color="C0C0C0"/>
              <w:bottom w:val="single" w:sz="2" w:space="0" w:color="999999"/>
            </w:tcBorders>
            <w:shd w:val="clear" w:color="auto" w:fill="auto"/>
          </w:tcPr>
          <w:p w14:paraId="05A785C0" w14:textId="77777777" w:rsidR="005831C1" w:rsidRPr="001212AE" w:rsidRDefault="005831C1" w:rsidP="00FD5572">
            <w:pPr>
              <w:pStyle w:val="Tabletext"/>
              <w:jc w:val="center"/>
              <w:rPr>
                <w:b/>
              </w:rPr>
            </w:pPr>
            <w:r w:rsidRPr="00332C4A">
              <w:t>37%</w:t>
            </w:r>
          </w:p>
        </w:tc>
        <w:tc>
          <w:tcPr>
            <w:tcW w:w="1795" w:type="dxa"/>
            <w:tcBorders>
              <w:top w:val="single" w:sz="2" w:space="0" w:color="C0C0C0"/>
              <w:bottom w:val="single" w:sz="2" w:space="0" w:color="999999"/>
            </w:tcBorders>
            <w:shd w:val="clear" w:color="auto" w:fill="auto"/>
          </w:tcPr>
          <w:p w14:paraId="06C2D83E" w14:textId="77777777" w:rsidR="005831C1" w:rsidRPr="00936AD3" w:rsidRDefault="005831C1" w:rsidP="00FD5572">
            <w:pPr>
              <w:pStyle w:val="Tabletext"/>
              <w:jc w:val="center"/>
              <w:rPr>
                <w:b/>
              </w:rPr>
            </w:pPr>
            <w:r w:rsidRPr="00332C4A">
              <w:t>26%</w:t>
            </w:r>
          </w:p>
        </w:tc>
        <w:tc>
          <w:tcPr>
            <w:tcW w:w="1796" w:type="dxa"/>
            <w:tcBorders>
              <w:top w:val="single" w:sz="2" w:space="0" w:color="C0C0C0"/>
              <w:bottom w:val="single" w:sz="2" w:space="0" w:color="999999"/>
            </w:tcBorders>
            <w:shd w:val="clear" w:color="auto" w:fill="auto"/>
          </w:tcPr>
          <w:p w14:paraId="7BEE6C8E" w14:textId="77777777" w:rsidR="005831C1" w:rsidRPr="00E839B9" w:rsidRDefault="005831C1" w:rsidP="00FD5572">
            <w:pPr>
              <w:pStyle w:val="Tabletext"/>
              <w:jc w:val="center"/>
              <w:rPr>
                <w:b/>
              </w:rPr>
            </w:pPr>
            <w:r w:rsidRPr="00332C4A">
              <w:t>12%</w:t>
            </w:r>
          </w:p>
        </w:tc>
      </w:tr>
    </w:tbl>
    <w:p w14:paraId="49780489" w14:textId="4B34FA54" w:rsidR="00232DAD" w:rsidRDefault="00232DAD" w:rsidP="005831C1">
      <w:pPr>
        <w:pStyle w:val="Note"/>
      </w:pPr>
      <w:r w:rsidRPr="00FD66DB">
        <w:rPr>
          <w:i/>
        </w:rPr>
        <w:t>Note:</w:t>
      </w:r>
      <w:r w:rsidRPr="00FD66DB">
        <w:t xml:space="preserve"> </w:t>
      </w:r>
      <w:r>
        <w:t xml:space="preserve">SEE referrals and commencements are totals for 2013-14. JSA clients are as at 30 September 2014. Below average </w:t>
      </w:r>
      <w:r w:rsidR="00147674">
        <w:t>SEE programme</w:t>
      </w:r>
      <w:r w:rsidR="006A28F2">
        <w:t xml:space="preserve"> </w:t>
      </w:r>
      <w:r>
        <w:t>proportions are bolded.</w:t>
      </w:r>
    </w:p>
    <w:p w14:paraId="1C52CE91" w14:textId="01DC4F0C" w:rsidR="00232DAD" w:rsidRDefault="00232DAD" w:rsidP="005831C1">
      <w:pPr>
        <w:pStyle w:val="Source"/>
      </w:pPr>
      <w:r>
        <w:t>Source</w:t>
      </w:r>
      <w:r w:rsidRPr="00FD66DB">
        <w:rPr>
          <w:i/>
        </w:rPr>
        <w:t xml:space="preserve">: </w:t>
      </w:r>
      <w:r w:rsidR="007170F8" w:rsidRPr="007170F8">
        <w:t xml:space="preserve">JSA </w:t>
      </w:r>
      <w:r w:rsidR="007A143E">
        <w:t>dataset</w:t>
      </w:r>
      <w:r w:rsidR="007170F8" w:rsidRPr="007170F8">
        <w:t>,</w:t>
      </w:r>
      <w:r w:rsidR="007170F8" w:rsidRPr="007170F8">
        <w:rPr>
          <w:i/>
        </w:rPr>
        <w:t xml:space="preserve"> </w:t>
      </w:r>
      <w:r w:rsidR="007A143E">
        <w:t>SEE programme</w:t>
      </w:r>
      <w:r w:rsidR="006A28F2">
        <w:t xml:space="preserve"> </w:t>
      </w:r>
      <w:r w:rsidR="007A143E">
        <w:t>dataset</w:t>
      </w:r>
      <w:r w:rsidR="00D84D8F">
        <w:t xml:space="preserve">, </w:t>
      </w:r>
      <w:r>
        <w:t>ABS Census</w:t>
      </w:r>
    </w:p>
    <w:p w14:paraId="2FCB5F80" w14:textId="5DC8AB57" w:rsidR="00DB2104" w:rsidRDefault="0005577F" w:rsidP="00D84D8F">
      <w:pPr>
        <w:pStyle w:val="BodyText"/>
      </w:pPr>
      <w:r>
        <w:t xml:space="preserve">Consistent with the data in </w:t>
      </w:r>
      <w:r>
        <w:fldChar w:fldCharType="begin"/>
      </w:r>
      <w:r>
        <w:instrText xml:space="preserve"> REF _Ref408481775 \h  \* MERGEFORMAT </w:instrText>
      </w:r>
      <w:r>
        <w:fldChar w:fldCharType="separate"/>
      </w:r>
      <w:r w:rsidR="00294A5A">
        <w:t>Table 5</w:t>
      </w:r>
      <w:r>
        <w:fldChar w:fldCharType="end"/>
      </w:r>
      <w:r>
        <w:t>, c</w:t>
      </w:r>
      <w:r w:rsidR="00DB2104">
        <w:t xml:space="preserve">onsultations for this evaluation indicate that some regional areas </w:t>
      </w:r>
      <w:r w:rsidR="00330A6F">
        <w:t xml:space="preserve">lack </w:t>
      </w:r>
      <w:r w:rsidR="00147674">
        <w:t>SEE programme</w:t>
      </w:r>
      <w:r w:rsidR="006A28F2">
        <w:t xml:space="preserve"> </w:t>
      </w:r>
      <w:r w:rsidR="00330A6F">
        <w:t xml:space="preserve">provision due to </w:t>
      </w:r>
      <w:r w:rsidR="00713797">
        <w:t xml:space="preserve">SEE </w:t>
      </w:r>
      <w:r w:rsidR="00330A6F">
        <w:t xml:space="preserve">providers seeing such provision as financially unviable. As discussed in Section </w:t>
      </w:r>
      <w:r w:rsidR="00330A6F">
        <w:fldChar w:fldCharType="begin"/>
      </w:r>
      <w:r w:rsidR="00330A6F">
        <w:instrText xml:space="preserve"> REF _Ref408565301 \r \h </w:instrText>
      </w:r>
      <w:r w:rsidR="00330A6F">
        <w:fldChar w:fldCharType="separate"/>
      </w:r>
      <w:r w:rsidR="00294A5A">
        <w:t>2.5</w:t>
      </w:r>
      <w:r w:rsidR="00330A6F">
        <w:fldChar w:fldCharType="end"/>
      </w:r>
      <w:r w:rsidR="00330A6F">
        <w:t>, providers set prices through a competitive tender and so the lack of provision in some regional areas is likely due to overly</w:t>
      </w:r>
      <w:r w:rsidR="00330A6F">
        <w:noBreakHyphen/>
        <w:t xml:space="preserve">competitive bidding by </w:t>
      </w:r>
      <w:r w:rsidR="002529AE">
        <w:t xml:space="preserve">relevant </w:t>
      </w:r>
      <w:r w:rsidR="00330A6F">
        <w:t>providers</w:t>
      </w:r>
      <w:r w:rsidR="002529AE">
        <w:t xml:space="preserve"> which ultimately struggle to provide training at the price they tender</w:t>
      </w:r>
      <w:r>
        <w:t>ed</w:t>
      </w:r>
      <w:r w:rsidR="00330A6F">
        <w:t>.</w:t>
      </w:r>
      <w:r w:rsidR="00A9515A">
        <w:t xml:space="preserve"> While this may explain a degree of under provision in regional areas compared to metropolitan areas, it does not </w:t>
      </w:r>
      <w:r>
        <w:t xml:space="preserve">fully </w:t>
      </w:r>
      <w:r w:rsidR="00A9515A">
        <w:t>explain the comparatively better performance in remote areas.</w:t>
      </w:r>
      <w:r w:rsidR="00330A6F">
        <w:t xml:space="preserve"> </w:t>
      </w:r>
    </w:p>
    <w:p w14:paraId="281B8EA3" w14:textId="039153F2" w:rsidR="00803A94" w:rsidRDefault="00803A94" w:rsidP="00D84D8F">
      <w:pPr>
        <w:pStyle w:val="BodyText"/>
      </w:pPr>
      <w:r>
        <w:t xml:space="preserve">An alternative explanation is that eligible job seekers have access to fewer training programmes in remote areas and </w:t>
      </w:r>
      <w:r w:rsidR="0005577F">
        <w:t xml:space="preserve">the </w:t>
      </w:r>
      <w:r>
        <w:t xml:space="preserve">SEE </w:t>
      </w:r>
      <w:r w:rsidR="0005577F">
        <w:t xml:space="preserve">programme </w:t>
      </w:r>
      <w:r>
        <w:t xml:space="preserve">therefore faces higher demand. In regional areas, eligible job seekers may be able to access </w:t>
      </w:r>
      <w:r w:rsidRPr="00BE67D9">
        <w:t>almost the same suite of programmes</w:t>
      </w:r>
      <w:r>
        <w:t xml:space="preserve"> as metropolitan areas, but the smaller population base means that there is lower net demand for programmes like SEE</w:t>
      </w:r>
      <w:r w:rsidR="00494DB5">
        <w:t>.</w:t>
      </w:r>
    </w:p>
    <w:p w14:paraId="443BD496" w14:textId="4F662582" w:rsidR="00DB2104" w:rsidRDefault="00330A6F" w:rsidP="00D84D8F">
      <w:pPr>
        <w:pStyle w:val="BodyText"/>
      </w:pPr>
      <w:r>
        <w:t xml:space="preserve">Public submissions received by the evaluation set out </w:t>
      </w:r>
      <w:r w:rsidR="004E2138">
        <w:t>providers’</w:t>
      </w:r>
      <w:r>
        <w:t xml:space="preserve"> views on </w:t>
      </w:r>
      <w:r w:rsidR="004E2138">
        <w:t>how</w:t>
      </w:r>
      <w:r>
        <w:t xml:space="preserve"> the multi</w:t>
      </w:r>
      <w:r>
        <w:noBreakHyphen/>
        <w:t>provider model can contribut</w:t>
      </w:r>
      <w:r w:rsidR="008417CA">
        <w:t>e</w:t>
      </w:r>
      <w:r>
        <w:t xml:space="preserve"> to issues of provision in regional areas. </w:t>
      </w:r>
    </w:p>
    <w:p w14:paraId="4657625F" w14:textId="77777777" w:rsidR="00DB2104" w:rsidRPr="00A9564A" w:rsidRDefault="00DB2104" w:rsidP="00DB2104">
      <w:pPr>
        <w:spacing w:before="60" w:after="60" w:line="220" w:lineRule="exact"/>
        <w:ind w:left="567" w:right="567"/>
        <w:rPr>
          <w:sz w:val="18"/>
          <w:szCs w:val="22"/>
          <w:lang w:eastAsia="en-AU"/>
        </w:rPr>
      </w:pPr>
      <w:r w:rsidRPr="00A9564A">
        <w:rPr>
          <w:sz w:val="18"/>
          <w:szCs w:val="22"/>
          <w:lang w:eastAsia="en-AU"/>
        </w:rPr>
        <w:t xml:space="preserve">Multi-provider model is appropriate in areas where referrals are high, or cannot be met by the existing provider. Where referrals are low, increasing competition and lowering market share places additional financial strain on the training provider.  </w:t>
      </w:r>
    </w:p>
    <w:p w14:paraId="2165B539" w14:textId="77777777" w:rsidR="00DB2104" w:rsidRPr="00A9564A" w:rsidRDefault="00DB2104" w:rsidP="00DB2104">
      <w:pPr>
        <w:spacing w:before="60" w:after="60" w:line="220" w:lineRule="exact"/>
        <w:ind w:left="567" w:right="567"/>
        <w:jc w:val="right"/>
        <w:rPr>
          <w:i/>
          <w:sz w:val="18"/>
          <w:szCs w:val="22"/>
          <w:lang w:eastAsia="en-AU"/>
        </w:rPr>
      </w:pPr>
      <w:r w:rsidRPr="00A9564A">
        <w:rPr>
          <w:i/>
          <w:sz w:val="18"/>
          <w:szCs w:val="22"/>
          <w:lang w:eastAsia="en-AU"/>
        </w:rPr>
        <w:t>– Chisholm Institute submission</w:t>
      </w:r>
    </w:p>
    <w:p w14:paraId="55E615F6" w14:textId="710F0D88" w:rsidR="00DB2104" w:rsidRPr="00A9564A" w:rsidRDefault="00DB2104" w:rsidP="00DB2104">
      <w:pPr>
        <w:spacing w:before="60" w:after="60" w:line="220" w:lineRule="exact"/>
        <w:ind w:left="567" w:right="567"/>
        <w:rPr>
          <w:sz w:val="18"/>
          <w:szCs w:val="22"/>
          <w:lang w:eastAsia="en-AU"/>
        </w:rPr>
      </w:pPr>
      <w:r w:rsidRPr="00A9564A">
        <w:rPr>
          <w:sz w:val="18"/>
          <w:szCs w:val="22"/>
          <w:lang w:eastAsia="en-AU"/>
        </w:rPr>
        <w:t xml:space="preserve">The </w:t>
      </w:r>
      <w:r w:rsidR="00CF7500" w:rsidRPr="00A9564A">
        <w:rPr>
          <w:sz w:val="18"/>
          <w:szCs w:val="22"/>
          <w:lang w:eastAsia="en-AU"/>
        </w:rPr>
        <w:t>multi</w:t>
      </w:r>
      <w:r w:rsidR="00CF7500">
        <w:rPr>
          <w:sz w:val="18"/>
          <w:szCs w:val="22"/>
          <w:lang w:eastAsia="en-AU"/>
        </w:rPr>
        <w:t>-</w:t>
      </w:r>
      <w:r w:rsidRPr="00A9564A">
        <w:rPr>
          <w:sz w:val="18"/>
          <w:szCs w:val="22"/>
          <w:lang w:eastAsia="en-AU"/>
        </w:rPr>
        <w:t>provider model is suitable where referrals to SEE are high and not able to be met by the current provider. It is difficult to establish as a second/new provider in competition with the original provider established in an SDA.</w:t>
      </w:r>
    </w:p>
    <w:p w14:paraId="76E5586E" w14:textId="77777777" w:rsidR="00DB2104" w:rsidRPr="00A9564A" w:rsidRDefault="00DB2104" w:rsidP="00DB2104">
      <w:pPr>
        <w:spacing w:before="60" w:after="60" w:line="220" w:lineRule="exact"/>
        <w:ind w:left="567" w:right="567"/>
        <w:jc w:val="right"/>
        <w:rPr>
          <w:i/>
          <w:sz w:val="18"/>
          <w:szCs w:val="22"/>
          <w:lang w:eastAsia="en-AU"/>
        </w:rPr>
      </w:pPr>
      <w:r w:rsidRPr="00A9564A">
        <w:rPr>
          <w:i/>
          <w:sz w:val="18"/>
          <w:szCs w:val="22"/>
          <w:lang w:eastAsia="en-AU"/>
        </w:rPr>
        <w:t>GoTAFE, Chisholm Institute and LfE joint submission</w:t>
      </w:r>
    </w:p>
    <w:p w14:paraId="577E5A89" w14:textId="69870F85" w:rsidR="00DB2104" w:rsidRPr="00A9564A" w:rsidRDefault="00DB2104" w:rsidP="00DB2104">
      <w:pPr>
        <w:spacing w:before="60" w:after="60" w:line="220" w:lineRule="exact"/>
        <w:ind w:left="567" w:right="567"/>
        <w:rPr>
          <w:sz w:val="18"/>
          <w:szCs w:val="22"/>
          <w:lang w:eastAsia="en-AU"/>
        </w:rPr>
      </w:pPr>
      <w:r w:rsidRPr="00A9564A">
        <w:rPr>
          <w:sz w:val="18"/>
          <w:szCs w:val="22"/>
          <w:lang w:eastAsia="en-AU"/>
        </w:rPr>
        <w:t xml:space="preserve">The new </w:t>
      </w:r>
      <w:r w:rsidR="00CF7500" w:rsidRPr="00A9564A">
        <w:rPr>
          <w:sz w:val="18"/>
          <w:szCs w:val="22"/>
          <w:lang w:eastAsia="en-AU"/>
        </w:rPr>
        <w:t>multi</w:t>
      </w:r>
      <w:r w:rsidR="00CF7500">
        <w:rPr>
          <w:sz w:val="18"/>
          <w:szCs w:val="22"/>
          <w:lang w:eastAsia="en-AU"/>
        </w:rPr>
        <w:t>-</w:t>
      </w:r>
      <w:r w:rsidRPr="00A9564A">
        <w:rPr>
          <w:sz w:val="18"/>
          <w:szCs w:val="22"/>
          <w:lang w:eastAsia="en-AU"/>
        </w:rPr>
        <w:t>provider business model is suitable for metropolitan delivery where there is a high number of referring agencies. This may not be the case in regional areas and there may be issues with insufficient numbers of referrals to the programme, to sustain business for SEE providers. However, there needs to be a balance struck because economies of scale provide better cost effectiveness in delivery.</w:t>
      </w:r>
    </w:p>
    <w:p w14:paraId="25642D3C" w14:textId="77777777" w:rsidR="00DB2104" w:rsidRPr="00A9564A" w:rsidRDefault="00DB2104" w:rsidP="00DB2104">
      <w:pPr>
        <w:spacing w:before="60" w:after="60" w:line="220" w:lineRule="exact"/>
        <w:ind w:left="567" w:right="567"/>
        <w:jc w:val="right"/>
        <w:rPr>
          <w:i/>
          <w:sz w:val="18"/>
          <w:szCs w:val="22"/>
          <w:lang w:eastAsia="en-AU"/>
        </w:rPr>
      </w:pPr>
      <w:r w:rsidRPr="00A9564A">
        <w:rPr>
          <w:i/>
          <w:sz w:val="18"/>
          <w:szCs w:val="22"/>
          <w:lang w:eastAsia="en-AU"/>
        </w:rPr>
        <w:t>– SEE provider confidential submission</w:t>
      </w:r>
    </w:p>
    <w:p w14:paraId="0F282D1E" w14:textId="3D5A55CD" w:rsidR="00DB2104" w:rsidRPr="00330A6F" w:rsidRDefault="00330A6F" w:rsidP="00D84D8F">
      <w:pPr>
        <w:pStyle w:val="BodyText"/>
      </w:pPr>
      <w:r>
        <w:t xml:space="preserve">This issue is discussed further in Section </w:t>
      </w:r>
      <w:r w:rsidR="00CA50B7">
        <w:fldChar w:fldCharType="begin"/>
      </w:r>
      <w:r w:rsidR="00CA50B7">
        <w:instrText xml:space="preserve"> REF _Ref408769437 \r \h </w:instrText>
      </w:r>
      <w:r w:rsidR="00CA50B7">
        <w:fldChar w:fldCharType="separate"/>
      </w:r>
      <w:r w:rsidR="00294A5A">
        <w:t>7.2.1</w:t>
      </w:r>
      <w:r w:rsidR="00CA50B7">
        <w:fldChar w:fldCharType="end"/>
      </w:r>
      <w:r>
        <w:t xml:space="preserve">.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92439D" w14:paraId="21FAA2FF" w14:textId="77777777" w:rsidTr="00F842C5">
        <w:tc>
          <w:tcPr>
            <w:tcW w:w="5000" w:type="pct"/>
            <w:shd w:val="pct12" w:color="auto" w:fill="auto"/>
          </w:tcPr>
          <w:p w14:paraId="135794F8" w14:textId="77777777" w:rsidR="0092439D" w:rsidRDefault="0092439D" w:rsidP="00F842C5">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2</w:t>
            </w:r>
            <w:r w:rsidR="006A2396">
              <w:rPr>
                <w:noProof/>
              </w:rPr>
              <w:fldChar w:fldCharType="end"/>
            </w:r>
          </w:p>
        </w:tc>
      </w:tr>
      <w:tr w:rsidR="0092439D" w14:paraId="5E23F0E7" w14:textId="77777777" w:rsidTr="00F842C5">
        <w:tc>
          <w:tcPr>
            <w:tcW w:w="5000" w:type="pct"/>
            <w:shd w:val="pct12" w:color="auto" w:fill="auto"/>
          </w:tcPr>
          <w:p w14:paraId="274BCD41" w14:textId="77777777" w:rsidR="0092439D" w:rsidRDefault="002529AE" w:rsidP="00F842C5">
            <w:pPr>
              <w:pStyle w:val="BoxText"/>
            </w:pPr>
            <w:r>
              <w:t>Referral and take up rates differ by state/territory. Estimated referral rates are higher than average in SA, NSW and NT. Tasmania has a particularly low estimated take up rate.</w:t>
            </w:r>
          </w:p>
          <w:p w14:paraId="220E0E6E" w14:textId="71B1112A" w:rsidR="002529AE" w:rsidRDefault="002529AE" w:rsidP="00F842C5">
            <w:pPr>
              <w:pStyle w:val="BoxText"/>
            </w:pPr>
            <w:r>
              <w:t xml:space="preserve">Estimated referrals rates are lowest in Regional Australia, as are take up rates. </w:t>
            </w:r>
          </w:p>
          <w:p w14:paraId="104C674F" w14:textId="77777777" w:rsidR="0092439D" w:rsidRPr="00090BC6" w:rsidRDefault="0092439D" w:rsidP="00F842C5">
            <w:pPr>
              <w:pStyle w:val="SmallDeltasRightAligned"/>
            </w:pPr>
            <w:r w:rsidRPr="00090BC6">
              <w:rPr>
                <w:noProof/>
                <w:lang w:eastAsia="en-AU"/>
              </w:rPr>
              <w:drawing>
                <wp:inline distT="0" distB="0" distL="0" distR="0" wp14:anchorId="356306BB" wp14:editId="33060262">
                  <wp:extent cx="481585" cy="23469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2439D" w14:paraId="0BF7B271" w14:textId="77777777" w:rsidTr="00F842C5">
        <w:trPr>
          <w:trHeight w:hRule="exact" w:val="80"/>
        </w:trPr>
        <w:tc>
          <w:tcPr>
            <w:tcW w:w="5000" w:type="pct"/>
            <w:shd w:val="pct12" w:color="auto" w:fill="auto"/>
          </w:tcPr>
          <w:p w14:paraId="23DDB865" w14:textId="77777777" w:rsidR="0092439D" w:rsidRDefault="0092439D" w:rsidP="00F842C5">
            <w:pPr>
              <w:spacing w:before="160"/>
            </w:pPr>
            <w:r>
              <w:t xml:space="preserve"> </w:t>
            </w:r>
          </w:p>
        </w:tc>
      </w:tr>
    </w:tbl>
    <w:p w14:paraId="388551EC" w14:textId="77777777" w:rsidR="008B3804" w:rsidRDefault="008B3804" w:rsidP="008B3804">
      <w:pPr>
        <w:pStyle w:val="Heading3"/>
      </w:pPr>
      <w:bookmarkStart w:id="67" w:name="_Ref408512683"/>
      <w:r>
        <w:t>The referral process</w:t>
      </w:r>
      <w:bookmarkEnd w:id="67"/>
    </w:p>
    <w:p w14:paraId="6DA49F67" w14:textId="16F9F17F" w:rsidR="004F3D61" w:rsidRPr="00F156EF" w:rsidRDefault="00CA50B7" w:rsidP="008B3804">
      <w:pPr>
        <w:pStyle w:val="BodyText"/>
      </w:pPr>
      <w:r>
        <w:fldChar w:fldCharType="begin"/>
      </w:r>
      <w:r>
        <w:instrText xml:space="preserve"> REF _Ref408769402 \h </w:instrText>
      </w:r>
      <w:r>
        <w:fldChar w:fldCharType="separate"/>
      </w:r>
      <w:r w:rsidR="00294A5A">
        <w:t xml:space="preserve">Figure </w:t>
      </w:r>
      <w:r w:rsidR="00294A5A">
        <w:rPr>
          <w:noProof/>
        </w:rPr>
        <w:t>8</w:t>
      </w:r>
      <w:r>
        <w:fldChar w:fldCharType="end"/>
      </w:r>
      <w:r w:rsidR="002529AE">
        <w:t xml:space="preserve"> provides an overview of the referral process. It shows that of the potential clients referred to the </w:t>
      </w:r>
      <w:r w:rsidR="00147674">
        <w:t>SEE programme</w:t>
      </w:r>
      <w:r w:rsidR="002529AE">
        <w:t>, 72 per cent attend a PTA</w:t>
      </w:r>
      <w:r w:rsidR="004F3D61">
        <w:t xml:space="preserve"> and 68 per cent </w:t>
      </w:r>
      <w:r w:rsidR="00494DB5">
        <w:t>are</w:t>
      </w:r>
      <w:r w:rsidR="004F3D61">
        <w:t xml:space="preserve"> recommended for training. Of the total referred to the </w:t>
      </w:r>
      <w:r w:rsidR="00147674">
        <w:t>SEE programme</w:t>
      </w:r>
      <w:r w:rsidR="004F3D61">
        <w:t>, 57 per cent commence training. The most significant drop off point in this process is the PTA</w:t>
      </w:r>
      <w:r w:rsidR="00494DB5">
        <w:t>,</w:t>
      </w:r>
      <w:r w:rsidR="004F3D61">
        <w:t xml:space="preserve"> with 28 per cent of referrals not attending their PTA.</w:t>
      </w:r>
    </w:p>
    <w:p w14:paraId="5F8415FF" w14:textId="77777777" w:rsidR="008B3804" w:rsidRDefault="008B3804" w:rsidP="008B3804">
      <w:pPr>
        <w:pStyle w:val="Caption"/>
      </w:pPr>
      <w:bookmarkStart w:id="68" w:name="_Ref408769402"/>
      <w:bookmarkStart w:id="69" w:name="_Toc420065468"/>
      <w:r>
        <w:t xml:space="preserve">Figure </w:t>
      </w:r>
      <w:r w:rsidR="006A2396">
        <w:fldChar w:fldCharType="begin"/>
      </w:r>
      <w:r w:rsidR="006A2396">
        <w:instrText xml:space="preserve"> SEQ Figure \* ARABIC </w:instrText>
      </w:r>
      <w:r w:rsidR="006A2396">
        <w:fldChar w:fldCharType="separate"/>
      </w:r>
      <w:r w:rsidR="00294A5A">
        <w:rPr>
          <w:noProof/>
        </w:rPr>
        <w:t>8</w:t>
      </w:r>
      <w:r w:rsidR="006A2396">
        <w:rPr>
          <w:noProof/>
        </w:rPr>
        <w:fldChar w:fldCharType="end"/>
      </w:r>
      <w:bookmarkEnd w:id="68"/>
      <w:r w:rsidRPr="004E0C91">
        <w:rPr>
          <w:b/>
          <w:color w:val="000080"/>
        </w:rPr>
        <w:tab/>
      </w:r>
      <w:r>
        <w:rPr>
          <w:rStyle w:val="CaptionLabel"/>
        </w:rPr>
        <w:t>Proportion of referrals leading to a commencement</w:t>
      </w:r>
      <w:bookmarkEnd w:id="69"/>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8B3804" w14:paraId="40918C5A" w14:textId="77777777" w:rsidTr="00FD5572">
        <w:trPr>
          <w:cantSplit/>
        </w:trPr>
        <w:tc>
          <w:tcPr>
            <w:tcW w:w="5000" w:type="pct"/>
          </w:tcPr>
          <w:p w14:paraId="694CC0E9" w14:textId="77777777" w:rsidR="008B3804" w:rsidRDefault="008B3804" w:rsidP="00FD5572">
            <w:pPr>
              <w:pStyle w:val="SmallDeltasRightAligned"/>
              <w:keepNext/>
            </w:pPr>
            <w:r>
              <w:rPr>
                <w:noProof/>
                <w:lang w:eastAsia="en-AU"/>
              </w:rPr>
              <w:drawing>
                <wp:inline distT="0" distB="0" distL="0" distR="0" wp14:anchorId="08964A43" wp14:editId="08ABABF5">
                  <wp:extent cx="481585" cy="23469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8B3804" w14:paraId="764A8CC0" w14:textId="77777777" w:rsidTr="00FD5572">
        <w:tblPrEx>
          <w:tblCellMar>
            <w:left w:w="108" w:type="dxa"/>
            <w:right w:w="108" w:type="dxa"/>
          </w:tblCellMar>
        </w:tblPrEx>
        <w:trPr>
          <w:cantSplit/>
        </w:trPr>
        <w:tc>
          <w:tcPr>
            <w:tcW w:w="5000" w:type="pct"/>
          </w:tcPr>
          <w:p w14:paraId="2AC22D24" w14:textId="77777777" w:rsidR="008B3804" w:rsidRDefault="008B3804" w:rsidP="00FD5572">
            <w:pPr>
              <w:pStyle w:val="Figure"/>
            </w:pPr>
            <w:r>
              <w:rPr>
                <w:noProof/>
                <w:lang w:eastAsia="en-AU"/>
              </w:rPr>
              <w:drawing>
                <wp:inline distT="0" distB="0" distL="0" distR="0" wp14:anchorId="3CF091A6" wp14:editId="74105742">
                  <wp:extent cx="4607763" cy="2361241"/>
                  <wp:effectExtent l="0" t="0" r="254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11836" cy="2363328"/>
                          </a:xfrm>
                          <a:prstGeom prst="rect">
                            <a:avLst/>
                          </a:prstGeom>
                          <a:noFill/>
                        </pic:spPr>
                      </pic:pic>
                    </a:graphicData>
                  </a:graphic>
                </wp:inline>
              </w:drawing>
            </w:r>
          </w:p>
        </w:tc>
      </w:tr>
    </w:tbl>
    <w:p w14:paraId="25069751" w14:textId="2A355361" w:rsidR="008B3804" w:rsidRDefault="008B3804" w:rsidP="008B3804">
      <w:pPr>
        <w:pStyle w:val="Note"/>
      </w:pPr>
      <w:r>
        <w:rPr>
          <w:i/>
        </w:rPr>
        <w:t>Note:</w:t>
      </w:r>
      <w:r>
        <w:t xml:space="preserve"> </w:t>
      </w:r>
      <w:r w:rsidR="005E301F">
        <w:t xml:space="preserve">Based on analysis of </w:t>
      </w:r>
      <w:r w:rsidR="00147674">
        <w:t>SEE programme</w:t>
      </w:r>
      <w:r w:rsidR="006A28F2">
        <w:t xml:space="preserve"> </w:t>
      </w:r>
      <w:r>
        <w:t xml:space="preserve">clients referred to the </w:t>
      </w:r>
      <w:r w:rsidR="00C53CB2">
        <w:t>p</w:t>
      </w:r>
      <w:r>
        <w:t>rogramme in 2010-11 – 2013-14.</w:t>
      </w:r>
    </w:p>
    <w:p w14:paraId="08E7B1C1" w14:textId="718F8D51" w:rsidR="008B3804" w:rsidRPr="00B50A1B" w:rsidRDefault="008B3804" w:rsidP="008B3804">
      <w:pPr>
        <w:pStyle w:val="Source"/>
        <w:rPr>
          <w:i/>
        </w:rPr>
      </w:pPr>
      <w:r>
        <w:t>S</w:t>
      </w:r>
      <w:r w:rsidRPr="00B50A1B">
        <w:t>ource:</w:t>
      </w:r>
      <w:r w:rsidRPr="00954EED">
        <w:t xml:space="preserve"> </w:t>
      </w:r>
      <w:r w:rsidR="007A143E">
        <w:t>SEE programme</w:t>
      </w:r>
      <w:r w:rsidR="006A28F2">
        <w:t xml:space="preserve"> </w:t>
      </w:r>
      <w:r w:rsidR="007A143E">
        <w:t>dataset</w:t>
      </w:r>
    </w:p>
    <w:p w14:paraId="2A40F79B" w14:textId="0F0DD8E1" w:rsidR="00131FE6" w:rsidRDefault="00131FE6" w:rsidP="00131FE6">
      <w:pPr>
        <w:pStyle w:val="BodyText"/>
      </w:pPr>
      <w:r>
        <w:t xml:space="preserve">While clients who are withdrawn from the programme have 12 weeks to recommence without a new referral required, it should be noted that around 30 per cent of clients referred to the </w:t>
      </w:r>
      <w:r w:rsidR="00147674">
        <w:t>SEE programme</w:t>
      </w:r>
      <w:r>
        <w:t xml:space="preserve"> are referred more than once </w:t>
      </w:r>
      <w:r w:rsidR="00763DDC">
        <w:t>(</w:t>
      </w:r>
      <w:r w:rsidR="00621400">
        <w:fldChar w:fldCharType="begin"/>
      </w:r>
      <w:r w:rsidR="00621400">
        <w:instrText xml:space="preserve"> REF _Ref408768927 \h </w:instrText>
      </w:r>
      <w:r w:rsidR="00621400">
        <w:fldChar w:fldCharType="separate"/>
      </w:r>
      <w:r w:rsidR="00294A5A">
        <w:t xml:space="preserve">Figure </w:t>
      </w:r>
      <w:r w:rsidR="00294A5A">
        <w:rPr>
          <w:noProof/>
        </w:rPr>
        <w:t>9</w:t>
      </w:r>
      <w:r w:rsidR="00621400">
        <w:fldChar w:fldCharType="end"/>
      </w:r>
      <w:r w:rsidR="00763DDC">
        <w:t xml:space="preserve">). </w:t>
      </w:r>
      <w:r>
        <w:t>There are numerous reasons why clients may be referred more than once including that:</w:t>
      </w:r>
    </w:p>
    <w:p w14:paraId="1967BBAC" w14:textId="0660B777" w:rsidR="00131FE6" w:rsidRDefault="00131FE6" w:rsidP="00FD3600">
      <w:pPr>
        <w:pStyle w:val="ListDash"/>
      </w:pPr>
      <w:r>
        <w:t xml:space="preserve">Clients moving SDAs must be referred to the programme again in cases where their current SEE provider does not operate in the destination SDA </w:t>
      </w:r>
    </w:p>
    <w:p w14:paraId="3B976F1B" w14:textId="5EA4D11E" w:rsidR="00131FE6" w:rsidRDefault="00131FE6" w:rsidP="00FD3600">
      <w:pPr>
        <w:pStyle w:val="ListDash"/>
      </w:pPr>
      <w:r>
        <w:t xml:space="preserve">Clients may withdraw from the programme (for more than 12 weeks) for non-ongoing work and wish to re-enter </w:t>
      </w:r>
    </w:p>
    <w:p w14:paraId="3B8E2C6F" w14:textId="2278491C" w:rsidR="00131FE6" w:rsidRDefault="00131FE6" w:rsidP="00FD3600">
      <w:pPr>
        <w:pStyle w:val="ListDash"/>
      </w:pPr>
      <w:r>
        <w:t xml:space="preserve">Clients may fail to attend the programme for longer term health or personal reasons, but wish to </w:t>
      </w:r>
      <w:r w:rsidR="00757900">
        <w:t>re-enter</w:t>
      </w:r>
      <w:r>
        <w:t xml:space="preserve"> the programme more than 12 weeks after being withdrawn.</w:t>
      </w:r>
    </w:p>
    <w:p w14:paraId="79592C7A" w14:textId="2B2D58E2" w:rsidR="00131FE6" w:rsidRDefault="00131FE6" w:rsidP="00131FE6">
      <w:pPr>
        <w:pStyle w:val="BodyText"/>
      </w:pPr>
      <w:r>
        <w:t>With a third of clients experiencing the referral process more than once, it is important that the process be as streamlined as possible. Otherwise</w:t>
      </w:r>
      <w:r w:rsidR="0005577F">
        <w:t>,</w:t>
      </w:r>
      <w:r>
        <w:t xml:space="preserve"> clients who rely on the referral process more than once may become discouraged and not re-commence in the </w:t>
      </w:r>
      <w:r w:rsidR="00147674">
        <w:t>SEE programme</w:t>
      </w:r>
      <w:r>
        <w:t>.</w:t>
      </w:r>
    </w:p>
    <w:p w14:paraId="55DB775D" w14:textId="77777777" w:rsidR="006C76B6" w:rsidRDefault="006C76B6" w:rsidP="006C76B6">
      <w:pPr>
        <w:pStyle w:val="Caption"/>
      </w:pPr>
      <w:bookmarkStart w:id="70" w:name="_Ref408768927"/>
      <w:bookmarkStart w:id="71" w:name="_Toc420065469"/>
      <w:r>
        <w:t xml:space="preserve">Figure </w:t>
      </w:r>
      <w:r w:rsidR="006A2396">
        <w:fldChar w:fldCharType="begin"/>
      </w:r>
      <w:r w:rsidR="006A2396">
        <w:instrText xml:space="preserve"> SEQ Figure \* ARABIC </w:instrText>
      </w:r>
      <w:r w:rsidR="006A2396">
        <w:fldChar w:fldCharType="separate"/>
      </w:r>
      <w:r w:rsidR="00294A5A">
        <w:rPr>
          <w:noProof/>
        </w:rPr>
        <w:t>9</w:t>
      </w:r>
      <w:r w:rsidR="006A2396">
        <w:rPr>
          <w:noProof/>
        </w:rPr>
        <w:fldChar w:fldCharType="end"/>
      </w:r>
      <w:bookmarkEnd w:id="70"/>
      <w:r w:rsidRPr="004E0C91">
        <w:rPr>
          <w:b/>
          <w:color w:val="000080"/>
        </w:rPr>
        <w:tab/>
      </w:r>
      <w:r>
        <w:rPr>
          <w:rStyle w:val="CaptionLabel"/>
        </w:rPr>
        <w:t>Number of referrals per individual over 2010-11 – 2013-14</w:t>
      </w:r>
      <w:bookmarkEnd w:id="71"/>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6C76B6" w14:paraId="2ABE134F" w14:textId="77777777" w:rsidTr="00F468F7">
        <w:trPr>
          <w:cantSplit/>
        </w:trPr>
        <w:tc>
          <w:tcPr>
            <w:tcW w:w="5000" w:type="pct"/>
          </w:tcPr>
          <w:p w14:paraId="5F7F1E66" w14:textId="77777777" w:rsidR="006C76B6" w:rsidRDefault="006C76B6" w:rsidP="00F468F7">
            <w:pPr>
              <w:pStyle w:val="SmallDeltasRightAligned"/>
              <w:keepNext/>
            </w:pPr>
            <w:r>
              <w:rPr>
                <w:noProof/>
                <w:lang w:eastAsia="en-AU"/>
              </w:rPr>
              <w:drawing>
                <wp:inline distT="0" distB="0" distL="0" distR="0" wp14:anchorId="31F06388" wp14:editId="6E272940">
                  <wp:extent cx="481585" cy="2346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6C76B6" w14:paraId="2DB1187A" w14:textId="77777777" w:rsidTr="00F468F7">
        <w:tblPrEx>
          <w:tblCellMar>
            <w:left w:w="108" w:type="dxa"/>
            <w:right w:w="108" w:type="dxa"/>
          </w:tblCellMar>
        </w:tblPrEx>
        <w:trPr>
          <w:cantSplit/>
        </w:trPr>
        <w:tc>
          <w:tcPr>
            <w:tcW w:w="5000" w:type="pct"/>
          </w:tcPr>
          <w:p w14:paraId="58F798E3" w14:textId="77777777" w:rsidR="006C76B6" w:rsidRDefault="006C76B6" w:rsidP="00F468F7">
            <w:pPr>
              <w:pStyle w:val="Figure"/>
            </w:pPr>
            <w:r>
              <w:rPr>
                <w:noProof/>
                <w:lang w:eastAsia="en-AU"/>
              </w:rPr>
              <w:drawing>
                <wp:inline distT="0" distB="0" distL="0" distR="0" wp14:anchorId="6F667C13" wp14:editId="33538F8B">
                  <wp:extent cx="4543425" cy="272605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14:paraId="7E04DC41" w14:textId="109ACD1F" w:rsidR="006C76B6" w:rsidRDefault="006C76B6" w:rsidP="006C76B6">
      <w:pPr>
        <w:pStyle w:val="Note"/>
      </w:pPr>
      <w:r>
        <w:rPr>
          <w:i/>
        </w:rPr>
        <w:t>Note:</w:t>
      </w:r>
      <w:r>
        <w:t xml:space="preserve"> </w:t>
      </w:r>
      <w:r w:rsidR="00147674">
        <w:t>SEE programme</w:t>
      </w:r>
      <w:r w:rsidR="006A28F2">
        <w:t xml:space="preserve"> </w:t>
      </w:r>
      <w:r>
        <w:t>clients that were referred in 2010-11 – 2013-14.</w:t>
      </w:r>
    </w:p>
    <w:p w14:paraId="1B82A4F3" w14:textId="7136559E" w:rsidR="006C76B6" w:rsidRPr="00B50A1B" w:rsidRDefault="006C76B6" w:rsidP="006C76B6">
      <w:pPr>
        <w:pStyle w:val="Source"/>
        <w:rPr>
          <w:i/>
        </w:rPr>
      </w:pPr>
      <w:r>
        <w:t>S</w:t>
      </w:r>
      <w:r w:rsidRPr="00B50A1B">
        <w:t>ource:</w:t>
      </w:r>
      <w:r w:rsidRPr="00954EED">
        <w:t xml:space="preserve"> </w:t>
      </w:r>
      <w:r w:rsidR="007A143E">
        <w:t>SEE programme</w:t>
      </w:r>
      <w:r w:rsidR="006A28F2">
        <w:t xml:space="preserve"> </w:t>
      </w:r>
      <w:r w:rsidR="007A143E">
        <w:t>dataset</w:t>
      </w:r>
    </w:p>
    <w:p w14:paraId="7DFEB126" w14:textId="1DBBDF87" w:rsidR="008B3804" w:rsidRDefault="00621400" w:rsidP="008B3804">
      <w:pPr>
        <w:pStyle w:val="BodyText"/>
      </w:pPr>
      <w:r>
        <w:fldChar w:fldCharType="begin"/>
      </w:r>
      <w:r>
        <w:instrText xml:space="preserve"> REF _Ref408768941 \h </w:instrText>
      </w:r>
      <w:r>
        <w:fldChar w:fldCharType="separate"/>
      </w:r>
      <w:r w:rsidR="00294A5A">
        <w:t xml:space="preserve">Figure </w:t>
      </w:r>
      <w:r w:rsidR="00294A5A">
        <w:rPr>
          <w:noProof/>
        </w:rPr>
        <w:t>10</w:t>
      </w:r>
      <w:r>
        <w:fldChar w:fldCharType="end"/>
      </w:r>
      <w:r w:rsidR="00953126">
        <w:t xml:space="preserve"> shows the average number of days it takes for clients to attend a PTA after being referred, and the average number of days it takes clients to commence the </w:t>
      </w:r>
      <w:r w:rsidR="00147674">
        <w:t>SEE programme</w:t>
      </w:r>
      <w:r w:rsidR="006A28F2">
        <w:t xml:space="preserve"> </w:t>
      </w:r>
      <w:r w:rsidR="00953126">
        <w:t xml:space="preserve">after attending a PTA and being recommended for training. </w:t>
      </w:r>
    </w:p>
    <w:p w14:paraId="2EDF0BD2" w14:textId="0B1A2C97" w:rsidR="00953126" w:rsidRDefault="00953126" w:rsidP="008B3804">
      <w:pPr>
        <w:pStyle w:val="BodyText"/>
      </w:pPr>
      <w:r>
        <w:t>Both of these measures h</w:t>
      </w:r>
      <w:r w:rsidR="007170F8">
        <w:t>a</w:t>
      </w:r>
      <w:r>
        <w:t>ve been trending down since 2010-11</w:t>
      </w:r>
      <w:r w:rsidR="00EB06E6">
        <w:t xml:space="preserve"> with the average time from referral to PTA current</w:t>
      </w:r>
      <w:r w:rsidR="007170F8">
        <w:t>ly</w:t>
      </w:r>
      <w:r w:rsidR="00EB06E6">
        <w:t xml:space="preserve"> around eight days, and the average time from PTA to commencement around 10 days.</w:t>
      </w:r>
    </w:p>
    <w:p w14:paraId="3DD54B6F" w14:textId="4B7AF989" w:rsidR="00E621EF" w:rsidRDefault="00E621EF" w:rsidP="008B3804">
      <w:pPr>
        <w:pStyle w:val="BodyText"/>
      </w:pPr>
      <w:r>
        <w:t xml:space="preserve">The improvement in these data is likely a positive for the </w:t>
      </w:r>
      <w:r w:rsidR="00147674">
        <w:t>SEE programme</w:t>
      </w:r>
      <w:r w:rsidR="006A28F2">
        <w:t xml:space="preserve"> </w:t>
      </w:r>
      <w:r>
        <w:t>as an efficient referral</w:t>
      </w:r>
      <w:r>
        <w:noBreakHyphen/>
        <w:t>to</w:t>
      </w:r>
      <w:r>
        <w:noBreakHyphen/>
        <w:t xml:space="preserve">commencement process </w:t>
      </w:r>
      <w:r w:rsidR="006C76B6">
        <w:t xml:space="preserve">decreases the chance potential clients will drop off between referral and commencement. </w:t>
      </w:r>
    </w:p>
    <w:p w14:paraId="3ABBBA7D" w14:textId="77777777" w:rsidR="008B3804" w:rsidRDefault="008B3804" w:rsidP="008B3804">
      <w:pPr>
        <w:pStyle w:val="Caption"/>
      </w:pPr>
      <w:bookmarkStart w:id="72" w:name="_Ref408768941"/>
      <w:bookmarkStart w:id="73" w:name="_Toc420065470"/>
      <w:r>
        <w:t xml:space="preserve">Figure </w:t>
      </w:r>
      <w:r w:rsidR="006A2396">
        <w:fldChar w:fldCharType="begin"/>
      </w:r>
      <w:r w:rsidR="006A2396">
        <w:instrText xml:space="preserve"> SEQ Figure \* ARABIC </w:instrText>
      </w:r>
      <w:r w:rsidR="006A2396">
        <w:fldChar w:fldCharType="separate"/>
      </w:r>
      <w:r w:rsidR="00294A5A">
        <w:rPr>
          <w:noProof/>
        </w:rPr>
        <w:t>10</w:t>
      </w:r>
      <w:r w:rsidR="006A2396">
        <w:rPr>
          <w:noProof/>
        </w:rPr>
        <w:fldChar w:fldCharType="end"/>
      </w:r>
      <w:bookmarkEnd w:id="72"/>
      <w:r w:rsidRPr="004E0C91">
        <w:rPr>
          <w:b/>
          <w:color w:val="000080"/>
        </w:rPr>
        <w:tab/>
      </w:r>
      <w:r>
        <w:rPr>
          <w:rStyle w:val="CaptionLabel"/>
        </w:rPr>
        <w:t>Average days from referral to PTA and from PTA to commencement</w:t>
      </w:r>
      <w:bookmarkEnd w:id="73"/>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8B3804" w14:paraId="2244C9D6" w14:textId="77777777" w:rsidTr="00FD5572">
        <w:trPr>
          <w:cantSplit/>
        </w:trPr>
        <w:tc>
          <w:tcPr>
            <w:tcW w:w="5000" w:type="pct"/>
          </w:tcPr>
          <w:p w14:paraId="4EEE2D18" w14:textId="77777777" w:rsidR="008B3804" w:rsidRDefault="008B3804" w:rsidP="00FD5572">
            <w:pPr>
              <w:pStyle w:val="SmallDeltasRightAligned"/>
              <w:keepNext/>
            </w:pPr>
            <w:r>
              <w:rPr>
                <w:noProof/>
                <w:lang w:eastAsia="en-AU"/>
              </w:rPr>
              <w:drawing>
                <wp:inline distT="0" distB="0" distL="0" distR="0" wp14:anchorId="6E5F9650" wp14:editId="64166C81">
                  <wp:extent cx="481585" cy="234696"/>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8B3804" w14:paraId="4A7E6FAA" w14:textId="77777777" w:rsidTr="00FD5572">
        <w:tblPrEx>
          <w:tblCellMar>
            <w:left w:w="108" w:type="dxa"/>
            <w:right w:w="108" w:type="dxa"/>
          </w:tblCellMar>
        </w:tblPrEx>
        <w:trPr>
          <w:cantSplit/>
        </w:trPr>
        <w:tc>
          <w:tcPr>
            <w:tcW w:w="5000" w:type="pct"/>
          </w:tcPr>
          <w:p w14:paraId="43FFE198" w14:textId="77777777" w:rsidR="008B3804" w:rsidRDefault="008B3804" w:rsidP="00FD5572">
            <w:pPr>
              <w:pStyle w:val="Figure"/>
            </w:pPr>
            <w:r>
              <w:rPr>
                <w:noProof/>
                <w:lang w:eastAsia="en-AU"/>
              </w:rPr>
              <w:drawing>
                <wp:inline distT="0" distB="0" distL="0" distR="0" wp14:anchorId="4B4D6B00" wp14:editId="27B68829">
                  <wp:extent cx="4572000" cy="2743200"/>
                  <wp:effectExtent l="0" t="0" r="0" b="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6F8EB8BA" w14:textId="4054A19A" w:rsidR="008B3804" w:rsidRDefault="008B3804" w:rsidP="008B3804">
      <w:pPr>
        <w:pStyle w:val="Note"/>
      </w:pPr>
      <w:r>
        <w:rPr>
          <w:i/>
        </w:rPr>
        <w:t>Note:</w:t>
      </w:r>
      <w:r>
        <w:t xml:space="preserve"> </w:t>
      </w:r>
      <w:r w:rsidR="00147674">
        <w:t>SEE programme</w:t>
      </w:r>
      <w:r w:rsidR="006A28F2">
        <w:t xml:space="preserve"> </w:t>
      </w:r>
      <w:r>
        <w:t>referrals during 2010-11 – 2013-14.</w:t>
      </w:r>
    </w:p>
    <w:p w14:paraId="5151ADF5" w14:textId="5523F4F7" w:rsidR="008B3804" w:rsidRDefault="008B3804" w:rsidP="008B3804">
      <w:pPr>
        <w:pStyle w:val="Source"/>
      </w:pPr>
      <w:r>
        <w:t>S</w:t>
      </w:r>
      <w:r w:rsidRPr="00B50A1B">
        <w:t>ource:</w:t>
      </w:r>
      <w:r w:rsidRPr="00954EED">
        <w:t xml:space="preserve"> </w:t>
      </w:r>
      <w:r w:rsidR="007A143E">
        <w:t>SEE programme</w:t>
      </w:r>
      <w:r w:rsidR="006A28F2">
        <w:t xml:space="preserve"> </w:t>
      </w:r>
      <w:r w:rsidR="007A143E">
        <w:t>dataset</w:t>
      </w:r>
    </w:p>
    <w:p w14:paraId="458B698B" w14:textId="77777777" w:rsidR="00D84D8F" w:rsidRPr="00D84D8F" w:rsidRDefault="00D84D8F" w:rsidP="00D84D8F">
      <w:pPr>
        <w:pStyle w:val="BodyText"/>
      </w:pP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D84D8F" w14:paraId="547D77E7" w14:textId="77777777" w:rsidTr="00F468F7">
        <w:tc>
          <w:tcPr>
            <w:tcW w:w="5000" w:type="pct"/>
            <w:shd w:val="pct12" w:color="auto" w:fill="auto"/>
          </w:tcPr>
          <w:p w14:paraId="105CD5A9" w14:textId="77777777" w:rsidR="00D84D8F" w:rsidRDefault="00D84D8F" w:rsidP="00F468F7">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3</w:t>
            </w:r>
            <w:r w:rsidR="006A2396">
              <w:rPr>
                <w:noProof/>
              </w:rPr>
              <w:fldChar w:fldCharType="end"/>
            </w:r>
          </w:p>
        </w:tc>
      </w:tr>
      <w:tr w:rsidR="00D84D8F" w14:paraId="5A113A52" w14:textId="77777777" w:rsidTr="00F468F7">
        <w:tc>
          <w:tcPr>
            <w:tcW w:w="5000" w:type="pct"/>
            <w:shd w:val="pct12" w:color="auto" w:fill="auto"/>
          </w:tcPr>
          <w:p w14:paraId="6C6DCC01" w14:textId="673A03C3" w:rsidR="00D84D8F" w:rsidRDefault="007170F8" w:rsidP="00F468F7">
            <w:pPr>
              <w:pStyle w:val="BoxText"/>
            </w:pPr>
            <w:r>
              <w:t xml:space="preserve">Of </w:t>
            </w:r>
            <w:r w:rsidRPr="007170F8">
              <w:t xml:space="preserve">the potential clients referred to the </w:t>
            </w:r>
            <w:r w:rsidR="00147674">
              <w:t>SEE programme</w:t>
            </w:r>
            <w:r w:rsidRPr="007170F8">
              <w:t xml:space="preserve">, 72 per cent attend a PTA and 68 per cent </w:t>
            </w:r>
            <w:r w:rsidR="00D5632E">
              <w:t>are</w:t>
            </w:r>
            <w:r w:rsidRPr="007170F8">
              <w:t xml:space="preserve"> recommended for training</w:t>
            </w:r>
            <w:r w:rsidR="00EF1042">
              <w:t>;</w:t>
            </w:r>
            <w:r w:rsidR="00621400">
              <w:t xml:space="preserve"> </w:t>
            </w:r>
            <w:r w:rsidR="00EF1042">
              <w:t>o</w:t>
            </w:r>
            <w:r w:rsidRPr="007170F8">
              <w:t xml:space="preserve">f the total referred to the </w:t>
            </w:r>
            <w:r w:rsidR="00147674">
              <w:t>SEE programme</w:t>
            </w:r>
            <w:r w:rsidRPr="007170F8">
              <w:t xml:space="preserve">, 57 per cent </w:t>
            </w:r>
            <w:r w:rsidR="00EF1042">
              <w:t xml:space="preserve">subsequently </w:t>
            </w:r>
            <w:r w:rsidRPr="007170F8">
              <w:t>commence training.</w:t>
            </w:r>
          </w:p>
          <w:p w14:paraId="4B384291" w14:textId="5F7997F9" w:rsidR="007170F8" w:rsidRDefault="007170F8" w:rsidP="00F468F7">
            <w:pPr>
              <w:pStyle w:val="BoxText"/>
            </w:pPr>
            <w:r>
              <w:t xml:space="preserve">Around 30 per cent of clients referred to the </w:t>
            </w:r>
            <w:r w:rsidR="00147674">
              <w:t>SEE programme</w:t>
            </w:r>
            <w:r w:rsidR="006A28F2">
              <w:t xml:space="preserve"> </w:t>
            </w:r>
            <w:r>
              <w:t>are referred more than once</w:t>
            </w:r>
            <w:r w:rsidR="00EF1042">
              <w:t xml:space="preserve">, but there </w:t>
            </w:r>
            <w:r w:rsidR="00A45593">
              <w:t xml:space="preserve">are </w:t>
            </w:r>
            <w:r w:rsidR="00EF1042">
              <w:t>insufficient data to reveal whether the reasons for re-referral are based on client need or administrative necessity</w:t>
            </w:r>
            <w:r>
              <w:t>.</w:t>
            </w:r>
          </w:p>
          <w:p w14:paraId="485E866C" w14:textId="77777777" w:rsidR="007170F8" w:rsidRDefault="007170F8" w:rsidP="00F468F7">
            <w:pPr>
              <w:pStyle w:val="BoxText"/>
            </w:pPr>
            <w:r>
              <w:t>The average time from referral to PTA is currently around eight days, and the average time from PTA to commencement around 10 days. Both of these measures have fallen over recent years, likely having a positive impact on take up.</w:t>
            </w:r>
          </w:p>
          <w:p w14:paraId="6D57BD97" w14:textId="77777777" w:rsidR="00D84D8F" w:rsidRPr="00090BC6" w:rsidRDefault="00D84D8F" w:rsidP="00F468F7">
            <w:pPr>
              <w:pStyle w:val="SmallDeltasRightAligned"/>
            </w:pPr>
            <w:r w:rsidRPr="00090BC6">
              <w:rPr>
                <w:noProof/>
                <w:lang w:eastAsia="en-AU"/>
              </w:rPr>
              <w:drawing>
                <wp:inline distT="0" distB="0" distL="0" distR="0" wp14:anchorId="76C9DFC3" wp14:editId="399A3201">
                  <wp:extent cx="481585" cy="2346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D84D8F" w14:paraId="6785C87B" w14:textId="77777777" w:rsidTr="00F468F7">
        <w:trPr>
          <w:trHeight w:hRule="exact" w:val="80"/>
        </w:trPr>
        <w:tc>
          <w:tcPr>
            <w:tcW w:w="5000" w:type="pct"/>
            <w:shd w:val="pct12" w:color="auto" w:fill="auto"/>
          </w:tcPr>
          <w:p w14:paraId="61F74E5A" w14:textId="77777777" w:rsidR="00D84D8F" w:rsidRDefault="00D84D8F" w:rsidP="00F468F7">
            <w:pPr>
              <w:spacing w:before="160"/>
            </w:pPr>
            <w:r>
              <w:t xml:space="preserve"> </w:t>
            </w:r>
          </w:p>
        </w:tc>
      </w:tr>
    </w:tbl>
    <w:p w14:paraId="12690535" w14:textId="77777777" w:rsidR="006C76B6" w:rsidRDefault="006C76B6" w:rsidP="00D84D8F">
      <w:pPr>
        <w:pStyle w:val="BodyText"/>
      </w:pPr>
      <w:r>
        <w:t xml:space="preserve">While there is evidence that parts of the referral process are improving, consultations indicate that </w:t>
      </w:r>
      <w:r w:rsidR="007170F8">
        <w:t xml:space="preserve">the process has issues which is hampering take up. </w:t>
      </w:r>
    </w:p>
    <w:p w14:paraId="61F972A8" w14:textId="56D5FEC2" w:rsidR="006C76B6" w:rsidRDefault="007170F8" w:rsidP="00D84D8F">
      <w:pPr>
        <w:pStyle w:val="BodyText"/>
      </w:pPr>
      <w:r>
        <w:t xml:space="preserve">Many referral agencies appear to lack an understanding of the </w:t>
      </w:r>
      <w:r w:rsidR="00147674">
        <w:t>SEE programme</w:t>
      </w:r>
      <w:r>
        <w:t>, and the referral process.</w:t>
      </w:r>
    </w:p>
    <w:p w14:paraId="39B07DE9" w14:textId="77777777" w:rsidR="00DD0977" w:rsidRPr="00A9564A" w:rsidRDefault="00DD0977" w:rsidP="00DD0977">
      <w:pPr>
        <w:spacing w:before="60" w:after="60" w:line="220" w:lineRule="exact"/>
        <w:ind w:left="567" w:right="567"/>
        <w:rPr>
          <w:sz w:val="18"/>
          <w:szCs w:val="22"/>
          <w:lang w:eastAsia="en-AU"/>
        </w:rPr>
      </w:pPr>
      <w:r w:rsidRPr="00A9564A">
        <w:rPr>
          <w:sz w:val="18"/>
          <w:szCs w:val="22"/>
          <w:lang w:eastAsia="en-AU"/>
        </w:rPr>
        <w:t>As an available, government-funded program for eligible job seekers on income support, SEE has surprisingly poor visibility with its key referrers.</w:t>
      </w:r>
    </w:p>
    <w:p w14:paraId="42DB162E" w14:textId="77777777" w:rsidR="00DD0977" w:rsidRPr="00A9564A" w:rsidRDefault="00DD0977" w:rsidP="00DD0977">
      <w:pPr>
        <w:spacing w:before="60" w:after="60" w:line="220" w:lineRule="exact"/>
        <w:ind w:left="567" w:right="567"/>
        <w:jc w:val="right"/>
        <w:rPr>
          <w:i/>
          <w:sz w:val="18"/>
          <w:szCs w:val="22"/>
          <w:lang w:eastAsia="en-AU"/>
        </w:rPr>
      </w:pPr>
      <w:r w:rsidRPr="00A9564A">
        <w:rPr>
          <w:i/>
          <w:sz w:val="18"/>
          <w:szCs w:val="22"/>
          <w:lang w:eastAsia="en-AU"/>
        </w:rPr>
        <w:t>– Jobs Australia submission</w:t>
      </w:r>
    </w:p>
    <w:p w14:paraId="69EEC7F0" w14:textId="77777777" w:rsidR="00DD0977" w:rsidRPr="00A9564A" w:rsidRDefault="00DD0977" w:rsidP="00DD0977">
      <w:pPr>
        <w:spacing w:before="60" w:after="60" w:line="220" w:lineRule="exact"/>
        <w:ind w:left="567" w:right="567"/>
        <w:rPr>
          <w:sz w:val="18"/>
          <w:szCs w:val="22"/>
          <w:lang w:eastAsia="en-AU"/>
        </w:rPr>
      </w:pPr>
      <w:r w:rsidRPr="00A9564A">
        <w:rPr>
          <w:sz w:val="18"/>
          <w:szCs w:val="22"/>
          <w:lang w:eastAsia="en-AU"/>
        </w:rPr>
        <w:t>Knowledge of the SEE program is not always apparent across SEE referring agencies – for instance, this Swinburne SEE Coordinator has visited many JSAs this semester; at times, their awareness of the SEE program is minimal.</w:t>
      </w:r>
    </w:p>
    <w:p w14:paraId="08792B3E" w14:textId="77777777" w:rsidR="00DD0977" w:rsidRPr="00A9564A" w:rsidRDefault="00DD0977" w:rsidP="00DD0977">
      <w:pPr>
        <w:spacing w:before="60" w:after="60" w:line="220" w:lineRule="exact"/>
        <w:ind w:left="567" w:right="567"/>
        <w:jc w:val="right"/>
        <w:rPr>
          <w:i/>
          <w:sz w:val="18"/>
          <w:szCs w:val="22"/>
          <w:lang w:eastAsia="en-AU"/>
        </w:rPr>
      </w:pPr>
      <w:r w:rsidRPr="00A9564A">
        <w:rPr>
          <w:i/>
          <w:sz w:val="18"/>
          <w:szCs w:val="22"/>
          <w:lang w:eastAsia="en-AU"/>
        </w:rPr>
        <w:t>– Swinburne submission</w:t>
      </w:r>
    </w:p>
    <w:p w14:paraId="2B7C8FF7" w14:textId="77777777" w:rsidR="00DD0977" w:rsidRPr="00A9564A" w:rsidRDefault="00DD0977" w:rsidP="00DD0977">
      <w:pPr>
        <w:spacing w:before="60" w:after="60" w:line="220" w:lineRule="exact"/>
        <w:ind w:left="567" w:right="567"/>
        <w:rPr>
          <w:sz w:val="18"/>
          <w:szCs w:val="22"/>
          <w:lang w:eastAsia="en-AU"/>
        </w:rPr>
      </w:pPr>
      <w:r w:rsidRPr="00A9564A">
        <w:rPr>
          <w:sz w:val="18"/>
          <w:szCs w:val="22"/>
          <w:lang w:eastAsia="en-AU"/>
        </w:rPr>
        <w:t>Some RAs have commented that understanding the eligibility requirements is too complex and have subsequently refused to refer eligible clients.</w:t>
      </w:r>
    </w:p>
    <w:p w14:paraId="64ABB12C" w14:textId="77777777" w:rsidR="00DD0977" w:rsidRPr="00A9564A" w:rsidRDefault="00DD0977" w:rsidP="00DD0977">
      <w:pPr>
        <w:spacing w:before="60" w:after="60" w:line="220" w:lineRule="exact"/>
        <w:ind w:left="567" w:right="567"/>
        <w:jc w:val="right"/>
        <w:rPr>
          <w:i/>
          <w:sz w:val="18"/>
          <w:szCs w:val="22"/>
          <w:lang w:eastAsia="en-AU"/>
        </w:rPr>
      </w:pPr>
      <w:r w:rsidRPr="00A9564A">
        <w:rPr>
          <w:i/>
          <w:sz w:val="18"/>
          <w:szCs w:val="22"/>
          <w:lang w:eastAsia="en-AU"/>
        </w:rPr>
        <w:t>–MTC submission</w:t>
      </w:r>
    </w:p>
    <w:p w14:paraId="29B8D8E6" w14:textId="6335ED6F" w:rsidR="00F468F7" w:rsidRDefault="008D61DA" w:rsidP="00232DAD">
      <w:pPr>
        <w:pStyle w:val="BodyText"/>
      </w:pPr>
      <w:r>
        <w:t xml:space="preserve">Some stakeholders argue that the lack of understanding witnessed in some JSAs may be due to the current JSA contract not incentivising referrals to the </w:t>
      </w:r>
      <w:r w:rsidR="00147674">
        <w:t>SEE programme</w:t>
      </w:r>
      <w:r>
        <w:t xml:space="preserve">. </w:t>
      </w:r>
      <w:r w:rsidR="00F468F7">
        <w:t>JSAs may also prefer to refer clients to programme</w:t>
      </w:r>
      <w:r w:rsidR="008D3C2A">
        <w:t>s</w:t>
      </w:r>
      <w:r w:rsidR="00F468F7">
        <w:t xml:space="preserve"> they deliver rather than to the </w:t>
      </w:r>
      <w:r w:rsidR="00147674">
        <w:t>SEE programme</w:t>
      </w:r>
      <w:r w:rsidR="00F468F7">
        <w:t>.</w:t>
      </w:r>
    </w:p>
    <w:p w14:paraId="3365C952" w14:textId="1FE6998D" w:rsidR="008D61DA" w:rsidRDefault="008D61DA" w:rsidP="00232DAD">
      <w:pPr>
        <w:pStyle w:val="BodyText"/>
      </w:pPr>
      <w:r>
        <w:t xml:space="preserve">Centrelink offices have </w:t>
      </w:r>
      <w:r w:rsidR="00147674">
        <w:t>SEE programme</w:t>
      </w:r>
      <w:r w:rsidR="006A28F2">
        <w:t xml:space="preserve"> </w:t>
      </w:r>
      <w:r>
        <w:t xml:space="preserve">referral KPIs but some </w:t>
      </w:r>
      <w:r w:rsidR="00A45593">
        <w:t xml:space="preserve">SEE </w:t>
      </w:r>
      <w:r>
        <w:t xml:space="preserve">providers </w:t>
      </w:r>
      <w:r w:rsidR="00D34EE3">
        <w:t xml:space="preserve">report that Centrelink referrals </w:t>
      </w:r>
      <w:r w:rsidR="001A4366">
        <w:t xml:space="preserve">can be particularly uneven over time, rising sharply as the KPI period nears an end. </w:t>
      </w:r>
    </w:p>
    <w:p w14:paraId="62E9197E" w14:textId="61BFCD0B" w:rsidR="00DD0977" w:rsidRDefault="007170F8" w:rsidP="00232DAD">
      <w:pPr>
        <w:pStyle w:val="BodyText"/>
      </w:pPr>
      <w:r>
        <w:t>Other issues identified through the consultations include that referral agency staff are not equipped to identif</w:t>
      </w:r>
      <w:r w:rsidR="00D95E2F">
        <w:t>y</w:t>
      </w:r>
      <w:r w:rsidR="008417CA">
        <w:t xml:space="preserve"> </w:t>
      </w:r>
      <w:r>
        <w:t>clients with LLN need</w:t>
      </w:r>
      <w:r w:rsidR="00D95E2F">
        <w:t>s</w:t>
      </w:r>
      <w:r>
        <w:t xml:space="preserve"> who would benefit from the </w:t>
      </w:r>
      <w:r w:rsidR="00147674">
        <w:t>SEE programme</w:t>
      </w:r>
      <w:r w:rsidR="006A28F2">
        <w:t xml:space="preserve"> </w:t>
      </w:r>
      <w:r w:rsidR="008D61DA">
        <w:t>and</w:t>
      </w:r>
      <w:r w:rsidR="001A4366">
        <w:t xml:space="preserve"> </w:t>
      </w:r>
      <w:r w:rsidR="00F468F7">
        <w:t xml:space="preserve">that some potential clients (particularly non-CALD, non-Indigenous clients) are not comfortable identifying the need for and requesting LLN training.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92439D" w14:paraId="1373C260" w14:textId="77777777" w:rsidTr="00F842C5">
        <w:tc>
          <w:tcPr>
            <w:tcW w:w="5000" w:type="pct"/>
            <w:shd w:val="pct12" w:color="auto" w:fill="auto"/>
          </w:tcPr>
          <w:p w14:paraId="2383D449" w14:textId="77777777" w:rsidR="0092439D" w:rsidRDefault="0092439D" w:rsidP="00F842C5">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4</w:t>
            </w:r>
            <w:r w:rsidR="006A2396">
              <w:rPr>
                <w:noProof/>
              </w:rPr>
              <w:fldChar w:fldCharType="end"/>
            </w:r>
          </w:p>
        </w:tc>
      </w:tr>
      <w:tr w:rsidR="0092439D" w14:paraId="49BBBF25" w14:textId="77777777" w:rsidTr="00F842C5">
        <w:tc>
          <w:tcPr>
            <w:tcW w:w="5000" w:type="pct"/>
            <w:shd w:val="pct12" w:color="auto" w:fill="auto"/>
          </w:tcPr>
          <w:p w14:paraId="5AF485C9" w14:textId="7982E7DF" w:rsidR="00F468F7" w:rsidRDefault="00F468F7" w:rsidP="00F842C5">
            <w:pPr>
              <w:pStyle w:val="BoxText"/>
            </w:pPr>
            <w:r w:rsidRPr="00F468F7">
              <w:t xml:space="preserve">While there is evidence that parts of the referral process are improving, consultations indicate that the process has issues hampering take up. </w:t>
            </w:r>
          </w:p>
          <w:p w14:paraId="71BD5099" w14:textId="77777777" w:rsidR="00F468F7" w:rsidRDefault="00F468F7" w:rsidP="00F842C5">
            <w:pPr>
              <w:pStyle w:val="BoxText"/>
            </w:pPr>
            <w:r>
              <w:t xml:space="preserve">Some referral agencies lack an understanding of the SEE programme, the referral process and/or how to identify LLN needs in clients. </w:t>
            </w:r>
          </w:p>
          <w:p w14:paraId="06CA02F5" w14:textId="162A0786" w:rsidR="0092439D" w:rsidRDefault="00DD0977" w:rsidP="00F842C5">
            <w:pPr>
              <w:pStyle w:val="BoxText"/>
            </w:pPr>
            <w:r>
              <w:t xml:space="preserve">The current JSA contract does not appear to </w:t>
            </w:r>
            <w:r w:rsidR="00EF1042">
              <w:t xml:space="preserve">provide appropriate incentives for </w:t>
            </w:r>
            <w:r>
              <w:t xml:space="preserve">referrals to the </w:t>
            </w:r>
            <w:r w:rsidR="00147674">
              <w:t>SEE programme</w:t>
            </w:r>
            <w:r>
              <w:t xml:space="preserve">. </w:t>
            </w:r>
          </w:p>
          <w:p w14:paraId="0EE030C5" w14:textId="77777777" w:rsidR="0092439D" w:rsidRPr="00090BC6" w:rsidRDefault="0092439D" w:rsidP="00F842C5">
            <w:pPr>
              <w:pStyle w:val="SmallDeltasRightAligned"/>
            </w:pPr>
            <w:r w:rsidRPr="00090BC6">
              <w:rPr>
                <w:noProof/>
                <w:lang w:eastAsia="en-AU"/>
              </w:rPr>
              <w:drawing>
                <wp:inline distT="0" distB="0" distL="0" distR="0" wp14:anchorId="6B7D1512" wp14:editId="389E4308">
                  <wp:extent cx="481585" cy="234696"/>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2439D" w14:paraId="2F526B42" w14:textId="77777777" w:rsidTr="00F842C5">
        <w:trPr>
          <w:trHeight w:hRule="exact" w:val="80"/>
        </w:trPr>
        <w:tc>
          <w:tcPr>
            <w:tcW w:w="5000" w:type="pct"/>
            <w:shd w:val="pct12" w:color="auto" w:fill="auto"/>
          </w:tcPr>
          <w:p w14:paraId="42A0D684" w14:textId="77777777" w:rsidR="0092439D" w:rsidRDefault="0092439D" w:rsidP="00F842C5">
            <w:pPr>
              <w:spacing w:before="160"/>
            </w:pPr>
            <w:r>
              <w:t xml:space="preserve"> </w:t>
            </w:r>
          </w:p>
        </w:tc>
      </w:tr>
    </w:tbl>
    <w:p w14:paraId="50912AB3" w14:textId="656F6210" w:rsidR="00232DAD" w:rsidRDefault="001C72F3" w:rsidP="00D84D8F">
      <w:pPr>
        <w:pStyle w:val="Heading2"/>
      </w:pPr>
      <w:bookmarkStart w:id="74" w:name="_Toc420065449"/>
      <w:r>
        <w:t xml:space="preserve">The </w:t>
      </w:r>
      <w:r w:rsidR="00147674">
        <w:t>SEE programme</w:t>
      </w:r>
      <w:r w:rsidR="006A28F2">
        <w:t xml:space="preserve"> </w:t>
      </w:r>
      <w:r>
        <w:t>client cohort</w:t>
      </w:r>
      <w:bookmarkEnd w:id="74"/>
    </w:p>
    <w:p w14:paraId="6C20074A" w14:textId="7D11FD77" w:rsidR="001C72F3" w:rsidRPr="001C72F3" w:rsidRDefault="001C72F3" w:rsidP="001C72F3">
      <w:pPr>
        <w:pStyle w:val="BodyText"/>
      </w:pPr>
      <w:r>
        <w:t xml:space="preserve">This section details the characteristics of the </w:t>
      </w:r>
      <w:r w:rsidR="00147674">
        <w:t>SEE programme</w:t>
      </w:r>
      <w:r w:rsidR="006A28F2">
        <w:t xml:space="preserve"> </w:t>
      </w:r>
      <w:r>
        <w:t>client co</w:t>
      </w:r>
      <w:r w:rsidR="009B2D4E">
        <w:t>hort, including by location and LLN skills level.</w:t>
      </w:r>
    </w:p>
    <w:p w14:paraId="23C4A229" w14:textId="3635AF86" w:rsidR="00F563EF" w:rsidRDefault="00147674" w:rsidP="0092439D">
      <w:pPr>
        <w:pStyle w:val="Heading3"/>
      </w:pPr>
      <w:r>
        <w:t>SEE programme</w:t>
      </w:r>
      <w:r w:rsidR="006A28F2">
        <w:t xml:space="preserve"> </w:t>
      </w:r>
      <w:r w:rsidR="0092439D">
        <w:t>clients by background gender and age</w:t>
      </w:r>
    </w:p>
    <w:p w14:paraId="498DD789" w14:textId="70FAA685" w:rsidR="00F468F7" w:rsidRDefault="001C72F3" w:rsidP="00F468F7">
      <w:pPr>
        <w:pStyle w:val="BodyText"/>
      </w:pPr>
      <w:r>
        <w:t xml:space="preserve">Around 60 per cent of SEE </w:t>
      </w:r>
      <w:r w:rsidR="00A45593">
        <w:t xml:space="preserve">programme </w:t>
      </w:r>
      <w:r>
        <w:t>clients are women, a higher proportion than the general Australian population</w:t>
      </w:r>
      <w:r w:rsidR="009052CA">
        <w:t xml:space="preserve"> (</w:t>
      </w:r>
      <w:r w:rsidR="009052CA">
        <w:fldChar w:fldCharType="begin"/>
      </w:r>
      <w:r w:rsidR="009052CA">
        <w:instrText xml:space="preserve"> REF _Ref408481795 \h </w:instrText>
      </w:r>
      <w:r w:rsidR="009052CA">
        <w:fldChar w:fldCharType="separate"/>
      </w:r>
      <w:r w:rsidR="00294A5A">
        <w:t xml:space="preserve">Figure </w:t>
      </w:r>
      <w:r w:rsidR="00294A5A">
        <w:rPr>
          <w:noProof/>
        </w:rPr>
        <w:t>11</w:t>
      </w:r>
      <w:r w:rsidR="009052CA">
        <w:fldChar w:fldCharType="end"/>
      </w:r>
      <w:r w:rsidR="009052CA">
        <w:t>)</w:t>
      </w:r>
      <w:r>
        <w:t xml:space="preserve">. Similarly, Indigenous Australians are over represented, making up 8 per cent of SEE </w:t>
      </w:r>
      <w:r w:rsidR="00A45593">
        <w:t xml:space="preserve">programme </w:t>
      </w:r>
      <w:r>
        <w:t xml:space="preserve">clients. </w:t>
      </w:r>
    </w:p>
    <w:p w14:paraId="61927809" w14:textId="30E664B8" w:rsidR="00100CAC" w:rsidRDefault="001C72F3" w:rsidP="0008204D">
      <w:pPr>
        <w:pStyle w:val="BodyText"/>
      </w:pPr>
      <w:r>
        <w:t xml:space="preserve">Culturally and Linguistically Diverse (CALD) clients, those clients not born in Australia, Canada, United Kingdom, Ireland, New Zealand, UK, USA, or South Africa, account for </w:t>
      </w:r>
      <w:r w:rsidR="009052CA">
        <w:t>68 </w:t>
      </w:r>
      <w:r>
        <w:t xml:space="preserve">per cent of SEE </w:t>
      </w:r>
      <w:r w:rsidR="00A45593">
        <w:t xml:space="preserve">programme </w:t>
      </w:r>
      <w:r w:rsidR="009052CA">
        <w:t xml:space="preserve">clients. This is significantly higher than the proportion of CALD individuals in the general population (16 per cent). </w:t>
      </w:r>
      <w:r w:rsidR="007243AA">
        <w:t>Emphasising the low level of English language skills of some CALD clients, m</w:t>
      </w:r>
      <w:r w:rsidR="009052CA">
        <w:t xml:space="preserve">ore than half of SEE </w:t>
      </w:r>
      <w:r w:rsidR="00A45593">
        <w:t xml:space="preserve">programme </w:t>
      </w:r>
      <w:r w:rsidR="009052CA">
        <w:t xml:space="preserve">clients require an </w:t>
      </w:r>
      <w:r w:rsidR="007243AA">
        <w:t xml:space="preserve">interpreter at some point in the programme. </w:t>
      </w:r>
    </w:p>
    <w:p w14:paraId="4B13E63B" w14:textId="449B73BB" w:rsidR="003C5CBE" w:rsidRDefault="003C5CBE">
      <w:pPr>
        <w:pStyle w:val="Caption"/>
      </w:pPr>
      <w:bookmarkStart w:id="75" w:name="_Ref408481795"/>
      <w:bookmarkStart w:id="76" w:name="_Toc420065471"/>
      <w:r>
        <w:t xml:space="preserve">Figure </w:t>
      </w:r>
      <w:r w:rsidR="006A2396">
        <w:fldChar w:fldCharType="begin"/>
      </w:r>
      <w:r w:rsidR="006A2396">
        <w:instrText xml:space="preserve"> SEQ Figure \* ARABIC </w:instrText>
      </w:r>
      <w:r w:rsidR="006A2396">
        <w:fldChar w:fldCharType="separate"/>
      </w:r>
      <w:r w:rsidR="00294A5A">
        <w:rPr>
          <w:noProof/>
        </w:rPr>
        <w:t>11</w:t>
      </w:r>
      <w:r w:rsidR="006A2396">
        <w:rPr>
          <w:noProof/>
        </w:rPr>
        <w:fldChar w:fldCharType="end"/>
      </w:r>
      <w:bookmarkEnd w:id="75"/>
      <w:r w:rsidRPr="004E0C91">
        <w:rPr>
          <w:b/>
          <w:color w:val="000080"/>
        </w:rPr>
        <w:tab/>
      </w:r>
      <w:r w:rsidR="005677BB">
        <w:rPr>
          <w:rStyle w:val="CaptionLabel"/>
        </w:rPr>
        <w:t xml:space="preserve">Overview of </w:t>
      </w:r>
      <w:r w:rsidR="00147674">
        <w:rPr>
          <w:rStyle w:val="CaptionLabel"/>
        </w:rPr>
        <w:t>SEE programme</w:t>
      </w:r>
      <w:r w:rsidR="006A28F2">
        <w:rPr>
          <w:rStyle w:val="CaptionLabel"/>
        </w:rPr>
        <w:t xml:space="preserve"> </w:t>
      </w:r>
      <w:r w:rsidR="005677BB">
        <w:rPr>
          <w:rStyle w:val="CaptionLabel"/>
        </w:rPr>
        <w:t>clients</w:t>
      </w:r>
      <w:bookmarkEnd w:id="76"/>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3C5CBE" w14:paraId="6AC86E47" w14:textId="77777777" w:rsidTr="00C527D8">
        <w:trPr>
          <w:cantSplit/>
        </w:trPr>
        <w:tc>
          <w:tcPr>
            <w:tcW w:w="5000" w:type="pct"/>
          </w:tcPr>
          <w:p w14:paraId="55745407" w14:textId="77777777" w:rsidR="003C5CBE" w:rsidRDefault="003C5CBE" w:rsidP="00C527D8">
            <w:pPr>
              <w:pStyle w:val="SmallDeltasRightAligned"/>
              <w:keepNext/>
            </w:pPr>
            <w:r>
              <w:rPr>
                <w:noProof/>
                <w:lang w:eastAsia="en-AU"/>
              </w:rPr>
              <w:drawing>
                <wp:inline distT="0" distB="0" distL="0" distR="0" wp14:anchorId="2A7E6E89" wp14:editId="4F63556F">
                  <wp:extent cx="481585" cy="2346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3C5CBE" w14:paraId="5325F048" w14:textId="77777777" w:rsidTr="003C5CBE">
        <w:tblPrEx>
          <w:tblCellMar>
            <w:left w:w="108" w:type="dxa"/>
            <w:right w:w="108" w:type="dxa"/>
          </w:tblCellMar>
        </w:tblPrEx>
        <w:trPr>
          <w:cantSplit/>
        </w:trPr>
        <w:tc>
          <w:tcPr>
            <w:tcW w:w="5000" w:type="pct"/>
          </w:tcPr>
          <w:p w14:paraId="263B7C8D" w14:textId="77777777" w:rsidR="003C5CBE" w:rsidRDefault="003C5CBE" w:rsidP="00C527D8">
            <w:pPr>
              <w:pStyle w:val="Figure"/>
            </w:pPr>
            <w:r>
              <w:rPr>
                <w:noProof/>
                <w:lang w:eastAsia="en-AU"/>
              </w:rPr>
              <w:drawing>
                <wp:inline distT="0" distB="0" distL="0" distR="0" wp14:anchorId="30D17118" wp14:editId="20925D5F">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14:paraId="717FE9CC" w14:textId="05A5F3BA" w:rsidR="002242C7" w:rsidRDefault="003C5CBE" w:rsidP="002242C7">
      <w:pPr>
        <w:pStyle w:val="Note"/>
      </w:pPr>
      <w:r>
        <w:rPr>
          <w:i/>
        </w:rPr>
        <w:t>Note:</w:t>
      </w:r>
      <w:r>
        <w:t xml:space="preserve"> </w:t>
      </w:r>
      <w:r w:rsidR="00147674">
        <w:t>SEE programme</w:t>
      </w:r>
      <w:r w:rsidR="006A28F2">
        <w:t xml:space="preserve"> </w:t>
      </w:r>
      <w:r w:rsidR="002242C7">
        <w:t>clients that commenced training in 2010-11 – 2013-14.</w:t>
      </w:r>
      <w:r w:rsidR="00292C5B">
        <w:t xml:space="preserve"> In the </w:t>
      </w:r>
      <w:r w:rsidR="00147674">
        <w:t>SEE programme</w:t>
      </w:r>
      <w:r w:rsidR="006A28F2">
        <w:t xml:space="preserve"> </w:t>
      </w:r>
      <w:r w:rsidR="00292C5B">
        <w:t xml:space="preserve">dataset, </w:t>
      </w:r>
      <w:r w:rsidR="008079AD">
        <w:t>‘</w:t>
      </w:r>
      <w:r w:rsidR="00292C5B">
        <w:t>CALD</w:t>
      </w:r>
      <w:r w:rsidR="008079AD">
        <w:t>’</w:t>
      </w:r>
      <w:r w:rsidR="00292C5B">
        <w:t xml:space="preserve"> refers to clients who have a country of birth which is not one of the following: Australia, Canada, United Kingdom, Ireland, New Zealand, UK/Eire, USA, </w:t>
      </w:r>
      <w:r w:rsidR="0039002B">
        <w:t>and South</w:t>
      </w:r>
      <w:r w:rsidR="00292C5B">
        <w:t xml:space="preserve"> Africa. </w:t>
      </w:r>
      <w:r w:rsidR="008079AD">
        <w:t xml:space="preserve">The Australia population proportion comes from the Australian Bureau of Statistics </w:t>
      </w:r>
      <w:r w:rsidR="009A5511">
        <w:t>Census which defines CALD as ‘Born in non</w:t>
      </w:r>
      <w:r w:rsidR="009A5511">
        <w:noBreakHyphen/>
      </w:r>
      <w:r w:rsidR="009A5511" w:rsidRPr="009A5511">
        <w:t>English speaking country</w:t>
      </w:r>
      <w:r w:rsidR="009A5511">
        <w:t>’</w:t>
      </w:r>
      <w:r w:rsidR="007B6A83">
        <w:t>.</w:t>
      </w:r>
      <w:r w:rsidR="003368A4">
        <w:t xml:space="preserve"> There is no Census measure that corresponds to ‘requires an interpreter’.</w:t>
      </w:r>
    </w:p>
    <w:p w14:paraId="533929AD" w14:textId="1E3E8015" w:rsidR="003C5CBE" w:rsidRPr="00B50A1B" w:rsidRDefault="003C5CBE" w:rsidP="00C527D8">
      <w:pPr>
        <w:pStyle w:val="Source"/>
        <w:rPr>
          <w:i/>
        </w:rPr>
      </w:pPr>
      <w:r>
        <w:t>S</w:t>
      </w:r>
      <w:r w:rsidRPr="00B50A1B">
        <w:t>ource:</w:t>
      </w:r>
      <w:r w:rsidRPr="00954EED">
        <w:t xml:space="preserve"> </w:t>
      </w:r>
      <w:r w:rsidR="007A143E">
        <w:t>SEE programme</w:t>
      </w:r>
      <w:r w:rsidR="006A28F2">
        <w:t xml:space="preserve"> </w:t>
      </w:r>
      <w:r w:rsidR="007A143E">
        <w:t>dataset</w:t>
      </w:r>
      <w:r w:rsidR="00485590">
        <w:t xml:space="preserve">, </w:t>
      </w:r>
      <w:r w:rsidR="007B6A83">
        <w:t>ABS Census</w:t>
      </w:r>
    </w:p>
    <w:p w14:paraId="5300A159" w14:textId="482C05E3" w:rsidR="00372327" w:rsidRDefault="00372327" w:rsidP="001365B3">
      <w:pPr>
        <w:pStyle w:val="BodyText"/>
      </w:pPr>
      <w:r>
        <w:fldChar w:fldCharType="begin"/>
      </w:r>
      <w:r>
        <w:instrText xml:space="preserve"> REF _Ref408592525 \h </w:instrText>
      </w:r>
      <w:r>
        <w:fldChar w:fldCharType="separate"/>
      </w:r>
      <w:r w:rsidR="00294A5A">
        <w:t xml:space="preserve">Figure </w:t>
      </w:r>
      <w:r w:rsidR="00294A5A">
        <w:rPr>
          <w:noProof/>
        </w:rPr>
        <w:t>12</w:t>
      </w:r>
      <w:r>
        <w:fldChar w:fldCharType="end"/>
      </w:r>
      <w:r w:rsidR="00F37AE1">
        <w:t xml:space="preserve"> shows </w:t>
      </w:r>
      <w:r w:rsidR="00147674">
        <w:t>SEE programme</w:t>
      </w:r>
      <w:r w:rsidR="006A28F2">
        <w:t xml:space="preserve"> </w:t>
      </w:r>
      <w:r w:rsidR="00F37AE1">
        <w:t>commencements over the last four years for non-CALD, non</w:t>
      </w:r>
      <w:r w:rsidR="00F37AE1">
        <w:noBreakHyphen/>
        <w:t xml:space="preserve">Indigenous clients, CALD clients and Indigenous clients. </w:t>
      </w:r>
      <w:r w:rsidR="00474BFB">
        <w:t>While all cohorts have seen rising commencements, t</w:t>
      </w:r>
      <w:r w:rsidR="00F37AE1">
        <w:t xml:space="preserve">he proportion of CALD clients </w:t>
      </w:r>
      <w:r w:rsidR="00474BFB">
        <w:t xml:space="preserve">in the programme </w:t>
      </w:r>
      <w:r w:rsidR="00F37AE1">
        <w:t xml:space="preserve">has fallen over the last four years </w:t>
      </w:r>
      <w:r w:rsidR="005310BB">
        <w:t>with a greater share of commencements of non-CALD, non</w:t>
      </w:r>
      <w:r w:rsidR="005310BB">
        <w:noBreakHyphen/>
        <w:t>Indigenous clients and Indigenous clients.</w:t>
      </w:r>
    </w:p>
    <w:p w14:paraId="5A3AA274" w14:textId="1754CFFB" w:rsidR="00372327" w:rsidRDefault="00372327" w:rsidP="00474BFB">
      <w:pPr>
        <w:pStyle w:val="Caption"/>
        <w:ind w:left="-1701"/>
      </w:pPr>
      <w:bookmarkStart w:id="77" w:name="_Ref408592525"/>
      <w:bookmarkStart w:id="78" w:name="_Toc420065472"/>
      <w:r>
        <w:t xml:space="preserve">Figure </w:t>
      </w:r>
      <w:r w:rsidR="006A2396">
        <w:fldChar w:fldCharType="begin"/>
      </w:r>
      <w:r w:rsidR="006A2396">
        <w:instrText xml:space="preserve"> SEQ Figure \* ARABIC </w:instrText>
      </w:r>
      <w:r w:rsidR="006A2396">
        <w:fldChar w:fldCharType="separate"/>
      </w:r>
      <w:r w:rsidR="00294A5A">
        <w:rPr>
          <w:noProof/>
        </w:rPr>
        <w:t>12</w:t>
      </w:r>
      <w:r w:rsidR="006A2396">
        <w:rPr>
          <w:noProof/>
        </w:rPr>
        <w:fldChar w:fldCharType="end"/>
      </w:r>
      <w:bookmarkEnd w:id="77"/>
      <w:r w:rsidRPr="004E0C91">
        <w:rPr>
          <w:b/>
          <w:color w:val="000080"/>
        </w:rPr>
        <w:tab/>
      </w:r>
      <w:r>
        <w:rPr>
          <w:rStyle w:val="CaptionLabel"/>
        </w:rPr>
        <w:t xml:space="preserve">Cohort </w:t>
      </w:r>
      <w:r w:rsidR="00474BFB">
        <w:rPr>
          <w:rStyle w:val="CaptionLabel"/>
        </w:rPr>
        <w:t xml:space="preserve">commencements and </w:t>
      </w:r>
      <w:r>
        <w:rPr>
          <w:rStyle w:val="CaptionLabel"/>
        </w:rPr>
        <w:t>shares over time, 2010-11</w:t>
      </w:r>
      <w:bookmarkEnd w:id="78"/>
    </w:p>
    <w:tbl>
      <w:tblPr>
        <w:tblW w:w="10204" w:type="dxa"/>
        <w:tblInd w:w="-265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46"/>
        <w:gridCol w:w="4882"/>
        <w:gridCol w:w="5029"/>
        <w:gridCol w:w="147"/>
      </w:tblGrid>
      <w:tr w:rsidR="00372327" w14:paraId="763EDA0E" w14:textId="77777777" w:rsidTr="00474BFB">
        <w:trPr>
          <w:gridBefore w:val="1"/>
          <w:wBefore w:w="72" w:type="pct"/>
          <w:cantSplit/>
        </w:trPr>
        <w:tc>
          <w:tcPr>
            <w:tcW w:w="4928" w:type="pct"/>
            <w:gridSpan w:val="3"/>
          </w:tcPr>
          <w:p w14:paraId="16773527" w14:textId="77777777" w:rsidR="00372327" w:rsidRDefault="00372327" w:rsidP="006D5201">
            <w:pPr>
              <w:pStyle w:val="SmallDeltasRightAligned"/>
              <w:keepNext/>
            </w:pPr>
            <w:r>
              <w:rPr>
                <w:noProof/>
                <w:lang w:eastAsia="en-AU"/>
              </w:rPr>
              <w:drawing>
                <wp:inline distT="0" distB="0" distL="0" distR="0" wp14:anchorId="257EBBC5" wp14:editId="09F6336F">
                  <wp:extent cx="481585" cy="234696"/>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474BFB" w14:paraId="0D9015EF" w14:textId="77777777" w:rsidTr="00474BFB">
        <w:tblPrEx>
          <w:tblCellMar>
            <w:left w:w="108" w:type="dxa"/>
            <w:right w:w="108" w:type="dxa"/>
          </w:tblCellMar>
        </w:tblPrEx>
        <w:trPr>
          <w:gridAfter w:val="1"/>
          <w:wAfter w:w="72" w:type="pct"/>
          <w:cantSplit/>
          <w:trHeight w:val="177"/>
        </w:trPr>
        <w:tc>
          <w:tcPr>
            <w:tcW w:w="2464" w:type="pct"/>
            <w:gridSpan w:val="2"/>
          </w:tcPr>
          <w:p w14:paraId="2885E473" w14:textId="2BBB94AB" w:rsidR="00474BFB" w:rsidRPr="00474BFB" w:rsidRDefault="00474BFB" w:rsidP="006D5201">
            <w:pPr>
              <w:pStyle w:val="Figure"/>
              <w:rPr>
                <w:b/>
              </w:rPr>
            </w:pPr>
            <w:r w:rsidRPr="00474BFB">
              <w:rPr>
                <w:b/>
              </w:rPr>
              <w:t>Commencements</w:t>
            </w:r>
          </w:p>
        </w:tc>
        <w:tc>
          <w:tcPr>
            <w:tcW w:w="2464" w:type="pct"/>
          </w:tcPr>
          <w:p w14:paraId="64403076" w14:textId="56433EB5" w:rsidR="00474BFB" w:rsidRPr="00474BFB" w:rsidRDefault="00474BFB" w:rsidP="006D5201">
            <w:pPr>
              <w:pStyle w:val="Figure"/>
              <w:rPr>
                <w:b/>
              </w:rPr>
            </w:pPr>
            <w:r w:rsidRPr="00474BFB">
              <w:rPr>
                <w:b/>
              </w:rPr>
              <w:t>Cohort shares of commencements</w:t>
            </w:r>
          </w:p>
        </w:tc>
      </w:tr>
      <w:tr w:rsidR="00474BFB" w14:paraId="27958415" w14:textId="77777777" w:rsidTr="00474BFB">
        <w:tblPrEx>
          <w:tblCellMar>
            <w:left w:w="108" w:type="dxa"/>
            <w:right w:w="108" w:type="dxa"/>
          </w:tblCellMar>
        </w:tblPrEx>
        <w:trPr>
          <w:gridAfter w:val="1"/>
          <w:wAfter w:w="72" w:type="pct"/>
          <w:cantSplit/>
          <w:trHeight w:val="176"/>
        </w:trPr>
        <w:tc>
          <w:tcPr>
            <w:tcW w:w="2464" w:type="pct"/>
            <w:gridSpan w:val="2"/>
          </w:tcPr>
          <w:p w14:paraId="11986F8D" w14:textId="09737C71" w:rsidR="00474BFB" w:rsidRDefault="00474BFB" w:rsidP="006D5201">
            <w:pPr>
              <w:pStyle w:val="Figure"/>
            </w:pPr>
            <w:r>
              <w:rPr>
                <w:noProof/>
                <w:lang w:eastAsia="en-AU"/>
              </w:rPr>
              <w:drawing>
                <wp:inline distT="0" distB="0" distL="0" distR="0" wp14:anchorId="2E79BBCA" wp14:editId="2A14BC23">
                  <wp:extent cx="3139440" cy="2363470"/>
                  <wp:effectExtent l="0" t="0" r="381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2464" w:type="pct"/>
          </w:tcPr>
          <w:p w14:paraId="7D4A546B" w14:textId="6EBED51C" w:rsidR="00474BFB" w:rsidRDefault="00474BFB" w:rsidP="006D5201">
            <w:pPr>
              <w:pStyle w:val="Figure"/>
            </w:pPr>
            <w:r>
              <w:rPr>
                <w:noProof/>
                <w:lang w:eastAsia="en-AU"/>
              </w:rPr>
              <w:drawing>
                <wp:inline distT="0" distB="0" distL="0" distR="0" wp14:anchorId="2A028A03" wp14:editId="78824E26">
                  <wp:extent cx="3103245" cy="2363638"/>
                  <wp:effectExtent l="0" t="0" r="190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14:paraId="6BA616FC" w14:textId="2EAC4632" w:rsidR="00372327" w:rsidRPr="00B50A1B" w:rsidRDefault="00372327" w:rsidP="00474BFB">
      <w:pPr>
        <w:pStyle w:val="Source"/>
        <w:ind w:left="-2551"/>
        <w:rPr>
          <w:i/>
        </w:rPr>
      </w:pPr>
      <w:r>
        <w:t>S</w:t>
      </w:r>
      <w:r w:rsidRPr="00B50A1B">
        <w:t>ource:</w:t>
      </w:r>
      <w:r w:rsidRPr="00954EED">
        <w:t xml:space="preserve"> </w:t>
      </w:r>
      <w:r w:rsidR="007A143E">
        <w:t>SEE programme</w:t>
      </w:r>
      <w:r w:rsidR="006A28F2">
        <w:t xml:space="preserve"> </w:t>
      </w:r>
      <w:r w:rsidR="007A143E">
        <w:t>dataset</w:t>
      </w:r>
    </w:p>
    <w:p w14:paraId="5DCCC558" w14:textId="434337DF" w:rsidR="001365B3" w:rsidRDefault="007243AA" w:rsidP="001365B3">
      <w:pPr>
        <w:pStyle w:val="BodyText"/>
      </w:pPr>
      <w:r>
        <w:t xml:space="preserve">While women are overrepresented in the SEE programme, there are gender differences between cohorts. As </w:t>
      </w:r>
      <w:r w:rsidR="00BD48FF">
        <w:fldChar w:fldCharType="begin"/>
      </w:r>
      <w:r w:rsidR="00BD48FF">
        <w:instrText xml:space="preserve"> REF _Ref408481800 \h </w:instrText>
      </w:r>
      <w:r w:rsidR="00BD48FF">
        <w:fldChar w:fldCharType="separate"/>
      </w:r>
      <w:r w:rsidR="00294A5A">
        <w:t xml:space="preserve">Figure </w:t>
      </w:r>
      <w:r w:rsidR="00294A5A">
        <w:rPr>
          <w:noProof/>
        </w:rPr>
        <w:t>13</w:t>
      </w:r>
      <w:r w:rsidR="00BD48FF">
        <w:fldChar w:fldCharType="end"/>
      </w:r>
      <w:r>
        <w:t xml:space="preserve"> shows, the majority of Indigenous and non-CALD, non</w:t>
      </w:r>
      <w:r>
        <w:noBreakHyphen/>
        <w:t xml:space="preserve">Indigenous clients are men, while women account for 67 per cent of CALD clients. </w:t>
      </w:r>
    </w:p>
    <w:p w14:paraId="13BBAE4B" w14:textId="5BEAC362" w:rsidR="001365B3" w:rsidRDefault="001365B3" w:rsidP="00C527D8">
      <w:pPr>
        <w:pStyle w:val="Caption"/>
        <w:ind w:left="-1701"/>
      </w:pPr>
      <w:bookmarkStart w:id="79" w:name="_Ref408481800"/>
      <w:bookmarkStart w:id="80" w:name="_Toc420065473"/>
      <w:r>
        <w:t xml:space="preserve">Figure </w:t>
      </w:r>
      <w:r w:rsidR="006A2396">
        <w:fldChar w:fldCharType="begin"/>
      </w:r>
      <w:r w:rsidR="006A2396">
        <w:instrText xml:space="preserve"> SEQ Figure \* ARABIC </w:instrText>
      </w:r>
      <w:r w:rsidR="006A2396">
        <w:fldChar w:fldCharType="separate"/>
      </w:r>
      <w:r w:rsidR="00294A5A">
        <w:rPr>
          <w:noProof/>
        </w:rPr>
        <w:t>13</w:t>
      </w:r>
      <w:r w:rsidR="006A2396">
        <w:rPr>
          <w:noProof/>
        </w:rPr>
        <w:fldChar w:fldCharType="end"/>
      </w:r>
      <w:bookmarkEnd w:id="79"/>
      <w:r w:rsidRPr="004E0C91">
        <w:rPr>
          <w:b/>
          <w:color w:val="000080"/>
        </w:rPr>
        <w:tab/>
      </w:r>
      <w:r w:rsidR="00041446">
        <w:rPr>
          <w:rStyle w:val="CaptionLabel"/>
        </w:rPr>
        <w:t xml:space="preserve">Gender make up of </w:t>
      </w:r>
      <w:r w:rsidR="00147674">
        <w:rPr>
          <w:rStyle w:val="CaptionLabel"/>
        </w:rPr>
        <w:t>SEE programme</w:t>
      </w:r>
      <w:r w:rsidR="006A28F2">
        <w:rPr>
          <w:rStyle w:val="CaptionLabel"/>
        </w:rPr>
        <w:t xml:space="preserve"> </w:t>
      </w:r>
      <w:r w:rsidR="00041446">
        <w:rPr>
          <w:rStyle w:val="CaptionLabel"/>
        </w:rPr>
        <w:t>client groups</w:t>
      </w:r>
      <w:bookmarkEnd w:id="80"/>
    </w:p>
    <w:tbl>
      <w:tblPr>
        <w:tblW w:w="10204" w:type="dxa"/>
        <w:tblInd w:w="-265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49"/>
        <w:gridCol w:w="3202"/>
        <w:gridCol w:w="3351"/>
        <w:gridCol w:w="3351"/>
        <w:gridCol w:w="151"/>
      </w:tblGrid>
      <w:tr w:rsidR="001365B3" w14:paraId="606077F9" w14:textId="77777777" w:rsidTr="00C527D8">
        <w:trPr>
          <w:gridBefore w:val="1"/>
          <w:wBefore w:w="73" w:type="pct"/>
          <w:cantSplit/>
        </w:trPr>
        <w:tc>
          <w:tcPr>
            <w:tcW w:w="4927" w:type="pct"/>
            <w:gridSpan w:val="4"/>
          </w:tcPr>
          <w:p w14:paraId="221A2740" w14:textId="77777777" w:rsidR="001365B3" w:rsidRDefault="001365B3" w:rsidP="00C527D8">
            <w:pPr>
              <w:pStyle w:val="SmallDeltasRightAligned"/>
              <w:keepNext/>
            </w:pPr>
            <w:r>
              <w:rPr>
                <w:noProof/>
                <w:lang w:eastAsia="en-AU"/>
              </w:rPr>
              <w:drawing>
                <wp:inline distT="0" distB="0" distL="0" distR="0" wp14:anchorId="51A53AA2" wp14:editId="4AC74CC4">
                  <wp:extent cx="481585" cy="23469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527D8" w14:paraId="698E5E7D" w14:textId="77777777" w:rsidTr="00041446">
        <w:tblPrEx>
          <w:tblCellMar>
            <w:left w:w="108" w:type="dxa"/>
            <w:right w:w="108" w:type="dxa"/>
          </w:tblCellMar>
        </w:tblPrEx>
        <w:trPr>
          <w:gridAfter w:val="1"/>
          <w:wAfter w:w="74" w:type="pct"/>
          <w:cantSplit/>
        </w:trPr>
        <w:tc>
          <w:tcPr>
            <w:tcW w:w="1642" w:type="pct"/>
            <w:gridSpan w:val="2"/>
          </w:tcPr>
          <w:p w14:paraId="6FE76E5C" w14:textId="77777777" w:rsidR="00C527D8" w:rsidRDefault="00C527D8" w:rsidP="00C527D8">
            <w:pPr>
              <w:pStyle w:val="Figure"/>
            </w:pPr>
            <w:r>
              <w:rPr>
                <w:noProof/>
                <w:lang w:eastAsia="en-AU"/>
              </w:rPr>
              <w:drawing>
                <wp:inline distT="0" distB="0" distL="0" distR="0" wp14:anchorId="5AD8D4F7" wp14:editId="39FCF3ED">
                  <wp:extent cx="1992702" cy="1857375"/>
                  <wp:effectExtent l="0" t="0" r="762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1642" w:type="pct"/>
          </w:tcPr>
          <w:p w14:paraId="1C81B6A3" w14:textId="77777777" w:rsidR="00C527D8" w:rsidRDefault="00C527D8" w:rsidP="00C527D8">
            <w:pPr>
              <w:pStyle w:val="Figure"/>
            </w:pPr>
            <w:r>
              <w:rPr>
                <w:noProof/>
                <w:lang w:eastAsia="en-AU"/>
              </w:rPr>
              <w:drawing>
                <wp:inline distT="0" distB="0" distL="0" distR="0" wp14:anchorId="7B4B879E" wp14:editId="3826A922">
                  <wp:extent cx="1990725" cy="18573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1642" w:type="pct"/>
          </w:tcPr>
          <w:p w14:paraId="37483E64" w14:textId="77777777" w:rsidR="00C527D8" w:rsidRDefault="00041446" w:rsidP="00C527D8">
            <w:pPr>
              <w:pStyle w:val="Figure"/>
            </w:pPr>
            <w:r>
              <w:rPr>
                <w:noProof/>
                <w:lang w:eastAsia="en-AU"/>
              </w:rPr>
              <w:drawing>
                <wp:inline distT="0" distB="0" distL="0" distR="0" wp14:anchorId="3150D263" wp14:editId="3E33559E">
                  <wp:extent cx="1990725" cy="185737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15CBCB49" w14:textId="58567259" w:rsidR="001365B3" w:rsidRDefault="001365B3" w:rsidP="00C527D8">
      <w:pPr>
        <w:pStyle w:val="Note"/>
        <w:ind w:left="-2551"/>
      </w:pPr>
      <w:r>
        <w:rPr>
          <w:i/>
        </w:rPr>
        <w:t>Note:</w:t>
      </w:r>
      <w:r>
        <w:t xml:space="preserve"> </w:t>
      </w:r>
      <w:r w:rsidR="00147674">
        <w:t>SEE programme</w:t>
      </w:r>
      <w:r w:rsidR="006A28F2">
        <w:t xml:space="preserve"> </w:t>
      </w:r>
      <w:r>
        <w:t>clients that commenced training in 2010-11 – 2013-14.</w:t>
      </w:r>
    </w:p>
    <w:p w14:paraId="46427C3F" w14:textId="0432D465" w:rsidR="001365B3" w:rsidRPr="00B50A1B" w:rsidRDefault="001365B3" w:rsidP="00C527D8">
      <w:pPr>
        <w:pStyle w:val="Source"/>
        <w:ind w:left="-2551"/>
        <w:rPr>
          <w:i/>
        </w:rPr>
      </w:pPr>
      <w:r>
        <w:t>S</w:t>
      </w:r>
      <w:r w:rsidRPr="00B50A1B">
        <w:t>ource:</w:t>
      </w:r>
      <w:r w:rsidRPr="00954EED">
        <w:t xml:space="preserve"> </w:t>
      </w:r>
      <w:r w:rsidR="007A143E">
        <w:t>SEE programme</w:t>
      </w:r>
      <w:r w:rsidR="006A28F2">
        <w:t xml:space="preserve"> </w:t>
      </w:r>
      <w:r w:rsidR="007A143E">
        <w:t>dataset</w:t>
      </w:r>
    </w:p>
    <w:p w14:paraId="7FA556B9" w14:textId="4A83EBBB" w:rsidR="0092439D" w:rsidRDefault="007243AA" w:rsidP="0092439D">
      <w:pPr>
        <w:pStyle w:val="BodyText"/>
      </w:pPr>
      <w:r>
        <w:t>The age profile of the SEE cohort has t</w:t>
      </w:r>
      <w:r w:rsidR="008417CA">
        <w:t>w</w:t>
      </w:r>
      <w:r>
        <w:t>o peaks – one at the 15-19 age group and another between 40-49 (</w:t>
      </w:r>
      <w:r w:rsidR="0092439D">
        <w:fldChar w:fldCharType="begin"/>
      </w:r>
      <w:r w:rsidR="0092439D">
        <w:instrText xml:space="preserve"> REF _Ref408481837 \h </w:instrText>
      </w:r>
      <w:r w:rsidR="0092439D">
        <w:fldChar w:fldCharType="separate"/>
      </w:r>
      <w:r w:rsidR="00294A5A">
        <w:t xml:space="preserve">Figure </w:t>
      </w:r>
      <w:r w:rsidR="00294A5A">
        <w:rPr>
          <w:noProof/>
        </w:rPr>
        <w:t>14</w:t>
      </w:r>
      <w:r w:rsidR="0092439D">
        <w:fldChar w:fldCharType="end"/>
      </w:r>
      <w:r>
        <w:t>).</w:t>
      </w:r>
    </w:p>
    <w:p w14:paraId="04FCEF3F" w14:textId="076DA1D1" w:rsidR="0092439D" w:rsidRDefault="0092439D" w:rsidP="0092439D">
      <w:pPr>
        <w:pStyle w:val="Caption"/>
      </w:pPr>
      <w:bookmarkStart w:id="81" w:name="_Ref408481837"/>
      <w:bookmarkStart w:id="82" w:name="_Toc420065474"/>
      <w:r>
        <w:t xml:space="preserve">Figure </w:t>
      </w:r>
      <w:r w:rsidR="006A2396">
        <w:fldChar w:fldCharType="begin"/>
      </w:r>
      <w:r w:rsidR="006A2396">
        <w:instrText xml:space="preserve"> SEQ Figure \* ARABIC </w:instrText>
      </w:r>
      <w:r w:rsidR="006A2396">
        <w:fldChar w:fldCharType="separate"/>
      </w:r>
      <w:r w:rsidR="00294A5A">
        <w:rPr>
          <w:noProof/>
        </w:rPr>
        <w:t>14</w:t>
      </w:r>
      <w:r w:rsidR="006A2396">
        <w:rPr>
          <w:noProof/>
        </w:rPr>
        <w:fldChar w:fldCharType="end"/>
      </w:r>
      <w:bookmarkEnd w:id="81"/>
      <w:r w:rsidRPr="004E0C91">
        <w:rPr>
          <w:b/>
          <w:color w:val="000080"/>
        </w:rPr>
        <w:tab/>
      </w:r>
      <w:r w:rsidR="00147674">
        <w:rPr>
          <w:rStyle w:val="CaptionLabel"/>
        </w:rPr>
        <w:t>SEE programme</w:t>
      </w:r>
      <w:r w:rsidR="006A28F2">
        <w:rPr>
          <w:rStyle w:val="CaptionLabel"/>
        </w:rPr>
        <w:t xml:space="preserve"> </w:t>
      </w:r>
      <w:r>
        <w:rPr>
          <w:rStyle w:val="CaptionLabel"/>
        </w:rPr>
        <w:t>clients by age group</w:t>
      </w:r>
      <w:bookmarkEnd w:id="82"/>
      <w:r>
        <w:rPr>
          <w:rStyle w:val="CaptionLabel"/>
        </w:rPr>
        <w:t xml:space="preserve"> </w:t>
      </w:r>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92439D" w14:paraId="337CFCFA" w14:textId="77777777" w:rsidTr="00F842C5">
        <w:trPr>
          <w:cantSplit/>
        </w:trPr>
        <w:tc>
          <w:tcPr>
            <w:tcW w:w="5000" w:type="pct"/>
          </w:tcPr>
          <w:p w14:paraId="7672F70F" w14:textId="77777777" w:rsidR="0092439D" w:rsidRDefault="0092439D" w:rsidP="00F842C5">
            <w:pPr>
              <w:pStyle w:val="SmallDeltasRightAligned"/>
              <w:keepNext/>
            </w:pPr>
            <w:r>
              <w:rPr>
                <w:noProof/>
                <w:lang w:eastAsia="en-AU"/>
              </w:rPr>
              <w:drawing>
                <wp:inline distT="0" distB="0" distL="0" distR="0" wp14:anchorId="1E01700F" wp14:editId="3834AF97">
                  <wp:extent cx="481585" cy="2346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2439D" w14:paraId="28283759" w14:textId="77777777" w:rsidTr="00F842C5">
        <w:tblPrEx>
          <w:tblCellMar>
            <w:left w:w="108" w:type="dxa"/>
            <w:right w:w="108" w:type="dxa"/>
          </w:tblCellMar>
        </w:tblPrEx>
        <w:trPr>
          <w:cantSplit/>
        </w:trPr>
        <w:tc>
          <w:tcPr>
            <w:tcW w:w="5000" w:type="pct"/>
          </w:tcPr>
          <w:p w14:paraId="5D01C67B" w14:textId="77777777" w:rsidR="0092439D" w:rsidRDefault="0092439D" w:rsidP="00F842C5">
            <w:pPr>
              <w:pStyle w:val="Figure"/>
            </w:pPr>
            <w:r>
              <w:rPr>
                <w:noProof/>
                <w:lang w:eastAsia="en-AU"/>
              </w:rPr>
              <w:drawing>
                <wp:inline distT="0" distB="0" distL="0" distR="0" wp14:anchorId="5840F9EA" wp14:editId="52686730">
                  <wp:extent cx="4543425" cy="2726055"/>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bl>
    <w:p w14:paraId="29E022EE" w14:textId="13E58E78" w:rsidR="0092439D" w:rsidRDefault="0092439D" w:rsidP="0092439D">
      <w:pPr>
        <w:pStyle w:val="Note"/>
      </w:pPr>
      <w:r>
        <w:rPr>
          <w:i/>
        </w:rPr>
        <w:t>Note:</w:t>
      </w:r>
      <w:r>
        <w:t xml:space="preserve"> </w:t>
      </w:r>
      <w:r w:rsidR="00147674">
        <w:t>SEE programme</w:t>
      </w:r>
      <w:r w:rsidR="006A28F2">
        <w:t xml:space="preserve"> </w:t>
      </w:r>
      <w:r>
        <w:t>clients that commenced training in 2010-11 – 2013-14.</w:t>
      </w:r>
    </w:p>
    <w:p w14:paraId="16A8D6E3" w14:textId="77777777" w:rsidR="0092439D" w:rsidRPr="00B50A1B" w:rsidRDefault="0092439D" w:rsidP="0092439D">
      <w:pPr>
        <w:pStyle w:val="Source"/>
        <w:rPr>
          <w:i/>
        </w:rPr>
      </w:pPr>
      <w:r>
        <w:t>S</w:t>
      </w:r>
      <w:r w:rsidRPr="00B50A1B">
        <w:t>ource:</w:t>
      </w:r>
      <w:r w:rsidRPr="00954EED">
        <w:t xml:space="preserve"> </w:t>
      </w:r>
    </w:p>
    <w:p w14:paraId="66486E72" w14:textId="6CAA7FD5" w:rsidR="0092439D" w:rsidRDefault="0092439D" w:rsidP="0092439D">
      <w:pPr>
        <w:pStyle w:val="BodyText"/>
      </w:pPr>
      <w:r>
        <w:fldChar w:fldCharType="begin"/>
      </w:r>
      <w:r>
        <w:instrText xml:space="preserve"> REF _Ref408481840 \h </w:instrText>
      </w:r>
      <w:r>
        <w:fldChar w:fldCharType="separate"/>
      </w:r>
      <w:r w:rsidR="00294A5A">
        <w:t xml:space="preserve">Figure </w:t>
      </w:r>
      <w:r w:rsidR="00294A5A">
        <w:rPr>
          <w:noProof/>
        </w:rPr>
        <w:t>15</w:t>
      </w:r>
      <w:r>
        <w:fldChar w:fldCharType="end"/>
      </w:r>
      <w:r w:rsidR="007243AA">
        <w:t xml:space="preserve"> shows that the younger age groups are primarily non-CALD, non</w:t>
      </w:r>
      <w:r w:rsidR="007243AA">
        <w:noBreakHyphen/>
        <w:t xml:space="preserve">Indigenous and Indigenous clients. CALD clients account for the majority of clients in the 25-29 age group and each older age group. In the age </w:t>
      </w:r>
      <w:r w:rsidR="009B2D4E">
        <w:t>groups</w:t>
      </w:r>
      <w:r w:rsidR="007243AA">
        <w:t xml:space="preserve"> above 40, CALD </w:t>
      </w:r>
      <w:r w:rsidR="009B2D4E">
        <w:t>clients</w:t>
      </w:r>
      <w:r w:rsidR="007243AA">
        <w:t xml:space="preserve"> make up 80 per cent or more of SEE </w:t>
      </w:r>
      <w:r w:rsidR="00276A03">
        <w:t xml:space="preserve">programme </w:t>
      </w:r>
      <w:r w:rsidR="007243AA">
        <w:t xml:space="preserve">clients. </w:t>
      </w:r>
    </w:p>
    <w:p w14:paraId="03C1FD29" w14:textId="2D0AD6CC" w:rsidR="0092439D" w:rsidRDefault="0092439D" w:rsidP="0092439D">
      <w:pPr>
        <w:pStyle w:val="Caption"/>
      </w:pPr>
      <w:bookmarkStart w:id="83" w:name="_Ref408481840"/>
      <w:bookmarkStart w:id="84" w:name="_Toc420065475"/>
      <w:r>
        <w:t xml:space="preserve">Figure </w:t>
      </w:r>
      <w:r w:rsidR="006A2396">
        <w:fldChar w:fldCharType="begin"/>
      </w:r>
      <w:r w:rsidR="006A2396">
        <w:instrText xml:space="preserve"> SEQ Figure \* ARA</w:instrText>
      </w:r>
      <w:r w:rsidR="006A2396">
        <w:instrText xml:space="preserve">BIC </w:instrText>
      </w:r>
      <w:r w:rsidR="006A2396">
        <w:fldChar w:fldCharType="separate"/>
      </w:r>
      <w:r w:rsidR="00294A5A">
        <w:rPr>
          <w:noProof/>
        </w:rPr>
        <w:t>15</w:t>
      </w:r>
      <w:r w:rsidR="006A2396">
        <w:rPr>
          <w:noProof/>
        </w:rPr>
        <w:fldChar w:fldCharType="end"/>
      </w:r>
      <w:bookmarkEnd w:id="83"/>
      <w:r w:rsidRPr="004E0C91">
        <w:rPr>
          <w:b/>
          <w:color w:val="000080"/>
        </w:rPr>
        <w:tab/>
      </w:r>
      <w:r w:rsidR="007A143E">
        <w:rPr>
          <w:rStyle w:val="CaptionLabel"/>
        </w:rPr>
        <w:t>SEE programme</w:t>
      </w:r>
      <w:r w:rsidR="006A28F2">
        <w:rPr>
          <w:rStyle w:val="CaptionLabel"/>
        </w:rPr>
        <w:t xml:space="preserve"> </w:t>
      </w:r>
      <w:r>
        <w:rPr>
          <w:rStyle w:val="CaptionLabel"/>
        </w:rPr>
        <w:t>clients by age group and client group</w:t>
      </w:r>
      <w:bookmarkEnd w:id="84"/>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92439D" w14:paraId="298F7D08" w14:textId="77777777" w:rsidTr="00F842C5">
        <w:trPr>
          <w:cantSplit/>
        </w:trPr>
        <w:tc>
          <w:tcPr>
            <w:tcW w:w="5000" w:type="pct"/>
          </w:tcPr>
          <w:p w14:paraId="4419B708" w14:textId="77777777" w:rsidR="0092439D" w:rsidRDefault="0092439D" w:rsidP="00F842C5">
            <w:pPr>
              <w:pStyle w:val="SmallDeltasRightAligned"/>
              <w:keepNext/>
            </w:pPr>
            <w:r>
              <w:rPr>
                <w:noProof/>
                <w:lang w:eastAsia="en-AU"/>
              </w:rPr>
              <w:drawing>
                <wp:inline distT="0" distB="0" distL="0" distR="0" wp14:anchorId="21358480" wp14:editId="1D28DA8C">
                  <wp:extent cx="481585" cy="23469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2439D" w14:paraId="57E9FE79" w14:textId="77777777" w:rsidTr="00F842C5">
        <w:tblPrEx>
          <w:tblCellMar>
            <w:left w:w="108" w:type="dxa"/>
            <w:right w:w="108" w:type="dxa"/>
          </w:tblCellMar>
        </w:tblPrEx>
        <w:trPr>
          <w:cantSplit/>
        </w:trPr>
        <w:tc>
          <w:tcPr>
            <w:tcW w:w="5000" w:type="pct"/>
          </w:tcPr>
          <w:p w14:paraId="00BC6E8E" w14:textId="77777777" w:rsidR="0092439D" w:rsidRDefault="0092439D" w:rsidP="00F842C5">
            <w:pPr>
              <w:pStyle w:val="Figure"/>
            </w:pPr>
            <w:r>
              <w:rPr>
                <w:noProof/>
                <w:lang w:eastAsia="en-AU"/>
              </w:rPr>
              <w:drawing>
                <wp:inline distT="0" distB="0" distL="0" distR="0" wp14:anchorId="4355019A" wp14:editId="0A4B7FA5">
                  <wp:extent cx="4572000" cy="27432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46D44D56" w14:textId="68974644" w:rsidR="0092439D" w:rsidRDefault="0092439D" w:rsidP="0092439D">
      <w:pPr>
        <w:pStyle w:val="Note"/>
      </w:pPr>
      <w:r>
        <w:rPr>
          <w:i/>
        </w:rPr>
        <w:t>Note:</w:t>
      </w:r>
      <w:r>
        <w:t xml:space="preserve"> </w:t>
      </w:r>
      <w:r w:rsidR="00147674">
        <w:t>SEE programme</w:t>
      </w:r>
      <w:r w:rsidR="006A28F2">
        <w:t xml:space="preserve"> </w:t>
      </w:r>
      <w:r>
        <w:t>clients that commenced training in 2010-11 – 2013-14.</w:t>
      </w:r>
    </w:p>
    <w:p w14:paraId="59A7B854" w14:textId="711FFA8E" w:rsidR="0092439D" w:rsidRDefault="0092439D" w:rsidP="0092439D">
      <w:pPr>
        <w:pStyle w:val="Source"/>
      </w:pPr>
      <w:r>
        <w:t>S</w:t>
      </w:r>
      <w:r w:rsidRPr="00B50A1B">
        <w:t>ource:</w:t>
      </w:r>
      <w:r w:rsidRPr="00954EED">
        <w:t xml:space="preserve"> </w:t>
      </w:r>
      <w:r w:rsidR="007A143E">
        <w:t>SEE programme</w:t>
      </w:r>
      <w:r w:rsidR="006A28F2">
        <w:t xml:space="preserve"> </w:t>
      </w:r>
      <w:r w:rsidR="007A143E">
        <w:t>dataset</w:t>
      </w:r>
    </w:p>
    <w:p w14:paraId="0BEA2301" w14:textId="77777777" w:rsidR="001408F3" w:rsidRPr="00BE67D9" w:rsidRDefault="001408F3" w:rsidP="00BE67D9">
      <w:pPr>
        <w:pStyle w:val="BodyText"/>
      </w:pP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92439D" w14:paraId="3ADB6D15" w14:textId="77777777" w:rsidTr="00F842C5">
        <w:tc>
          <w:tcPr>
            <w:tcW w:w="5000" w:type="pct"/>
            <w:shd w:val="pct12" w:color="auto" w:fill="auto"/>
          </w:tcPr>
          <w:p w14:paraId="1257516D" w14:textId="77777777" w:rsidR="0092439D" w:rsidRDefault="0092439D" w:rsidP="00F842C5">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5</w:t>
            </w:r>
            <w:r w:rsidR="006A2396">
              <w:rPr>
                <w:noProof/>
              </w:rPr>
              <w:fldChar w:fldCharType="end"/>
            </w:r>
          </w:p>
        </w:tc>
      </w:tr>
      <w:tr w:rsidR="0092439D" w14:paraId="2938DBD3" w14:textId="77777777" w:rsidTr="00F842C5">
        <w:tc>
          <w:tcPr>
            <w:tcW w:w="5000" w:type="pct"/>
            <w:shd w:val="pct12" w:color="auto" w:fill="auto"/>
          </w:tcPr>
          <w:p w14:paraId="0EF49819" w14:textId="63F70896" w:rsidR="00E408A2" w:rsidRDefault="00C93D80" w:rsidP="00AF70C4">
            <w:pPr>
              <w:pStyle w:val="BoxText"/>
            </w:pPr>
            <w:r>
              <w:t xml:space="preserve">More than two thirds of SEE </w:t>
            </w:r>
            <w:r w:rsidR="00A45593">
              <w:t xml:space="preserve">programme </w:t>
            </w:r>
            <w:r>
              <w:t>clients have a CALD background</w:t>
            </w:r>
            <w:r w:rsidR="00EF1042">
              <w:t>, although this share has been falling steadily in recent years</w:t>
            </w:r>
            <w:r>
              <w:t xml:space="preserve">. 8 per cent of SEE </w:t>
            </w:r>
            <w:r w:rsidR="00276A03">
              <w:t xml:space="preserve">programme </w:t>
            </w:r>
            <w:r>
              <w:t xml:space="preserve">clients </w:t>
            </w:r>
            <w:r w:rsidR="00EF1042">
              <w:t xml:space="preserve">are </w:t>
            </w:r>
            <w:r>
              <w:t xml:space="preserve">Indigenous. </w:t>
            </w:r>
          </w:p>
          <w:p w14:paraId="587BA5E9" w14:textId="595D8450" w:rsidR="00AF70C4" w:rsidRDefault="00AF70C4" w:rsidP="00AF70C4">
            <w:pPr>
              <w:pStyle w:val="BoxText"/>
            </w:pPr>
            <w:r>
              <w:t xml:space="preserve">There is significant gender differences </w:t>
            </w:r>
            <w:r w:rsidR="00E408A2">
              <w:t>between cohorts</w:t>
            </w:r>
            <w:r w:rsidR="002F7C9C">
              <w:t xml:space="preserve"> </w:t>
            </w:r>
            <w:r>
              <w:t>with wom</w:t>
            </w:r>
            <w:r w:rsidR="008E6476">
              <w:t>e</w:t>
            </w:r>
            <w:r>
              <w:t xml:space="preserve">n making up </w:t>
            </w:r>
            <w:r w:rsidR="002F7C9C">
              <w:t>67</w:t>
            </w:r>
            <w:r>
              <w:t xml:space="preserve"> per cent of </w:t>
            </w:r>
            <w:r w:rsidR="002F7C9C">
              <w:t xml:space="preserve">CALD clients but less than 50 per cent of other cohorts. </w:t>
            </w:r>
          </w:p>
          <w:p w14:paraId="1A98C9A4" w14:textId="72DBFD50" w:rsidR="0092439D" w:rsidRDefault="00AF70C4" w:rsidP="00AF70C4">
            <w:pPr>
              <w:pStyle w:val="BoxText"/>
            </w:pPr>
            <w:r>
              <w:t xml:space="preserve">The age profiles of each cohort also differs, with </w:t>
            </w:r>
            <w:r w:rsidR="002F7C9C">
              <w:t xml:space="preserve">non-CALD, </w:t>
            </w:r>
            <w:r w:rsidR="00A45593">
              <w:t xml:space="preserve">and </w:t>
            </w:r>
            <w:r w:rsidR="002F7C9C">
              <w:t>non</w:t>
            </w:r>
            <w:r w:rsidR="002F7C9C">
              <w:noBreakHyphen/>
              <w:t xml:space="preserve">Indigenous and Indigenous SEE </w:t>
            </w:r>
            <w:r w:rsidR="00A45593">
              <w:t xml:space="preserve">programme </w:t>
            </w:r>
            <w:r w:rsidR="002F7C9C">
              <w:t>clients concentrated in younger age groups</w:t>
            </w:r>
            <w:r w:rsidR="00A45593">
              <w:t>,</w:t>
            </w:r>
            <w:r w:rsidR="002F7C9C">
              <w:t xml:space="preserve"> and CALD clients making up 80 per cent or more of SEE </w:t>
            </w:r>
            <w:r w:rsidR="00A45593">
              <w:t xml:space="preserve">programme </w:t>
            </w:r>
            <w:r w:rsidR="002F7C9C">
              <w:t>clients in the age groups above 40.</w:t>
            </w:r>
          </w:p>
          <w:p w14:paraId="727C64ED" w14:textId="77777777" w:rsidR="0092439D" w:rsidRPr="00090BC6" w:rsidRDefault="0092439D" w:rsidP="00F842C5">
            <w:pPr>
              <w:pStyle w:val="SmallDeltasRightAligned"/>
            </w:pPr>
            <w:r w:rsidRPr="00090BC6">
              <w:rPr>
                <w:noProof/>
                <w:lang w:eastAsia="en-AU"/>
              </w:rPr>
              <w:drawing>
                <wp:inline distT="0" distB="0" distL="0" distR="0" wp14:anchorId="2D61D5DA" wp14:editId="1D55E750">
                  <wp:extent cx="481585" cy="23469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2439D" w14:paraId="4C8D6AEF" w14:textId="77777777" w:rsidTr="00F842C5">
        <w:trPr>
          <w:trHeight w:hRule="exact" w:val="80"/>
        </w:trPr>
        <w:tc>
          <w:tcPr>
            <w:tcW w:w="5000" w:type="pct"/>
            <w:shd w:val="pct12" w:color="auto" w:fill="auto"/>
          </w:tcPr>
          <w:p w14:paraId="0555EDB8" w14:textId="77777777" w:rsidR="0092439D" w:rsidRDefault="0092439D" w:rsidP="00F842C5">
            <w:pPr>
              <w:spacing w:before="160"/>
            </w:pPr>
            <w:r>
              <w:t xml:space="preserve"> </w:t>
            </w:r>
          </w:p>
        </w:tc>
      </w:tr>
    </w:tbl>
    <w:p w14:paraId="684C2A6A" w14:textId="0E6F9325" w:rsidR="0092439D" w:rsidRDefault="00147674" w:rsidP="0092439D">
      <w:pPr>
        <w:pStyle w:val="Heading3"/>
        <w:numPr>
          <w:ilvl w:val="2"/>
          <w:numId w:val="20"/>
        </w:numPr>
      </w:pPr>
      <w:bookmarkStart w:id="85" w:name="_Ref408771765"/>
      <w:r>
        <w:t>SEE programme</w:t>
      </w:r>
      <w:r w:rsidR="006A28F2">
        <w:t xml:space="preserve"> </w:t>
      </w:r>
      <w:r w:rsidR="0092439D">
        <w:t>clients by state/territory and remoteness</w:t>
      </w:r>
      <w:bookmarkEnd w:id="85"/>
    </w:p>
    <w:p w14:paraId="2D6C317F" w14:textId="067E8F46" w:rsidR="00012B56" w:rsidRDefault="0092439D" w:rsidP="001365B3">
      <w:pPr>
        <w:pStyle w:val="BodyText"/>
      </w:pPr>
      <w:r>
        <w:t xml:space="preserve">The majority of </w:t>
      </w:r>
      <w:r w:rsidR="00D95E2F">
        <w:t xml:space="preserve">SEE </w:t>
      </w:r>
      <w:r w:rsidR="00A45593">
        <w:t xml:space="preserve">programme </w:t>
      </w:r>
      <w:r>
        <w:t>clients (68 per cent) are located in either NSW or Victoria (</w:t>
      </w:r>
      <w:r w:rsidR="002F7C9C">
        <w:fldChar w:fldCharType="begin"/>
      </w:r>
      <w:r w:rsidR="002F7C9C">
        <w:instrText xml:space="preserve"> REF _Ref408482245 \h </w:instrText>
      </w:r>
      <w:r w:rsidR="002F7C9C">
        <w:fldChar w:fldCharType="separate"/>
      </w:r>
      <w:r w:rsidR="00294A5A">
        <w:t xml:space="preserve">Table </w:t>
      </w:r>
      <w:r w:rsidR="00294A5A">
        <w:rPr>
          <w:noProof/>
        </w:rPr>
        <w:t>6</w:t>
      </w:r>
      <w:r w:rsidR="002F7C9C">
        <w:fldChar w:fldCharType="end"/>
      </w:r>
      <w:r>
        <w:t xml:space="preserve">). </w:t>
      </w:r>
      <w:r w:rsidR="004F052B">
        <w:t xml:space="preserve">NSW and SA have an overrepresentation of SEE </w:t>
      </w:r>
      <w:r w:rsidR="00A45593">
        <w:t xml:space="preserve">programme </w:t>
      </w:r>
      <w:r w:rsidR="004F052B">
        <w:t xml:space="preserve">clients relative to their </w:t>
      </w:r>
      <w:r w:rsidR="00CA50B7">
        <w:t>share of JSA clients</w:t>
      </w:r>
      <w:r w:rsidR="00012B56">
        <w:t xml:space="preserve">, while Queensland, WA and Tasmania have a significantly fewer SEE </w:t>
      </w:r>
      <w:r w:rsidR="00A45593">
        <w:t xml:space="preserve">programme </w:t>
      </w:r>
      <w:r w:rsidR="00012B56">
        <w:t xml:space="preserve">clients than would be expected based on their number of JSA clients. This many indicate that </w:t>
      </w:r>
      <w:r w:rsidR="00EA49D5">
        <w:t>there is a degree of unmet demand in these states</w:t>
      </w:r>
      <w:r w:rsidR="00012B56">
        <w:t xml:space="preserve">. </w:t>
      </w:r>
    </w:p>
    <w:p w14:paraId="4D040B4F" w14:textId="2AB38E62" w:rsidR="0092439D" w:rsidRDefault="004F052B" w:rsidP="001365B3">
      <w:pPr>
        <w:pStyle w:val="BodyText"/>
      </w:pPr>
      <w:r>
        <w:t xml:space="preserve">The Northern Territory has </w:t>
      </w:r>
      <w:r w:rsidR="0092439D">
        <w:t xml:space="preserve">the highest proportion of </w:t>
      </w:r>
      <w:r>
        <w:t xml:space="preserve">Indigenous </w:t>
      </w:r>
      <w:r w:rsidR="0092439D">
        <w:t xml:space="preserve">clients, with </w:t>
      </w:r>
      <w:r w:rsidR="000F1DBC">
        <w:t xml:space="preserve">Western Australian and Queensland also having above average shares. Victoria and ACT has the highest share of CALD clients. </w:t>
      </w:r>
    </w:p>
    <w:p w14:paraId="2F32B7A2" w14:textId="696CB041" w:rsidR="00C91FB7" w:rsidRDefault="00C91FB7" w:rsidP="00C91FB7">
      <w:pPr>
        <w:pStyle w:val="Caption"/>
        <w:ind w:left="-1417" w:hanging="1135"/>
      </w:pPr>
      <w:bookmarkStart w:id="86" w:name="_Ref408482245"/>
      <w:bookmarkStart w:id="87" w:name="_Toc420065502"/>
      <w:r>
        <w:t xml:space="preserve">Table </w:t>
      </w:r>
      <w:fldSimple w:instr=" SEQ Table \* MERGEFORMAT ">
        <w:r w:rsidR="00294A5A">
          <w:rPr>
            <w:noProof/>
          </w:rPr>
          <w:t>6</w:t>
        </w:r>
      </w:fldSimple>
      <w:bookmarkEnd w:id="86"/>
      <w:r w:rsidRPr="00FD66DB">
        <w:rPr>
          <w:b/>
          <w:color w:val="000000"/>
        </w:rPr>
        <w:tab/>
      </w:r>
      <w:r w:rsidR="005677BB">
        <w:rPr>
          <w:b/>
          <w:color w:val="000000"/>
        </w:rPr>
        <w:t xml:space="preserve">State and territory </w:t>
      </w:r>
      <w:r w:rsidR="00147674">
        <w:rPr>
          <w:b/>
          <w:color w:val="000000"/>
        </w:rPr>
        <w:t>SEE programme</w:t>
      </w:r>
      <w:r w:rsidR="006A28F2">
        <w:rPr>
          <w:b/>
          <w:color w:val="000000"/>
        </w:rPr>
        <w:t xml:space="preserve"> </w:t>
      </w:r>
      <w:r w:rsidR="005677BB">
        <w:rPr>
          <w:b/>
          <w:color w:val="000000"/>
        </w:rPr>
        <w:t>client cohort make up</w:t>
      </w:r>
      <w:r w:rsidR="00D04A1E">
        <w:rPr>
          <w:b/>
          <w:color w:val="000000"/>
        </w:rPr>
        <w:t>, compared to JSA clients</w:t>
      </w:r>
      <w:bookmarkEnd w:id="87"/>
    </w:p>
    <w:tbl>
      <w:tblPr>
        <w:tblW w:w="9922" w:type="dxa"/>
        <w:tblInd w:w="-2551"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2267"/>
        <w:gridCol w:w="1458"/>
        <w:gridCol w:w="1458"/>
        <w:gridCol w:w="1458"/>
        <w:gridCol w:w="588"/>
        <w:gridCol w:w="1458"/>
        <w:gridCol w:w="1235"/>
      </w:tblGrid>
      <w:tr w:rsidR="00C91FB7" w14:paraId="41BF6029" w14:textId="77777777" w:rsidTr="000F05FD">
        <w:trPr>
          <w:cantSplit/>
        </w:trPr>
        <w:tc>
          <w:tcPr>
            <w:tcW w:w="2267" w:type="dxa"/>
            <w:tcBorders>
              <w:top w:val="nil"/>
              <w:bottom w:val="single" w:sz="2" w:space="0" w:color="C0C0C0"/>
            </w:tcBorders>
            <w:shd w:val="solid" w:color="9757A6" w:fill="auto"/>
            <w:vAlign w:val="center"/>
          </w:tcPr>
          <w:p w14:paraId="47BB84D6" w14:textId="77777777" w:rsidR="00C91FB7" w:rsidRDefault="00C91FB7" w:rsidP="00C527D8">
            <w:pPr>
              <w:pStyle w:val="Tablecolumnheadings"/>
            </w:pPr>
          </w:p>
        </w:tc>
        <w:tc>
          <w:tcPr>
            <w:tcW w:w="1458" w:type="dxa"/>
            <w:tcBorders>
              <w:top w:val="nil"/>
              <w:bottom w:val="single" w:sz="2" w:space="0" w:color="C0C0C0"/>
            </w:tcBorders>
            <w:shd w:val="solid" w:color="9757A6" w:fill="auto"/>
            <w:vAlign w:val="center"/>
          </w:tcPr>
          <w:p w14:paraId="7FE3EE6A" w14:textId="77777777" w:rsidR="00C91FB7" w:rsidRDefault="00C91FB7" w:rsidP="000F05FD">
            <w:pPr>
              <w:pStyle w:val="Tablecolumnheadings"/>
              <w:jc w:val="center"/>
            </w:pPr>
            <w:r>
              <w:t>Non-CALD, non-Indigenous</w:t>
            </w:r>
          </w:p>
        </w:tc>
        <w:tc>
          <w:tcPr>
            <w:tcW w:w="1458" w:type="dxa"/>
            <w:tcBorders>
              <w:top w:val="nil"/>
              <w:bottom w:val="single" w:sz="2" w:space="0" w:color="C0C0C0"/>
            </w:tcBorders>
            <w:shd w:val="solid" w:color="9757A6" w:fill="auto"/>
            <w:vAlign w:val="center"/>
          </w:tcPr>
          <w:p w14:paraId="663E4F31" w14:textId="77777777" w:rsidR="00C91FB7" w:rsidRDefault="00C91FB7" w:rsidP="000F05FD">
            <w:pPr>
              <w:pStyle w:val="Tablecolumnheadings"/>
              <w:jc w:val="center"/>
            </w:pPr>
            <w:r>
              <w:t>CALD</w:t>
            </w:r>
          </w:p>
        </w:tc>
        <w:tc>
          <w:tcPr>
            <w:tcW w:w="1458" w:type="dxa"/>
            <w:tcBorders>
              <w:top w:val="nil"/>
              <w:bottom w:val="single" w:sz="2" w:space="0" w:color="C0C0C0"/>
            </w:tcBorders>
            <w:shd w:val="solid" w:color="9757A6" w:fill="auto"/>
            <w:vAlign w:val="center"/>
          </w:tcPr>
          <w:p w14:paraId="7F710036" w14:textId="77777777" w:rsidR="00C91FB7" w:rsidRDefault="00C91FB7" w:rsidP="000F05FD">
            <w:pPr>
              <w:pStyle w:val="Tablecolumnheadings"/>
              <w:jc w:val="center"/>
            </w:pPr>
            <w:r>
              <w:t>Indigenous</w:t>
            </w:r>
          </w:p>
        </w:tc>
        <w:tc>
          <w:tcPr>
            <w:tcW w:w="588" w:type="dxa"/>
            <w:tcBorders>
              <w:top w:val="nil"/>
              <w:bottom w:val="single" w:sz="2" w:space="0" w:color="C0C0C0"/>
            </w:tcBorders>
            <w:shd w:val="solid" w:color="9757A6" w:fill="auto"/>
            <w:vAlign w:val="center"/>
          </w:tcPr>
          <w:p w14:paraId="2D2209A9" w14:textId="77777777" w:rsidR="00C91FB7" w:rsidRDefault="00C91FB7" w:rsidP="000F05FD">
            <w:pPr>
              <w:pStyle w:val="Tablecolumnheadings"/>
              <w:jc w:val="center"/>
            </w:pPr>
          </w:p>
        </w:tc>
        <w:tc>
          <w:tcPr>
            <w:tcW w:w="1458" w:type="dxa"/>
            <w:tcBorders>
              <w:top w:val="nil"/>
              <w:bottom w:val="single" w:sz="2" w:space="0" w:color="C0C0C0"/>
            </w:tcBorders>
            <w:shd w:val="solid" w:color="9757A6" w:fill="auto"/>
            <w:vAlign w:val="center"/>
          </w:tcPr>
          <w:p w14:paraId="0DD95D8F" w14:textId="77777777" w:rsidR="00C91FB7" w:rsidRDefault="00C91FB7" w:rsidP="000F05FD">
            <w:pPr>
              <w:pStyle w:val="Tablecolumnheadings"/>
              <w:jc w:val="center"/>
            </w:pPr>
            <w:r>
              <w:t>Share of SEE clients</w:t>
            </w:r>
          </w:p>
        </w:tc>
        <w:tc>
          <w:tcPr>
            <w:tcW w:w="1235" w:type="dxa"/>
            <w:tcBorders>
              <w:top w:val="nil"/>
              <w:bottom w:val="single" w:sz="2" w:space="0" w:color="C0C0C0"/>
            </w:tcBorders>
            <w:shd w:val="solid" w:color="9757A6" w:fill="auto"/>
            <w:vAlign w:val="center"/>
          </w:tcPr>
          <w:p w14:paraId="66E6DD29" w14:textId="5D7C1912" w:rsidR="00C91FB7" w:rsidRDefault="00C91FB7" w:rsidP="00CA50B7">
            <w:pPr>
              <w:pStyle w:val="Tablecolumnheadings"/>
              <w:jc w:val="center"/>
            </w:pPr>
            <w:r>
              <w:t xml:space="preserve">Share of </w:t>
            </w:r>
            <w:r w:rsidR="00CA50B7">
              <w:t>JSA clients</w:t>
            </w:r>
          </w:p>
        </w:tc>
      </w:tr>
      <w:tr w:rsidR="00C91FB7" w14:paraId="668623C0" w14:textId="77777777" w:rsidTr="000F05FD">
        <w:trPr>
          <w:cantSplit/>
        </w:trPr>
        <w:tc>
          <w:tcPr>
            <w:tcW w:w="2267" w:type="dxa"/>
            <w:tcBorders>
              <w:top w:val="single" w:sz="2" w:space="0" w:color="C0C0C0"/>
            </w:tcBorders>
            <w:shd w:val="solid" w:color="E6E6E6" w:fill="auto"/>
            <w:vAlign w:val="center"/>
          </w:tcPr>
          <w:p w14:paraId="65D8DECE" w14:textId="77777777" w:rsidR="00C91FB7" w:rsidRDefault="00C91FB7" w:rsidP="00C91FB7">
            <w:pPr>
              <w:pStyle w:val="Tableunitsrow"/>
            </w:pPr>
            <w:r>
              <w:t xml:space="preserve">Australian average </w:t>
            </w:r>
          </w:p>
        </w:tc>
        <w:tc>
          <w:tcPr>
            <w:tcW w:w="1458" w:type="dxa"/>
            <w:tcBorders>
              <w:top w:val="single" w:sz="2" w:space="0" w:color="C0C0C0"/>
            </w:tcBorders>
            <w:shd w:val="solid" w:color="E6E6E6" w:fill="auto"/>
            <w:vAlign w:val="center"/>
          </w:tcPr>
          <w:p w14:paraId="4BE883D7" w14:textId="77777777" w:rsidR="00C91FB7" w:rsidRDefault="000F05FD" w:rsidP="000F05FD">
            <w:pPr>
              <w:pStyle w:val="Tableunitsrow"/>
              <w:jc w:val="center"/>
            </w:pPr>
            <w:r>
              <w:t>23%</w:t>
            </w:r>
          </w:p>
        </w:tc>
        <w:tc>
          <w:tcPr>
            <w:tcW w:w="1458" w:type="dxa"/>
            <w:tcBorders>
              <w:top w:val="single" w:sz="2" w:space="0" w:color="C0C0C0"/>
            </w:tcBorders>
            <w:shd w:val="solid" w:color="E6E6E6" w:fill="auto"/>
            <w:vAlign w:val="center"/>
          </w:tcPr>
          <w:p w14:paraId="3216A460" w14:textId="77777777" w:rsidR="00C91FB7" w:rsidRDefault="000F05FD" w:rsidP="000F05FD">
            <w:pPr>
              <w:pStyle w:val="Tableunitsrow"/>
              <w:jc w:val="center"/>
            </w:pPr>
            <w:r>
              <w:t>68%</w:t>
            </w:r>
          </w:p>
        </w:tc>
        <w:tc>
          <w:tcPr>
            <w:tcW w:w="1458" w:type="dxa"/>
            <w:tcBorders>
              <w:top w:val="single" w:sz="2" w:space="0" w:color="C0C0C0"/>
            </w:tcBorders>
            <w:shd w:val="solid" w:color="E6E6E6" w:fill="auto"/>
            <w:vAlign w:val="center"/>
          </w:tcPr>
          <w:p w14:paraId="29ACC57A" w14:textId="77777777" w:rsidR="00C91FB7" w:rsidRDefault="000F05FD" w:rsidP="000F05FD">
            <w:pPr>
              <w:pStyle w:val="Tableunitsrow"/>
              <w:jc w:val="center"/>
            </w:pPr>
            <w:r>
              <w:t>8%</w:t>
            </w:r>
          </w:p>
        </w:tc>
        <w:tc>
          <w:tcPr>
            <w:tcW w:w="588" w:type="dxa"/>
            <w:tcBorders>
              <w:top w:val="single" w:sz="2" w:space="0" w:color="C0C0C0"/>
            </w:tcBorders>
            <w:shd w:val="solid" w:color="E6E6E6" w:fill="auto"/>
            <w:vAlign w:val="center"/>
          </w:tcPr>
          <w:p w14:paraId="6420A18D" w14:textId="77777777" w:rsidR="00C91FB7" w:rsidRDefault="00C91FB7" w:rsidP="00C527D8">
            <w:pPr>
              <w:pStyle w:val="Tableunitsrow"/>
            </w:pPr>
          </w:p>
        </w:tc>
        <w:tc>
          <w:tcPr>
            <w:tcW w:w="1458" w:type="dxa"/>
            <w:tcBorders>
              <w:top w:val="single" w:sz="2" w:space="0" w:color="C0C0C0"/>
            </w:tcBorders>
            <w:shd w:val="solid" w:color="E6E6E6" w:fill="auto"/>
            <w:vAlign w:val="center"/>
          </w:tcPr>
          <w:p w14:paraId="52E27BF5" w14:textId="77777777" w:rsidR="00C91FB7" w:rsidRDefault="00C91FB7" w:rsidP="00C527D8">
            <w:pPr>
              <w:pStyle w:val="Tableunitsrow"/>
            </w:pPr>
          </w:p>
        </w:tc>
        <w:tc>
          <w:tcPr>
            <w:tcW w:w="1235" w:type="dxa"/>
            <w:tcBorders>
              <w:top w:val="single" w:sz="2" w:space="0" w:color="C0C0C0"/>
            </w:tcBorders>
            <w:shd w:val="solid" w:color="E6E6E6" w:fill="auto"/>
            <w:vAlign w:val="center"/>
          </w:tcPr>
          <w:p w14:paraId="55BA48C2" w14:textId="77777777" w:rsidR="00C91FB7" w:rsidRDefault="00C91FB7" w:rsidP="00C527D8">
            <w:pPr>
              <w:pStyle w:val="Tableunitsrow"/>
            </w:pPr>
          </w:p>
        </w:tc>
      </w:tr>
      <w:tr w:rsidR="00CA50B7" w14:paraId="036BCDB9" w14:textId="77777777" w:rsidTr="00CA50B7">
        <w:trPr>
          <w:cantSplit/>
        </w:trPr>
        <w:tc>
          <w:tcPr>
            <w:tcW w:w="2267" w:type="dxa"/>
            <w:shd w:val="clear" w:color="auto" w:fill="auto"/>
            <w:vAlign w:val="bottom"/>
          </w:tcPr>
          <w:p w14:paraId="43165E75" w14:textId="77777777" w:rsidR="00CA50B7" w:rsidRDefault="00CA50B7" w:rsidP="00CA50B7">
            <w:pPr>
              <w:pStyle w:val="Tabletext"/>
            </w:pPr>
            <w:r>
              <w:t>Australian Capital Territory</w:t>
            </w:r>
          </w:p>
        </w:tc>
        <w:tc>
          <w:tcPr>
            <w:tcW w:w="1458" w:type="dxa"/>
            <w:shd w:val="clear" w:color="auto" w:fill="auto"/>
            <w:vAlign w:val="center"/>
          </w:tcPr>
          <w:p w14:paraId="4C3282F3" w14:textId="77777777" w:rsidR="00CA50B7" w:rsidRDefault="00CA50B7" w:rsidP="00CA50B7">
            <w:pPr>
              <w:pStyle w:val="Tabletext"/>
              <w:jc w:val="center"/>
            </w:pPr>
            <w:r>
              <w:t>11%</w:t>
            </w:r>
          </w:p>
        </w:tc>
        <w:tc>
          <w:tcPr>
            <w:tcW w:w="1458" w:type="dxa"/>
            <w:shd w:val="clear" w:color="auto" w:fill="auto"/>
            <w:vAlign w:val="center"/>
          </w:tcPr>
          <w:p w14:paraId="48D672F4" w14:textId="77777777" w:rsidR="00CA50B7" w:rsidRPr="00C91FB7" w:rsidRDefault="00CA50B7" w:rsidP="00CA50B7">
            <w:pPr>
              <w:pStyle w:val="Tabletext"/>
              <w:jc w:val="center"/>
              <w:rPr>
                <w:b/>
              </w:rPr>
            </w:pPr>
            <w:r w:rsidRPr="00C91FB7">
              <w:rPr>
                <w:b/>
              </w:rPr>
              <w:t>88%</w:t>
            </w:r>
          </w:p>
        </w:tc>
        <w:tc>
          <w:tcPr>
            <w:tcW w:w="1458" w:type="dxa"/>
            <w:shd w:val="clear" w:color="auto" w:fill="auto"/>
            <w:vAlign w:val="center"/>
          </w:tcPr>
          <w:p w14:paraId="6604C9D6" w14:textId="77777777" w:rsidR="00CA50B7" w:rsidRDefault="00CA50B7" w:rsidP="00CA50B7">
            <w:pPr>
              <w:pStyle w:val="Tabletext"/>
              <w:jc w:val="center"/>
            </w:pPr>
            <w:r>
              <w:t>1%</w:t>
            </w:r>
          </w:p>
        </w:tc>
        <w:tc>
          <w:tcPr>
            <w:tcW w:w="588" w:type="dxa"/>
            <w:shd w:val="clear" w:color="auto" w:fill="auto"/>
            <w:vAlign w:val="center"/>
          </w:tcPr>
          <w:p w14:paraId="60C016B8" w14:textId="77777777" w:rsidR="00CA50B7" w:rsidRDefault="00CA50B7" w:rsidP="00CA50B7">
            <w:pPr>
              <w:pStyle w:val="Tabletext"/>
              <w:jc w:val="center"/>
            </w:pPr>
          </w:p>
        </w:tc>
        <w:tc>
          <w:tcPr>
            <w:tcW w:w="1458" w:type="dxa"/>
            <w:shd w:val="clear" w:color="auto" w:fill="auto"/>
            <w:vAlign w:val="center"/>
          </w:tcPr>
          <w:p w14:paraId="443473F9" w14:textId="77777777" w:rsidR="00CA50B7" w:rsidRDefault="00CA50B7" w:rsidP="00CA50B7">
            <w:pPr>
              <w:pStyle w:val="Tabletext"/>
              <w:jc w:val="center"/>
            </w:pPr>
            <w:r>
              <w:t>1%</w:t>
            </w:r>
          </w:p>
        </w:tc>
        <w:tc>
          <w:tcPr>
            <w:tcW w:w="1235" w:type="dxa"/>
            <w:shd w:val="clear" w:color="auto" w:fill="auto"/>
            <w:vAlign w:val="center"/>
          </w:tcPr>
          <w:p w14:paraId="2B51FD36" w14:textId="1357C540" w:rsidR="00CA50B7" w:rsidRDefault="00CA50B7" w:rsidP="00CA50B7">
            <w:pPr>
              <w:pStyle w:val="Tabletext"/>
              <w:jc w:val="center"/>
            </w:pPr>
            <w:r>
              <w:t>1%</w:t>
            </w:r>
          </w:p>
        </w:tc>
      </w:tr>
      <w:tr w:rsidR="00CA50B7" w14:paraId="052E4661" w14:textId="77777777" w:rsidTr="00CA50B7">
        <w:trPr>
          <w:cantSplit/>
        </w:trPr>
        <w:tc>
          <w:tcPr>
            <w:tcW w:w="2267" w:type="dxa"/>
            <w:shd w:val="clear" w:color="auto" w:fill="auto"/>
            <w:vAlign w:val="bottom"/>
          </w:tcPr>
          <w:p w14:paraId="59BFE229" w14:textId="77777777" w:rsidR="00CA50B7" w:rsidRDefault="00CA50B7" w:rsidP="00CA50B7">
            <w:pPr>
              <w:pStyle w:val="Tabletext"/>
            </w:pPr>
            <w:r>
              <w:t>New South Wales</w:t>
            </w:r>
          </w:p>
        </w:tc>
        <w:tc>
          <w:tcPr>
            <w:tcW w:w="1458" w:type="dxa"/>
            <w:shd w:val="clear" w:color="auto" w:fill="auto"/>
            <w:vAlign w:val="center"/>
          </w:tcPr>
          <w:p w14:paraId="31542253" w14:textId="77777777" w:rsidR="00CA50B7" w:rsidRDefault="00CA50B7" w:rsidP="00CA50B7">
            <w:pPr>
              <w:pStyle w:val="Tabletext"/>
              <w:jc w:val="center"/>
            </w:pPr>
            <w:r>
              <w:t>23%</w:t>
            </w:r>
          </w:p>
        </w:tc>
        <w:tc>
          <w:tcPr>
            <w:tcW w:w="1458" w:type="dxa"/>
            <w:shd w:val="clear" w:color="auto" w:fill="auto"/>
            <w:vAlign w:val="center"/>
          </w:tcPr>
          <w:p w14:paraId="03B5A56B" w14:textId="77777777" w:rsidR="00CA50B7" w:rsidRPr="00C91FB7" w:rsidRDefault="00CA50B7" w:rsidP="00CA50B7">
            <w:pPr>
              <w:pStyle w:val="Tabletext"/>
              <w:jc w:val="center"/>
              <w:rPr>
                <w:b/>
              </w:rPr>
            </w:pPr>
            <w:r w:rsidRPr="00C91FB7">
              <w:rPr>
                <w:b/>
              </w:rPr>
              <w:t>69%</w:t>
            </w:r>
          </w:p>
        </w:tc>
        <w:tc>
          <w:tcPr>
            <w:tcW w:w="1458" w:type="dxa"/>
            <w:shd w:val="clear" w:color="auto" w:fill="auto"/>
            <w:vAlign w:val="center"/>
          </w:tcPr>
          <w:p w14:paraId="6A97B67C" w14:textId="77777777" w:rsidR="00CA50B7" w:rsidRDefault="00CA50B7" w:rsidP="00CA50B7">
            <w:pPr>
              <w:pStyle w:val="Tabletext"/>
              <w:jc w:val="center"/>
            </w:pPr>
            <w:r>
              <w:t>8%</w:t>
            </w:r>
          </w:p>
        </w:tc>
        <w:tc>
          <w:tcPr>
            <w:tcW w:w="588" w:type="dxa"/>
            <w:shd w:val="clear" w:color="auto" w:fill="auto"/>
            <w:vAlign w:val="center"/>
          </w:tcPr>
          <w:p w14:paraId="5940B13A" w14:textId="77777777" w:rsidR="00CA50B7" w:rsidRDefault="00CA50B7" w:rsidP="00CA50B7">
            <w:pPr>
              <w:pStyle w:val="Tabletext"/>
              <w:jc w:val="center"/>
            </w:pPr>
          </w:p>
        </w:tc>
        <w:tc>
          <w:tcPr>
            <w:tcW w:w="1458" w:type="dxa"/>
            <w:shd w:val="clear" w:color="auto" w:fill="auto"/>
            <w:vAlign w:val="center"/>
          </w:tcPr>
          <w:p w14:paraId="21DBD36A" w14:textId="77777777" w:rsidR="00CA50B7" w:rsidRDefault="00CA50B7" w:rsidP="00CA50B7">
            <w:pPr>
              <w:pStyle w:val="Tabletext"/>
              <w:jc w:val="center"/>
            </w:pPr>
            <w:r>
              <w:t>38%</w:t>
            </w:r>
          </w:p>
        </w:tc>
        <w:tc>
          <w:tcPr>
            <w:tcW w:w="1235" w:type="dxa"/>
            <w:shd w:val="clear" w:color="auto" w:fill="auto"/>
            <w:vAlign w:val="center"/>
          </w:tcPr>
          <w:p w14:paraId="094A5F14" w14:textId="3844E3FE" w:rsidR="00CA50B7" w:rsidRDefault="00CA50B7" w:rsidP="00CA50B7">
            <w:pPr>
              <w:pStyle w:val="Tabletext"/>
              <w:jc w:val="center"/>
            </w:pPr>
            <w:r>
              <w:t>31%</w:t>
            </w:r>
          </w:p>
        </w:tc>
      </w:tr>
      <w:tr w:rsidR="00CA50B7" w14:paraId="0C51D6C7" w14:textId="77777777" w:rsidTr="00CA50B7">
        <w:trPr>
          <w:cantSplit/>
        </w:trPr>
        <w:tc>
          <w:tcPr>
            <w:tcW w:w="2267" w:type="dxa"/>
            <w:shd w:val="clear" w:color="auto" w:fill="auto"/>
            <w:vAlign w:val="bottom"/>
          </w:tcPr>
          <w:p w14:paraId="5B4EAEFC" w14:textId="77777777" w:rsidR="00CA50B7" w:rsidRDefault="00CA50B7" w:rsidP="00CA50B7">
            <w:pPr>
              <w:pStyle w:val="Tabletext"/>
            </w:pPr>
            <w:r>
              <w:t>Northern Territory</w:t>
            </w:r>
          </w:p>
        </w:tc>
        <w:tc>
          <w:tcPr>
            <w:tcW w:w="1458" w:type="dxa"/>
            <w:shd w:val="clear" w:color="auto" w:fill="auto"/>
            <w:vAlign w:val="center"/>
          </w:tcPr>
          <w:p w14:paraId="749BD8C7" w14:textId="77777777" w:rsidR="00CA50B7" w:rsidRDefault="00CA50B7" w:rsidP="00CA50B7">
            <w:pPr>
              <w:pStyle w:val="Tabletext"/>
              <w:jc w:val="center"/>
            </w:pPr>
            <w:r>
              <w:t>7%</w:t>
            </w:r>
          </w:p>
        </w:tc>
        <w:tc>
          <w:tcPr>
            <w:tcW w:w="1458" w:type="dxa"/>
            <w:shd w:val="clear" w:color="auto" w:fill="auto"/>
            <w:vAlign w:val="center"/>
          </w:tcPr>
          <w:p w14:paraId="19D84554" w14:textId="77777777" w:rsidR="00CA50B7" w:rsidRDefault="00CA50B7" w:rsidP="00CA50B7">
            <w:pPr>
              <w:pStyle w:val="Tabletext"/>
              <w:jc w:val="center"/>
            </w:pPr>
            <w:r>
              <w:t>4%</w:t>
            </w:r>
          </w:p>
        </w:tc>
        <w:tc>
          <w:tcPr>
            <w:tcW w:w="1458" w:type="dxa"/>
            <w:shd w:val="clear" w:color="auto" w:fill="auto"/>
            <w:vAlign w:val="center"/>
          </w:tcPr>
          <w:p w14:paraId="18E864E2" w14:textId="77777777" w:rsidR="00CA50B7" w:rsidRPr="00C91FB7" w:rsidRDefault="00CA50B7" w:rsidP="00CA50B7">
            <w:pPr>
              <w:pStyle w:val="Tabletext"/>
              <w:jc w:val="center"/>
              <w:rPr>
                <w:b/>
              </w:rPr>
            </w:pPr>
            <w:r w:rsidRPr="00C91FB7">
              <w:rPr>
                <w:b/>
              </w:rPr>
              <w:t>89%</w:t>
            </w:r>
          </w:p>
        </w:tc>
        <w:tc>
          <w:tcPr>
            <w:tcW w:w="588" w:type="dxa"/>
            <w:shd w:val="clear" w:color="auto" w:fill="auto"/>
            <w:vAlign w:val="center"/>
          </w:tcPr>
          <w:p w14:paraId="267302E0" w14:textId="77777777" w:rsidR="00CA50B7" w:rsidRDefault="00CA50B7" w:rsidP="00CA50B7">
            <w:pPr>
              <w:pStyle w:val="Tabletext"/>
              <w:jc w:val="center"/>
            </w:pPr>
          </w:p>
        </w:tc>
        <w:tc>
          <w:tcPr>
            <w:tcW w:w="1458" w:type="dxa"/>
            <w:shd w:val="clear" w:color="auto" w:fill="auto"/>
            <w:vAlign w:val="center"/>
          </w:tcPr>
          <w:p w14:paraId="25421DDF" w14:textId="77777777" w:rsidR="00CA50B7" w:rsidRDefault="00CA50B7" w:rsidP="00CA50B7">
            <w:pPr>
              <w:pStyle w:val="Tabletext"/>
              <w:jc w:val="center"/>
            </w:pPr>
            <w:r>
              <w:t>2%</w:t>
            </w:r>
          </w:p>
        </w:tc>
        <w:tc>
          <w:tcPr>
            <w:tcW w:w="1235" w:type="dxa"/>
            <w:shd w:val="clear" w:color="auto" w:fill="auto"/>
            <w:vAlign w:val="center"/>
          </w:tcPr>
          <w:p w14:paraId="7480CD53" w14:textId="7291C05A" w:rsidR="00CA50B7" w:rsidRDefault="00CA50B7" w:rsidP="00CA50B7">
            <w:pPr>
              <w:pStyle w:val="Tabletext"/>
              <w:jc w:val="center"/>
            </w:pPr>
            <w:r>
              <w:t>2%</w:t>
            </w:r>
          </w:p>
        </w:tc>
      </w:tr>
      <w:tr w:rsidR="00CA50B7" w14:paraId="21275DB8" w14:textId="77777777" w:rsidTr="00CA50B7">
        <w:trPr>
          <w:cantSplit/>
        </w:trPr>
        <w:tc>
          <w:tcPr>
            <w:tcW w:w="2267" w:type="dxa"/>
            <w:shd w:val="clear" w:color="auto" w:fill="auto"/>
            <w:vAlign w:val="bottom"/>
          </w:tcPr>
          <w:p w14:paraId="3AA939E1" w14:textId="77777777" w:rsidR="00CA50B7" w:rsidRDefault="00CA50B7" w:rsidP="00CA50B7">
            <w:pPr>
              <w:pStyle w:val="Tabletext"/>
            </w:pPr>
            <w:r>
              <w:t>Queensland</w:t>
            </w:r>
          </w:p>
        </w:tc>
        <w:tc>
          <w:tcPr>
            <w:tcW w:w="1458" w:type="dxa"/>
            <w:shd w:val="clear" w:color="auto" w:fill="auto"/>
            <w:vAlign w:val="center"/>
          </w:tcPr>
          <w:p w14:paraId="091E3F50" w14:textId="77777777" w:rsidR="00CA50B7" w:rsidRPr="001212AE" w:rsidRDefault="00CA50B7" w:rsidP="00CA50B7">
            <w:pPr>
              <w:pStyle w:val="Tabletext"/>
              <w:jc w:val="center"/>
              <w:rPr>
                <w:b/>
              </w:rPr>
            </w:pPr>
            <w:r w:rsidRPr="001212AE">
              <w:rPr>
                <w:b/>
              </w:rPr>
              <w:t>30%</w:t>
            </w:r>
          </w:p>
        </w:tc>
        <w:tc>
          <w:tcPr>
            <w:tcW w:w="1458" w:type="dxa"/>
            <w:shd w:val="clear" w:color="auto" w:fill="auto"/>
            <w:vAlign w:val="center"/>
          </w:tcPr>
          <w:p w14:paraId="686F99FB" w14:textId="77777777" w:rsidR="00CA50B7" w:rsidRDefault="00CA50B7" w:rsidP="00CA50B7">
            <w:pPr>
              <w:pStyle w:val="Tabletext"/>
              <w:jc w:val="center"/>
            </w:pPr>
            <w:r>
              <w:t>59%</w:t>
            </w:r>
          </w:p>
        </w:tc>
        <w:tc>
          <w:tcPr>
            <w:tcW w:w="1458" w:type="dxa"/>
            <w:shd w:val="clear" w:color="auto" w:fill="auto"/>
            <w:vAlign w:val="center"/>
          </w:tcPr>
          <w:p w14:paraId="1C731BAF" w14:textId="77777777" w:rsidR="00CA50B7" w:rsidRPr="00C91FB7" w:rsidRDefault="00CA50B7" w:rsidP="00CA50B7">
            <w:pPr>
              <w:pStyle w:val="Tabletext"/>
              <w:jc w:val="center"/>
              <w:rPr>
                <w:b/>
              </w:rPr>
            </w:pPr>
            <w:r w:rsidRPr="00C91FB7">
              <w:rPr>
                <w:b/>
              </w:rPr>
              <w:t>11%</w:t>
            </w:r>
          </w:p>
        </w:tc>
        <w:tc>
          <w:tcPr>
            <w:tcW w:w="588" w:type="dxa"/>
            <w:shd w:val="clear" w:color="auto" w:fill="auto"/>
            <w:vAlign w:val="center"/>
          </w:tcPr>
          <w:p w14:paraId="06F9D8D4" w14:textId="77777777" w:rsidR="00CA50B7" w:rsidRDefault="00CA50B7" w:rsidP="00CA50B7">
            <w:pPr>
              <w:pStyle w:val="Tabletext"/>
              <w:jc w:val="center"/>
            </w:pPr>
          </w:p>
        </w:tc>
        <w:tc>
          <w:tcPr>
            <w:tcW w:w="1458" w:type="dxa"/>
            <w:shd w:val="clear" w:color="auto" w:fill="auto"/>
            <w:vAlign w:val="center"/>
          </w:tcPr>
          <w:p w14:paraId="39FFDEBC" w14:textId="77777777" w:rsidR="00CA50B7" w:rsidRDefault="00CA50B7" w:rsidP="00CA50B7">
            <w:pPr>
              <w:pStyle w:val="Tabletext"/>
              <w:jc w:val="center"/>
            </w:pPr>
            <w:r>
              <w:t>19%</w:t>
            </w:r>
          </w:p>
        </w:tc>
        <w:tc>
          <w:tcPr>
            <w:tcW w:w="1235" w:type="dxa"/>
            <w:shd w:val="clear" w:color="auto" w:fill="auto"/>
            <w:vAlign w:val="center"/>
          </w:tcPr>
          <w:p w14:paraId="2810A219" w14:textId="2D586411" w:rsidR="00CA50B7" w:rsidRDefault="00CA50B7" w:rsidP="00CA50B7">
            <w:pPr>
              <w:pStyle w:val="Tabletext"/>
              <w:jc w:val="center"/>
            </w:pPr>
            <w:r>
              <w:t>23%</w:t>
            </w:r>
          </w:p>
        </w:tc>
      </w:tr>
      <w:tr w:rsidR="00CA50B7" w14:paraId="44E4CF72" w14:textId="77777777" w:rsidTr="00CA50B7">
        <w:trPr>
          <w:cantSplit/>
        </w:trPr>
        <w:tc>
          <w:tcPr>
            <w:tcW w:w="2267" w:type="dxa"/>
            <w:shd w:val="clear" w:color="auto" w:fill="auto"/>
            <w:vAlign w:val="bottom"/>
          </w:tcPr>
          <w:p w14:paraId="7E431E01" w14:textId="77777777" w:rsidR="00CA50B7" w:rsidRDefault="00CA50B7" w:rsidP="00CA50B7">
            <w:pPr>
              <w:pStyle w:val="Tabletext"/>
            </w:pPr>
            <w:r>
              <w:t>South Australia</w:t>
            </w:r>
          </w:p>
        </w:tc>
        <w:tc>
          <w:tcPr>
            <w:tcW w:w="1458" w:type="dxa"/>
            <w:shd w:val="clear" w:color="auto" w:fill="auto"/>
            <w:vAlign w:val="center"/>
          </w:tcPr>
          <w:p w14:paraId="6FE2F51C" w14:textId="77777777" w:rsidR="00CA50B7" w:rsidRPr="00C91FB7" w:rsidRDefault="00CA50B7" w:rsidP="00CA50B7">
            <w:pPr>
              <w:pStyle w:val="Tabletext"/>
              <w:jc w:val="center"/>
              <w:rPr>
                <w:b/>
              </w:rPr>
            </w:pPr>
            <w:r w:rsidRPr="00C91FB7">
              <w:rPr>
                <w:b/>
              </w:rPr>
              <w:t>36%</w:t>
            </w:r>
          </w:p>
        </w:tc>
        <w:tc>
          <w:tcPr>
            <w:tcW w:w="1458" w:type="dxa"/>
            <w:shd w:val="clear" w:color="auto" w:fill="auto"/>
            <w:vAlign w:val="center"/>
          </w:tcPr>
          <w:p w14:paraId="70E230F9" w14:textId="77777777" w:rsidR="00CA50B7" w:rsidRDefault="00CA50B7" w:rsidP="00CA50B7">
            <w:pPr>
              <w:pStyle w:val="Tabletext"/>
              <w:jc w:val="center"/>
            </w:pPr>
            <w:r>
              <w:t>60%</w:t>
            </w:r>
          </w:p>
        </w:tc>
        <w:tc>
          <w:tcPr>
            <w:tcW w:w="1458" w:type="dxa"/>
            <w:shd w:val="clear" w:color="auto" w:fill="auto"/>
            <w:vAlign w:val="center"/>
          </w:tcPr>
          <w:p w14:paraId="307DBFC3" w14:textId="77777777" w:rsidR="00CA50B7" w:rsidRDefault="00CA50B7" w:rsidP="00CA50B7">
            <w:pPr>
              <w:pStyle w:val="Tabletext"/>
              <w:jc w:val="center"/>
            </w:pPr>
            <w:r>
              <w:t>4%</w:t>
            </w:r>
          </w:p>
        </w:tc>
        <w:tc>
          <w:tcPr>
            <w:tcW w:w="588" w:type="dxa"/>
            <w:shd w:val="clear" w:color="auto" w:fill="auto"/>
            <w:vAlign w:val="center"/>
          </w:tcPr>
          <w:p w14:paraId="633266B1" w14:textId="77777777" w:rsidR="00CA50B7" w:rsidRDefault="00CA50B7" w:rsidP="00CA50B7">
            <w:pPr>
              <w:pStyle w:val="Tabletext"/>
              <w:jc w:val="center"/>
            </w:pPr>
          </w:p>
        </w:tc>
        <w:tc>
          <w:tcPr>
            <w:tcW w:w="1458" w:type="dxa"/>
            <w:shd w:val="clear" w:color="auto" w:fill="auto"/>
            <w:vAlign w:val="center"/>
          </w:tcPr>
          <w:p w14:paraId="1F9A7FC0" w14:textId="77777777" w:rsidR="00CA50B7" w:rsidRDefault="00CA50B7" w:rsidP="00CA50B7">
            <w:pPr>
              <w:pStyle w:val="Tabletext"/>
              <w:jc w:val="center"/>
            </w:pPr>
            <w:r>
              <w:t>11%</w:t>
            </w:r>
          </w:p>
        </w:tc>
        <w:tc>
          <w:tcPr>
            <w:tcW w:w="1235" w:type="dxa"/>
            <w:shd w:val="clear" w:color="auto" w:fill="auto"/>
            <w:vAlign w:val="center"/>
          </w:tcPr>
          <w:p w14:paraId="0523AE5D" w14:textId="2C04D6AD" w:rsidR="00CA50B7" w:rsidRDefault="00CA50B7" w:rsidP="00CA50B7">
            <w:pPr>
              <w:pStyle w:val="Tabletext"/>
              <w:jc w:val="center"/>
            </w:pPr>
            <w:r>
              <w:t>9%</w:t>
            </w:r>
          </w:p>
        </w:tc>
      </w:tr>
      <w:tr w:rsidR="00CA50B7" w14:paraId="0709580D" w14:textId="77777777" w:rsidTr="00CA50B7">
        <w:trPr>
          <w:cantSplit/>
        </w:trPr>
        <w:tc>
          <w:tcPr>
            <w:tcW w:w="2267" w:type="dxa"/>
            <w:tcBorders>
              <w:bottom w:val="single" w:sz="2" w:space="0" w:color="C0C0C0"/>
            </w:tcBorders>
            <w:shd w:val="clear" w:color="auto" w:fill="auto"/>
            <w:vAlign w:val="bottom"/>
          </w:tcPr>
          <w:p w14:paraId="18F721F5" w14:textId="77777777" w:rsidR="00CA50B7" w:rsidRDefault="00CA50B7" w:rsidP="00CA50B7">
            <w:pPr>
              <w:pStyle w:val="Tabletext"/>
            </w:pPr>
            <w:r>
              <w:t>Tasmania</w:t>
            </w:r>
          </w:p>
        </w:tc>
        <w:tc>
          <w:tcPr>
            <w:tcW w:w="1458" w:type="dxa"/>
            <w:tcBorders>
              <w:bottom w:val="single" w:sz="2" w:space="0" w:color="C0C0C0"/>
            </w:tcBorders>
            <w:shd w:val="clear" w:color="auto" w:fill="auto"/>
            <w:vAlign w:val="center"/>
          </w:tcPr>
          <w:p w14:paraId="5BDE69CD" w14:textId="77777777" w:rsidR="00CA50B7" w:rsidRPr="00C91FB7" w:rsidRDefault="00CA50B7" w:rsidP="00CA50B7">
            <w:pPr>
              <w:pStyle w:val="Tabletext"/>
              <w:jc w:val="center"/>
              <w:rPr>
                <w:b/>
              </w:rPr>
            </w:pPr>
            <w:r w:rsidRPr="00C91FB7">
              <w:rPr>
                <w:b/>
              </w:rPr>
              <w:t>56%</w:t>
            </w:r>
          </w:p>
        </w:tc>
        <w:tc>
          <w:tcPr>
            <w:tcW w:w="1458" w:type="dxa"/>
            <w:tcBorders>
              <w:bottom w:val="single" w:sz="2" w:space="0" w:color="C0C0C0"/>
            </w:tcBorders>
            <w:shd w:val="clear" w:color="auto" w:fill="auto"/>
            <w:vAlign w:val="center"/>
          </w:tcPr>
          <w:p w14:paraId="7E8DC758" w14:textId="77777777" w:rsidR="00CA50B7" w:rsidRDefault="00CA50B7" w:rsidP="00CA50B7">
            <w:pPr>
              <w:pStyle w:val="Tabletext"/>
              <w:jc w:val="center"/>
            </w:pPr>
            <w:r>
              <w:t>38%</w:t>
            </w:r>
          </w:p>
        </w:tc>
        <w:tc>
          <w:tcPr>
            <w:tcW w:w="1458" w:type="dxa"/>
            <w:tcBorders>
              <w:bottom w:val="single" w:sz="2" w:space="0" w:color="C0C0C0"/>
            </w:tcBorders>
            <w:shd w:val="clear" w:color="auto" w:fill="auto"/>
            <w:vAlign w:val="center"/>
          </w:tcPr>
          <w:p w14:paraId="20256E10" w14:textId="77777777" w:rsidR="00CA50B7" w:rsidRDefault="00CA50B7" w:rsidP="00CA50B7">
            <w:pPr>
              <w:pStyle w:val="Tabletext"/>
              <w:jc w:val="center"/>
            </w:pPr>
            <w:r>
              <w:t>6%</w:t>
            </w:r>
          </w:p>
        </w:tc>
        <w:tc>
          <w:tcPr>
            <w:tcW w:w="588" w:type="dxa"/>
            <w:tcBorders>
              <w:bottom w:val="single" w:sz="2" w:space="0" w:color="C0C0C0"/>
            </w:tcBorders>
            <w:shd w:val="clear" w:color="auto" w:fill="auto"/>
            <w:vAlign w:val="center"/>
          </w:tcPr>
          <w:p w14:paraId="56FC0F4A" w14:textId="77777777" w:rsidR="00CA50B7" w:rsidRDefault="00CA50B7" w:rsidP="00CA50B7">
            <w:pPr>
              <w:pStyle w:val="Tabletext"/>
              <w:jc w:val="center"/>
            </w:pPr>
          </w:p>
        </w:tc>
        <w:tc>
          <w:tcPr>
            <w:tcW w:w="1458" w:type="dxa"/>
            <w:tcBorders>
              <w:bottom w:val="single" w:sz="2" w:space="0" w:color="C0C0C0"/>
            </w:tcBorders>
            <w:shd w:val="clear" w:color="auto" w:fill="auto"/>
            <w:vAlign w:val="center"/>
          </w:tcPr>
          <w:p w14:paraId="1EE35B8F" w14:textId="77777777" w:rsidR="00CA50B7" w:rsidRDefault="00CA50B7" w:rsidP="00CA50B7">
            <w:pPr>
              <w:pStyle w:val="Tabletext"/>
              <w:jc w:val="center"/>
            </w:pPr>
            <w:r>
              <w:t>1%</w:t>
            </w:r>
          </w:p>
        </w:tc>
        <w:tc>
          <w:tcPr>
            <w:tcW w:w="1235" w:type="dxa"/>
            <w:tcBorders>
              <w:bottom w:val="single" w:sz="2" w:space="0" w:color="C0C0C0"/>
            </w:tcBorders>
            <w:shd w:val="clear" w:color="auto" w:fill="auto"/>
            <w:vAlign w:val="center"/>
          </w:tcPr>
          <w:p w14:paraId="133C2FFA" w14:textId="04379374" w:rsidR="00CA50B7" w:rsidRDefault="00CA50B7" w:rsidP="00CA50B7">
            <w:pPr>
              <w:pStyle w:val="Tabletext"/>
              <w:jc w:val="center"/>
            </w:pPr>
            <w:r>
              <w:t>3%</w:t>
            </w:r>
          </w:p>
        </w:tc>
      </w:tr>
      <w:tr w:rsidR="00CA50B7" w14:paraId="238AE70C" w14:textId="77777777" w:rsidTr="00CA50B7">
        <w:trPr>
          <w:cantSplit/>
        </w:trPr>
        <w:tc>
          <w:tcPr>
            <w:tcW w:w="2267" w:type="dxa"/>
            <w:tcBorders>
              <w:bottom w:val="single" w:sz="2" w:space="0" w:color="C0C0C0"/>
            </w:tcBorders>
            <w:shd w:val="clear" w:color="auto" w:fill="auto"/>
            <w:vAlign w:val="bottom"/>
          </w:tcPr>
          <w:p w14:paraId="0C83901E" w14:textId="77777777" w:rsidR="00CA50B7" w:rsidRDefault="00CA50B7" w:rsidP="00CA50B7">
            <w:pPr>
              <w:pStyle w:val="Tabletext"/>
            </w:pPr>
            <w:r>
              <w:t>Victoria</w:t>
            </w:r>
          </w:p>
        </w:tc>
        <w:tc>
          <w:tcPr>
            <w:tcW w:w="1458" w:type="dxa"/>
            <w:tcBorders>
              <w:bottom w:val="single" w:sz="2" w:space="0" w:color="C0C0C0"/>
            </w:tcBorders>
            <w:shd w:val="clear" w:color="auto" w:fill="auto"/>
            <w:vAlign w:val="center"/>
          </w:tcPr>
          <w:p w14:paraId="2E3C7484" w14:textId="77777777" w:rsidR="00CA50B7" w:rsidRDefault="00CA50B7" w:rsidP="00CA50B7">
            <w:pPr>
              <w:pStyle w:val="Tabletext"/>
              <w:jc w:val="center"/>
            </w:pPr>
            <w:r>
              <w:t>11%</w:t>
            </w:r>
          </w:p>
        </w:tc>
        <w:tc>
          <w:tcPr>
            <w:tcW w:w="1458" w:type="dxa"/>
            <w:tcBorders>
              <w:bottom w:val="single" w:sz="2" w:space="0" w:color="C0C0C0"/>
            </w:tcBorders>
            <w:shd w:val="clear" w:color="auto" w:fill="auto"/>
            <w:vAlign w:val="center"/>
          </w:tcPr>
          <w:p w14:paraId="604EA678" w14:textId="77777777" w:rsidR="00CA50B7" w:rsidRDefault="00CA50B7" w:rsidP="00CA50B7">
            <w:pPr>
              <w:pStyle w:val="Tabletext"/>
              <w:jc w:val="center"/>
            </w:pPr>
            <w:r w:rsidRPr="00C91FB7">
              <w:rPr>
                <w:b/>
              </w:rPr>
              <w:t>88%</w:t>
            </w:r>
          </w:p>
        </w:tc>
        <w:tc>
          <w:tcPr>
            <w:tcW w:w="1458" w:type="dxa"/>
            <w:tcBorders>
              <w:bottom w:val="single" w:sz="2" w:space="0" w:color="C0C0C0"/>
            </w:tcBorders>
            <w:shd w:val="clear" w:color="auto" w:fill="auto"/>
            <w:vAlign w:val="center"/>
          </w:tcPr>
          <w:p w14:paraId="4455447A" w14:textId="77777777" w:rsidR="00CA50B7" w:rsidRDefault="00CA50B7" w:rsidP="00CA50B7">
            <w:pPr>
              <w:pStyle w:val="Tabletext"/>
              <w:jc w:val="center"/>
            </w:pPr>
            <w:r>
              <w:t>1%</w:t>
            </w:r>
          </w:p>
        </w:tc>
        <w:tc>
          <w:tcPr>
            <w:tcW w:w="588" w:type="dxa"/>
            <w:tcBorders>
              <w:bottom w:val="single" w:sz="2" w:space="0" w:color="C0C0C0"/>
            </w:tcBorders>
            <w:shd w:val="clear" w:color="auto" w:fill="auto"/>
            <w:vAlign w:val="center"/>
          </w:tcPr>
          <w:p w14:paraId="1630D1F7" w14:textId="77777777" w:rsidR="00CA50B7" w:rsidRDefault="00CA50B7" w:rsidP="00CA50B7">
            <w:pPr>
              <w:pStyle w:val="Tabletext"/>
              <w:jc w:val="center"/>
            </w:pPr>
          </w:p>
        </w:tc>
        <w:tc>
          <w:tcPr>
            <w:tcW w:w="1458" w:type="dxa"/>
            <w:tcBorders>
              <w:bottom w:val="single" w:sz="2" w:space="0" w:color="C0C0C0"/>
            </w:tcBorders>
            <w:shd w:val="clear" w:color="auto" w:fill="auto"/>
            <w:vAlign w:val="center"/>
          </w:tcPr>
          <w:p w14:paraId="69F3BBCE" w14:textId="77777777" w:rsidR="00CA50B7" w:rsidRDefault="00CA50B7" w:rsidP="00CA50B7">
            <w:pPr>
              <w:pStyle w:val="Tabletext"/>
              <w:jc w:val="center"/>
            </w:pPr>
            <w:r>
              <w:t>21%</w:t>
            </w:r>
          </w:p>
        </w:tc>
        <w:tc>
          <w:tcPr>
            <w:tcW w:w="1235" w:type="dxa"/>
            <w:tcBorders>
              <w:bottom w:val="single" w:sz="2" w:space="0" w:color="C0C0C0"/>
            </w:tcBorders>
            <w:shd w:val="clear" w:color="auto" w:fill="auto"/>
            <w:vAlign w:val="center"/>
          </w:tcPr>
          <w:p w14:paraId="4678CE30" w14:textId="6D5FCD57" w:rsidR="00CA50B7" w:rsidRDefault="00CA50B7" w:rsidP="00CA50B7">
            <w:pPr>
              <w:pStyle w:val="Tabletext"/>
              <w:jc w:val="center"/>
            </w:pPr>
            <w:r>
              <w:t>23%</w:t>
            </w:r>
          </w:p>
        </w:tc>
      </w:tr>
      <w:tr w:rsidR="00CA50B7" w14:paraId="235CE267" w14:textId="77777777" w:rsidTr="00CA50B7">
        <w:trPr>
          <w:cantSplit/>
        </w:trPr>
        <w:tc>
          <w:tcPr>
            <w:tcW w:w="2267" w:type="dxa"/>
            <w:tcBorders>
              <w:top w:val="single" w:sz="2" w:space="0" w:color="C0C0C0"/>
              <w:bottom w:val="single" w:sz="2" w:space="0" w:color="999999"/>
            </w:tcBorders>
            <w:shd w:val="clear" w:color="auto" w:fill="auto"/>
            <w:vAlign w:val="bottom"/>
          </w:tcPr>
          <w:p w14:paraId="22CE8882" w14:textId="77777777" w:rsidR="00CA50B7" w:rsidRDefault="00CA50B7" w:rsidP="00CA50B7">
            <w:pPr>
              <w:pStyle w:val="Tabletext"/>
            </w:pPr>
            <w:r>
              <w:t>Western Australia</w:t>
            </w:r>
          </w:p>
        </w:tc>
        <w:tc>
          <w:tcPr>
            <w:tcW w:w="1458" w:type="dxa"/>
            <w:tcBorders>
              <w:top w:val="single" w:sz="2" w:space="0" w:color="C0C0C0"/>
              <w:bottom w:val="single" w:sz="2" w:space="0" w:color="999999"/>
            </w:tcBorders>
            <w:shd w:val="clear" w:color="auto" w:fill="auto"/>
            <w:vAlign w:val="center"/>
          </w:tcPr>
          <w:p w14:paraId="6857B233" w14:textId="77777777" w:rsidR="00CA50B7" w:rsidRPr="001212AE" w:rsidRDefault="00CA50B7" w:rsidP="00CA50B7">
            <w:pPr>
              <w:pStyle w:val="Tabletext"/>
              <w:jc w:val="center"/>
              <w:rPr>
                <w:b/>
              </w:rPr>
            </w:pPr>
            <w:r w:rsidRPr="001212AE">
              <w:rPr>
                <w:b/>
              </w:rPr>
              <w:t>24%</w:t>
            </w:r>
          </w:p>
        </w:tc>
        <w:tc>
          <w:tcPr>
            <w:tcW w:w="1458" w:type="dxa"/>
            <w:tcBorders>
              <w:top w:val="single" w:sz="2" w:space="0" w:color="C0C0C0"/>
              <w:bottom w:val="single" w:sz="2" w:space="0" w:color="999999"/>
            </w:tcBorders>
            <w:shd w:val="clear" w:color="auto" w:fill="auto"/>
            <w:vAlign w:val="center"/>
          </w:tcPr>
          <w:p w14:paraId="075C399B" w14:textId="77777777" w:rsidR="00CA50B7" w:rsidRPr="00C91FB7" w:rsidRDefault="00CA50B7" w:rsidP="00CA50B7">
            <w:pPr>
              <w:pStyle w:val="Tabletext"/>
              <w:jc w:val="center"/>
              <w:rPr>
                <w:b/>
              </w:rPr>
            </w:pPr>
            <w:r>
              <w:t>63%</w:t>
            </w:r>
          </w:p>
        </w:tc>
        <w:tc>
          <w:tcPr>
            <w:tcW w:w="1458" w:type="dxa"/>
            <w:tcBorders>
              <w:top w:val="single" w:sz="2" w:space="0" w:color="C0C0C0"/>
              <w:bottom w:val="single" w:sz="2" w:space="0" w:color="999999"/>
            </w:tcBorders>
            <w:shd w:val="clear" w:color="auto" w:fill="auto"/>
            <w:vAlign w:val="center"/>
          </w:tcPr>
          <w:p w14:paraId="781A9212" w14:textId="77777777" w:rsidR="00CA50B7" w:rsidRPr="00C91FB7" w:rsidRDefault="00CA50B7" w:rsidP="00CA50B7">
            <w:pPr>
              <w:pStyle w:val="Tabletext"/>
              <w:jc w:val="center"/>
              <w:rPr>
                <w:b/>
              </w:rPr>
            </w:pPr>
            <w:r w:rsidRPr="00C91FB7">
              <w:rPr>
                <w:b/>
              </w:rPr>
              <w:t>13%</w:t>
            </w:r>
          </w:p>
        </w:tc>
        <w:tc>
          <w:tcPr>
            <w:tcW w:w="588" w:type="dxa"/>
            <w:tcBorders>
              <w:top w:val="single" w:sz="2" w:space="0" w:color="C0C0C0"/>
              <w:bottom w:val="single" w:sz="2" w:space="0" w:color="999999"/>
            </w:tcBorders>
            <w:shd w:val="clear" w:color="auto" w:fill="auto"/>
            <w:vAlign w:val="center"/>
          </w:tcPr>
          <w:p w14:paraId="2E62C788" w14:textId="77777777" w:rsidR="00CA50B7" w:rsidRDefault="00CA50B7" w:rsidP="00CA50B7">
            <w:pPr>
              <w:pStyle w:val="Tabletext"/>
              <w:jc w:val="center"/>
            </w:pPr>
          </w:p>
        </w:tc>
        <w:tc>
          <w:tcPr>
            <w:tcW w:w="1458" w:type="dxa"/>
            <w:tcBorders>
              <w:top w:val="single" w:sz="2" w:space="0" w:color="C0C0C0"/>
              <w:bottom w:val="single" w:sz="2" w:space="0" w:color="999999"/>
            </w:tcBorders>
            <w:shd w:val="clear" w:color="auto" w:fill="auto"/>
            <w:vAlign w:val="center"/>
          </w:tcPr>
          <w:p w14:paraId="1E8D8426" w14:textId="77777777" w:rsidR="00CA50B7" w:rsidRDefault="00CA50B7" w:rsidP="00CA50B7">
            <w:pPr>
              <w:pStyle w:val="Tabletext"/>
              <w:jc w:val="center"/>
            </w:pPr>
            <w:r>
              <w:t>7%</w:t>
            </w:r>
          </w:p>
        </w:tc>
        <w:tc>
          <w:tcPr>
            <w:tcW w:w="1235" w:type="dxa"/>
            <w:tcBorders>
              <w:top w:val="single" w:sz="2" w:space="0" w:color="C0C0C0"/>
              <w:bottom w:val="single" w:sz="2" w:space="0" w:color="999999"/>
            </w:tcBorders>
            <w:shd w:val="clear" w:color="auto" w:fill="auto"/>
            <w:vAlign w:val="center"/>
          </w:tcPr>
          <w:p w14:paraId="3613742E" w14:textId="5B6614F4" w:rsidR="00CA50B7" w:rsidRDefault="00CA50B7" w:rsidP="00CA50B7">
            <w:pPr>
              <w:pStyle w:val="Tabletext"/>
              <w:jc w:val="center"/>
            </w:pPr>
            <w:r>
              <w:t>9%</w:t>
            </w:r>
          </w:p>
        </w:tc>
      </w:tr>
    </w:tbl>
    <w:p w14:paraId="3D664D27" w14:textId="09B2A833" w:rsidR="00C91FB7" w:rsidRDefault="00C91FB7" w:rsidP="00C91FB7">
      <w:pPr>
        <w:pStyle w:val="Note"/>
        <w:ind w:left="-2551"/>
      </w:pPr>
      <w:r w:rsidRPr="00FD66DB">
        <w:rPr>
          <w:i/>
        </w:rPr>
        <w:t>Note:</w:t>
      </w:r>
      <w:r w:rsidRPr="00FD66DB">
        <w:t xml:space="preserve"> </w:t>
      </w:r>
      <w:r w:rsidR="00147674">
        <w:t>SEE programme</w:t>
      </w:r>
      <w:r w:rsidR="006A28F2">
        <w:t xml:space="preserve"> </w:t>
      </w:r>
      <w:r>
        <w:t xml:space="preserve">clients that commenced training in 2010-11 – 2013-14. Above average </w:t>
      </w:r>
      <w:r w:rsidR="000F05FD">
        <w:t>proportions are bolded.</w:t>
      </w:r>
    </w:p>
    <w:p w14:paraId="18AAB2CD" w14:textId="02E29FF9" w:rsidR="00C91FB7" w:rsidRPr="006F55F1" w:rsidRDefault="00C91FB7" w:rsidP="00C91FB7">
      <w:pPr>
        <w:pStyle w:val="Source"/>
        <w:ind w:left="-2551"/>
      </w:pPr>
      <w:r>
        <w:t>Source</w:t>
      </w:r>
      <w:r w:rsidRPr="00FD66DB">
        <w:rPr>
          <w:i/>
        </w:rPr>
        <w:t xml:space="preserve">: </w:t>
      </w:r>
      <w:r w:rsidR="007A143E">
        <w:t>SEE programme</w:t>
      </w:r>
      <w:r w:rsidR="006F55F1">
        <w:t xml:space="preserve"> </w:t>
      </w:r>
      <w:r w:rsidR="007A143E">
        <w:t>dataset</w:t>
      </w:r>
    </w:p>
    <w:p w14:paraId="664A506F" w14:textId="1CDE5644" w:rsidR="002C072D" w:rsidRPr="00012B56" w:rsidRDefault="00D04A1E" w:rsidP="0092439D">
      <w:pPr>
        <w:spacing w:line="280" w:lineRule="exact"/>
        <w:rPr>
          <w:sz w:val="22"/>
          <w:szCs w:val="22"/>
          <w:lang w:eastAsia="en-AU"/>
        </w:rPr>
      </w:pPr>
      <w:r w:rsidRPr="0063255A">
        <w:rPr>
          <w:sz w:val="22"/>
          <w:szCs w:val="22"/>
          <w:lang w:eastAsia="en-AU"/>
        </w:rPr>
        <w:fldChar w:fldCharType="begin"/>
      </w:r>
      <w:r w:rsidRPr="00012B56">
        <w:rPr>
          <w:sz w:val="22"/>
          <w:szCs w:val="22"/>
          <w:lang w:eastAsia="en-AU"/>
        </w:rPr>
        <w:instrText xml:space="preserve"> REF _Ref411287443 \h </w:instrText>
      </w:r>
      <w:r w:rsidR="00012B56">
        <w:rPr>
          <w:sz w:val="22"/>
          <w:szCs w:val="22"/>
          <w:lang w:eastAsia="en-AU"/>
        </w:rPr>
        <w:instrText xml:space="preserve"> \* MERGEFORMAT </w:instrText>
      </w:r>
      <w:r w:rsidRPr="0063255A">
        <w:rPr>
          <w:sz w:val="22"/>
          <w:szCs w:val="22"/>
          <w:lang w:eastAsia="en-AU"/>
        </w:rPr>
      </w:r>
      <w:r w:rsidRPr="0063255A">
        <w:rPr>
          <w:sz w:val="22"/>
          <w:szCs w:val="22"/>
          <w:lang w:eastAsia="en-AU"/>
        </w:rPr>
        <w:fldChar w:fldCharType="separate"/>
      </w:r>
      <w:r w:rsidR="00294A5A" w:rsidRPr="00294A5A">
        <w:rPr>
          <w:sz w:val="22"/>
          <w:szCs w:val="22"/>
        </w:rPr>
        <w:t xml:space="preserve">Table </w:t>
      </w:r>
      <w:r w:rsidR="00294A5A" w:rsidRPr="00294A5A">
        <w:rPr>
          <w:noProof/>
          <w:sz w:val="22"/>
          <w:szCs w:val="22"/>
        </w:rPr>
        <w:t>7</w:t>
      </w:r>
      <w:r w:rsidRPr="0063255A">
        <w:rPr>
          <w:sz w:val="22"/>
          <w:szCs w:val="22"/>
          <w:lang w:eastAsia="en-AU"/>
        </w:rPr>
        <w:fldChar w:fldCharType="end"/>
      </w:r>
      <w:r w:rsidR="00012B56">
        <w:rPr>
          <w:sz w:val="22"/>
          <w:szCs w:val="22"/>
          <w:lang w:eastAsia="en-AU"/>
        </w:rPr>
        <w:t xml:space="preserve"> shows the distribution of SEE </w:t>
      </w:r>
      <w:r w:rsidR="00A45593">
        <w:rPr>
          <w:sz w:val="22"/>
          <w:szCs w:val="22"/>
          <w:lang w:eastAsia="en-AU"/>
        </w:rPr>
        <w:t xml:space="preserve">programme </w:t>
      </w:r>
      <w:r w:rsidR="00012B56">
        <w:rPr>
          <w:sz w:val="22"/>
          <w:szCs w:val="22"/>
          <w:lang w:eastAsia="en-AU"/>
        </w:rPr>
        <w:t xml:space="preserve">clients in each state/territory relative to the population distribution. It shows that a major driver of the high proportion of Indigenous clients in the </w:t>
      </w:r>
      <w:r w:rsidR="00147674">
        <w:rPr>
          <w:sz w:val="22"/>
          <w:szCs w:val="22"/>
          <w:lang w:eastAsia="en-AU"/>
        </w:rPr>
        <w:t>SEE programme</w:t>
      </w:r>
      <w:r w:rsidR="00012B56">
        <w:rPr>
          <w:sz w:val="22"/>
          <w:szCs w:val="22"/>
          <w:lang w:eastAsia="en-AU"/>
        </w:rPr>
        <w:t xml:space="preserve"> in the NT is the fact that 27 per cent of the NT population is Indigenous. Similarly, the high proportion of CALD individuals in ACT, NSW and Victoria is likely contributing to the overrepresentation of CALD SEE </w:t>
      </w:r>
      <w:r w:rsidR="00A45593">
        <w:rPr>
          <w:sz w:val="22"/>
          <w:szCs w:val="22"/>
          <w:lang w:eastAsia="en-AU"/>
        </w:rPr>
        <w:t xml:space="preserve">programme </w:t>
      </w:r>
      <w:r w:rsidR="00012B56">
        <w:rPr>
          <w:sz w:val="22"/>
          <w:szCs w:val="22"/>
          <w:lang w:eastAsia="en-AU"/>
        </w:rPr>
        <w:t>clients</w:t>
      </w:r>
      <w:r w:rsidR="00361645">
        <w:rPr>
          <w:sz w:val="22"/>
          <w:szCs w:val="22"/>
          <w:lang w:eastAsia="en-AU"/>
        </w:rPr>
        <w:t xml:space="preserve"> in these states</w:t>
      </w:r>
      <w:r w:rsidR="00012B56">
        <w:rPr>
          <w:sz w:val="22"/>
          <w:szCs w:val="22"/>
          <w:lang w:eastAsia="en-AU"/>
        </w:rPr>
        <w:t xml:space="preserve">. </w:t>
      </w:r>
    </w:p>
    <w:p w14:paraId="352528A9" w14:textId="52C04D2C" w:rsidR="002C072D" w:rsidRDefault="002C072D" w:rsidP="002C072D">
      <w:pPr>
        <w:pStyle w:val="Caption"/>
        <w:ind w:left="-1417" w:hanging="1135"/>
      </w:pPr>
      <w:bookmarkStart w:id="88" w:name="_Ref411287443"/>
      <w:bookmarkStart w:id="89" w:name="_Toc420065503"/>
      <w:r>
        <w:t xml:space="preserve">Table </w:t>
      </w:r>
      <w:fldSimple w:instr=" SEQ Table \* MERGEFORMAT ">
        <w:r w:rsidR="00294A5A">
          <w:rPr>
            <w:noProof/>
          </w:rPr>
          <w:t>7</w:t>
        </w:r>
      </w:fldSimple>
      <w:bookmarkEnd w:id="88"/>
      <w:r w:rsidRPr="00FD66DB">
        <w:rPr>
          <w:b/>
          <w:color w:val="000000"/>
        </w:rPr>
        <w:tab/>
      </w:r>
      <w:r>
        <w:rPr>
          <w:b/>
          <w:color w:val="000000"/>
        </w:rPr>
        <w:t xml:space="preserve">State and territory </w:t>
      </w:r>
      <w:r w:rsidR="00147674">
        <w:rPr>
          <w:b/>
          <w:color w:val="000000"/>
        </w:rPr>
        <w:t>SEE programme</w:t>
      </w:r>
      <w:r>
        <w:rPr>
          <w:b/>
          <w:color w:val="000000"/>
        </w:rPr>
        <w:t xml:space="preserve"> client cohort make up</w:t>
      </w:r>
      <w:r w:rsidR="00D04A1E">
        <w:rPr>
          <w:b/>
          <w:color w:val="000000"/>
        </w:rPr>
        <w:t>, compared to population groups</w:t>
      </w:r>
      <w:bookmarkEnd w:id="89"/>
    </w:p>
    <w:tbl>
      <w:tblPr>
        <w:tblW w:w="10064" w:type="dxa"/>
        <w:tblInd w:w="-2551"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2267"/>
        <w:gridCol w:w="1299"/>
        <w:gridCol w:w="1300"/>
        <w:gridCol w:w="1299"/>
        <w:gridCol w:w="1300"/>
        <w:gridCol w:w="1299"/>
        <w:gridCol w:w="1300"/>
      </w:tblGrid>
      <w:tr w:rsidR="00105D32" w14:paraId="2711A187" w14:textId="671DD2E3" w:rsidTr="0063255A">
        <w:trPr>
          <w:cantSplit/>
        </w:trPr>
        <w:tc>
          <w:tcPr>
            <w:tcW w:w="2267" w:type="dxa"/>
            <w:tcBorders>
              <w:top w:val="nil"/>
              <w:bottom w:val="single" w:sz="2" w:space="0" w:color="C0C0C0"/>
            </w:tcBorders>
            <w:shd w:val="solid" w:color="9757A6" w:fill="auto"/>
            <w:vAlign w:val="center"/>
          </w:tcPr>
          <w:p w14:paraId="6D95BCB9" w14:textId="77777777" w:rsidR="00105D32" w:rsidRDefault="00105D32" w:rsidP="0063255A">
            <w:pPr>
              <w:pStyle w:val="Tablecolumnheadings"/>
            </w:pPr>
          </w:p>
        </w:tc>
        <w:tc>
          <w:tcPr>
            <w:tcW w:w="2599" w:type="dxa"/>
            <w:gridSpan w:val="2"/>
            <w:tcBorders>
              <w:top w:val="nil"/>
              <w:bottom w:val="single" w:sz="2" w:space="0" w:color="C0C0C0"/>
            </w:tcBorders>
            <w:shd w:val="solid" w:color="9757A6" w:fill="auto"/>
            <w:vAlign w:val="center"/>
          </w:tcPr>
          <w:p w14:paraId="76A866EA" w14:textId="1ADC4DC2" w:rsidR="00105D32" w:rsidRDefault="00105D32" w:rsidP="0063255A">
            <w:pPr>
              <w:pStyle w:val="Tablecolumnheadings"/>
              <w:jc w:val="center"/>
            </w:pPr>
            <w:r>
              <w:t>Non-CALD, non-Indigenous</w:t>
            </w:r>
          </w:p>
        </w:tc>
        <w:tc>
          <w:tcPr>
            <w:tcW w:w="2599" w:type="dxa"/>
            <w:gridSpan w:val="2"/>
            <w:tcBorders>
              <w:top w:val="nil"/>
              <w:bottom w:val="single" w:sz="2" w:space="0" w:color="C0C0C0"/>
            </w:tcBorders>
            <w:shd w:val="solid" w:color="9757A6" w:fill="auto"/>
            <w:vAlign w:val="center"/>
          </w:tcPr>
          <w:p w14:paraId="7FBDA2F2" w14:textId="1700CDD4" w:rsidR="00105D32" w:rsidRDefault="00105D32" w:rsidP="0063255A">
            <w:pPr>
              <w:pStyle w:val="Tablecolumnheadings"/>
              <w:jc w:val="center"/>
            </w:pPr>
            <w:r>
              <w:t>CALD</w:t>
            </w:r>
          </w:p>
        </w:tc>
        <w:tc>
          <w:tcPr>
            <w:tcW w:w="2599" w:type="dxa"/>
            <w:gridSpan w:val="2"/>
            <w:tcBorders>
              <w:top w:val="nil"/>
              <w:bottom w:val="single" w:sz="2" w:space="0" w:color="C0C0C0"/>
            </w:tcBorders>
            <w:shd w:val="solid" w:color="9757A6" w:fill="auto"/>
            <w:vAlign w:val="center"/>
          </w:tcPr>
          <w:p w14:paraId="7E30411A" w14:textId="7BF96ADB" w:rsidR="00105D32" w:rsidRDefault="00105D32" w:rsidP="0063255A">
            <w:pPr>
              <w:pStyle w:val="Tablecolumnheadings"/>
              <w:jc w:val="center"/>
            </w:pPr>
            <w:r>
              <w:t>Indigenous</w:t>
            </w:r>
          </w:p>
        </w:tc>
      </w:tr>
      <w:tr w:rsidR="00105D32" w14:paraId="25F8BFAE" w14:textId="77777777" w:rsidTr="00105D32">
        <w:trPr>
          <w:cantSplit/>
        </w:trPr>
        <w:tc>
          <w:tcPr>
            <w:tcW w:w="2267" w:type="dxa"/>
            <w:tcBorders>
              <w:top w:val="nil"/>
              <w:bottom w:val="single" w:sz="2" w:space="0" w:color="C0C0C0"/>
            </w:tcBorders>
            <w:shd w:val="solid" w:color="9757A6" w:fill="auto"/>
            <w:vAlign w:val="center"/>
          </w:tcPr>
          <w:p w14:paraId="71565715" w14:textId="77777777" w:rsidR="00105D32" w:rsidRDefault="00105D32" w:rsidP="00105D32">
            <w:pPr>
              <w:pStyle w:val="Tablecolumnheadings"/>
            </w:pPr>
          </w:p>
        </w:tc>
        <w:tc>
          <w:tcPr>
            <w:tcW w:w="1299" w:type="dxa"/>
            <w:tcBorders>
              <w:top w:val="nil"/>
              <w:bottom w:val="single" w:sz="2" w:space="0" w:color="C0C0C0"/>
            </w:tcBorders>
            <w:shd w:val="solid" w:color="9757A6" w:fill="auto"/>
            <w:vAlign w:val="center"/>
          </w:tcPr>
          <w:p w14:paraId="1857B8BE" w14:textId="2A854228" w:rsidR="00105D32" w:rsidRDefault="00105D32" w:rsidP="00105D32">
            <w:pPr>
              <w:pStyle w:val="Tablecolumnheadings"/>
              <w:jc w:val="center"/>
            </w:pPr>
            <w:r>
              <w:t>SEE</w:t>
            </w:r>
          </w:p>
        </w:tc>
        <w:tc>
          <w:tcPr>
            <w:tcW w:w="1300" w:type="dxa"/>
            <w:tcBorders>
              <w:top w:val="nil"/>
              <w:bottom w:val="single" w:sz="2" w:space="0" w:color="C0C0C0"/>
            </w:tcBorders>
            <w:shd w:val="solid" w:color="9757A6" w:fill="auto"/>
          </w:tcPr>
          <w:p w14:paraId="78570B17" w14:textId="5547AFE7" w:rsidR="00105D32" w:rsidRDefault="00105D32" w:rsidP="00105D32">
            <w:pPr>
              <w:pStyle w:val="Tablecolumnheadings"/>
              <w:jc w:val="center"/>
            </w:pPr>
            <w:r>
              <w:t>Population</w:t>
            </w:r>
          </w:p>
        </w:tc>
        <w:tc>
          <w:tcPr>
            <w:tcW w:w="1299" w:type="dxa"/>
            <w:tcBorders>
              <w:top w:val="nil"/>
              <w:bottom w:val="single" w:sz="2" w:space="0" w:color="C0C0C0"/>
            </w:tcBorders>
            <w:shd w:val="solid" w:color="9757A6" w:fill="auto"/>
            <w:vAlign w:val="center"/>
          </w:tcPr>
          <w:p w14:paraId="3E5168CB" w14:textId="007A0A61" w:rsidR="00105D32" w:rsidRDefault="00105D32" w:rsidP="00105D32">
            <w:pPr>
              <w:pStyle w:val="Tablecolumnheadings"/>
              <w:jc w:val="center"/>
            </w:pPr>
            <w:r>
              <w:t>SEE</w:t>
            </w:r>
          </w:p>
        </w:tc>
        <w:tc>
          <w:tcPr>
            <w:tcW w:w="1300" w:type="dxa"/>
            <w:tcBorders>
              <w:top w:val="nil"/>
              <w:bottom w:val="single" w:sz="2" w:space="0" w:color="C0C0C0"/>
            </w:tcBorders>
            <w:shd w:val="solid" w:color="9757A6" w:fill="auto"/>
          </w:tcPr>
          <w:p w14:paraId="542DFBE7" w14:textId="64ECD1F9" w:rsidR="00105D32" w:rsidRDefault="00105D32" w:rsidP="00105D32">
            <w:pPr>
              <w:pStyle w:val="Tablecolumnheadings"/>
              <w:jc w:val="center"/>
            </w:pPr>
            <w:r>
              <w:t>Population</w:t>
            </w:r>
          </w:p>
        </w:tc>
        <w:tc>
          <w:tcPr>
            <w:tcW w:w="1299" w:type="dxa"/>
            <w:tcBorders>
              <w:top w:val="nil"/>
              <w:bottom w:val="single" w:sz="2" w:space="0" w:color="C0C0C0"/>
            </w:tcBorders>
            <w:shd w:val="solid" w:color="9757A6" w:fill="auto"/>
            <w:vAlign w:val="center"/>
          </w:tcPr>
          <w:p w14:paraId="0325A3B0" w14:textId="7C4CE938" w:rsidR="00105D32" w:rsidRDefault="00105D32" w:rsidP="00105D32">
            <w:pPr>
              <w:pStyle w:val="Tablecolumnheadings"/>
              <w:jc w:val="center"/>
            </w:pPr>
            <w:r>
              <w:t>SEE</w:t>
            </w:r>
          </w:p>
        </w:tc>
        <w:tc>
          <w:tcPr>
            <w:tcW w:w="1300" w:type="dxa"/>
            <w:tcBorders>
              <w:top w:val="nil"/>
              <w:bottom w:val="single" w:sz="2" w:space="0" w:color="C0C0C0"/>
            </w:tcBorders>
            <w:shd w:val="solid" w:color="9757A6" w:fill="auto"/>
          </w:tcPr>
          <w:p w14:paraId="56055773" w14:textId="2D9BFF35" w:rsidR="00105D32" w:rsidRDefault="00105D32" w:rsidP="00105D32">
            <w:pPr>
              <w:pStyle w:val="Tablecolumnheadings"/>
              <w:jc w:val="center"/>
            </w:pPr>
            <w:r>
              <w:t>Population</w:t>
            </w:r>
          </w:p>
        </w:tc>
      </w:tr>
      <w:tr w:rsidR="00105D32" w14:paraId="17432160" w14:textId="1C3E7F34" w:rsidTr="00E8274A">
        <w:trPr>
          <w:cantSplit/>
        </w:trPr>
        <w:tc>
          <w:tcPr>
            <w:tcW w:w="2267" w:type="dxa"/>
            <w:tcBorders>
              <w:top w:val="single" w:sz="2" w:space="0" w:color="C0C0C0"/>
            </w:tcBorders>
            <w:shd w:val="solid" w:color="E6E6E6" w:fill="auto"/>
            <w:vAlign w:val="center"/>
          </w:tcPr>
          <w:p w14:paraId="6A6E831E" w14:textId="77777777" w:rsidR="00105D32" w:rsidRDefault="00105D32" w:rsidP="00105D32">
            <w:pPr>
              <w:pStyle w:val="Tableunitsrow"/>
            </w:pPr>
            <w:r>
              <w:t xml:space="preserve">Australian average </w:t>
            </w:r>
          </w:p>
        </w:tc>
        <w:tc>
          <w:tcPr>
            <w:tcW w:w="1299" w:type="dxa"/>
            <w:tcBorders>
              <w:top w:val="single" w:sz="2" w:space="0" w:color="C0C0C0"/>
            </w:tcBorders>
            <w:shd w:val="solid" w:color="E6E6E6" w:fill="auto"/>
            <w:vAlign w:val="center"/>
          </w:tcPr>
          <w:p w14:paraId="2CA91641" w14:textId="77777777" w:rsidR="00105D32" w:rsidRPr="00105D32" w:rsidRDefault="00105D32" w:rsidP="00105D32">
            <w:pPr>
              <w:pStyle w:val="Tableunitsrow"/>
              <w:jc w:val="center"/>
            </w:pPr>
            <w:r w:rsidRPr="00105D32">
              <w:t>23%</w:t>
            </w:r>
          </w:p>
        </w:tc>
        <w:tc>
          <w:tcPr>
            <w:tcW w:w="1300" w:type="dxa"/>
            <w:tcBorders>
              <w:top w:val="single" w:sz="2" w:space="0" w:color="C0C0C0"/>
            </w:tcBorders>
            <w:shd w:val="solid" w:color="E6E6E6" w:fill="auto"/>
          </w:tcPr>
          <w:p w14:paraId="331077C6" w14:textId="6083BC32" w:rsidR="00105D32" w:rsidRPr="00105D32" w:rsidRDefault="00105D32" w:rsidP="00105D32">
            <w:pPr>
              <w:pStyle w:val="Tableunitsrow"/>
              <w:jc w:val="center"/>
            </w:pPr>
            <w:r w:rsidRPr="004616EB">
              <w:t>81%</w:t>
            </w:r>
          </w:p>
        </w:tc>
        <w:tc>
          <w:tcPr>
            <w:tcW w:w="1299" w:type="dxa"/>
            <w:tcBorders>
              <w:top w:val="single" w:sz="2" w:space="0" w:color="C0C0C0"/>
            </w:tcBorders>
            <w:shd w:val="solid" w:color="E6E6E6" w:fill="auto"/>
            <w:vAlign w:val="center"/>
          </w:tcPr>
          <w:p w14:paraId="6DC774DB" w14:textId="35810E5B" w:rsidR="00105D32" w:rsidRPr="00105D32" w:rsidRDefault="00105D32" w:rsidP="00105D32">
            <w:pPr>
              <w:pStyle w:val="Tableunitsrow"/>
              <w:jc w:val="center"/>
            </w:pPr>
            <w:r w:rsidRPr="00105D32">
              <w:t>68%</w:t>
            </w:r>
          </w:p>
        </w:tc>
        <w:tc>
          <w:tcPr>
            <w:tcW w:w="1300" w:type="dxa"/>
            <w:tcBorders>
              <w:top w:val="single" w:sz="2" w:space="0" w:color="C0C0C0"/>
            </w:tcBorders>
            <w:shd w:val="solid" w:color="E6E6E6" w:fill="auto"/>
          </w:tcPr>
          <w:p w14:paraId="74D28A8F" w14:textId="5C2D5C55" w:rsidR="00105D32" w:rsidRPr="00105D32" w:rsidRDefault="00105D32" w:rsidP="00105D32">
            <w:pPr>
              <w:pStyle w:val="Tableunitsrow"/>
              <w:jc w:val="center"/>
            </w:pPr>
            <w:r w:rsidRPr="002C7A43">
              <w:t>16%</w:t>
            </w:r>
          </w:p>
        </w:tc>
        <w:tc>
          <w:tcPr>
            <w:tcW w:w="1299" w:type="dxa"/>
            <w:tcBorders>
              <w:top w:val="single" w:sz="2" w:space="0" w:color="C0C0C0"/>
            </w:tcBorders>
            <w:shd w:val="solid" w:color="E6E6E6" w:fill="auto"/>
            <w:vAlign w:val="center"/>
          </w:tcPr>
          <w:p w14:paraId="17DAED12" w14:textId="29211294" w:rsidR="00105D32" w:rsidRPr="00105D32" w:rsidRDefault="00105D32" w:rsidP="00105D32">
            <w:pPr>
              <w:pStyle w:val="Tableunitsrow"/>
              <w:jc w:val="center"/>
            </w:pPr>
            <w:r w:rsidRPr="00105D32">
              <w:t>8%</w:t>
            </w:r>
          </w:p>
        </w:tc>
        <w:tc>
          <w:tcPr>
            <w:tcW w:w="1300" w:type="dxa"/>
            <w:tcBorders>
              <w:top w:val="single" w:sz="2" w:space="0" w:color="C0C0C0"/>
            </w:tcBorders>
            <w:shd w:val="solid" w:color="E6E6E6" w:fill="auto"/>
          </w:tcPr>
          <w:p w14:paraId="24A2B201" w14:textId="25E32F72" w:rsidR="00105D32" w:rsidRDefault="00105D32" w:rsidP="00105D32">
            <w:pPr>
              <w:pStyle w:val="Tableunitsrow"/>
              <w:jc w:val="center"/>
            </w:pPr>
            <w:r w:rsidRPr="008551A9">
              <w:t>3%</w:t>
            </w:r>
          </w:p>
        </w:tc>
      </w:tr>
      <w:tr w:rsidR="00105D32" w14:paraId="13BCB8D2" w14:textId="1093881D" w:rsidTr="00E8274A">
        <w:trPr>
          <w:cantSplit/>
        </w:trPr>
        <w:tc>
          <w:tcPr>
            <w:tcW w:w="2267" w:type="dxa"/>
            <w:shd w:val="clear" w:color="auto" w:fill="auto"/>
            <w:vAlign w:val="bottom"/>
          </w:tcPr>
          <w:p w14:paraId="056414A1" w14:textId="77777777" w:rsidR="00105D32" w:rsidRDefault="00105D32" w:rsidP="00105D32">
            <w:pPr>
              <w:pStyle w:val="Tabletext"/>
            </w:pPr>
            <w:r>
              <w:t>Australian Capital Territory</w:t>
            </w:r>
          </w:p>
        </w:tc>
        <w:tc>
          <w:tcPr>
            <w:tcW w:w="1299" w:type="dxa"/>
            <w:shd w:val="clear" w:color="auto" w:fill="auto"/>
            <w:vAlign w:val="center"/>
          </w:tcPr>
          <w:p w14:paraId="6B781EAB" w14:textId="77777777" w:rsidR="00105D32" w:rsidRPr="00105D32" w:rsidRDefault="00105D32" w:rsidP="00105D32">
            <w:pPr>
              <w:pStyle w:val="Tabletext"/>
              <w:jc w:val="center"/>
            </w:pPr>
            <w:r w:rsidRPr="00105D32">
              <w:t>11%</w:t>
            </w:r>
          </w:p>
        </w:tc>
        <w:tc>
          <w:tcPr>
            <w:tcW w:w="1300" w:type="dxa"/>
          </w:tcPr>
          <w:p w14:paraId="5253F50A" w14:textId="38D7A2CE" w:rsidR="00105D32" w:rsidRPr="00E8274A" w:rsidRDefault="00105D32" w:rsidP="00105D32">
            <w:pPr>
              <w:pStyle w:val="Tabletext"/>
              <w:jc w:val="center"/>
            </w:pPr>
            <w:r w:rsidRPr="004616EB">
              <w:t>81%</w:t>
            </w:r>
          </w:p>
        </w:tc>
        <w:tc>
          <w:tcPr>
            <w:tcW w:w="1299" w:type="dxa"/>
            <w:shd w:val="clear" w:color="auto" w:fill="auto"/>
            <w:vAlign w:val="center"/>
          </w:tcPr>
          <w:p w14:paraId="7A3D74D3" w14:textId="19CFC20C" w:rsidR="00105D32" w:rsidRPr="00E8274A" w:rsidRDefault="00105D32" w:rsidP="00105D32">
            <w:pPr>
              <w:pStyle w:val="Tabletext"/>
              <w:jc w:val="center"/>
            </w:pPr>
            <w:r w:rsidRPr="00E8274A">
              <w:t>88%</w:t>
            </w:r>
          </w:p>
        </w:tc>
        <w:tc>
          <w:tcPr>
            <w:tcW w:w="1300" w:type="dxa"/>
          </w:tcPr>
          <w:p w14:paraId="30726CDA" w14:textId="533C0EDB" w:rsidR="00105D32" w:rsidRPr="00105D32" w:rsidRDefault="00105D32" w:rsidP="00105D32">
            <w:pPr>
              <w:pStyle w:val="Tabletext"/>
              <w:jc w:val="center"/>
            </w:pPr>
            <w:r w:rsidRPr="002C7A43">
              <w:t>17%</w:t>
            </w:r>
          </w:p>
        </w:tc>
        <w:tc>
          <w:tcPr>
            <w:tcW w:w="1299" w:type="dxa"/>
            <w:shd w:val="clear" w:color="auto" w:fill="auto"/>
            <w:vAlign w:val="center"/>
          </w:tcPr>
          <w:p w14:paraId="22B7BE10" w14:textId="4C1A8523" w:rsidR="00105D32" w:rsidRPr="00105D32" w:rsidRDefault="00105D32" w:rsidP="00105D32">
            <w:pPr>
              <w:pStyle w:val="Tabletext"/>
              <w:jc w:val="center"/>
            </w:pPr>
            <w:r w:rsidRPr="00105D32">
              <w:t>1%</w:t>
            </w:r>
          </w:p>
        </w:tc>
        <w:tc>
          <w:tcPr>
            <w:tcW w:w="1300" w:type="dxa"/>
          </w:tcPr>
          <w:p w14:paraId="06D97969" w14:textId="179FF944" w:rsidR="00105D32" w:rsidRDefault="00105D32" w:rsidP="00105D32">
            <w:pPr>
              <w:pStyle w:val="Tabletext"/>
              <w:jc w:val="center"/>
            </w:pPr>
            <w:r w:rsidRPr="008551A9">
              <w:t>1%</w:t>
            </w:r>
          </w:p>
        </w:tc>
      </w:tr>
      <w:tr w:rsidR="00105D32" w14:paraId="3D2B7EA6" w14:textId="60135F73" w:rsidTr="00E8274A">
        <w:trPr>
          <w:cantSplit/>
        </w:trPr>
        <w:tc>
          <w:tcPr>
            <w:tcW w:w="2267" w:type="dxa"/>
            <w:shd w:val="clear" w:color="auto" w:fill="auto"/>
            <w:vAlign w:val="bottom"/>
          </w:tcPr>
          <w:p w14:paraId="4A0B1EE3" w14:textId="77777777" w:rsidR="00105D32" w:rsidRDefault="00105D32" w:rsidP="00105D32">
            <w:pPr>
              <w:pStyle w:val="Tabletext"/>
            </w:pPr>
            <w:r>
              <w:t>New South Wales</w:t>
            </w:r>
          </w:p>
        </w:tc>
        <w:tc>
          <w:tcPr>
            <w:tcW w:w="1299" w:type="dxa"/>
            <w:shd w:val="clear" w:color="auto" w:fill="auto"/>
            <w:vAlign w:val="center"/>
          </w:tcPr>
          <w:p w14:paraId="27ACD910" w14:textId="77777777" w:rsidR="00105D32" w:rsidRPr="00105D32" w:rsidRDefault="00105D32" w:rsidP="00105D32">
            <w:pPr>
              <w:pStyle w:val="Tabletext"/>
              <w:jc w:val="center"/>
            </w:pPr>
            <w:r w:rsidRPr="00105D32">
              <w:t>23%</w:t>
            </w:r>
          </w:p>
        </w:tc>
        <w:tc>
          <w:tcPr>
            <w:tcW w:w="1300" w:type="dxa"/>
          </w:tcPr>
          <w:p w14:paraId="7C463AE4" w14:textId="438D8E1B" w:rsidR="00105D32" w:rsidRPr="00E8274A" w:rsidRDefault="00105D32" w:rsidP="00105D32">
            <w:pPr>
              <w:pStyle w:val="Tabletext"/>
              <w:jc w:val="center"/>
            </w:pPr>
            <w:r w:rsidRPr="004616EB">
              <w:t>78%</w:t>
            </w:r>
          </w:p>
        </w:tc>
        <w:tc>
          <w:tcPr>
            <w:tcW w:w="1299" w:type="dxa"/>
            <w:shd w:val="clear" w:color="auto" w:fill="auto"/>
            <w:vAlign w:val="center"/>
          </w:tcPr>
          <w:p w14:paraId="2D0FF230" w14:textId="79EC60B0" w:rsidR="00105D32" w:rsidRPr="00E8274A" w:rsidRDefault="00105D32" w:rsidP="00105D32">
            <w:pPr>
              <w:pStyle w:val="Tabletext"/>
              <w:jc w:val="center"/>
            </w:pPr>
            <w:r w:rsidRPr="00E8274A">
              <w:t>69%</w:t>
            </w:r>
          </w:p>
        </w:tc>
        <w:tc>
          <w:tcPr>
            <w:tcW w:w="1300" w:type="dxa"/>
          </w:tcPr>
          <w:p w14:paraId="52A3768E" w14:textId="4212C991" w:rsidR="00105D32" w:rsidRPr="00105D32" w:rsidRDefault="00105D32" w:rsidP="00105D32">
            <w:pPr>
              <w:pStyle w:val="Tabletext"/>
              <w:jc w:val="center"/>
            </w:pPr>
            <w:r w:rsidRPr="002C7A43">
              <w:t>19%</w:t>
            </w:r>
          </w:p>
        </w:tc>
        <w:tc>
          <w:tcPr>
            <w:tcW w:w="1299" w:type="dxa"/>
            <w:shd w:val="clear" w:color="auto" w:fill="auto"/>
            <w:vAlign w:val="center"/>
          </w:tcPr>
          <w:p w14:paraId="57CAD7D4" w14:textId="30C6B892" w:rsidR="00105D32" w:rsidRPr="00105D32" w:rsidRDefault="00105D32" w:rsidP="00105D32">
            <w:pPr>
              <w:pStyle w:val="Tabletext"/>
              <w:jc w:val="center"/>
            </w:pPr>
            <w:r w:rsidRPr="00105D32">
              <w:t>8%</w:t>
            </w:r>
          </w:p>
        </w:tc>
        <w:tc>
          <w:tcPr>
            <w:tcW w:w="1300" w:type="dxa"/>
          </w:tcPr>
          <w:p w14:paraId="6241A25B" w14:textId="6F2A58CD" w:rsidR="00105D32" w:rsidRDefault="00105D32" w:rsidP="00105D32">
            <w:pPr>
              <w:pStyle w:val="Tabletext"/>
              <w:jc w:val="center"/>
            </w:pPr>
            <w:r w:rsidRPr="008551A9">
              <w:t>2%</w:t>
            </w:r>
          </w:p>
        </w:tc>
      </w:tr>
      <w:tr w:rsidR="00105D32" w14:paraId="148AD0C5" w14:textId="0AFE6643" w:rsidTr="00E8274A">
        <w:trPr>
          <w:cantSplit/>
        </w:trPr>
        <w:tc>
          <w:tcPr>
            <w:tcW w:w="2267" w:type="dxa"/>
            <w:shd w:val="clear" w:color="auto" w:fill="auto"/>
            <w:vAlign w:val="bottom"/>
          </w:tcPr>
          <w:p w14:paraId="48A67581" w14:textId="77777777" w:rsidR="00105D32" w:rsidRDefault="00105D32" w:rsidP="00105D32">
            <w:pPr>
              <w:pStyle w:val="Tabletext"/>
            </w:pPr>
            <w:r>
              <w:t>Northern Territory</w:t>
            </w:r>
          </w:p>
        </w:tc>
        <w:tc>
          <w:tcPr>
            <w:tcW w:w="1299" w:type="dxa"/>
            <w:shd w:val="clear" w:color="auto" w:fill="auto"/>
            <w:vAlign w:val="center"/>
          </w:tcPr>
          <w:p w14:paraId="34F6AF7B" w14:textId="77777777" w:rsidR="00105D32" w:rsidRPr="00105D32" w:rsidRDefault="00105D32" w:rsidP="00105D32">
            <w:pPr>
              <w:pStyle w:val="Tabletext"/>
              <w:jc w:val="center"/>
            </w:pPr>
            <w:r w:rsidRPr="00105D32">
              <w:t>7%</w:t>
            </w:r>
          </w:p>
        </w:tc>
        <w:tc>
          <w:tcPr>
            <w:tcW w:w="1300" w:type="dxa"/>
          </w:tcPr>
          <w:p w14:paraId="2DF568BD" w14:textId="28917069" w:rsidR="00105D32" w:rsidRPr="00105D32" w:rsidRDefault="00105D32" w:rsidP="00105D32">
            <w:pPr>
              <w:pStyle w:val="Tabletext"/>
              <w:jc w:val="center"/>
            </w:pPr>
            <w:r w:rsidRPr="004616EB">
              <w:t>63%</w:t>
            </w:r>
          </w:p>
        </w:tc>
        <w:tc>
          <w:tcPr>
            <w:tcW w:w="1299" w:type="dxa"/>
            <w:shd w:val="clear" w:color="auto" w:fill="auto"/>
            <w:vAlign w:val="center"/>
          </w:tcPr>
          <w:p w14:paraId="76B6BE73" w14:textId="2D4E3FE1" w:rsidR="00105D32" w:rsidRPr="00105D32" w:rsidRDefault="00105D32" w:rsidP="00105D32">
            <w:pPr>
              <w:pStyle w:val="Tabletext"/>
              <w:jc w:val="center"/>
            </w:pPr>
            <w:r w:rsidRPr="00105D32">
              <w:t>4%</w:t>
            </w:r>
          </w:p>
        </w:tc>
        <w:tc>
          <w:tcPr>
            <w:tcW w:w="1300" w:type="dxa"/>
          </w:tcPr>
          <w:p w14:paraId="2299A1DE" w14:textId="65CB89A1" w:rsidR="00105D32" w:rsidRPr="00E8274A" w:rsidRDefault="00105D32" w:rsidP="00105D32">
            <w:pPr>
              <w:pStyle w:val="Tabletext"/>
              <w:jc w:val="center"/>
            </w:pPr>
            <w:r w:rsidRPr="002C7A43">
              <w:t>11%</w:t>
            </w:r>
          </w:p>
        </w:tc>
        <w:tc>
          <w:tcPr>
            <w:tcW w:w="1299" w:type="dxa"/>
            <w:shd w:val="clear" w:color="auto" w:fill="auto"/>
            <w:vAlign w:val="center"/>
          </w:tcPr>
          <w:p w14:paraId="5BB52787" w14:textId="6408044B" w:rsidR="00105D32" w:rsidRPr="00E8274A" w:rsidRDefault="00105D32" w:rsidP="00105D32">
            <w:pPr>
              <w:pStyle w:val="Tabletext"/>
              <w:jc w:val="center"/>
            </w:pPr>
            <w:r w:rsidRPr="00E8274A">
              <w:t>89%</w:t>
            </w:r>
          </w:p>
        </w:tc>
        <w:tc>
          <w:tcPr>
            <w:tcW w:w="1300" w:type="dxa"/>
          </w:tcPr>
          <w:p w14:paraId="5CA5CCB7" w14:textId="469DAC08" w:rsidR="00105D32" w:rsidRPr="00C91FB7" w:rsidRDefault="00105D32" w:rsidP="00105D32">
            <w:pPr>
              <w:pStyle w:val="Tabletext"/>
              <w:jc w:val="center"/>
              <w:rPr>
                <w:b/>
              </w:rPr>
            </w:pPr>
            <w:r w:rsidRPr="008551A9">
              <w:t>27%</w:t>
            </w:r>
          </w:p>
        </w:tc>
      </w:tr>
      <w:tr w:rsidR="00105D32" w14:paraId="7504FA27" w14:textId="5FAB610B" w:rsidTr="00E8274A">
        <w:trPr>
          <w:cantSplit/>
        </w:trPr>
        <w:tc>
          <w:tcPr>
            <w:tcW w:w="2267" w:type="dxa"/>
            <w:shd w:val="clear" w:color="auto" w:fill="auto"/>
            <w:vAlign w:val="bottom"/>
          </w:tcPr>
          <w:p w14:paraId="2C77CB24" w14:textId="77777777" w:rsidR="00105D32" w:rsidRDefault="00105D32" w:rsidP="00105D32">
            <w:pPr>
              <w:pStyle w:val="Tabletext"/>
            </w:pPr>
            <w:r>
              <w:t>Queensland</w:t>
            </w:r>
          </w:p>
        </w:tc>
        <w:tc>
          <w:tcPr>
            <w:tcW w:w="1299" w:type="dxa"/>
            <w:shd w:val="clear" w:color="auto" w:fill="auto"/>
            <w:vAlign w:val="center"/>
          </w:tcPr>
          <w:p w14:paraId="0AB8F90D" w14:textId="77777777" w:rsidR="00105D32" w:rsidRPr="00E8274A" w:rsidRDefault="00105D32" w:rsidP="00105D32">
            <w:pPr>
              <w:pStyle w:val="Tabletext"/>
              <w:jc w:val="center"/>
            </w:pPr>
            <w:r w:rsidRPr="00E8274A">
              <w:t>30%</w:t>
            </w:r>
          </w:p>
        </w:tc>
        <w:tc>
          <w:tcPr>
            <w:tcW w:w="1300" w:type="dxa"/>
          </w:tcPr>
          <w:p w14:paraId="7194FE59" w14:textId="6E92345F" w:rsidR="00105D32" w:rsidRPr="00105D32" w:rsidRDefault="00105D32" w:rsidP="00105D32">
            <w:pPr>
              <w:pStyle w:val="Tabletext"/>
              <w:jc w:val="center"/>
            </w:pPr>
            <w:r w:rsidRPr="004616EB">
              <w:t>86%</w:t>
            </w:r>
          </w:p>
        </w:tc>
        <w:tc>
          <w:tcPr>
            <w:tcW w:w="1299" w:type="dxa"/>
            <w:shd w:val="clear" w:color="auto" w:fill="auto"/>
            <w:vAlign w:val="center"/>
          </w:tcPr>
          <w:p w14:paraId="75371A72" w14:textId="3ABFF7DF" w:rsidR="00105D32" w:rsidRPr="00105D32" w:rsidRDefault="00105D32" w:rsidP="00105D32">
            <w:pPr>
              <w:pStyle w:val="Tabletext"/>
              <w:jc w:val="center"/>
            </w:pPr>
            <w:r w:rsidRPr="00105D32">
              <w:t>59%</w:t>
            </w:r>
          </w:p>
        </w:tc>
        <w:tc>
          <w:tcPr>
            <w:tcW w:w="1300" w:type="dxa"/>
          </w:tcPr>
          <w:p w14:paraId="0319BDEA" w14:textId="4C6BCA0B" w:rsidR="00105D32" w:rsidRPr="00E8274A" w:rsidRDefault="00105D32" w:rsidP="00105D32">
            <w:pPr>
              <w:pStyle w:val="Tabletext"/>
              <w:jc w:val="center"/>
            </w:pPr>
            <w:r w:rsidRPr="002C7A43">
              <w:t>10%</w:t>
            </w:r>
          </w:p>
        </w:tc>
        <w:tc>
          <w:tcPr>
            <w:tcW w:w="1299" w:type="dxa"/>
            <w:shd w:val="clear" w:color="auto" w:fill="auto"/>
            <w:vAlign w:val="center"/>
          </w:tcPr>
          <w:p w14:paraId="5DFE867E" w14:textId="7AE37558" w:rsidR="00105D32" w:rsidRPr="00E8274A" w:rsidRDefault="00105D32" w:rsidP="00105D32">
            <w:pPr>
              <w:pStyle w:val="Tabletext"/>
              <w:jc w:val="center"/>
            </w:pPr>
            <w:r w:rsidRPr="00E8274A">
              <w:t>11%</w:t>
            </w:r>
          </w:p>
        </w:tc>
        <w:tc>
          <w:tcPr>
            <w:tcW w:w="1300" w:type="dxa"/>
          </w:tcPr>
          <w:p w14:paraId="4CB6D7A9" w14:textId="29DD769D" w:rsidR="00105D32" w:rsidRPr="00C91FB7" w:rsidRDefault="00105D32" w:rsidP="00105D32">
            <w:pPr>
              <w:pStyle w:val="Tabletext"/>
              <w:jc w:val="center"/>
              <w:rPr>
                <w:b/>
              </w:rPr>
            </w:pPr>
            <w:r w:rsidRPr="008551A9">
              <w:t>4%</w:t>
            </w:r>
          </w:p>
        </w:tc>
      </w:tr>
      <w:tr w:rsidR="00105D32" w14:paraId="3C59D85A" w14:textId="1D7C411E" w:rsidTr="00E8274A">
        <w:trPr>
          <w:cantSplit/>
        </w:trPr>
        <w:tc>
          <w:tcPr>
            <w:tcW w:w="2267" w:type="dxa"/>
            <w:shd w:val="clear" w:color="auto" w:fill="auto"/>
            <w:vAlign w:val="bottom"/>
          </w:tcPr>
          <w:p w14:paraId="5AFD9EAE" w14:textId="77777777" w:rsidR="00105D32" w:rsidRDefault="00105D32" w:rsidP="00105D32">
            <w:pPr>
              <w:pStyle w:val="Tabletext"/>
            </w:pPr>
            <w:r>
              <w:t>South Australia</w:t>
            </w:r>
          </w:p>
        </w:tc>
        <w:tc>
          <w:tcPr>
            <w:tcW w:w="1299" w:type="dxa"/>
            <w:shd w:val="clear" w:color="auto" w:fill="auto"/>
            <w:vAlign w:val="center"/>
          </w:tcPr>
          <w:p w14:paraId="4EBD646F" w14:textId="77777777" w:rsidR="00105D32" w:rsidRPr="00E8274A" w:rsidRDefault="00105D32" w:rsidP="00105D32">
            <w:pPr>
              <w:pStyle w:val="Tabletext"/>
              <w:jc w:val="center"/>
            </w:pPr>
            <w:r w:rsidRPr="00E8274A">
              <w:t>36%</w:t>
            </w:r>
          </w:p>
        </w:tc>
        <w:tc>
          <w:tcPr>
            <w:tcW w:w="1300" w:type="dxa"/>
          </w:tcPr>
          <w:p w14:paraId="0CDB1B61" w14:textId="79F0249B" w:rsidR="00105D32" w:rsidRPr="00105D32" w:rsidRDefault="00105D32" w:rsidP="00105D32">
            <w:pPr>
              <w:pStyle w:val="Tabletext"/>
              <w:jc w:val="center"/>
            </w:pPr>
            <w:r w:rsidRPr="004616EB">
              <w:t>85%</w:t>
            </w:r>
          </w:p>
        </w:tc>
        <w:tc>
          <w:tcPr>
            <w:tcW w:w="1299" w:type="dxa"/>
            <w:shd w:val="clear" w:color="auto" w:fill="auto"/>
            <w:vAlign w:val="center"/>
          </w:tcPr>
          <w:p w14:paraId="52C2CD64" w14:textId="7BEEA273" w:rsidR="00105D32" w:rsidRPr="00105D32" w:rsidRDefault="00105D32" w:rsidP="00105D32">
            <w:pPr>
              <w:pStyle w:val="Tabletext"/>
              <w:jc w:val="center"/>
            </w:pPr>
            <w:r w:rsidRPr="00105D32">
              <w:t>60%</w:t>
            </w:r>
          </w:p>
        </w:tc>
        <w:tc>
          <w:tcPr>
            <w:tcW w:w="1300" w:type="dxa"/>
          </w:tcPr>
          <w:p w14:paraId="036755B6" w14:textId="5E32D8B1" w:rsidR="00105D32" w:rsidRPr="00105D32" w:rsidRDefault="00105D32" w:rsidP="00105D32">
            <w:pPr>
              <w:pStyle w:val="Tabletext"/>
              <w:jc w:val="center"/>
            </w:pPr>
            <w:r w:rsidRPr="002C7A43">
              <w:t>13%</w:t>
            </w:r>
          </w:p>
        </w:tc>
        <w:tc>
          <w:tcPr>
            <w:tcW w:w="1299" w:type="dxa"/>
            <w:shd w:val="clear" w:color="auto" w:fill="auto"/>
            <w:vAlign w:val="center"/>
          </w:tcPr>
          <w:p w14:paraId="164E51B8" w14:textId="0D9760C0" w:rsidR="00105D32" w:rsidRPr="00105D32" w:rsidRDefault="00105D32" w:rsidP="00105D32">
            <w:pPr>
              <w:pStyle w:val="Tabletext"/>
              <w:jc w:val="center"/>
            </w:pPr>
            <w:r w:rsidRPr="00105D32">
              <w:t>4%</w:t>
            </w:r>
          </w:p>
        </w:tc>
        <w:tc>
          <w:tcPr>
            <w:tcW w:w="1300" w:type="dxa"/>
          </w:tcPr>
          <w:p w14:paraId="42DAE3C1" w14:textId="301C385B" w:rsidR="00105D32" w:rsidRDefault="00105D32" w:rsidP="00105D32">
            <w:pPr>
              <w:pStyle w:val="Tabletext"/>
              <w:jc w:val="center"/>
            </w:pPr>
            <w:r w:rsidRPr="008551A9">
              <w:t>2%</w:t>
            </w:r>
          </w:p>
        </w:tc>
      </w:tr>
      <w:tr w:rsidR="00105D32" w14:paraId="3B85EB2D" w14:textId="6260445E" w:rsidTr="00E8274A">
        <w:trPr>
          <w:cantSplit/>
        </w:trPr>
        <w:tc>
          <w:tcPr>
            <w:tcW w:w="2267" w:type="dxa"/>
            <w:tcBorders>
              <w:bottom w:val="single" w:sz="2" w:space="0" w:color="C0C0C0"/>
            </w:tcBorders>
            <w:shd w:val="clear" w:color="auto" w:fill="auto"/>
            <w:vAlign w:val="bottom"/>
          </w:tcPr>
          <w:p w14:paraId="5DCDB6A1" w14:textId="77777777" w:rsidR="00105D32" w:rsidRDefault="00105D32" w:rsidP="00105D32">
            <w:pPr>
              <w:pStyle w:val="Tabletext"/>
            </w:pPr>
            <w:r>
              <w:t>Tasmania</w:t>
            </w:r>
          </w:p>
        </w:tc>
        <w:tc>
          <w:tcPr>
            <w:tcW w:w="1299" w:type="dxa"/>
            <w:tcBorders>
              <w:bottom w:val="single" w:sz="2" w:space="0" w:color="C0C0C0"/>
            </w:tcBorders>
            <w:shd w:val="clear" w:color="auto" w:fill="auto"/>
            <w:vAlign w:val="center"/>
          </w:tcPr>
          <w:p w14:paraId="37E438B2" w14:textId="77777777" w:rsidR="00105D32" w:rsidRPr="00E8274A" w:rsidRDefault="00105D32" w:rsidP="00105D32">
            <w:pPr>
              <w:pStyle w:val="Tabletext"/>
              <w:jc w:val="center"/>
            </w:pPr>
            <w:r w:rsidRPr="00E8274A">
              <w:t>56%</w:t>
            </w:r>
          </w:p>
        </w:tc>
        <w:tc>
          <w:tcPr>
            <w:tcW w:w="1300" w:type="dxa"/>
            <w:tcBorders>
              <w:bottom w:val="single" w:sz="2" w:space="0" w:color="C0C0C0"/>
            </w:tcBorders>
          </w:tcPr>
          <w:p w14:paraId="7E28C5F1" w14:textId="0CB95781" w:rsidR="00105D32" w:rsidRPr="00105D32" w:rsidRDefault="00105D32" w:rsidP="00105D32">
            <w:pPr>
              <w:pStyle w:val="Tabletext"/>
              <w:jc w:val="center"/>
            </w:pPr>
            <w:r w:rsidRPr="004616EB">
              <w:t>91%</w:t>
            </w:r>
          </w:p>
        </w:tc>
        <w:tc>
          <w:tcPr>
            <w:tcW w:w="1299" w:type="dxa"/>
            <w:tcBorders>
              <w:bottom w:val="single" w:sz="2" w:space="0" w:color="C0C0C0"/>
            </w:tcBorders>
            <w:shd w:val="clear" w:color="auto" w:fill="auto"/>
            <w:vAlign w:val="center"/>
          </w:tcPr>
          <w:p w14:paraId="495FE852" w14:textId="4CB6069E" w:rsidR="00105D32" w:rsidRPr="00105D32" w:rsidRDefault="00105D32" w:rsidP="00105D32">
            <w:pPr>
              <w:pStyle w:val="Tabletext"/>
              <w:jc w:val="center"/>
            </w:pPr>
            <w:r w:rsidRPr="00105D32">
              <w:t>38%</w:t>
            </w:r>
          </w:p>
        </w:tc>
        <w:tc>
          <w:tcPr>
            <w:tcW w:w="1300" w:type="dxa"/>
            <w:tcBorders>
              <w:bottom w:val="single" w:sz="2" w:space="0" w:color="C0C0C0"/>
            </w:tcBorders>
          </w:tcPr>
          <w:p w14:paraId="47A474D9" w14:textId="5FAFF031" w:rsidR="00105D32" w:rsidRPr="00105D32" w:rsidRDefault="00105D32" w:rsidP="00105D32">
            <w:pPr>
              <w:pStyle w:val="Tabletext"/>
              <w:jc w:val="center"/>
            </w:pPr>
            <w:r w:rsidRPr="002C7A43">
              <w:t>5%</w:t>
            </w:r>
          </w:p>
        </w:tc>
        <w:tc>
          <w:tcPr>
            <w:tcW w:w="1299" w:type="dxa"/>
            <w:tcBorders>
              <w:bottom w:val="single" w:sz="2" w:space="0" w:color="C0C0C0"/>
            </w:tcBorders>
            <w:shd w:val="clear" w:color="auto" w:fill="auto"/>
            <w:vAlign w:val="center"/>
          </w:tcPr>
          <w:p w14:paraId="7F605B97" w14:textId="2E4FD4D3" w:rsidR="00105D32" w:rsidRPr="00105D32" w:rsidRDefault="00105D32" w:rsidP="00105D32">
            <w:pPr>
              <w:pStyle w:val="Tabletext"/>
              <w:jc w:val="center"/>
            </w:pPr>
            <w:r w:rsidRPr="00105D32">
              <w:t>6%</w:t>
            </w:r>
          </w:p>
        </w:tc>
        <w:tc>
          <w:tcPr>
            <w:tcW w:w="1300" w:type="dxa"/>
            <w:tcBorders>
              <w:bottom w:val="single" w:sz="2" w:space="0" w:color="C0C0C0"/>
            </w:tcBorders>
          </w:tcPr>
          <w:p w14:paraId="222BC183" w14:textId="45AAD44C" w:rsidR="00105D32" w:rsidRDefault="00105D32" w:rsidP="00105D32">
            <w:pPr>
              <w:pStyle w:val="Tabletext"/>
              <w:jc w:val="center"/>
            </w:pPr>
            <w:r w:rsidRPr="008551A9">
              <w:t>4%</w:t>
            </w:r>
          </w:p>
        </w:tc>
      </w:tr>
      <w:tr w:rsidR="00105D32" w14:paraId="7CD909DF" w14:textId="03AB7FA2" w:rsidTr="00E8274A">
        <w:trPr>
          <w:cantSplit/>
        </w:trPr>
        <w:tc>
          <w:tcPr>
            <w:tcW w:w="2267" w:type="dxa"/>
            <w:tcBorders>
              <w:bottom w:val="single" w:sz="2" w:space="0" w:color="C0C0C0"/>
            </w:tcBorders>
            <w:shd w:val="clear" w:color="auto" w:fill="auto"/>
            <w:vAlign w:val="bottom"/>
          </w:tcPr>
          <w:p w14:paraId="1B9BE714" w14:textId="77777777" w:rsidR="00105D32" w:rsidRDefault="00105D32" w:rsidP="00105D32">
            <w:pPr>
              <w:pStyle w:val="Tabletext"/>
            </w:pPr>
            <w:r>
              <w:t>Victoria</w:t>
            </w:r>
          </w:p>
        </w:tc>
        <w:tc>
          <w:tcPr>
            <w:tcW w:w="1299" w:type="dxa"/>
            <w:tcBorders>
              <w:bottom w:val="single" w:sz="2" w:space="0" w:color="C0C0C0"/>
            </w:tcBorders>
            <w:shd w:val="clear" w:color="auto" w:fill="auto"/>
            <w:vAlign w:val="center"/>
          </w:tcPr>
          <w:p w14:paraId="46FCB9EA" w14:textId="77777777" w:rsidR="00105D32" w:rsidRPr="00105D32" w:rsidRDefault="00105D32" w:rsidP="00105D32">
            <w:pPr>
              <w:pStyle w:val="Tabletext"/>
              <w:jc w:val="center"/>
            </w:pPr>
            <w:r w:rsidRPr="00105D32">
              <w:t>11%</w:t>
            </w:r>
          </w:p>
        </w:tc>
        <w:tc>
          <w:tcPr>
            <w:tcW w:w="1300" w:type="dxa"/>
            <w:tcBorders>
              <w:bottom w:val="single" w:sz="2" w:space="0" w:color="C0C0C0"/>
            </w:tcBorders>
          </w:tcPr>
          <w:p w14:paraId="6A722075" w14:textId="3D5EB9D1" w:rsidR="00105D32" w:rsidRPr="00E8274A" w:rsidRDefault="00105D32" w:rsidP="00105D32">
            <w:pPr>
              <w:pStyle w:val="Tabletext"/>
              <w:jc w:val="center"/>
            </w:pPr>
            <w:r w:rsidRPr="004616EB">
              <w:t>79%</w:t>
            </w:r>
          </w:p>
        </w:tc>
        <w:tc>
          <w:tcPr>
            <w:tcW w:w="1299" w:type="dxa"/>
            <w:tcBorders>
              <w:bottom w:val="single" w:sz="2" w:space="0" w:color="C0C0C0"/>
            </w:tcBorders>
            <w:shd w:val="clear" w:color="auto" w:fill="auto"/>
            <w:vAlign w:val="center"/>
          </w:tcPr>
          <w:p w14:paraId="68752311" w14:textId="7D3EB9FD" w:rsidR="00105D32" w:rsidRPr="00105D32" w:rsidRDefault="00105D32" w:rsidP="00105D32">
            <w:pPr>
              <w:pStyle w:val="Tabletext"/>
              <w:jc w:val="center"/>
            </w:pPr>
            <w:r w:rsidRPr="00E8274A">
              <w:t>88%</w:t>
            </w:r>
          </w:p>
        </w:tc>
        <w:tc>
          <w:tcPr>
            <w:tcW w:w="1300" w:type="dxa"/>
            <w:tcBorders>
              <w:bottom w:val="single" w:sz="2" w:space="0" w:color="C0C0C0"/>
            </w:tcBorders>
          </w:tcPr>
          <w:p w14:paraId="6DD720F4" w14:textId="7B9E653C" w:rsidR="00105D32" w:rsidRPr="00105D32" w:rsidRDefault="00105D32" w:rsidP="00105D32">
            <w:pPr>
              <w:pStyle w:val="Tabletext"/>
              <w:jc w:val="center"/>
            </w:pPr>
            <w:r w:rsidRPr="002C7A43">
              <w:t>20%</w:t>
            </w:r>
          </w:p>
        </w:tc>
        <w:tc>
          <w:tcPr>
            <w:tcW w:w="1299" w:type="dxa"/>
            <w:tcBorders>
              <w:bottom w:val="single" w:sz="2" w:space="0" w:color="C0C0C0"/>
            </w:tcBorders>
            <w:shd w:val="clear" w:color="auto" w:fill="auto"/>
            <w:vAlign w:val="center"/>
          </w:tcPr>
          <w:p w14:paraId="70CF33F1" w14:textId="0B238CA4" w:rsidR="00105D32" w:rsidRPr="00105D32" w:rsidRDefault="00105D32" w:rsidP="00105D32">
            <w:pPr>
              <w:pStyle w:val="Tabletext"/>
              <w:jc w:val="center"/>
            </w:pPr>
            <w:r w:rsidRPr="00105D32">
              <w:t>1%</w:t>
            </w:r>
          </w:p>
        </w:tc>
        <w:tc>
          <w:tcPr>
            <w:tcW w:w="1300" w:type="dxa"/>
            <w:tcBorders>
              <w:bottom w:val="single" w:sz="2" w:space="0" w:color="C0C0C0"/>
            </w:tcBorders>
          </w:tcPr>
          <w:p w14:paraId="654C1070" w14:textId="459F4E43" w:rsidR="00105D32" w:rsidRDefault="00105D32" w:rsidP="00105D32">
            <w:pPr>
              <w:pStyle w:val="Tabletext"/>
              <w:jc w:val="center"/>
            </w:pPr>
            <w:r w:rsidRPr="008551A9">
              <w:t>1%</w:t>
            </w:r>
          </w:p>
        </w:tc>
      </w:tr>
      <w:tr w:rsidR="00105D32" w14:paraId="1B4F6CA4" w14:textId="321F876F" w:rsidTr="00E8274A">
        <w:trPr>
          <w:cantSplit/>
        </w:trPr>
        <w:tc>
          <w:tcPr>
            <w:tcW w:w="2267" w:type="dxa"/>
            <w:tcBorders>
              <w:top w:val="single" w:sz="2" w:space="0" w:color="C0C0C0"/>
              <w:bottom w:val="single" w:sz="2" w:space="0" w:color="999999"/>
            </w:tcBorders>
            <w:shd w:val="clear" w:color="auto" w:fill="auto"/>
            <w:vAlign w:val="bottom"/>
          </w:tcPr>
          <w:p w14:paraId="2D5CBB15" w14:textId="77777777" w:rsidR="00105D32" w:rsidRDefault="00105D32" w:rsidP="00105D32">
            <w:pPr>
              <w:pStyle w:val="Tabletext"/>
            </w:pPr>
            <w:r>
              <w:t>Western Australia</w:t>
            </w:r>
          </w:p>
        </w:tc>
        <w:tc>
          <w:tcPr>
            <w:tcW w:w="1299" w:type="dxa"/>
            <w:tcBorders>
              <w:top w:val="single" w:sz="2" w:space="0" w:color="C0C0C0"/>
              <w:bottom w:val="single" w:sz="2" w:space="0" w:color="999999"/>
            </w:tcBorders>
            <w:shd w:val="clear" w:color="auto" w:fill="auto"/>
            <w:vAlign w:val="center"/>
          </w:tcPr>
          <w:p w14:paraId="5981CCE6" w14:textId="77777777" w:rsidR="00105D32" w:rsidRPr="00E8274A" w:rsidRDefault="00105D32" w:rsidP="00105D32">
            <w:pPr>
              <w:pStyle w:val="Tabletext"/>
              <w:jc w:val="center"/>
            </w:pPr>
            <w:r w:rsidRPr="00E8274A">
              <w:t>24%</w:t>
            </w:r>
          </w:p>
        </w:tc>
        <w:tc>
          <w:tcPr>
            <w:tcW w:w="1300" w:type="dxa"/>
            <w:tcBorders>
              <w:top w:val="single" w:sz="2" w:space="0" w:color="C0C0C0"/>
              <w:bottom w:val="single" w:sz="2" w:space="0" w:color="999999"/>
            </w:tcBorders>
          </w:tcPr>
          <w:p w14:paraId="3300B58C" w14:textId="760B6B7A" w:rsidR="00105D32" w:rsidRPr="00105D32" w:rsidRDefault="00105D32" w:rsidP="00105D32">
            <w:pPr>
              <w:pStyle w:val="Tabletext"/>
              <w:jc w:val="center"/>
            </w:pPr>
            <w:r w:rsidRPr="004616EB">
              <w:t>81%</w:t>
            </w:r>
          </w:p>
        </w:tc>
        <w:tc>
          <w:tcPr>
            <w:tcW w:w="1299" w:type="dxa"/>
            <w:tcBorders>
              <w:top w:val="single" w:sz="2" w:space="0" w:color="C0C0C0"/>
              <w:bottom w:val="single" w:sz="2" w:space="0" w:color="999999"/>
            </w:tcBorders>
            <w:shd w:val="clear" w:color="auto" w:fill="auto"/>
            <w:vAlign w:val="center"/>
          </w:tcPr>
          <w:p w14:paraId="639E7D34" w14:textId="37542AF4" w:rsidR="00105D32" w:rsidRPr="00E8274A" w:rsidRDefault="00105D32" w:rsidP="00105D32">
            <w:pPr>
              <w:pStyle w:val="Tabletext"/>
              <w:jc w:val="center"/>
            </w:pPr>
            <w:r w:rsidRPr="00105D32">
              <w:t>63%</w:t>
            </w:r>
          </w:p>
        </w:tc>
        <w:tc>
          <w:tcPr>
            <w:tcW w:w="1300" w:type="dxa"/>
            <w:tcBorders>
              <w:top w:val="single" w:sz="2" w:space="0" w:color="C0C0C0"/>
              <w:bottom w:val="single" w:sz="2" w:space="0" w:color="999999"/>
            </w:tcBorders>
          </w:tcPr>
          <w:p w14:paraId="465ED414" w14:textId="069E9C0C" w:rsidR="00105D32" w:rsidRPr="00E8274A" w:rsidRDefault="00105D32" w:rsidP="00105D32">
            <w:pPr>
              <w:pStyle w:val="Tabletext"/>
              <w:jc w:val="center"/>
            </w:pPr>
            <w:r w:rsidRPr="002C7A43">
              <w:t>16%</w:t>
            </w:r>
          </w:p>
        </w:tc>
        <w:tc>
          <w:tcPr>
            <w:tcW w:w="1299" w:type="dxa"/>
            <w:tcBorders>
              <w:top w:val="single" w:sz="2" w:space="0" w:color="C0C0C0"/>
              <w:bottom w:val="single" w:sz="2" w:space="0" w:color="999999"/>
            </w:tcBorders>
            <w:shd w:val="clear" w:color="auto" w:fill="auto"/>
            <w:vAlign w:val="center"/>
          </w:tcPr>
          <w:p w14:paraId="52361213" w14:textId="71182560" w:rsidR="00105D32" w:rsidRPr="00E8274A" w:rsidRDefault="00105D32" w:rsidP="00105D32">
            <w:pPr>
              <w:pStyle w:val="Tabletext"/>
              <w:jc w:val="center"/>
            </w:pPr>
            <w:r w:rsidRPr="00E8274A">
              <w:t>13%</w:t>
            </w:r>
          </w:p>
        </w:tc>
        <w:tc>
          <w:tcPr>
            <w:tcW w:w="1300" w:type="dxa"/>
            <w:tcBorders>
              <w:top w:val="single" w:sz="2" w:space="0" w:color="C0C0C0"/>
              <w:bottom w:val="single" w:sz="2" w:space="0" w:color="999999"/>
            </w:tcBorders>
          </w:tcPr>
          <w:p w14:paraId="7E9B72A1" w14:textId="0B8A3457" w:rsidR="00105D32" w:rsidRPr="00C91FB7" w:rsidRDefault="00105D32" w:rsidP="00105D32">
            <w:pPr>
              <w:pStyle w:val="Tabletext"/>
              <w:jc w:val="center"/>
              <w:rPr>
                <w:b/>
              </w:rPr>
            </w:pPr>
            <w:r w:rsidRPr="008551A9">
              <w:t>3%</w:t>
            </w:r>
          </w:p>
        </w:tc>
      </w:tr>
    </w:tbl>
    <w:p w14:paraId="51079197" w14:textId="365D697A" w:rsidR="002C072D" w:rsidRDefault="002C072D" w:rsidP="002C072D">
      <w:pPr>
        <w:pStyle w:val="Note"/>
        <w:ind w:left="-2551"/>
      </w:pPr>
      <w:r w:rsidRPr="00FD66DB">
        <w:rPr>
          <w:i/>
        </w:rPr>
        <w:t>Note:</w:t>
      </w:r>
      <w:r w:rsidRPr="00FD66DB">
        <w:t xml:space="preserve"> </w:t>
      </w:r>
      <w:r w:rsidR="00147674">
        <w:t>SEE programme</w:t>
      </w:r>
      <w:r>
        <w:t xml:space="preserve"> clients that commenced training in 2010-11 – 2013-14. </w:t>
      </w:r>
    </w:p>
    <w:p w14:paraId="2A69370E" w14:textId="1D7B8C5D" w:rsidR="002C072D" w:rsidRPr="006F55F1" w:rsidRDefault="002C072D" w:rsidP="002C072D">
      <w:pPr>
        <w:pStyle w:val="Source"/>
        <w:ind w:left="-2551"/>
      </w:pPr>
      <w:r>
        <w:t>Source</w:t>
      </w:r>
      <w:r w:rsidRPr="00FD66DB">
        <w:rPr>
          <w:i/>
        </w:rPr>
        <w:t xml:space="preserve">: </w:t>
      </w:r>
      <w:r w:rsidR="007A143E">
        <w:t>SEE programme</w:t>
      </w:r>
      <w:r>
        <w:t xml:space="preserve"> </w:t>
      </w:r>
      <w:r w:rsidR="007A143E">
        <w:t>dataset</w:t>
      </w:r>
    </w:p>
    <w:p w14:paraId="679A2FF2" w14:textId="18A03DE8" w:rsidR="0092439D" w:rsidRPr="0092439D" w:rsidRDefault="0092439D" w:rsidP="0092439D">
      <w:pPr>
        <w:spacing w:line="280" w:lineRule="exact"/>
        <w:rPr>
          <w:sz w:val="22"/>
          <w:szCs w:val="22"/>
          <w:lang w:eastAsia="en-AU"/>
        </w:rPr>
      </w:pPr>
      <w:r w:rsidRPr="003913E4">
        <w:rPr>
          <w:sz w:val="22"/>
          <w:szCs w:val="22"/>
          <w:lang w:eastAsia="en-AU"/>
        </w:rPr>
        <w:t xml:space="preserve">The vast majority of </w:t>
      </w:r>
      <w:r w:rsidR="002F7C9C" w:rsidRPr="003913E4">
        <w:rPr>
          <w:sz w:val="22"/>
          <w:szCs w:val="22"/>
          <w:lang w:eastAsia="en-AU"/>
        </w:rPr>
        <w:t>SEE</w:t>
      </w:r>
      <w:r w:rsidRPr="003913E4">
        <w:rPr>
          <w:sz w:val="22"/>
          <w:szCs w:val="22"/>
          <w:lang w:eastAsia="en-AU"/>
        </w:rPr>
        <w:t xml:space="preserve"> </w:t>
      </w:r>
      <w:r w:rsidR="00A45593">
        <w:rPr>
          <w:sz w:val="22"/>
          <w:szCs w:val="22"/>
          <w:lang w:eastAsia="en-AU"/>
        </w:rPr>
        <w:t xml:space="preserve">programme </w:t>
      </w:r>
      <w:r w:rsidRPr="003913E4">
        <w:rPr>
          <w:sz w:val="22"/>
          <w:szCs w:val="22"/>
          <w:lang w:eastAsia="en-AU"/>
        </w:rPr>
        <w:t xml:space="preserve">clients are located in the Major Cities of Australia </w:t>
      </w:r>
      <w:r w:rsidR="00FD348D">
        <w:rPr>
          <w:sz w:val="22"/>
          <w:szCs w:val="22"/>
          <w:lang w:eastAsia="en-AU"/>
        </w:rPr>
        <w:t>(</w:t>
      </w:r>
      <w:r w:rsidR="00FD348D">
        <w:rPr>
          <w:sz w:val="22"/>
          <w:szCs w:val="22"/>
          <w:lang w:eastAsia="en-AU"/>
        </w:rPr>
        <w:fldChar w:fldCharType="begin"/>
      </w:r>
      <w:r w:rsidR="00FD348D">
        <w:rPr>
          <w:sz w:val="22"/>
          <w:szCs w:val="22"/>
          <w:lang w:eastAsia="en-AU"/>
        </w:rPr>
        <w:instrText xml:space="preserve"> REF _Ref408481770 \h  \* MERGEFORMAT </w:instrText>
      </w:r>
      <w:r w:rsidR="00FD348D">
        <w:rPr>
          <w:sz w:val="22"/>
          <w:szCs w:val="22"/>
          <w:lang w:eastAsia="en-AU"/>
        </w:rPr>
      </w:r>
      <w:r w:rsidR="00FD348D">
        <w:rPr>
          <w:sz w:val="22"/>
          <w:szCs w:val="22"/>
          <w:lang w:eastAsia="en-AU"/>
        </w:rPr>
        <w:fldChar w:fldCharType="separate"/>
      </w:r>
      <w:r w:rsidR="00294A5A" w:rsidRPr="00294A5A">
        <w:rPr>
          <w:sz w:val="22"/>
          <w:szCs w:val="22"/>
          <w:lang w:eastAsia="en-AU"/>
        </w:rPr>
        <w:t>Table 4</w:t>
      </w:r>
      <w:r w:rsidR="00FD348D">
        <w:rPr>
          <w:sz w:val="22"/>
          <w:szCs w:val="22"/>
          <w:lang w:eastAsia="en-AU"/>
        </w:rPr>
        <w:fldChar w:fldCharType="end"/>
      </w:r>
      <w:r w:rsidR="00FD348D">
        <w:rPr>
          <w:sz w:val="22"/>
          <w:szCs w:val="22"/>
          <w:lang w:eastAsia="en-AU"/>
        </w:rPr>
        <w:t>), with CALD clients overrepresented in this region. The share of n</w:t>
      </w:r>
      <w:r w:rsidR="00FD348D" w:rsidRPr="00FD348D">
        <w:rPr>
          <w:sz w:val="22"/>
          <w:szCs w:val="22"/>
          <w:lang w:eastAsia="en-AU"/>
        </w:rPr>
        <w:t xml:space="preserve">on-CALD, non-Indigenous </w:t>
      </w:r>
      <w:r w:rsidR="00FD348D">
        <w:rPr>
          <w:sz w:val="22"/>
          <w:szCs w:val="22"/>
          <w:lang w:eastAsia="en-AU"/>
        </w:rPr>
        <w:t xml:space="preserve">clients is highest in Regional Australia, while in Remote Australia Indigenous clients make up the vast majority of clients. </w:t>
      </w:r>
    </w:p>
    <w:p w14:paraId="212E5013" w14:textId="47193741" w:rsidR="0092439D" w:rsidRPr="0092439D" w:rsidRDefault="0092439D" w:rsidP="0092439D">
      <w:pPr>
        <w:keepNext/>
        <w:spacing w:before="360" w:after="40"/>
        <w:ind w:left="-1417" w:hanging="1135"/>
        <w:outlineLvl w:val="8"/>
        <w:rPr>
          <w:rFonts w:asciiTheme="majorHAnsi" w:hAnsiTheme="majorHAnsi" w:cs="Arial"/>
          <w:sz w:val="20"/>
        </w:rPr>
      </w:pPr>
      <w:bookmarkStart w:id="90" w:name="_Ref408408752"/>
      <w:bookmarkStart w:id="91" w:name="_Toc420065504"/>
      <w:r w:rsidRPr="0092439D">
        <w:rPr>
          <w:rFonts w:asciiTheme="majorHAnsi" w:hAnsiTheme="majorHAnsi" w:cs="Arial"/>
          <w:sz w:val="20"/>
        </w:rPr>
        <w:t xml:space="preserve">Table </w:t>
      </w:r>
      <w:r w:rsidRPr="0092439D">
        <w:rPr>
          <w:rFonts w:asciiTheme="majorHAnsi" w:hAnsiTheme="majorHAnsi" w:cs="Arial"/>
          <w:sz w:val="20"/>
        </w:rPr>
        <w:fldChar w:fldCharType="begin"/>
      </w:r>
      <w:r w:rsidRPr="0092439D">
        <w:rPr>
          <w:rFonts w:asciiTheme="majorHAnsi" w:hAnsiTheme="majorHAnsi" w:cs="Arial"/>
          <w:sz w:val="20"/>
        </w:rPr>
        <w:instrText xml:space="preserve"> SEQ Table \* MERGEFORMAT </w:instrText>
      </w:r>
      <w:r w:rsidRPr="0092439D">
        <w:rPr>
          <w:rFonts w:asciiTheme="majorHAnsi" w:hAnsiTheme="majorHAnsi" w:cs="Arial"/>
          <w:sz w:val="20"/>
        </w:rPr>
        <w:fldChar w:fldCharType="separate"/>
      </w:r>
      <w:r w:rsidR="00294A5A">
        <w:rPr>
          <w:rFonts w:asciiTheme="majorHAnsi" w:hAnsiTheme="majorHAnsi" w:cs="Arial"/>
          <w:noProof/>
          <w:sz w:val="20"/>
        </w:rPr>
        <w:t>8</w:t>
      </w:r>
      <w:r w:rsidRPr="0092439D">
        <w:rPr>
          <w:rFonts w:asciiTheme="majorHAnsi" w:hAnsiTheme="majorHAnsi" w:cs="Arial"/>
          <w:noProof/>
          <w:sz w:val="20"/>
        </w:rPr>
        <w:fldChar w:fldCharType="end"/>
      </w:r>
      <w:bookmarkEnd w:id="90"/>
      <w:r w:rsidRPr="0092439D">
        <w:rPr>
          <w:rFonts w:asciiTheme="majorHAnsi" w:hAnsiTheme="majorHAnsi" w:cs="Arial"/>
          <w:b/>
          <w:color w:val="000000"/>
          <w:sz w:val="20"/>
        </w:rPr>
        <w:tab/>
        <w:t xml:space="preserve">ARIA Remoteness Index </w:t>
      </w:r>
      <w:r w:rsidR="009B2D4E">
        <w:rPr>
          <w:rFonts w:asciiTheme="majorHAnsi" w:hAnsiTheme="majorHAnsi" w:cs="Arial"/>
          <w:b/>
          <w:color w:val="000000"/>
          <w:sz w:val="20"/>
        </w:rPr>
        <w:t xml:space="preserve">SEE </w:t>
      </w:r>
      <w:r w:rsidR="00276A03">
        <w:rPr>
          <w:rFonts w:asciiTheme="majorHAnsi" w:hAnsiTheme="majorHAnsi" w:cs="Arial"/>
          <w:b/>
          <w:color w:val="000000"/>
          <w:sz w:val="20"/>
        </w:rPr>
        <w:t xml:space="preserve">programme </w:t>
      </w:r>
      <w:r w:rsidRPr="0092439D">
        <w:rPr>
          <w:rFonts w:asciiTheme="majorHAnsi" w:hAnsiTheme="majorHAnsi" w:cs="Arial"/>
          <w:b/>
          <w:color w:val="000000"/>
          <w:sz w:val="20"/>
        </w:rPr>
        <w:t>client cohort make up</w:t>
      </w:r>
      <w:bookmarkEnd w:id="91"/>
    </w:p>
    <w:tbl>
      <w:tblPr>
        <w:tblW w:w="9922" w:type="dxa"/>
        <w:tblInd w:w="-2551"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2267"/>
        <w:gridCol w:w="1458"/>
        <w:gridCol w:w="1458"/>
        <w:gridCol w:w="1458"/>
        <w:gridCol w:w="588"/>
        <w:gridCol w:w="1458"/>
        <w:gridCol w:w="1235"/>
      </w:tblGrid>
      <w:tr w:rsidR="009B2D4E" w14:paraId="5F027D4B" w14:textId="77777777" w:rsidTr="00F67194">
        <w:trPr>
          <w:cantSplit/>
        </w:trPr>
        <w:tc>
          <w:tcPr>
            <w:tcW w:w="2267" w:type="dxa"/>
            <w:tcBorders>
              <w:top w:val="nil"/>
              <w:bottom w:val="single" w:sz="2" w:space="0" w:color="C0C0C0"/>
            </w:tcBorders>
            <w:shd w:val="solid" w:color="9757A6" w:fill="auto"/>
            <w:vAlign w:val="center"/>
          </w:tcPr>
          <w:p w14:paraId="08C2B7BB" w14:textId="77777777" w:rsidR="009B2D4E" w:rsidRDefault="009B2D4E" w:rsidP="00F67194">
            <w:pPr>
              <w:pStyle w:val="Tablecolumnheadings"/>
            </w:pPr>
          </w:p>
        </w:tc>
        <w:tc>
          <w:tcPr>
            <w:tcW w:w="1458" w:type="dxa"/>
            <w:tcBorders>
              <w:top w:val="nil"/>
              <w:bottom w:val="single" w:sz="2" w:space="0" w:color="C0C0C0"/>
            </w:tcBorders>
            <w:shd w:val="solid" w:color="9757A6" w:fill="auto"/>
            <w:vAlign w:val="center"/>
          </w:tcPr>
          <w:p w14:paraId="310F37B5" w14:textId="77777777" w:rsidR="009B2D4E" w:rsidRDefault="009B2D4E" w:rsidP="00F67194">
            <w:pPr>
              <w:pStyle w:val="Tablecolumnheadings"/>
              <w:jc w:val="center"/>
            </w:pPr>
            <w:r>
              <w:t>Non-CALD, non-Indigenous</w:t>
            </w:r>
          </w:p>
        </w:tc>
        <w:tc>
          <w:tcPr>
            <w:tcW w:w="1458" w:type="dxa"/>
            <w:tcBorders>
              <w:top w:val="nil"/>
              <w:bottom w:val="single" w:sz="2" w:space="0" w:color="C0C0C0"/>
            </w:tcBorders>
            <w:shd w:val="solid" w:color="9757A6" w:fill="auto"/>
            <w:vAlign w:val="center"/>
          </w:tcPr>
          <w:p w14:paraId="2FD8EC21" w14:textId="77777777" w:rsidR="009B2D4E" w:rsidRDefault="009B2D4E" w:rsidP="00F67194">
            <w:pPr>
              <w:pStyle w:val="Tablecolumnheadings"/>
              <w:jc w:val="center"/>
            </w:pPr>
            <w:r>
              <w:t>CALD</w:t>
            </w:r>
          </w:p>
        </w:tc>
        <w:tc>
          <w:tcPr>
            <w:tcW w:w="1458" w:type="dxa"/>
            <w:tcBorders>
              <w:top w:val="nil"/>
              <w:bottom w:val="single" w:sz="2" w:space="0" w:color="C0C0C0"/>
            </w:tcBorders>
            <w:shd w:val="solid" w:color="9757A6" w:fill="auto"/>
            <w:vAlign w:val="center"/>
          </w:tcPr>
          <w:p w14:paraId="2FE76B81" w14:textId="77777777" w:rsidR="009B2D4E" w:rsidRDefault="009B2D4E" w:rsidP="00F67194">
            <w:pPr>
              <w:pStyle w:val="Tablecolumnheadings"/>
              <w:jc w:val="center"/>
            </w:pPr>
            <w:r>
              <w:t>Indigenous</w:t>
            </w:r>
          </w:p>
        </w:tc>
        <w:tc>
          <w:tcPr>
            <w:tcW w:w="588" w:type="dxa"/>
            <w:tcBorders>
              <w:top w:val="nil"/>
              <w:bottom w:val="single" w:sz="2" w:space="0" w:color="C0C0C0"/>
            </w:tcBorders>
            <w:shd w:val="solid" w:color="9757A6" w:fill="auto"/>
            <w:vAlign w:val="center"/>
          </w:tcPr>
          <w:p w14:paraId="5C141292" w14:textId="77777777" w:rsidR="009B2D4E" w:rsidRDefault="009B2D4E" w:rsidP="00F67194">
            <w:pPr>
              <w:pStyle w:val="Tablecolumnheadings"/>
              <w:jc w:val="center"/>
            </w:pPr>
          </w:p>
        </w:tc>
        <w:tc>
          <w:tcPr>
            <w:tcW w:w="1458" w:type="dxa"/>
            <w:tcBorders>
              <w:top w:val="nil"/>
              <w:bottom w:val="single" w:sz="2" w:space="0" w:color="C0C0C0"/>
            </w:tcBorders>
            <w:shd w:val="solid" w:color="9757A6" w:fill="auto"/>
            <w:vAlign w:val="center"/>
          </w:tcPr>
          <w:p w14:paraId="09195BA9" w14:textId="77777777" w:rsidR="009B2D4E" w:rsidRDefault="009B2D4E" w:rsidP="00F67194">
            <w:pPr>
              <w:pStyle w:val="Tablecolumnheadings"/>
              <w:jc w:val="center"/>
            </w:pPr>
            <w:r>
              <w:t>Share of SEE clients</w:t>
            </w:r>
          </w:p>
        </w:tc>
        <w:tc>
          <w:tcPr>
            <w:tcW w:w="1235" w:type="dxa"/>
            <w:tcBorders>
              <w:top w:val="nil"/>
              <w:bottom w:val="single" w:sz="2" w:space="0" w:color="C0C0C0"/>
            </w:tcBorders>
            <w:shd w:val="solid" w:color="9757A6" w:fill="auto"/>
            <w:vAlign w:val="center"/>
          </w:tcPr>
          <w:p w14:paraId="2CDE1619" w14:textId="35F21793" w:rsidR="009B2D4E" w:rsidRDefault="009B2D4E" w:rsidP="00CA50B7">
            <w:pPr>
              <w:pStyle w:val="Tablecolumnheadings"/>
              <w:jc w:val="center"/>
            </w:pPr>
            <w:r>
              <w:t xml:space="preserve">Share of </w:t>
            </w:r>
            <w:r w:rsidR="00CA50B7">
              <w:t>JSA clients</w:t>
            </w:r>
          </w:p>
        </w:tc>
      </w:tr>
      <w:tr w:rsidR="002F7C9C" w:rsidRPr="0092439D" w14:paraId="265A12E6" w14:textId="77777777" w:rsidTr="002F7C9C">
        <w:trPr>
          <w:cantSplit/>
        </w:trPr>
        <w:tc>
          <w:tcPr>
            <w:tcW w:w="2267" w:type="dxa"/>
            <w:tcBorders>
              <w:top w:val="single" w:sz="2" w:space="0" w:color="C0C0C0"/>
            </w:tcBorders>
            <w:shd w:val="solid" w:color="E6E6E6" w:fill="auto"/>
            <w:vAlign w:val="center"/>
          </w:tcPr>
          <w:p w14:paraId="7D8D99A2" w14:textId="77777777" w:rsidR="002F7C9C" w:rsidRPr="0092439D" w:rsidRDefault="002F7C9C" w:rsidP="002F7C9C">
            <w:pPr>
              <w:keepNext/>
              <w:spacing w:before="40" w:after="60" w:line="220" w:lineRule="exact"/>
              <w:rPr>
                <w:rFonts w:asciiTheme="majorHAnsi" w:hAnsiTheme="majorHAnsi"/>
                <w:sz w:val="16"/>
                <w:szCs w:val="16"/>
              </w:rPr>
            </w:pPr>
            <w:r w:rsidRPr="0092439D">
              <w:rPr>
                <w:rFonts w:asciiTheme="majorHAnsi" w:hAnsiTheme="majorHAnsi"/>
                <w:sz w:val="16"/>
                <w:szCs w:val="16"/>
              </w:rPr>
              <w:t xml:space="preserve">Australian average </w:t>
            </w:r>
          </w:p>
        </w:tc>
        <w:tc>
          <w:tcPr>
            <w:tcW w:w="1458" w:type="dxa"/>
            <w:tcBorders>
              <w:top w:val="single" w:sz="2" w:space="0" w:color="C0C0C0"/>
            </w:tcBorders>
            <w:shd w:val="solid" w:color="E6E6E6" w:fill="auto"/>
            <w:vAlign w:val="center"/>
          </w:tcPr>
          <w:p w14:paraId="3C4BD191" w14:textId="77777777" w:rsidR="002F7C9C" w:rsidRPr="0092439D" w:rsidRDefault="002F7C9C" w:rsidP="002F7C9C">
            <w:pPr>
              <w:pStyle w:val="Tabletext"/>
              <w:jc w:val="center"/>
              <w:rPr>
                <w:rFonts w:asciiTheme="majorHAnsi" w:hAnsiTheme="majorHAnsi"/>
                <w:szCs w:val="16"/>
              </w:rPr>
            </w:pPr>
            <w:r w:rsidRPr="00D464AE">
              <w:t>23%</w:t>
            </w:r>
          </w:p>
        </w:tc>
        <w:tc>
          <w:tcPr>
            <w:tcW w:w="1458" w:type="dxa"/>
            <w:tcBorders>
              <w:top w:val="single" w:sz="2" w:space="0" w:color="C0C0C0"/>
            </w:tcBorders>
            <w:shd w:val="solid" w:color="E6E6E6" w:fill="auto"/>
            <w:vAlign w:val="center"/>
          </w:tcPr>
          <w:p w14:paraId="43B368F0" w14:textId="77777777" w:rsidR="002F7C9C" w:rsidRPr="0092439D" w:rsidRDefault="002F7C9C" w:rsidP="002F7C9C">
            <w:pPr>
              <w:pStyle w:val="Tabletext"/>
              <w:jc w:val="center"/>
              <w:rPr>
                <w:rFonts w:asciiTheme="majorHAnsi" w:hAnsiTheme="majorHAnsi"/>
                <w:szCs w:val="16"/>
              </w:rPr>
            </w:pPr>
            <w:r w:rsidRPr="00D464AE">
              <w:t>68%</w:t>
            </w:r>
          </w:p>
        </w:tc>
        <w:tc>
          <w:tcPr>
            <w:tcW w:w="1458" w:type="dxa"/>
            <w:tcBorders>
              <w:top w:val="single" w:sz="2" w:space="0" w:color="C0C0C0"/>
            </w:tcBorders>
            <w:shd w:val="solid" w:color="E6E6E6" w:fill="auto"/>
            <w:vAlign w:val="center"/>
          </w:tcPr>
          <w:p w14:paraId="54CDA10B" w14:textId="77777777" w:rsidR="002F7C9C" w:rsidRPr="0092439D" w:rsidRDefault="002F7C9C" w:rsidP="002F7C9C">
            <w:pPr>
              <w:pStyle w:val="Tabletext"/>
              <w:jc w:val="center"/>
              <w:rPr>
                <w:rFonts w:asciiTheme="majorHAnsi" w:hAnsiTheme="majorHAnsi"/>
                <w:szCs w:val="16"/>
              </w:rPr>
            </w:pPr>
            <w:r w:rsidRPr="00D464AE">
              <w:t>8%</w:t>
            </w:r>
          </w:p>
        </w:tc>
        <w:tc>
          <w:tcPr>
            <w:tcW w:w="588" w:type="dxa"/>
            <w:tcBorders>
              <w:top w:val="single" w:sz="2" w:space="0" w:color="C0C0C0"/>
            </w:tcBorders>
            <w:shd w:val="solid" w:color="E6E6E6" w:fill="auto"/>
          </w:tcPr>
          <w:p w14:paraId="6FA80560" w14:textId="77777777" w:rsidR="002F7C9C" w:rsidRPr="0092439D" w:rsidRDefault="002F7C9C" w:rsidP="002F7C9C">
            <w:pPr>
              <w:keepNext/>
              <w:spacing w:before="40" w:after="60" w:line="220" w:lineRule="exact"/>
              <w:rPr>
                <w:rFonts w:asciiTheme="majorHAnsi" w:hAnsiTheme="majorHAnsi"/>
                <w:sz w:val="16"/>
                <w:szCs w:val="16"/>
              </w:rPr>
            </w:pPr>
          </w:p>
        </w:tc>
        <w:tc>
          <w:tcPr>
            <w:tcW w:w="1458" w:type="dxa"/>
            <w:tcBorders>
              <w:top w:val="single" w:sz="2" w:space="0" w:color="C0C0C0"/>
            </w:tcBorders>
            <w:shd w:val="solid" w:color="E6E6E6" w:fill="auto"/>
            <w:vAlign w:val="center"/>
          </w:tcPr>
          <w:p w14:paraId="1BE320AC" w14:textId="77777777" w:rsidR="002F7C9C" w:rsidRPr="0092439D" w:rsidRDefault="002F7C9C" w:rsidP="002F7C9C">
            <w:pPr>
              <w:keepNext/>
              <w:spacing w:before="40" w:after="60" w:line="220" w:lineRule="exact"/>
              <w:jc w:val="center"/>
              <w:rPr>
                <w:rFonts w:asciiTheme="majorHAnsi" w:hAnsiTheme="majorHAnsi"/>
                <w:sz w:val="16"/>
                <w:szCs w:val="16"/>
              </w:rPr>
            </w:pPr>
          </w:p>
        </w:tc>
        <w:tc>
          <w:tcPr>
            <w:tcW w:w="1235" w:type="dxa"/>
            <w:tcBorders>
              <w:top w:val="single" w:sz="2" w:space="0" w:color="C0C0C0"/>
            </w:tcBorders>
            <w:shd w:val="solid" w:color="E6E6E6" w:fill="auto"/>
          </w:tcPr>
          <w:p w14:paraId="7369366E" w14:textId="77777777" w:rsidR="002F7C9C" w:rsidRPr="0092439D" w:rsidRDefault="002F7C9C" w:rsidP="002F7C9C">
            <w:pPr>
              <w:keepNext/>
              <w:spacing w:before="40" w:after="60" w:line="220" w:lineRule="exact"/>
              <w:rPr>
                <w:rFonts w:asciiTheme="majorHAnsi" w:hAnsiTheme="majorHAnsi"/>
                <w:sz w:val="16"/>
                <w:szCs w:val="16"/>
              </w:rPr>
            </w:pPr>
          </w:p>
        </w:tc>
      </w:tr>
      <w:tr w:rsidR="00CA50B7" w:rsidRPr="0092439D" w14:paraId="0A955A30" w14:textId="77777777" w:rsidTr="00F842C5">
        <w:trPr>
          <w:cantSplit/>
        </w:trPr>
        <w:tc>
          <w:tcPr>
            <w:tcW w:w="2267" w:type="dxa"/>
            <w:shd w:val="clear" w:color="auto" w:fill="auto"/>
          </w:tcPr>
          <w:p w14:paraId="6893BB9F" w14:textId="77777777" w:rsidR="00CA50B7" w:rsidRPr="0092439D" w:rsidRDefault="00CA50B7" w:rsidP="00CA50B7">
            <w:pPr>
              <w:keepNext/>
              <w:keepLines/>
              <w:spacing w:before="40" w:after="40" w:line="240" w:lineRule="auto"/>
              <w:rPr>
                <w:rFonts w:ascii="Arial" w:hAnsi="Arial"/>
                <w:color w:val="000000"/>
                <w:sz w:val="16"/>
              </w:rPr>
            </w:pPr>
            <w:r w:rsidRPr="0092439D">
              <w:rPr>
                <w:rFonts w:ascii="Arial" w:hAnsi="Arial"/>
                <w:color w:val="000000"/>
                <w:sz w:val="16"/>
              </w:rPr>
              <w:t>Major Cities of Australia</w:t>
            </w:r>
          </w:p>
        </w:tc>
        <w:tc>
          <w:tcPr>
            <w:tcW w:w="1458" w:type="dxa"/>
            <w:shd w:val="clear" w:color="auto" w:fill="auto"/>
          </w:tcPr>
          <w:p w14:paraId="0691BA34" w14:textId="77777777" w:rsidR="00CA50B7" w:rsidRPr="002F7C9C" w:rsidRDefault="00CA50B7" w:rsidP="00CA50B7">
            <w:pPr>
              <w:pStyle w:val="Tabletext"/>
              <w:jc w:val="center"/>
              <w:rPr>
                <w:rFonts w:asciiTheme="majorHAnsi" w:hAnsiTheme="majorHAnsi"/>
                <w:szCs w:val="16"/>
              </w:rPr>
            </w:pPr>
            <w:r w:rsidRPr="00036BB2">
              <w:t>14%</w:t>
            </w:r>
          </w:p>
        </w:tc>
        <w:tc>
          <w:tcPr>
            <w:tcW w:w="1458" w:type="dxa"/>
            <w:shd w:val="clear" w:color="auto" w:fill="auto"/>
          </w:tcPr>
          <w:p w14:paraId="1FA0FE89" w14:textId="77777777" w:rsidR="00CA50B7" w:rsidRPr="00CA50B7" w:rsidRDefault="00CA50B7" w:rsidP="00CA50B7">
            <w:pPr>
              <w:pStyle w:val="Tabletext"/>
              <w:jc w:val="center"/>
              <w:rPr>
                <w:rFonts w:asciiTheme="majorHAnsi" w:hAnsiTheme="majorHAnsi"/>
                <w:b/>
                <w:szCs w:val="16"/>
              </w:rPr>
            </w:pPr>
            <w:r w:rsidRPr="00CA50B7">
              <w:rPr>
                <w:b/>
              </w:rPr>
              <w:t>84%</w:t>
            </w:r>
          </w:p>
        </w:tc>
        <w:tc>
          <w:tcPr>
            <w:tcW w:w="1458" w:type="dxa"/>
            <w:shd w:val="clear" w:color="auto" w:fill="auto"/>
          </w:tcPr>
          <w:p w14:paraId="7E519699" w14:textId="77777777" w:rsidR="00CA50B7" w:rsidRPr="002F7C9C" w:rsidRDefault="00CA50B7" w:rsidP="00CA50B7">
            <w:pPr>
              <w:pStyle w:val="Tabletext"/>
              <w:jc w:val="center"/>
              <w:rPr>
                <w:rFonts w:asciiTheme="majorHAnsi" w:hAnsiTheme="majorHAnsi"/>
                <w:szCs w:val="16"/>
              </w:rPr>
            </w:pPr>
            <w:r w:rsidRPr="00036BB2">
              <w:t>2%</w:t>
            </w:r>
          </w:p>
        </w:tc>
        <w:tc>
          <w:tcPr>
            <w:tcW w:w="588" w:type="dxa"/>
            <w:shd w:val="clear" w:color="auto" w:fill="auto"/>
          </w:tcPr>
          <w:p w14:paraId="1B0B5AB4" w14:textId="77777777" w:rsidR="00CA50B7" w:rsidRPr="002F7C9C" w:rsidRDefault="00CA50B7" w:rsidP="00CA50B7">
            <w:pPr>
              <w:pStyle w:val="Tabletext"/>
              <w:jc w:val="center"/>
              <w:rPr>
                <w:rFonts w:asciiTheme="majorHAnsi" w:hAnsiTheme="majorHAnsi"/>
                <w:szCs w:val="16"/>
              </w:rPr>
            </w:pPr>
          </w:p>
        </w:tc>
        <w:tc>
          <w:tcPr>
            <w:tcW w:w="1458" w:type="dxa"/>
            <w:shd w:val="clear" w:color="auto" w:fill="auto"/>
          </w:tcPr>
          <w:p w14:paraId="1DA36D41" w14:textId="77777777" w:rsidR="00CA50B7" w:rsidRPr="002F7C9C" w:rsidRDefault="00CA50B7" w:rsidP="00CA50B7">
            <w:pPr>
              <w:pStyle w:val="Tabletext"/>
              <w:jc w:val="center"/>
              <w:rPr>
                <w:rFonts w:asciiTheme="majorHAnsi" w:hAnsiTheme="majorHAnsi"/>
                <w:szCs w:val="16"/>
              </w:rPr>
            </w:pPr>
            <w:r w:rsidRPr="00B31EEC">
              <w:t>79%</w:t>
            </w:r>
          </w:p>
        </w:tc>
        <w:tc>
          <w:tcPr>
            <w:tcW w:w="1235" w:type="dxa"/>
            <w:shd w:val="clear" w:color="auto" w:fill="auto"/>
          </w:tcPr>
          <w:p w14:paraId="21A3237E" w14:textId="40F3AF4F" w:rsidR="00CA50B7" w:rsidRPr="0092439D" w:rsidRDefault="00CA50B7" w:rsidP="00CA50B7">
            <w:pPr>
              <w:pStyle w:val="Tabletext"/>
              <w:jc w:val="center"/>
            </w:pPr>
            <w:r w:rsidRPr="00F26483">
              <w:t>64%</w:t>
            </w:r>
          </w:p>
        </w:tc>
      </w:tr>
      <w:tr w:rsidR="00CA50B7" w:rsidRPr="0092439D" w14:paraId="0750FF47" w14:textId="77777777" w:rsidTr="00F842C5">
        <w:trPr>
          <w:cantSplit/>
        </w:trPr>
        <w:tc>
          <w:tcPr>
            <w:tcW w:w="2267" w:type="dxa"/>
            <w:shd w:val="clear" w:color="auto" w:fill="auto"/>
          </w:tcPr>
          <w:p w14:paraId="1EB1ACDF" w14:textId="77777777" w:rsidR="00CA50B7" w:rsidRPr="0092439D" w:rsidRDefault="00CA50B7" w:rsidP="00CA50B7">
            <w:pPr>
              <w:keepNext/>
              <w:keepLines/>
              <w:spacing w:before="40" w:after="40" w:line="240" w:lineRule="auto"/>
              <w:rPr>
                <w:rFonts w:ascii="Arial" w:hAnsi="Arial"/>
                <w:color w:val="000000"/>
                <w:sz w:val="16"/>
              </w:rPr>
            </w:pPr>
            <w:r w:rsidRPr="0092439D">
              <w:rPr>
                <w:rFonts w:ascii="Arial" w:hAnsi="Arial"/>
                <w:color w:val="000000"/>
                <w:sz w:val="16"/>
              </w:rPr>
              <w:t>Inner Regional Australia</w:t>
            </w:r>
          </w:p>
        </w:tc>
        <w:tc>
          <w:tcPr>
            <w:tcW w:w="1458" w:type="dxa"/>
            <w:shd w:val="clear" w:color="auto" w:fill="auto"/>
          </w:tcPr>
          <w:p w14:paraId="21419ACA" w14:textId="77777777" w:rsidR="00CA50B7" w:rsidRPr="00CA50B7" w:rsidRDefault="00CA50B7" w:rsidP="00CA50B7">
            <w:pPr>
              <w:pStyle w:val="Tabletext"/>
              <w:jc w:val="center"/>
              <w:rPr>
                <w:rFonts w:asciiTheme="majorHAnsi" w:hAnsiTheme="majorHAnsi"/>
                <w:b/>
                <w:szCs w:val="16"/>
              </w:rPr>
            </w:pPr>
            <w:r w:rsidRPr="00CA50B7">
              <w:rPr>
                <w:b/>
              </w:rPr>
              <w:t>60%</w:t>
            </w:r>
          </w:p>
        </w:tc>
        <w:tc>
          <w:tcPr>
            <w:tcW w:w="1458" w:type="dxa"/>
            <w:shd w:val="clear" w:color="auto" w:fill="auto"/>
          </w:tcPr>
          <w:p w14:paraId="6CDBFE90" w14:textId="77777777" w:rsidR="00CA50B7" w:rsidRPr="002F7C9C" w:rsidRDefault="00CA50B7" w:rsidP="00CA50B7">
            <w:pPr>
              <w:pStyle w:val="Tabletext"/>
              <w:jc w:val="center"/>
              <w:rPr>
                <w:rFonts w:asciiTheme="majorHAnsi" w:hAnsiTheme="majorHAnsi"/>
                <w:szCs w:val="16"/>
              </w:rPr>
            </w:pPr>
            <w:r w:rsidRPr="00036BB2">
              <w:t>24%</w:t>
            </w:r>
          </w:p>
        </w:tc>
        <w:tc>
          <w:tcPr>
            <w:tcW w:w="1458" w:type="dxa"/>
            <w:shd w:val="clear" w:color="auto" w:fill="auto"/>
          </w:tcPr>
          <w:p w14:paraId="4EC1C995" w14:textId="77777777" w:rsidR="00CA50B7" w:rsidRPr="00CA50B7" w:rsidRDefault="00CA50B7" w:rsidP="00CA50B7">
            <w:pPr>
              <w:pStyle w:val="Tabletext"/>
              <w:jc w:val="center"/>
              <w:rPr>
                <w:rFonts w:asciiTheme="majorHAnsi" w:hAnsiTheme="majorHAnsi"/>
                <w:b/>
                <w:szCs w:val="16"/>
              </w:rPr>
            </w:pPr>
            <w:r w:rsidRPr="00CA50B7">
              <w:rPr>
                <w:b/>
              </w:rPr>
              <w:t>16%</w:t>
            </w:r>
          </w:p>
        </w:tc>
        <w:tc>
          <w:tcPr>
            <w:tcW w:w="588" w:type="dxa"/>
            <w:shd w:val="clear" w:color="auto" w:fill="auto"/>
          </w:tcPr>
          <w:p w14:paraId="7B5F28ED" w14:textId="77777777" w:rsidR="00CA50B7" w:rsidRPr="002F7C9C" w:rsidRDefault="00CA50B7" w:rsidP="00CA50B7">
            <w:pPr>
              <w:pStyle w:val="Tabletext"/>
              <w:jc w:val="center"/>
              <w:rPr>
                <w:rFonts w:asciiTheme="majorHAnsi" w:hAnsiTheme="majorHAnsi"/>
                <w:szCs w:val="16"/>
              </w:rPr>
            </w:pPr>
          </w:p>
        </w:tc>
        <w:tc>
          <w:tcPr>
            <w:tcW w:w="1458" w:type="dxa"/>
            <w:shd w:val="clear" w:color="auto" w:fill="auto"/>
          </w:tcPr>
          <w:p w14:paraId="0CB1F719" w14:textId="77777777" w:rsidR="00CA50B7" w:rsidRPr="002F7C9C" w:rsidRDefault="00CA50B7" w:rsidP="00CA50B7">
            <w:pPr>
              <w:pStyle w:val="Tabletext"/>
              <w:jc w:val="center"/>
              <w:rPr>
                <w:rFonts w:asciiTheme="majorHAnsi" w:hAnsiTheme="majorHAnsi"/>
                <w:szCs w:val="16"/>
              </w:rPr>
            </w:pPr>
            <w:r w:rsidRPr="00B31EEC">
              <w:t>9%</w:t>
            </w:r>
          </w:p>
        </w:tc>
        <w:tc>
          <w:tcPr>
            <w:tcW w:w="1235" w:type="dxa"/>
            <w:shd w:val="clear" w:color="auto" w:fill="auto"/>
          </w:tcPr>
          <w:p w14:paraId="22613C3F" w14:textId="181F5B85" w:rsidR="00CA50B7" w:rsidRPr="0092439D" w:rsidRDefault="00CA50B7" w:rsidP="00CA50B7">
            <w:pPr>
              <w:pStyle w:val="Tabletext"/>
              <w:jc w:val="center"/>
            </w:pPr>
            <w:r w:rsidRPr="00F26483">
              <w:t>17%</w:t>
            </w:r>
          </w:p>
        </w:tc>
      </w:tr>
      <w:tr w:rsidR="00CA50B7" w:rsidRPr="0092439D" w14:paraId="164C08AF" w14:textId="77777777" w:rsidTr="00F842C5">
        <w:trPr>
          <w:cantSplit/>
        </w:trPr>
        <w:tc>
          <w:tcPr>
            <w:tcW w:w="2267" w:type="dxa"/>
            <w:shd w:val="clear" w:color="auto" w:fill="auto"/>
          </w:tcPr>
          <w:p w14:paraId="495DF7B9" w14:textId="77777777" w:rsidR="00CA50B7" w:rsidRPr="0092439D" w:rsidRDefault="00CA50B7" w:rsidP="00CA50B7">
            <w:pPr>
              <w:keepNext/>
              <w:keepLines/>
              <w:spacing w:before="40" w:after="40" w:line="240" w:lineRule="auto"/>
              <w:rPr>
                <w:rFonts w:ascii="Arial" w:hAnsi="Arial"/>
                <w:color w:val="000000"/>
                <w:sz w:val="16"/>
              </w:rPr>
            </w:pPr>
            <w:r w:rsidRPr="0092439D">
              <w:rPr>
                <w:rFonts w:ascii="Arial" w:hAnsi="Arial"/>
                <w:color w:val="000000"/>
                <w:sz w:val="16"/>
              </w:rPr>
              <w:t>Outer Regional Australia</w:t>
            </w:r>
          </w:p>
        </w:tc>
        <w:tc>
          <w:tcPr>
            <w:tcW w:w="1458" w:type="dxa"/>
            <w:shd w:val="clear" w:color="auto" w:fill="auto"/>
          </w:tcPr>
          <w:p w14:paraId="34F53F23" w14:textId="77777777" w:rsidR="00CA50B7" w:rsidRPr="00CA50B7" w:rsidRDefault="00CA50B7" w:rsidP="00CA50B7">
            <w:pPr>
              <w:pStyle w:val="Tabletext"/>
              <w:jc w:val="center"/>
              <w:rPr>
                <w:rFonts w:asciiTheme="majorHAnsi" w:hAnsiTheme="majorHAnsi"/>
                <w:b/>
                <w:szCs w:val="16"/>
              </w:rPr>
            </w:pPr>
            <w:r w:rsidRPr="00CA50B7">
              <w:rPr>
                <w:b/>
              </w:rPr>
              <w:t>47%</w:t>
            </w:r>
          </w:p>
        </w:tc>
        <w:tc>
          <w:tcPr>
            <w:tcW w:w="1458" w:type="dxa"/>
            <w:shd w:val="clear" w:color="auto" w:fill="auto"/>
          </w:tcPr>
          <w:p w14:paraId="3F83EDC4" w14:textId="77777777" w:rsidR="00CA50B7" w:rsidRPr="002F7C9C" w:rsidRDefault="00CA50B7" w:rsidP="00CA50B7">
            <w:pPr>
              <w:pStyle w:val="Tabletext"/>
              <w:jc w:val="center"/>
              <w:rPr>
                <w:rFonts w:asciiTheme="majorHAnsi" w:hAnsiTheme="majorHAnsi"/>
                <w:szCs w:val="16"/>
              </w:rPr>
            </w:pPr>
            <w:r w:rsidRPr="00036BB2">
              <w:t>20%</w:t>
            </w:r>
          </w:p>
        </w:tc>
        <w:tc>
          <w:tcPr>
            <w:tcW w:w="1458" w:type="dxa"/>
            <w:shd w:val="clear" w:color="auto" w:fill="auto"/>
          </w:tcPr>
          <w:p w14:paraId="4345600E" w14:textId="77777777" w:rsidR="00CA50B7" w:rsidRPr="00CA50B7" w:rsidRDefault="00CA50B7" w:rsidP="00CA50B7">
            <w:pPr>
              <w:pStyle w:val="Tabletext"/>
              <w:jc w:val="center"/>
              <w:rPr>
                <w:rFonts w:asciiTheme="majorHAnsi" w:hAnsiTheme="majorHAnsi"/>
                <w:b/>
                <w:szCs w:val="16"/>
              </w:rPr>
            </w:pPr>
            <w:r w:rsidRPr="00CA50B7">
              <w:rPr>
                <w:b/>
              </w:rPr>
              <w:t>33%</w:t>
            </w:r>
          </w:p>
        </w:tc>
        <w:tc>
          <w:tcPr>
            <w:tcW w:w="588" w:type="dxa"/>
            <w:shd w:val="clear" w:color="auto" w:fill="auto"/>
          </w:tcPr>
          <w:p w14:paraId="5782C97C" w14:textId="77777777" w:rsidR="00CA50B7" w:rsidRPr="002F7C9C" w:rsidRDefault="00CA50B7" w:rsidP="00CA50B7">
            <w:pPr>
              <w:pStyle w:val="Tabletext"/>
              <w:jc w:val="center"/>
              <w:rPr>
                <w:rFonts w:asciiTheme="majorHAnsi" w:hAnsiTheme="majorHAnsi"/>
                <w:szCs w:val="16"/>
              </w:rPr>
            </w:pPr>
          </w:p>
        </w:tc>
        <w:tc>
          <w:tcPr>
            <w:tcW w:w="1458" w:type="dxa"/>
            <w:shd w:val="clear" w:color="auto" w:fill="auto"/>
          </w:tcPr>
          <w:p w14:paraId="4F787010" w14:textId="77777777" w:rsidR="00CA50B7" w:rsidRPr="002F7C9C" w:rsidRDefault="00CA50B7" w:rsidP="00CA50B7">
            <w:pPr>
              <w:pStyle w:val="Tabletext"/>
              <w:jc w:val="center"/>
              <w:rPr>
                <w:rFonts w:asciiTheme="majorHAnsi" w:hAnsiTheme="majorHAnsi"/>
                <w:szCs w:val="16"/>
              </w:rPr>
            </w:pPr>
            <w:r w:rsidRPr="00B31EEC">
              <w:t>9%</w:t>
            </w:r>
          </w:p>
        </w:tc>
        <w:tc>
          <w:tcPr>
            <w:tcW w:w="1235" w:type="dxa"/>
            <w:shd w:val="clear" w:color="auto" w:fill="auto"/>
          </w:tcPr>
          <w:p w14:paraId="5A7003BB" w14:textId="4B937814" w:rsidR="00CA50B7" w:rsidRPr="0092439D" w:rsidRDefault="00CA50B7" w:rsidP="00CA50B7">
            <w:pPr>
              <w:pStyle w:val="Tabletext"/>
              <w:jc w:val="center"/>
            </w:pPr>
            <w:r w:rsidRPr="00F26483">
              <w:t>16%</w:t>
            </w:r>
          </w:p>
        </w:tc>
      </w:tr>
      <w:tr w:rsidR="00CA50B7" w:rsidRPr="0092439D" w14:paraId="0F9890B5" w14:textId="77777777" w:rsidTr="00F842C5">
        <w:trPr>
          <w:cantSplit/>
        </w:trPr>
        <w:tc>
          <w:tcPr>
            <w:tcW w:w="2267" w:type="dxa"/>
            <w:shd w:val="clear" w:color="auto" w:fill="auto"/>
          </w:tcPr>
          <w:p w14:paraId="7DF5DCB0" w14:textId="77777777" w:rsidR="00CA50B7" w:rsidRPr="0092439D" w:rsidRDefault="00CA50B7" w:rsidP="00CA50B7">
            <w:pPr>
              <w:keepNext/>
              <w:keepLines/>
              <w:spacing w:before="40" w:after="40" w:line="240" w:lineRule="auto"/>
              <w:rPr>
                <w:rFonts w:ascii="Arial" w:hAnsi="Arial"/>
                <w:color w:val="000000"/>
                <w:sz w:val="16"/>
              </w:rPr>
            </w:pPr>
            <w:r w:rsidRPr="0092439D">
              <w:rPr>
                <w:rFonts w:ascii="Arial" w:hAnsi="Arial"/>
                <w:color w:val="000000"/>
                <w:sz w:val="16"/>
              </w:rPr>
              <w:t>Remote Australia</w:t>
            </w:r>
          </w:p>
        </w:tc>
        <w:tc>
          <w:tcPr>
            <w:tcW w:w="1458" w:type="dxa"/>
            <w:shd w:val="clear" w:color="auto" w:fill="auto"/>
          </w:tcPr>
          <w:p w14:paraId="5C205834" w14:textId="77777777" w:rsidR="00CA50B7" w:rsidRPr="002F7C9C" w:rsidRDefault="00CA50B7" w:rsidP="00CA50B7">
            <w:pPr>
              <w:pStyle w:val="Tabletext"/>
              <w:jc w:val="center"/>
              <w:rPr>
                <w:rFonts w:asciiTheme="majorHAnsi" w:hAnsiTheme="majorHAnsi"/>
                <w:szCs w:val="16"/>
              </w:rPr>
            </w:pPr>
            <w:r w:rsidRPr="00036BB2">
              <w:t>19%</w:t>
            </w:r>
          </w:p>
        </w:tc>
        <w:tc>
          <w:tcPr>
            <w:tcW w:w="1458" w:type="dxa"/>
            <w:shd w:val="clear" w:color="auto" w:fill="auto"/>
          </w:tcPr>
          <w:p w14:paraId="5FE49DED" w14:textId="77777777" w:rsidR="00CA50B7" w:rsidRPr="002F7C9C" w:rsidRDefault="00CA50B7" w:rsidP="00CA50B7">
            <w:pPr>
              <w:pStyle w:val="Tabletext"/>
              <w:jc w:val="center"/>
              <w:rPr>
                <w:rFonts w:asciiTheme="majorHAnsi" w:hAnsiTheme="majorHAnsi"/>
                <w:szCs w:val="16"/>
              </w:rPr>
            </w:pPr>
            <w:r w:rsidRPr="00036BB2">
              <w:t>2%</w:t>
            </w:r>
          </w:p>
        </w:tc>
        <w:tc>
          <w:tcPr>
            <w:tcW w:w="1458" w:type="dxa"/>
            <w:shd w:val="clear" w:color="auto" w:fill="auto"/>
          </w:tcPr>
          <w:p w14:paraId="608B8189" w14:textId="77777777" w:rsidR="00CA50B7" w:rsidRPr="00CA50B7" w:rsidRDefault="00CA50B7" w:rsidP="00CA50B7">
            <w:pPr>
              <w:pStyle w:val="Tabletext"/>
              <w:jc w:val="center"/>
              <w:rPr>
                <w:rFonts w:asciiTheme="majorHAnsi" w:hAnsiTheme="majorHAnsi"/>
                <w:b/>
                <w:szCs w:val="16"/>
              </w:rPr>
            </w:pPr>
            <w:r w:rsidRPr="00CA50B7">
              <w:rPr>
                <w:b/>
              </w:rPr>
              <w:t>79%</w:t>
            </w:r>
          </w:p>
        </w:tc>
        <w:tc>
          <w:tcPr>
            <w:tcW w:w="588" w:type="dxa"/>
            <w:shd w:val="clear" w:color="auto" w:fill="auto"/>
          </w:tcPr>
          <w:p w14:paraId="62F548F2" w14:textId="77777777" w:rsidR="00CA50B7" w:rsidRPr="002F7C9C" w:rsidRDefault="00CA50B7" w:rsidP="00CA50B7">
            <w:pPr>
              <w:pStyle w:val="Tabletext"/>
              <w:jc w:val="center"/>
              <w:rPr>
                <w:rFonts w:asciiTheme="majorHAnsi" w:hAnsiTheme="majorHAnsi"/>
                <w:szCs w:val="16"/>
              </w:rPr>
            </w:pPr>
          </w:p>
        </w:tc>
        <w:tc>
          <w:tcPr>
            <w:tcW w:w="1458" w:type="dxa"/>
            <w:shd w:val="clear" w:color="auto" w:fill="auto"/>
          </w:tcPr>
          <w:p w14:paraId="76FC667E" w14:textId="77777777" w:rsidR="00CA50B7" w:rsidRPr="002F7C9C" w:rsidRDefault="00CA50B7" w:rsidP="00CA50B7">
            <w:pPr>
              <w:pStyle w:val="Tabletext"/>
              <w:jc w:val="center"/>
              <w:rPr>
                <w:rFonts w:asciiTheme="majorHAnsi" w:hAnsiTheme="majorHAnsi"/>
                <w:szCs w:val="16"/>
              </w:rPr>
            </w:pPr>
            <w:r w:rsidRPr="00B31EEC">
              <w:t>2%</w:t>
            </w:r>
          </w:p>
        </w:tc>
        <w:tc>
          <w:tcPr>
            <w:tcW w:w="1235" w:type="dxa"/>
            <w:shd w:val="clear" w:color="auto" w:fill="auto"/>
          </w:tcPr>
          <w:p w14:paraId="4BF4F645" w14:textId="09EDF906" w:rsidR="00CA50B7" w:rsidRPr="0092439D" w:rsidRDefault="00CA50B7" w:rsidP="00CA50B7">
            <w:pPr>
              <w:pStyle w:val="Tabletext"/>
              <w:jc w:val="center"/>
            </w:pPr>
            <w:r w:rsidRPr="00F26483">
              <w:t>2%</w:t>
            </w:r>
          </w:p>
        </w:tc>
      </w:tr>
      <w:tr w:rsidR="00CA50B7" w:rsidRPr="0092439D" w14:paraId="3B9A9C47" w14:textId="77777777" w:rsidTr="00F842C5">
        <w:trPr>
          <w:cantSplit/>
        </w:trPr>
        <w:tc>
          <w:tcPr>
            <w:tcW w:w="2267" w:type="dxa"/>
            <w:tcBorders>
              <w:top w:val="single" w:sz="2" w:space="0" w:color="C0C0C0"/>
              <w:bottom w:val="single" w:sz="2" w:space="0" w:color="999999"/>
            </w:tcBorders>
            <w:shd w:val="clear" w:color="auto" w:fill="auto"/>
          </w:tcPr>
          <w:p w14:paraId="6AF428D9" w14:textId="77777777" w:rsidR="00CA50B7" w:rsidRPr="0092439D" w:rsidRDefault="00CA50B7" w:rsidP="00CA50B7">
            <w:pPr>
              <w:keepNext/>
              <w:keepLines/>
              <w:spacing w:before="40" w:after="40" w:line="240" w:lineRule="auto"/>
              <w:rPr>
                <w:rFonts w:ascii="Arial" w:hAnsi="Arial"/>
                <w:color w:val="000000"/>
                <w:sz w:val="16"/>
              </w:rPr>
            </w:pPr>
            <w:r w:rsidRPr="0092439D">
              <w:rPr>
                <w:rFonts w:ascii="Arial" w:hAnsi="Arial"/>
                <w:color w:val="000000"/>
                <w:sz w:val="16"/>
              </w:rPr>
              <w:t>Very Remote Australia</w:t>
            </w:r>
          </w:p>
        </w:tc>
        <w:tc>
          <w:tcPr>
            <w:tcW w:w="1458" w:type="dxa"/>
            <w:tcBorders>
              <w:top w:val="single" w:sz="2" w:space="0" w:color="C0C0C0"/>
              <w:bottom w:val="single" w:sz="2" w:space="0" w:color="999999"/>
            </w:tcBorders>
            <w:shd w:val="clear" w:color="auto" w:fill="auto"/>
          </w:tcPr>
          <w:p w14:paraId="33CFF668" w14:textId="77777777" w:rsidR="00CA50B7" w:rsidRPr="002F7C9C" w:rsidRDefault="00CA50B7" w:rsidP="00CA50B7">
            <w:pPr>
              <w:pStyle w:val="Tabletext"/>
              <w:jc w:val="center"/>
              <w:rPr>
                <w:rFonts w:asciiTheme="majorHAnsi" w:hAnsiTheme="majorHAnsi"/>
                <w:szCs w:val="16"/>
              </w:rPr>
            </w:pPr>
            <w:r w:rsidRPr="00036BB2">
              <w:t>8%</w:t>
            </w:r>
          </w:p>
        </w:tc>
        <w:tc>
          <w:tcPr>
            <w:tcW w:w="1458" w:type="dxa"/>
            <w:tcBorders>
              <w:top w:val="single" w:sz="2" w:space="0" w:color="C0C0C0"/>
              <w:bottom w:val="single" w:sz="2" w:space="0" w:color="999999"/>
            </w:tcBorders>
            <w:shd w:val="clear" w:color="auto" w:fill="auto"/>
          </w:tcPr>
          <w:p w14:paraId="4C2CCB13" w14:textId="77777777" w:rsidR="00CA50B7" w:rsidRPr="002F7C9C" w:rsidRDefault="00CA50B7" w:rsidP="00CA50B7">
            <w:pPr>
              <w:pStyle w:val="Tabletext"/>
              <w:jc w:val="center"/>
              <w:rPr>
                <w:rFonts w:asciiTheme="majorHAnsi" w:hAnsiTheme="majorHAnsi"/>
                <w:szCs w:val="16"/>
              </w:rPr>
            </w:pPr>
            <w:r w:rsidRPr="00036BB2">
              <w:t>2%</w:t>
            </w:r>
          </w:p>
        </w:tc>
        <w:tc>
          <w:tcPr>
            <w:tcW w:w="1458" w:type="dxa"/>
            <w:tcBorders>
              <w:top w:val="single" w:sz="2" w:space="0" w:color="C0C0C0"/>
              <w:bottom w:val="single" w:sz="2" w:space="0" w:color="999999"/>
            </w:tcBorders>
            <w:shd w:val="clear" w:color="auto" w:fill="auto"/>
          </w:tcPr>
          <w:p w14:paraId="6D7762D4" w14:textId="77777777" w:rsidR="00CA50B7" w:rsidRPr="00CA50B7" w:rsidRDefault="00CA50B7" w:rsidP="00CA50B7">
            <w:pPr>
              <w:pStyle w:val="Tabletext"/>
              <w:jc w:val="center"/>
              <w:rPr>
                <w:rFonts w:asciiTheme="majorHAnsi" w:hAnsiTheme="majorHAnsi"/>
                <w:b/>
                <w:szCs w:val="16"/>
              </w:rPr>
            </w:pPr>
            <w:r w:rsidRPr="00CA50B7">
              <w:rPr>
                <w:b/>
              </w:rPr>
              <w:t>90%</w:t>
            </w:r>
          </w:p>
        </w:tc>
        <w:tc>
          <w:tcPr>
            <w:tcW w:w="588" w:type="dxa"/>
            <w:tcBorders>
              <w:top w:val="single" w:sz="2" w:space="0" w:color="C0C0C0"/>
              <w:bottom w:val="single" w:sz="2" w:space="0" w:color="999999"/>
            </w:tcBorders>
            <w:shd w:val="clear" w:color="auto" w:fill="auto"/>
          </w:tcPr>
          <w:p w14:paraId="1817516F" w14:textId="77777777" w:rsidR="00CA50B7" w:rsidRPr="002F7C9C" w:rsidRDefault="00CA50B7" w:rsidP="00CA50B7">
            <w:pPr>
              <w:pStyle w:val="Tabletext"/>
              <w:jc w:val="center"/>
              <w:rPr>
                <w:rFonts w:asciiTheme="majorHAnsi" w:hAnsiTheme="majorHAnsi"/>
                <w:szCs w:val="16"/>
              </w:rPr>
            </w:pPr>
          </w:p>
        </w:tc>
        <w:tc>
          <w:tcPr>
            <w:tcW w:w="1458" w:type="dxa"/>
            <w:tcBorders>
              <w:top w:val="single" w:sz="2" w:space="0" w:color="C0C0C0"/>
              <w:bottom w:val="single" w:sz="2" w:space="0" w:color="999999"/>
            </w:tcBorders>
            <w:shd w:val="clear" w:color="auto" w:fill="auto"/>
          </w:tcPr>
          <w:p w14:paraId="519BD0E3" w14:textId="77777777" w:rsidR="00CA50B7" w:rsidRPr="002F7C9C" w:rsidRDefault="00CA50B7" w:rsidP="00CA50B7">
            <w:pPr>
              <w:pStyle w:val="Tabletext"/>
              <w:jc w:val="center"/>
              <w:rPr>
                <w:rFonts w:asciiTheme="majorHAnsi" w:hAnsiTheme="majorHAnsi"/>
                <w:szCs w:val="16"/>
              </w:rPr>
            </w:pPr>
            <w:r w:rsidRPr="00B31EEC">
              <w:t>1%</w:t>
            </w:r>
          </w:p>
        </w:tc>
        <w:tc>
          <w:tcPr>
            <w:tcW w:w="1235" w:type="dxa"/>
            <w:tcBorders>
              <w:top w:val="single" w:sz="2" w:space="0" w:color="C0C0C0"/>
              <w:bottom w:val="single" w:sz="2" w:space="0" w:color="999999"/>
            </w:tcBorders>
            <w:shd w:val="clear" w:color="auto" w:fill="auto"/>
          </w:tcPr>
          <w:p w14:paraId="61A96BD4" w14:textId="3A48B45F" w:rsidR="00CA50B7" w:rsidRPr="0092439D" w:rsidRDefault="00CA50B7" w:rsidP="00CA50B7">
            <w:pPr>
              <w:pStyle w:val="Tabletext"/>
              <w:jc w:val="center"/>
            </w:pPr>
            <w:r w:rsidRPr="00F26483">
              <w:t>1%</w:t>
            </w:r>
          </w:p>
        </w:tc>
      </w:tr>
    </w:tbl>
    <w:p w14:paraId="356A17BA" w14:textId="38A434A7" w:rsidR="008E7922" w:rsidRDefault="0092439D" w:rsidP="008E7922">
      <w:pPr>
        <w:pStyle w:val="Note"/>
        <w:ind w:left="-2551"/>
      </w:pPr>
      <w:r w:rsidRPr="0092439D">
        <w:rPr>
          <w:i/>
        </w:rPr>
        <w:t>Note:</w:t>
      </w:r>
      <w:r w:rsidRPr="0092439D">
        <w:t xml:space="preserve"> </w:t>
      </w:r>
      <w:r w:rsidR="00147674">
        <w:t>SEE programme</w:t>
      </w:r>
      <w:r w:rsidR="006A28F2">
        <w:t xml:space="preserve"> </w:t>
      </w:r>
      <w:r w:rsidR="008E7922">
        <w:t>clients that commenced training in 2010-11 – 2013-14. Above average proportions are bolded.</w:t>
      </w:r>
    </w:p>
    <w:p w14:paraId="421CFC6F" w14:textId="3930550E" w:rsidR="0092439D" w:rsidRPr="0092439D" w:rsidRDefault="0092439D" w:rsidP="0092439D">
      <w:pPr>
        <w:pBdr>
          <w:bottom w:val="single" w:sz="2" w:space="1" w:color="C0C0C0"/>
        </w:pBdr>
        <w:spacing w:before="40" w:after="60" w:line="180" w:lineRule="exact"/>
        <w:ind w:left="-2551"/>
        <w:rPr>
          <w:rFonts w:ascii="Arial" w:hAnsi="Arial"/>
          <w:sz w:val="16"/>
          <w:szCs w:val="14"/>
          <w:lang w:eastAsia="en-AU"/>
        </w:rPr>
      </w:pPr>
      <w:r w:rsidRPr="0092439D">
        <w:rPr>
          <w:rFonts w:ascii="Arial" w:hAnsi="Arial"/>
          <w:sz w:val="16"/>
          <w:szCs w:val="14"/>
          <w:lang w:eastAsia="en-AU"/>
        </w:rPr>
        <w:t>Source</w:t>
      </w:r>
      <w:r w:rsidRPr="0092439D">
        <w:rPr>
          <w:rFonts w:ascii="Arial" w:hAnsi="Arial"/>
          <w:i/>
          <w:sz w:val="16"/>
          <w:szCs w:val="14"/>
          <w:lang w:eastAsia="en-AU"/>
        </w:rPr>
        <w:t xml:space="preserve">: </w:t>
      </w:r>
      <w:r w:rsidR="007A143E">
        <w:rPr>
          <w:rFonts w:ascii="Arial" w:hAnsi="Arial"/>
          <w:sz w:val="16"/>
          <w:szCs w:val="14"/>
          <w:lang w:eastAsia="en-AU"/>
        </w:rPr>
        <w:t>SEE programme</w:t>
      </w:r>
      <w:r w:rsidR="006F55F1">
        <w:rPr>
          <w:rFonts w:ascii="Arial" w:hAnsi="Arial"/>
          <w:sz w:val="16"/>
          <w:szCs w:val="14"/>
          <w:lang w:eastAsia="en-AU"/>
        </w:rPr>
        <w:t xml:space="preserve"> </w:t>
      </w:r>
      <w:r w:rsidR="007A143E">
        <w:rPr>
          <w:rFonts w:ascii="Arial" w:hAnsi="Arial"/>
          <w:sz w:val="16"/>
          <w:szCs w:val="14"/>
          <w:lang w:eastAsia="en-AU"/>
        </w:rPr>
        <w:t>dataset</w:t>
      </w:r>
      <w:r w:rsidRPr="0092439D">
        <w:rPr>
          <w:rFonts w:ascii="Arial" w:hAnsi="Arial"/>
          <w:sz w:val="16"/>
          <w:szCs w:val="14"/>
          <w:lang w:eastAsia="en-AU"/>
        </w:rPr>
        <w:t>, ABS.</w:t>
      </w:r>
    </w:p>
    <w:p w14:paraId="6D0CFB33" w14:textId="77777777" w:rsidR="0092439D" w:rsidRDefault="0092439D" w:rsidP="00C91FB7">
      <w:pPr>
        <w:pStyle w:val="BodyText"/>
      </w:pP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92439D" w14:paraId="77D768D6" w14:textId="77777777" w:rsidTr="00F842C5">
        <w:tc>
          <w:tcPr>
            <w:tcW w:w="5000" w:type="pct"/>
            <w:shd w:val="pct12" w:color="auto" w:fill="auto"/>
          </w:tcPr>
          <w:p w14:paraId="260DBB4E" w14:textId="77777777" w:rsidR="0092439D" w:rsidRDefault="0092439D" w:rsidP="00F842C5">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6</w:t>
            </w:r>
            <w:r w:rsidR="006A2396">
              <w:rPr>
                <w:noProof/>
              </w:rPr>
              <w:fldChar w:fldCharType="end"/>
            </w:r>
          </w:p>
        </w:tc>
      </w:tr>
      <w:tr w:rsidR="0092439D" w14:paraId="7827F0FE" w14:textId="77777777" w:rsidTr="00F842C5">
        <w:tc>
          <w:tcPr>
            <w:tcW w:w="5000" w:type="pct"/>
            <w:shd w:val="pct12" w:color="auto" w:fill="auto"/>
          </w:tcPr>
          <w:p w14:paraId="1DDDE137" w14:textId="5673A088" w:rsidR="001B076A" w:rsidRDefault="001B076A" w:rsidP="0092439D">
            <w:pPr>
              <w:pStyle w:val="BoxText"/>
            </w:pPr>
            <w:r w:rsidRPr="001B076A">
              <w:t xml:space="preserve">NSW and SA have an overrepresentation of SEE </w:t>
            </w:r>
            <w:r w:rsidR="00A45593">
              <w:t xml:space="preserve">programme </w:t>
            </w:r>
            <w:r w:rsidRPr="001B076A">
              <w:t>clients relative to their population. The Northern Territory has the highest proportion of Indigenous clients, with Western Australian and Queensland also having above average shares. Victoria and ACT has the highest share of CALD clients.</w:t>
            </w:r>
          </w:p>
          <w:p w14:paraId="6415BE0A" w14:textId="59A4C176" w:rsidR="0092439D" w:rsidRDefault="00F67194" w:rsidP="00F67194">
            <w:pPr>
              <w:pStyle w:val="BoxText"/>
            </w:pPr>
            <w:r w:rsidRPr="00F67194">
              <w:t xml:space="preserve">CALD clients </w:t>
            </w:r>
            <w:r w:rsidR="003C6E14">
              <w:t xml:space="preserve">are </w:t>
            </w:r>
            <w:r w:rsidRPr="00F67194">
              <w:t xml:space="preserve">overrepresented in </w:t>
            </w:r>
            <w:r>
              <w:t>Major Cities of Australia</w:t>
            </w:r>
            <w:r w:rsidRPr="00F67194">
              <w:t>. The share of non-CALD, non</w:t>
            </w:r>
            <w:r w:rsidR="00361645">
              <w:noBreakHyphen/>
            </w:r>
            <w:r w:rsidRPr="00F67194">
              <w:t>Indigenous clients is highest in Regional Australia, while in Remote Australia Indigenous clients make up the vast majority of clients</w:t>
            </w:r>
            <w:r>
              <w:t>.</w:t>
            </w:r>
          </w:p>
          <w:p w14:paraId="31287547" w14:textId="77777777" w:rsidR="0092439D" w:rsidRPr="00090BC6" w:rsidRDefault="0092439D" w:rsidP="00F842C5">
            <w:pPr>
              <w:pStyle w:val="SmallDeltasRightAligned"/>
            </w:pPr>
            <w:r w:rsidRPr="00090BC6">
              <w:rPr>
                <w:noProof/>
                <w:lang w:eastAsia="en-AU"/>
              </w:rPr>
              <w:drawing>
                <wp:inline distT="0" distB="0" distL="0" distR="0" wp14:anchorId="039796BF" wp14:editId="697ED714">
                  <wp:extent cx="481585" cy="234696"/>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2439D" w14:paraId="7307CBF7" w14:textId="77777777" w:rsidTr="00F842C5">
        <w:trPr>
          <w:trHeight w:hRule="exact" w:val="80"/>
        </w:trPr>
        <w:tc>
          <w:tcPr>
            <w:tcW w:w="5000" w:type="pct"/>
            <w:shd w:val="pct12" w:color="auto" w:fill="auto"/>
          </w:tcPr>
          <w:p w14:paraId="2F553610" w14:textId="77777777" w:rsidR="0092439D" w:rsidRDefault="0092439D" w:rsidP="00F842C5">
            <w:pPr>
              <w:spacing w:before="160"/>
            </w:pPr>
            <w:r>
              <w:t xml:space="preserve"> </w:t>
            </w:r>
          </w:p>
        </w:tc>
      </w:tr>
    </w:tbl>
    <w:p w14:paraId="0D28BFDD" w14:textId="0E84C183" w:rsidR="000639C2" w:rsidRDefault="00147674" w:rsidP="000639C2">
      <w:pPr>
        <w:pStyle w:val="Heading3"/>
      </w:pPr>
      <w:r>
        <w:t>SEE programme</w:t>
      </w:r>
      <w:r w:rsidR="006A28F2">
        <w:t xml:space="preserve"> </w:t>
      </w:r>
      <w:r w:rsidR="000639C2" w:rsidRPr="000639C2">
        <w:t>clients’</w:t>
      </w:r>
      <w:r w:rsidR="00AF70C4">
        <w:t xml:space="preserve"> </w:t>
      </w:r>
      <w:r w:rsidR="000639C2">
        <w:t xml:space="preserve">educational background </w:t>
      </w:r>
      <w:r w:rsidR="00564534">
        <w:t xml:space="preserve">and payment type </w:t>
      </w:r>
    </w:p>
    <w:p w14:paraId="668F3D29" w14:textId="2CE2648A" w:rsidR="000112FC" w:rsidRDefault="00BD48FF" w:rsidP="0008204D">
      <w:pPr>
        <w:pStyle w:val="BodyText"/>
      </w:pPr>
      <w:r>
        <w:fldChar w:fldCharType="begin"/>
      </w:r>
      <w:r>
        <w:instrText xml:space="preserve"> REF _Ref408481846 \h </w:instrText>
      </w:r>
      <w:r>
        <w:fldChar w:fldCharType="separate"/>
      </w:r>
      <w:r w:rsidR="00294A5A">
        <w:t xml:space="preserve">Figure </w:t>
      </w:r>
      <w:r w:rsidR="00294A5A">
        <w:rPr>
          <w:noProof/>
        </w:rPr>
        <w:t>16</w:t>
      </w:r>
      <w:r>
        <w:fldChar w:fldCharType="end"/>
      </w:r>
      <w:r w:rsidR="001B076A">
        <w:t xml:space="preserve"> shows the proportion of the SEE </w:t>
      </w:r>
      <w:r w:rsidR="00A45593">
        <w:t xml:space="preserve">programme </w:t>
      </w:r>
      <w:r w:rsidR="001B076A">
        <w:t xml:space="preserve">cohort by </w:t>
      </w:r>
      <w:r w:rsidR="001B076A" w:rsidRPr="001B076A">
        <w:t>highest education level prior to referral</w:t>
      </w:r>
      <w:r w:rsidR="001B076A">
        <w:t xml:space="preserve">. More than half of clients have completed Year 10 or less of schooling. </w:t>
      </w:r>
      <w:r w:rsidR="000112FC">
        <w:t xml:space="preserve">CALD </w:t>
      </w:r>
      <w:r w:rsidR="002E5CA2">
        <w:t>clients</w:t>
      </w:r>
      <w:r w:rsidR="000112FC">
        <w:t xml:space="preserve"> are over represented in the client group</w:t>
      </w:r>
      <w:r w:rsidR="002E5CA2">
        <w:t>s</w:t>
      </w:r>
      <w:r w:rsidR="000112FC">
        <w:t xml:space="preserve"> </w:t>
      </w:r>
      <w:r w:rsidR="001B076A">
        <w:t>with Year 12 and above attainment</w:t>
      </w:r>
      <w:r w:rsidR="002E5CA2">
        <w:t xml:space="preserve">, while </w:t>
      </w:r>
      <w:r w:rsidR="005C265A">
        <w:t xml:space="preserve">Indigenous and non-CALD, non-Indigenous clients are over represented in the groups with </w:t>
      </w:r>
      <w:r w:rsidR="00C35939">
        <w:t>Year 11 or Certificate I-IV as the high prior level of education</w:t>
      </w:r>
      <w:r w:rsidR="001B076A">
        <w:t>.</w:t>
      </w:r>
      <w:r w:rsidR="000112FC">
        <w:t xml:space="preserve"> </w:t>
      </w:r>
    </w:p>
    <w:p w14:paraId="1ED30E48" w14:textId="6A07FEC7" w:rsidR="00C35939" w:rsidRDefault="005C265A" w:rsidP="0008204D">
      <w:pPr>
        <w:pStyle w:val="BodyText"/>
      </w:pPr>
      <w:r>
        <w:t>There are likely a number of factors driving</w:t>
      </w:r>
      <w:r w:rsidR="00C35939">
        <w:t xml:space="preserve"> </w:t>
      </w:r>
      <w:r w:rsidR="005D2BD4">
        <w:t>this distribution of clients</w:t>
      </w:r>
      <w:r>
        <w:t xml:space="preserve">. </w:t>
      </w:r>
      <w:r w:rsidR="005D2BD4">
        <w:t xml:space="preserve">CALD clients may have a </w:t>
      </w:r>
      <w:r w:rsidR="00671FC2">
        <w:t xml:space="preserve">high school or </w:t>
      </w:r>
      <w:r w:rsidR="005D2BD4">
        <w:t>post-school qualification from their country of origin, achieved in a language other than English</w:t>
      </w:r>
      <w:r w:rsidR="00671FC2">
        <w:t xml:space="preserve">, and thus still benefit from the </w:t>
      </w:r>
      <w:r w:rsidR="00147674">
        <w:t>SEE programme</w:t>
      </w:r>
      <w:r w:rsidR="00671FC2">
        <w:t xml:space="preserve">. </w:t>
      </w:r>
      <w:r w:rsidR="00DB08E2">
        <w:t xml:space="preserve">Conversely, individuals born in Australia </w:t>
      </w:r>
      <w:r w:rsidR="00096D4E">
        <w:t xml:space="preserve">with a post-school qualification are unlikely to be eligible for </w:t>
      </w:r>
      <w:r w:rsidR="00A45593">
        <w:t xml:space="preserve">the </w:t>
      </w:r>
      <w:r w:rsidR="00096D4E">
        <w:t>SEE</w:t>
      </w:r>
      <w:r w:rsidR="00A45593">
        <w:t xml:space="preserve"> programme</w:t>
      </w:r>
      <w:r w:rsidR="00096D4E">
        <w:t xml:space="preserve">. </w:t>
      </w:r>
      <w:r w:rsidR="00DB08E2">
        <w:t xml:space="preserve">Therefore, most Indigenous and non-CALD, non-Indigenous clients </w:t>
      </w:r>
      <w:r w:rsidR="00096D4E">
        <w:t xml:space="preserve">in the programme </w:t>
      </w:r>
      <w:r w:rsidR="00EA49D5">
        <w:t>will tend to be</w:t>
      </w:r>
      <w:r w:rsidR="00096D4E">
        <w:t xml:space="preserve"> early school leavers. </w:t>
      </w:r>
      <w:r w:rsidR="00EA49D5">
        <w:t>Furthermore, given the capacity to benefit test, early school leavers are those most likely to benefit from additional LLN training and therefore referred to the SEE programme.</w:t>
      </w:r>
    </w:p>
    <w:p w14:paraId="34CFD7C0" w14:textId="2D244552" w:rsidR="00266258" w:rsidRDefault="00266258">
      <w:pPr>
        <w:pStyle w:val="Caption"/>
      </w:pPr>
      <w:bookmarkStart w:id="92" w:name="_Ref408481846"/>
      <w:bookmarkStart w:id="93" w:name="_Toc420065476"/>
      <w:r>
        <w:t xml:space="preserve">Figure </w:t>
      </w:r>
      <w:r w:rsidR="006A2396">
        <w:fldChar w:fldCharType="begin"/>
      </w:r>
      <w:r w:rsidR="006A2396">
        <w:instrText xml:space="preserve"> SEQ Figure \* ARABIC </w:instrText>
      </w:r>
      <w:r w:rsidR="006A2396">
        <w:fldChar w:fldCharType="separate"/>
      </w:r>
      <w:r w:rsidR="00294A5A">
        <w:rPr>
          <w:noProof/>
        </w:rPr>
        <w:t>16</w:t>
      </w:r>
      <w:r w:rsidR="006A2396">
        <w:rPr>
          <w:noProof/>
        </w:rPr>
        <w:fldChar w:fldCharType="end"/>
      </w:r>
      <w:bookmarkEnd w:id="92"/>
      <w:r w:rsidRPr="004E0C91">
        <w:rPr>
          <w:b/>
          <w:color w:val="000080"/>
        </w:rPr>
        <w:tab/>
      </w:r>
      <w:r w:rsidR="00147674">
        <w:rPr>
          <w:rStyle w:val="CaptionLabel"/>
        </w:rPr>
        <w:t>SEE programme</w:t>
      </w:r>
      <w:r w:rsidR="006A28F2">
        <w:rPr>
          <w:rStyle w:val="CaptionLabel"/>
        </w:rPr>
        <w:t xml:space="preserve"> </w:t>
      </w:r>
      <w:r>
        <w:rPr>
          <w:rStyle w:val="CaptionLabel"/>
        </w:rPr>
        <w:t xml:space="preserve">clients by </w:t>
      </w:r>
      <w:r w:rsidR="002F6C30">
        <w:rPr>
          <w:rStyle w:val="CaptionLabel"/>
        </w:rPr>
        <w:t>highest education level prior to referral</w:t>
      </w:r>
      <w:bookmarkEnd w:id="93"/>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266258" w14:paraId="79457ED5" w14:textId="77777777" w:rsidTr="00C527D8">
        <w:trPr>
          <w:cantSplit/>
        </w:trPr>
        <w:tc>
          <w:tcPr>
            <w:tcW w:w="5000" w:type="pct"/>
          </w:tcPr>
          <w:p w14:paraId="2494BDE3" w14:textId="77777777" w:rsidR="00266258" w:rsidRDefault="00266258" w:rsidP="00C527D8">
            <w:pPr>
              <w:pStyle w:val="SmallDeltasRightAligned"/>
              <w:keepNext/>
            </w:pPr>
            <w:r>
              <w:rPr>
                <w:noProof/>
                <w:lang w:eastAsia="en-AU"/>
              </w:rPr>
              <w:drawing>
                <wp:inline distT="0" distB="0" distL="0" distR="0" wp14:anchorId="420E1539" wp14:editId="31510852">
                  <wp:extent cx="481585" cy="2346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266258" w14:paraId="2E6DA18C" w14:textId="77777777" w:rsidTr="00D85704">
        <w:tblPrEx>
          <w:tblCellMar>
            <w:left w:w="108" w:type="dxa"/>
            <w:right w:w="108" w:type="dxa"/>
          </w:tblCellMar>
        </w:tblPrEx>
        <w:trPr>
          <w:cantSplit/>
        </w:trPr>
        <w:tc>
          <w:tcPr>
            <w:tcW w:w="5000" w:type="pct"/>
          </w:tcPr>
          <w:p w14:paraId="7A1FBB9E" w14:textId="77777777" w:rsidR="00266258" w:rsidRDefault="00D85704" w:rsidP="00C527D8">
            <w:pPr>
              <w:pStyle w:val="Figure"/>
            </w:pPr>
            <w:r>
              <w:rPr>
                <w:noProof/>
                <w:lang w:eastAsia="en-AU"/>
              </w:rPr>
              <w:drawing>
                <wp:inline distT="0" distB="0" distL="0" distR="0" wp14:anchorId="0CB8F8C0" wp14:editId="0D6CA34D">
                  <wp:extent cx="4543425" cy="2726055"/>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bl>
    <w:p w14:paraId="3EDB4928" w14:textId="63841A07" w:rsidR="00266258" w:rsidRDefault="00266258">
      <w:pPr>
        <w:pStyle w:val="Note"/>
      </w:pPr>
      <w:r>
        <w:rPr>
          <w:i/>
        </w:rPr>
        <w:t>Note:</w:t>
      </w:r>
      <w:r>
        <w:t xml:space="preserve"> </w:t>
      </w:r>
      <w:r w:rsidR="00147674">
        <w:t>SEE programme</w:t>
      </w:r>
      <w:r w:rsidR="006A28F2">
        <w:t xml:space="preserve"> </w:t>
      </w:r>
      <w:r w:rsidR="002F6C30">
        <w:t>clients that commenced training in 2010-11 – 2013-14.</w:t>
      </w:r>
    </w:p>
    <w:p w14:paraId="7D926070" w14:textId="269D2F86" w:rsidR="00266258" w:rsidRPr="00B50A1B" w:rsidRDefault="00266258" w:rsidP="00C527D8">
      <w:pPr>
        <w:pStyle w:val="Source"/>
        <w:rPr>
          <w:i/>
        </w:rPr>
      </w:pPr>
      <w:r>
        <w:t>S</w:t>
      </w:r>
      <w:r w:rsidRPr="00B50A1B">
        <w:t>ource:</w:t>
      </w:r>
      <w:r w:rsidRPr="00954EED">
        <w:t xml:space="preserve"> </w:t>
      </w:r>
      <w:r w:rsidR="007A143E">
        <w:t>SEE programme</w:t>
      </w:r>
      <w:r w:rsidR="006F55F1">
        <w:t xml:space="preserve"> </w:t>
      </w:r>
      <w:r w:rsidR="007A143E">
        <w:t>dataset</w:t>
      </w:r>
    </w:p>
    <w:p w14:paraId="738AB1E1" w14:textId="4FC614F9" w:rsidR="00266258" w:rsidRDefault="00CD028D" w:rsidP="0008204D">
      <w:pPr>
        <w:pStyle w:val="BodyText"/>
      </w:pPr>
      <w:r>
        <w:t xml:space="preserve">The majority of SEE </w:t>
      </w:r>
      <w:r w:rsidR="00A45593">
        <w:t xml:space="preserve">programme </w:t>
      </w:r>
      <w:r>
        <w:t>clients are receiving the Newstart Allowance at referral</w:t>
      </w:r>
      <w:r w:rsidR="008024C1">
        <w:t xml:space="preserve"> (</w:t>
      </w:r>
      <w:r w:rsidR="008024C1">
        <w:fldChar w:fldCharType="begin"/>
      </w:r>
      <w:r w:rsidR="008024C1">
        <w:instrText xml:space="preserve"> REF _Ref408481852 \h </w:instrText>
      </w:r>
      <w:r w:rsidR="008024C1">
        <w:fldChar w:fldCharType="separate"/>
      </w:r>
      <w:r w:rsidR="00294A5A">
        <w:t xml:space="preserve">Figure </w:t>
      </w:r>
      <w:r w:rsidR="00294A5A">
        <w:rPr>
          <w:noProof/>
        </w:rPr>
        <w:t>17</w:t>
      </w:r>
      <w:r w:rsidR="008024C1">
        <w:fldChar w:fldCharType="end"/>
      </w:r>
      <w:r w:rsidR="008024C1">
        <w:t>)</w:t>
      </w:r>
      <w:r>
        <w:t>. Around 18 per cent are not receiving income support</w:t>
      </w:r>
      <w:r w:rsidR="008024C1">
        <w:t xml:space="preserve">, </w:t>
      </w:r>
      <w:r>
        <w:t>the vast majority of which are CALD clients</w:t>
      </w:r>
      <w:r w:rsidR="008024C1">
        <w:t>.</w:t>
      </w:r>
      <w:r>
        <w:t xml:space="preserve"> </w:t>
      </w:r>
      <w:r w:rsidR="006A58A1">
        <w:t xml:space="preserve">Of the </w:t>
      </w:r>
      <w:r>
        <w:t xml:space="preserve">clients </w:t>
      </w:r>
      <w:r w:rsidR="006A58A1">
        <w:t>receiving</w:t>
      </w:r>
      <w:r>
        <w:t xml:space="preserve"> </w:t>
      </w:r>
      <w:r w:rsidR="008024C1">
        <w:t xml:space="preserve">youth allowance </w:t>
      </w:r>
      <w:r w:rsidR="006A58A1">
        <w:t xml:space="preserve">most are </w:t>
      </w:r>
      <w:r>
        <w:t>non-CALD, non</w:t>
      </w:r>
      <w:r>
        <w:noBreakHyphen/>
        <w:t>Indigenous.</w:t>
      </w:r>
    </w:p>
    <w:p w14:paraId="2AD6F50F" w14:textId="5DE76412" w:rsidR="002A6325" w:rsidRDefault="002A6325">
      <w:pPr>
        <w:pStyle w:val="Caption"/>
      </w:pPr>
      <w:bookmarkStart w:id="94" w:name="_Ref408481852"/>
      <w:bookmarkStart w:id="95" w:name="_Toc420065477"/>
      <w:r>
        <w:t xml:space="preserve">Figure </w:t>
      </w:r>
      <w:r w:rsidR="006A2396">
        <w:fldChar w:fldCharType="begin"/>
      </w:r>
      <w:r w:rsidR="006A2396">
        <w:instrText xml:space="preserve"> SEQ Figure \* ARABIC </w:instrText>
      </w:r>
      <w:r w:rsidR="006A2396">
        <w:fldChar w:fldCharType="separate"/>
      </w:r>
      <w:r w:rsidR="00294A5A">
        <w:rPr>
          <w:noProof/>
        </w:rPr>
        <w:t>17</w:t>
      </w:r>
      <w:r w:rsidR="006A2396">
        <w:rPr>
          <w:noProof/>
        </w:rPr>
        <w:fldChar w:fldCharType="end"/>
      </w:r>
      <w:bookmarkEnd w:id="94"/>
      <w:r w:rsidRPr="004E0C91">
        <w:rPr>
          <w:b/>
          <w:color w:val="000080"/>
        </w:rPr>
        <w:tab/>
      </w:r>
      <w:r w:rsidR="00147674">
        <w:rPr>
          <w:rStyle w:val="CaptionLabel"/>
        </w:rPr>
        <w:t>SEE programme</w:t>
      </w:r>
      <w:r w:rsidR="006A28F2">
        <w:rPr>
          <w:rStyle w:val="CaptionLabel"/>
        </w:rPr>
        <w:t xml:space="preserve"> </w:t>
      </w:r>
      <w:r w:rsidR="00226545">
        <w:rPr>
          <w:rStyle w:val="CaptionLabel"/>
        </w:rPr>
        <w:t>clients by payment type at referral</w:t>
      </w:r>
      <w:bookmarkEnd w:id="95"/>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2A6325" w14:paraId="49CF8A25" w14:textId="77777777" w:rsidTr="00C527D8">
        <w:trPr>
          <w:cantSplit/>
        </w:trPr>
        <w:tc>
          <w:tcPr>
            <w:tcW w:w="5000" w:type="pct"/>
          </w:tcPr>
          <w:p w14:paraId="1383FEB8" w14:textId="77777777" w:rsidR="002A6325" w:rsidRDefault="002A6325" w:rsidP="00C527D8">
            <w:pPr>
              <w:pStyle w:val="SmallDeltasRightAligned"/>
              <w:keepNext/>
            </w:pPr>
            <w:r>
              <w:rPr>
                <w:noProof/>
                <w:lang w:eastAsia="en-AU"/>
              </w:rPr>
              <w:drawing>
                <wp:inline distT="0" distB="0" distL="0" distR="0" wp14:anchorId="35834ED6" wp14:editId="09744AA7">
                  <wp:extent cx="481585" cy="2346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2A6325" w14:paraId="5196446D" w14:textId="77777777" w:rsidTr="00E869A5">
        <w:tblPrEx>
          <w:tblCellMar>
            <w:left w:w="108" w:type="dxa"/>
            <w:right w:w="108" w:type="dxa"/>
          </w:tblCellMar>
        </w:tblPrEx>
        <w:trPr>
          <w:cantSplit/>
        </w:trPr>
        <w:tc>
          <w:tcPr>
            <w:tcW w:w="5000" w:type="pct"/>
          </w:tcPr>
          <w:p w14:paraId="39F39B36" w14:textId="77777777" w:rsidR="002A6325" w:rsidRDefault="00E869A5" w:rsidP="00C527D8">
            <w:pPr>
              <w:pStyle w:val="Figure"/>
            </w:pPr>
            <w:r>
              <w:rPr>
                <w:noProof/>
                <w:lang w:eastAsia="en-AU"/>
              </w:rPr>
              <w:drawing>
                <wp:inline distT="0" distB="0" distL="0" distR="0" wp14:anchorId="4D609327" wp14:editId="1BC189F5">
                  <wp:extent cx="4543425" cy="272605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0CCBF353" w14:textId="10F6E51A" w:rsidR="002A6325" w:rsidRDefault="002A6325">
      <w:pPr>
        <w:pStyle w:val="Note"/>
      </w:pPr>
      <w:r>
        <w:rPr>
          <w:i/>
        </w:rPr>
        <w:t>Note:</w:t>
      </w:r>
      <w:r>
        <w:t xml:space="preserve"> </w:t>
      </w:r>
      <w:r w:rsidR="00147674">
        <w:t>SEE programme</w:t>
      </w:r>
      <w:r w:rsidR="006A28F2">
        <w:t xml:space="preserve"> </w:t>
      </w:r>
      <w:r w:rsidR="009D1373">
        <w:t>clients that commenced training in 2010-11 – 2013-14.</w:t>
      </w:r>
    </w:p>
    <w:p w14:paraId="074275F2" w14:textId="450719D4" w:rsidR="002A6325" w:rsidRPr="00B50A1B" w:rsidRDefault="002A6325" w:rsidP="00C527D8">
      <w:pPr>
        <w:pStyle w:val="Source"/>
        <w:rPr>
          <w:i/>
        </w:rPr>
      </w:pPr>
      <w:r>
        <w:t>S</w:t>
      </w:r>
      <w:r w:rsidRPr="00B50A1B">
        <w:t>ource:</w:t>
      </w:r>
      <w:r w:rsidRPr="00954EED">
        <w:t xml:space="preserve"> </w:t>
      </w:r>
      <w:r w:rsidR="007A143E">
        <w:t>SEE programme</w:t>
      </w:r>
      <w:r w:rsidR="006F55F1">
        <w:t xml:space="preserve"> </w:t>
      </w:r>
      <w:r w:rsidR="007A143E">
        <w:t>dataset</w:t>
      </w:r>
    </w:p>
    <w:p w14:paraId="1BB380A2" w14:textId="77777777" w:rsidR="00BD48FF" w:rsidRDefault="00BD48FF" w:rsidP="0008204D">
      <w:pPr>
        <w:pStyle w:val="BodyText"/>
      </w:pP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92439D" w14:paraId="3E7D675D" w14:textId="77777777" w:rsidTr="00F842C5">
        <w:tc>
          <w:tcPr>
            <w:tcW w:w="5000" w:type="pct"/>
            <w:shd w:val="pct12" w:color="auto" w:fill="auto"/>
          </w:tcPr>
          <w:p w14:paraId="505A97C6" w14:textId="77777777" w:rsidR="0092439D" w:rsidRDefault="0092439D" w:rsidP="00F842C5">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7</w:t>
            </w:r>
            <w:r w:rsidR="006A2396">
              <w:rPr>
                <w:noProof/>
              </w:rPr>
              <w:fldChar w:fldCharType="end"/>
            </w:r>
          </w:p>
        </w:tc>
      </w:tr>
      <w:tr w:rsidR="0092439D" w14:paraId="510C7AF2" w14:textId="77777777" w:rsidTr="00F842C5">
        <w:tc>
          <w:tcPr>
            <w:tcW w:w="5000" w:type="pct"/>
            <w:shd w:val="pct12" w:color="auto" w:fill="auto"/>
          </w:tcPr>
          <w:p w14:paraId="6BF32BDB" w14:textId="7D1F77E2" w:rsidR="0092439D" w:rsidRDefault="008E7922" w:rsidP="00F842C5">
            <w:pPr>
              <w:pStyle w:val="BoxText"/>
            </w:pPr>
            <w:r w:rsidRPr="008E7922">
              <w:t xml:space="preserve">More than half of </w:t>
            </w:r>
            <w:r w:rsidR="00F2222F">
              <w:t xml:space="preserve">SEE </w:t>
            </w:r>
            <w:r w:rsidR="00A45593">
              <w:t xml:space="preserve">programme </w:t>
            </w:r>
            <w:r w:rsidRPr="008E7922">
              <w:t>clients have completed Year 10 or less of schooling. The majority of clients with Year 12 and above attainment are CALD clients.</w:t>
            </w:r>
          </w:p>
          <w:p w14:paraId="6AE65EED" w14:textId="3B471ABA" w:rsidR="008E7922" w:rsidRDefault="008E7922" w:rsidP="00F842C5">
            <w:pPr>
              <w:pStyle w:val="BoxText"/>
            </w:pPr>
            <w:r w:rsidRPr="008E7922">
              <w:t xml:space="preserve">The majority of SEE </w:t>
            </w:r>
            <w:r w:rsidR="00A45593">
              <w:t xml:space="preserve">programme </w:t>
            </w:r>
            <w:r w:rsidRPr="008E7922">
              <w:t xml:space="preserve">clients are receiving the Newstart Allowance at referral </w:t>
            </w:r>
            <w:r w:rsidR="00F2222F">
              <w:t>with around 18 per </w:t>
            </w:r>
            <w:r w:rsidRPr="008E7922">
              <w:t xml:space="preserve">cent not receiving income support, the vast majority of which are CALD clients. </w:t>
            </w:r>
          </w:p>
          <w:p w14:paraId="22D4995E" w14:textId="77777777" w:rsidR="0092439D" w:rsidRPr="00090BC6" w:rsidRDefault="0092439D" w:rsidP="00F842C5">
            <w:pPr>
              <w:pStyle w:val="SmallDeltasRightAligned"/>
            </w:pPr>
            <w:r w:rsidRPr="00090BC6">
              <w:rPr>
                <w:noProof/>
                <w:lang w:eastAsia="en-AU"/>
              </w:rPr>
              <w:drawing>
                <wp:inline distT="0" distB="0" distL="0" distR="0" wp14:anchorId="718FD40B" wp14:editId="35C697FE">
                  <wp:extent cx="481585" cy="234696"/>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2439D" w14:paraId="27BF532C" w14:textId="77777777" w:rsidTr="00F842C5">
        <w:trPr>
          <w:trHeight w:hRule="exact" w:val="80"/>
        </w:trPr>
        <w:tc>
          <w:tcPr>
            <w:tcW w:w="5000" w:type="pct"/>
            <w:shd w:val="pct12" w:color="auto" w:fill="auto"/>
          </w:tcPr>
          <w:p w14:paraId="66D580E9" w14:textId="77777777" w:rsidR="0092439D" w:rsidRDefault="0092439D" w:rsidP="00F842C5">
            <w:pPr>
              <w:spacing w:before="160"/>
            </w:pPr>
            <w:r>
              <w:t xml:space="preserve"> </w:t>
            </w:r>
          </w:p>
        </w:tc>
      </w:tr>
    </w:tbl>
    <w:p w14:paraId="71E6815E" w14:textId="6ABFD2C3" w:rsidR="000639C2" w:rsidRDefault="00147674" w:rsidP="000639C2">
      <w:pPr>
        <w:pStyle w:val="Heading2"/>
      </w:pPr>
      <w:bookmarkStart w:id="96" w:name="_Ref408509927"/>
      <w:bookmarkStart w:id="97" w:name="_Toc420065450"/>
      <w:r>
        <w:t>SEE programme</w:t>
      </w:r>
      <w:r w:rsidR="006A28F2">
        <w:t xml:space="preserve"> </w:t>
      </w:r>
      <w:r w:rsidR="000639C2">
        <w:t>clients’ LLN levels</w:t>
      </w:r>
      <w:bookmarkEnd w:id="96"/>
      <w:bookmarkEnd w:id="97"/>
    </w:p>
    <w:p w14:paraId="32FDF0CE" w14:textId="1A7F636F" w:rsidR="00E5121B" w:rsidRDefault="00F2222F" w:rsidP="0008204D">
      <w:pPr>
        <w:pStyle w:val="BodyText"/>
      </w:pPr>
      <w:r>
        <w:t xml:space="preserve">As set out in Section </w:t>
      </w:r>
      <w:r>
        <w:fldChar w:fldCharType="begin"/>
      </w:r>
      <w:r>
        <w:instrText xml:space="preserve"> REF _Ref408574647 \r \h </w:instrText>
      </w:r>
      <w:r>
        <w:fldChar w:fldCharType="separate"/>
      </w:r>
      <w:r w:rsidR="00294A5A">
        <w:t>2.3</w:t>
      </w:r>
      <w:r>
        <w:fldChar w:fldCharType="end"/>
      </w:r>
      <w:r>
        <w:t xml:space="preserve">, the </w:t>
      </w:r>
      <w:r w:rsidR="00147674">
        <w:t>SEE programme</w:t>
      </w:r>
      <w:r w:rsidR="006A28F2">
        <w:t xml:space="preserve"> </w:t>
      </w:r>
      <w:r>
        <w:t xml:space="preserve">uses the ACSF to measure </w:t>
      </w:r>
      <w:r w:rsidR="00221649">
        <w:t>client</w:t>
      </w:r>
      <w:r>
        <w:t xml:space="preserve"> progress and learning outcomes. </w:t>
      </w:r>
    </w:p>
    <w:p w14:paraId="530BD9D7" w14:textId="6E880B6D" w:rsidR="0092439D" w:rsidRDefault="00F2222F" w:rsidP="0008204D">
      <w:pPr>
        <w:pStyle w:val="BodyText"/>
      </w:pPr>
      <w:r>
        <w:t xml:space="preserve">The ACSF covers five core skills areas </w:t>
      </w:r>
      <w:r w:rsidRPr="0000232F">
        <w:t>learning, reading, writing, oral communication and numeracy</w:t>
      </w:r>
      <w:r>
        <w:t xml:space="preserve">. </w:t>
      </w:r>
      <w:r w:rsidR="00304AAF">
        <w:t>There are 11 performance indic</w:t>
      </w:r>
      <w:r w:rsidR="006E6516">
        <w:t>a</w:t>
      </w:r>
      <w:r w:rsidR="00304AAF">
        <w:t xml:space="preserve">tors across the ASCF </w:t>
      </w:r>
      <w:r w:rsidR="00304AAF" w:rsidRPr="00304AAF">
        <w:t xml:space="preserve">two each for Learning, Reading, Writing and Oral Communication and three for Numeracy </w:t>
      </w:r>
      <w:r w:rsidR="00304AAF">
        <w:t>(</w:t>
      </w:r>
      <w:r w:rsidR="00304AAF">
        <w:fldChar w:fldCharType="begin"/>
      </w:r>
      <w:r w:rsidR="00304AAF">
        <w:instrText xml:space="preserve"> REF _Ref408575678 \h </w:instrText>
      </w:r>
      <w:r w:rsidR="00304AAF">
        <w:fldChar w:fldCharType="separate"/>
      </w:r>
      <w:r w:rsidR="00294A5A">
        <w:t xml:space="preserve">Table </w:t>
      </w:r>
      <w:r w:rsidR="00294A5A">
        <w:rPr>
          <w:noProof/>
        </w:rPr>
        <w:t>9</w:t>
      </w:r>
      <w:r w:rsidR="00304AAF">
        <w:fldChar w:fldCharType="end"/>
      </w:r>
      <w:r w:rsidR="00304AAF">
        <w:t>).</w:t>
      </w:r>
    </w:p>
    <w:p w14:paraId="08B0E021" w14:textId="742B443D" w:rsidR="002E6589" w:rsidRDefault="002E6589" w:rsidP="002E6589">
      <w:pPr>
        <w:pStyle w:val="Caption"/>
        <w:ind w:left="-1417" w:hanging="1247"/>
      </w:pPr>
      <w:bookmarkStart w:id="98" w:name="_Ref408575678"/>
      <w:bookmarkStart w:id="99" w:name="_Toc420065505"/>
      <w:r>
        <w:t xml:space="preserve">Table </w:t>
      </w:r>
      <w:fldSimple w:instr=" SEQ Table \* MERGEFORMAT ">
        <w:r w:rsidR="00294A5A">
          <w:rPr>
            <w:noProof/>
          </w:rPr>
          <w:t>9</w:t>
        </w:r>
      </w:fldSimple>
      <w:bookmarkEnd w:id="98"/>
      <w:r w:rsidRPr="002E6589">
        <w:rPr>
          <w:b/>
          <w:color w:val="000000"/>
        </w:rPr>
        <w:tab/>
      </w:r>
      <w:r w:rsidR="00AF70C4">
        <w:rPr>
          <w:b/>
          <w:color w:val="000000"/>
        </w:rPr>
        <w:t xml:space="preserve">ASCF </w:t>
      </w:r>
      <w:r w:rsidR="00E044DD">
        <w:rPr>
          <w:b/>
          <w:color w:val="000000"/>
        </w:rPr>
        <w:t>performance indicators</w:t>
      </w:r>
      <w:bookmarkEnd w:id="99"/>
      <w:r w:rsidR="00AF70C4">
        <w:rPr>
          <w:b/>
          <w:color w:val="000000"/>
        </w:rPr>
        <w:t xml:space="preserve"> </w:t>
      </w:r>
    </w:p>
    <w:tbl>
      <w:tblPr>
        <w:tblW w:w="9922" w:type="dxa"/>
        <w:tblInd w:w="-2551"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2125"/>
        <w:gridCol w:w="1276"/>
        <w:gridCol w:w="6521"/>
      </w:tblGrid>
      <w:tr w:rsidR="00E044DD" w14:paraId="11BFA9B1" w14:textId="77777777" w:rsidTr="00E044DD">
        <w:trPr>
          <w:cantSplit/>
        </w:trPr>
        <w:tc>
          <w:tcPr>
            <w:tcW w:w="2125" w:type="dxa"/>
            <w:tcBorders>
              <w:top w:val="nil"/>
              <w:bottom w:val="single" w:sz="2" w:space="0" w:color="C0C0C0"/>
            </w:tcBorders>
            <w:shd w:val="solid" w:color="9757A6" w:fill="auto"/>
          </w:tcPr>
          <w:p w14:paraId="04930F5C" w14:textId="77777777" w:rsidR="00E044DD" w:rsidRDefault="00E044DD" w:rsidP="00E044DD">
            <w:pPr>
              <w:pStyle w:val="Tablecolumnheadings"/>
            </w:pPr>
            <w:r w:rsidRPr="005713CF">
              <w:t>Core Skill</w:t>
            </w:r>
          </w:p>
        </w:tc>
        <w:tc>
          <w:tcPr>
            <w:tcW w:w="1276" w:type="dxa"/>
            <w:tcBorders>
              <w:top w:val="nil"/>
              <w:bottom w:val="single" w:sz="2" w:space="0" w:color="C0C0C0"/>
            </w:tcBorders>
            <w:shd w:val="solid" w:color="9757A6" w:fill="auto"/>
            <w:vAlign w:val="center"/>
          </w:tcPr>
          <w:p w14:paraId="18C0E6D6" w14:textId="77777777" w:rsidR="00E044DD" w:rsidRDefault="00E044DD" w:rsidP="00E044DD">
            <w:pPr>
              <w:pStyle w:val="Tablecolumnheadings"/>
              <w:jc w:val="center"/>
            </w:pPr>
            <w:r w:rsidRPr="005713CF">
              <w:t>Indicator Number</w:t>
            </w:r>
          </w:p>
        </w:tc>
        <w:tc>
          <w:tcPr>
            <w:tcW w:w="6521" w:type="dxa"/>
            <w:tcBorders>
              <w:top w:val="nil"/>
              <w:bottom w:val="single" w:sz="2" w:space="0" w:color="C0C0C0"/>
            </w:tcBorders>
            <w:shd w:val="solid" w:color="9757A6" w:fill="auto"/>
          </w:tcPr>
          <w:p w14:paraId="3B644BE0" w14:textId="77777777" w:rsidR="00E044DD" w:rsidRDefault="00E044DD" w:rsidP="00E044DD">
            <w:pPr>
              <w:pStyle w:val="Tablecolumnheadings"/>
            </w:pPr>
            <w:r w:rsidRPr="005713CF">
              <w:t>Description</w:t>
            </w:r>
          </w:p>
        </w:tc>
      </w:tr>
      <w:tr w:rsidR="00E044DD" w14:paraId="17448E7C" w14:textId="77777777" w:rsidTr="00E044DD">
        <w:trPr>
          <w:cantSplit/>
        </w:trPr>
        <w:tc>
          <w:tcPr>
            <w:tcW w:w="2125" w:type="dxa"/>
            <w:vMerge w:val="restart"/>
            <w:shd w:val="clear" w:color="auto" w:fill="auto"/>
            <w:vAlign w:val="center"/>
          </w:tcPr>
          <w:p w14:paraId="00DDB290" w14:textId="77777777" w:rsidR="00E044DD" w:rsidRDefault="00E044DD" w:rsidP="00E044DD">
            <w:pPr>
              <w:pStyle w:val="Tabletext"/>
            </w:pPr>
            <w:r>
              <w:t>Learning</w:t>
            </w:r>
          </w:p>
        </w:tc>
        <w:tc>
          <w:tcPr>
            <w:tcW w:w="1276" w:type="dxa"/>
            <w:shd w:val="clear" w:color="auto" w:fill="auto"/>
            <w:vAlign w:val="center"/>
          </w:tcPr>
          <w:p w14:paraId="5417E7D2" w14:textId="77777777" w:rsidR="00E044DD" w:rsidRDefault="00E044DD" w:rsidP="00E044DD">
            <w:pPr>
              <w:pStyle w:val="Tabletext"/>
              <w:jc w:val="center"/>
            </w:pPr>
            <w:r w:rsidRPr="007576EF">
              <w:t>.01</w:t>
            </w:r>
          </w:p>
        </w:tc>
        <w:tc>
          <w:tcPr>
            <w:tcW w:w="6521" w:type="dxa"/>
            <w:shd w:val="clear" w:color="auto" w:fill="auto"/>
            <w:vAlign w:val="bottom"/>
          </w:tcPr>
          <w:p w14:paraId="34255542" w14:textId="77777777" w:rsidR="00E044DD" w:rsidRDefault="00E044DD" w:rsidP="00E044DD">
            <w:pPr>
              <w:pStyle w:val="Tabletext"/>
            </w:pPr>
            <w:r>
              <w:t>Active awareness of self as a learner, planning and management of learning</w:t>
            </w:r>
          </w:p>
        </w:tc>
      </w:tr>
      <w:tr w:rsidR="00E044DD" w14:paraId="70E8A808" w14:textId="77777777" w:rsidTr="00E044DD">
        <w:trPr>
          <w:cantSplit/>
        </w:trPr>
        <w:tc>
          <w:tcPr>
            <w:tcW w:w="2125" w:type="dxa"/>
            <w:vMerge/>
            <w:shd w:val="clear" w:color="auto" w:fill="auto"/>
            <w:vAlign w:val="center"/>
          </w:tcPr>
          <w:p w14:paraId="3C1AE5CB" w14:textId="77777777" w:rsidR="00E044DD" w:rsidRDefault="00E044DD" w:rsidP="00E044DD">
            <w:pPr>
              <w:pStyle w:val="Tabletext"/>
            </w:pPr>
          </w:p>
        </w:tc>
        <w:tc>
          <w:tcPr>
            <w:tcW w:w="1276" w:type="dxa"/>
            <w:shd w:val="clear" w:color="auto" w:fill="auto"/>
            <w:vAlign w:val="center"/>
          </w:tcPr>
          <w:p w14:paraId="6EEE5FCE" w14:textId="77777777" w:rsidR="00E044DD" w:rsidRDefault="00E044DD" w:rsidP="00E044DD">
            <w:pPr>
              <w:pStyle w:val="Tabletext"/>
              <w:jc w:val="center"/>
            </w:pPr>
            <w:r w:rsidRPr="007576EF">
              <w:t>.02</w:t>
            </w:r>
          </w:p>
        </w:tc>
        <w:tc>
          <w:tcPr>
            <w:tcW w:w="6521" w:type="dxa"/>
            <w:shd w:val="clear" w:color="auto" w:fill="auto"/>
            <w:vAlign w:val="bottom"/>
          </w:tcPr>
          <w:p w14:paraId="49DE517B" w14:textId="77777777" w:rsidR="00E044DD" w:rsidRDefault="00E044DD" w:rsidP="00E044DD">
            <w:pPr>
              <w:pStyle w:val="Tabletext"/>
            </w:pPr>
            <w:r>
              <w:t>Acquisition and application of practical strategies that facilitate learning</w:t>
            </w:r>
          </w:p>
        </w:tc>
      </w:tr>
      <w:tr w:rsidR="00E044DD" w14:paraId="268ED076" w14:textId="77777777" w:rsidTr="00E044DD">
        <w:trPr>
          <w:cantSplit/>
        </w:trPr>
        <w:tc>
          <w:tcPr>
            <w:tcW w:w="2125" w:type="dxa"/>
            <w:vMerge w:val="restart"/>
            <w:shd w:val="clear" w:color="auto" w:fill="auto"/>
            <w:vAlign w:val="center"/>
          </w:tcPr>
          <w:p w14:paraId="28833EA2" w14:textId="77777777" w:rsidR="00E044DD" w:rsidRDefault="00E044DD" w:rsidP="00E044DD">
            <w:pPr>
              <w:pStyle w:val="Tabletext"/>
            </w:pPr>
            <w:r>
              <w:t xml:space="preserve">Reading </w:t>
            </w:r>
          </w:p>
        </w:tc>
        <w:tc>
          <w:tcPr>
            <w:tcW w:w="1276" w:type="dxa"/>
            <w:shd w:val="clear" w:color="auto" w:fill="auto"/>
            <w:vAlign w:val="center"/>
          </w:tcPr>
          <w:p w14:paraId="4E068CEA" w14:textId="77777777" w:rsidR="00E044DD" w:rsidRDefault="00E044DD" w:rsidP="00E044DD">
            <w:pPr>
              <w:pStyle w:val="Tabletext"/>
              <w:jc w:val="center"/>
            </w:pPr>
            <w:r w:rsidRPr="007576EF">
              <w:t>.03</w:t>
            </w:r>
          </w:p>
        </w:tc>
        <w:tc>
          <w:tcPr>
            <w:tcW w:w="6521" w:type="dxa"/>
            <w:shd w:val="clear" w:color="auto" w:fill="auto"/>
            <w:vAlign w:val="bottom"/>
          </w:tcPr>
          <w:p w14:paraId="6C58D275" w14:textId="77777777" w:rsidR="00E044DD" w:rsidRDefault="00E044DD" w:rsidP="00E044DD">
            <w:pPr>
              <w:pStyle w:val="Tabletext"/>
            </w:pPr>
            <w:r>
              <w:t>Audience, purpose and meaning-making</w:t>
            </w:r>
          </w:p>
        </w:tc>
      </w:tr>
      <w:tr w:rsidR="00E044DD" w14:paraId="77483A99" w14:textId="77777777" w:rsidTr="00E044DD">
        <w:trPr>
          <w:cantSplit/>
        </w:trPr>
        <w:tc>
          <w:tcPr>
            <w:tcW w:w="2125" w:type="dxa"/>
            <w:vMerge/>
            <w:shd w:val="clear" w:color="auto" w:fill="auto"/>
            <w:vAlign w:val="center"/>
          </w:tcPr>
          <w:p w14:paraId="4FDFFF61" w14:textId="77777777" w:rsidR="00E044DD" w:rsidRDefault="00E044DD" w:rsidP="00E044DD">
            <w:pPr>
              <w:pStyle w:val="Tabletext"/>
            </w:pPr>
          </w:p>
        </w:tc>
        <w:tc>
          <w:tcPr>
            <w:tcW w:w="1276" w:type="dxa"/>
            <w:shd w:val="clear" w:color="auto" w:fill="auto"/>
            <w:vAlign w:val="center"/>
          </w:tcPr>
          <w:p w14:paraId="5F551523" w14:textId="77777777" w:rsidR="00E044DD" w:rsidRDefault="00E044DD" w:rsidP="00E044DD">
            <w:pPr>
              <w:pStyle w:val="Tabletext"/>
              <w:jc w:val="center"/>
            </w:pPr>
            <w:r w:rsidRPr="007576EF">
              <w:t>.04</w:t>
            </w:r>
          </w:p>
        </w:tc>
        <w:tc>
          <w:tcPr>
            <w:tcW w:w="6521" w:type="dxa"/>
            <w:shd w:val="clear" w:color="auto" w:fill="auto"/>
            <w:vAlign w:val="bottom"/>
          </w:tcPr>
          <w:p w14:paraId="5E18C4F1" w14:textId="77777777" w:rsidR="00E044DD" w:rsidRDefault="00E044DD" w:rsidP="00E044DD">
            <w:pPr>
              <w:pStyle w:val="Tabletext"/>
            </w:pPr>
            <w:r>
              <w:t>Reading strategies</w:t>
            </w:r>
          </w:p>
        </w:tc>
      </w:tr>
      <w:tr w:rsidR="00E044DD" w14:paraId="3A062923" w14:textId="77777777" w:rsidTr="00E044DD">
        <w:trPr>
          <w:cantSplit/>
        </w:trPr>
        <w:tc>
          <w:tcPr>
            <w:tcW w:w="2125" w:type="dxa"/>
            <w:vMerge w:val="restart"/>
            <w:shd w:val="clear" w:color="auto" w:fill="auto"/>
            <w:vAlign w:val="center"/>
          </w:tcPr>
          <w:p w14:paraId="28FCF2C0" w14:textId="77777777" w:rsidR="00E044DD" w:rsidRDefault="00E044DD" w:rsidP="00E044DD">
            <w:pPr>
              <w:pStyle w:val="Tabletext"/>
            </w:pPr>
            <w:r>
              <w:t>Writing</w:t>
            </w:r>
          </w:p>
        </w:tc>
        <w:tc>
          <w:tcPr>
            <w:tcW w:w="1276" w:type="dxa"/>
            <w:shd w:val="clear" w:color="auto" w:fill="auto"/>
            <w:vAlign w:val="center"/>
          </w:tcPr>
          <w:p w14:paraId="0AF96A46" w14:textId="77777777" w:rsidR="00E044DD" w:rsidRDefault="00E044DD" w:rsidP="00E044DD">
            <w:pPr>
              <w:pStyle w:val="Tabletext"/>
              <w:jc w:val="center"/>
            </w:pPr>
            <w:r w:rsidRPr="007576EF">
              <w:t>.05</w:t>
            </w:r>
          </w:p>
        </w:tc>
        <w:tc>
          <w:tcPr>
            <w:tcW w:w="6521" w:type="dxa"/>
            <w:shd w:val="clear" w:color="auto" w:fill="auto"/>
            <w:vAlign w:val="bottom"/>
          </w:tcPr>
          <w:p w14:paraId="1D6EAD97" w14:textId="77777777" w:rsidR="00E044DD" w:rsidRDefault="00E044DD" w:rsidP="00E044DD">
            <w:pPr>
              <w:pStyle w:val="Tabletext"/>
            </w:pPr>
            <w:r>
              <w:t>Audience, purpose and meaning-making</w:t>
            </w:r>
          </w:p>
        </w:tc>
      </w:tr>
      <w:tr w:rsidR="00E044DD" w14:paraId="558D676D" w14:textId="77777777" w:rsidTr="00E044DD">
        <w:trPr>
          <w:cantSplit/>
        </w:trPr>
        <w:tc>
          <w:tcPr>
            <w:tcW w:w="2125" w:type="dxa"/>
            <w:vMerge/>
            <w:shd w:val="clear" w:color="auto" w:fill="auto"/>
            <w:vAlign w:val="center"/>
          </w:tcPr>
          <w:p w14:paraId="1964EECC" w14:textId="77777777" w:rsidR="00E044DD" w:rsidRDefault="00E044DD" w:rsidP="00E044DD">
            <w:pPr>
              <w:pStyle w:val="Tabletext"/>
            </w:pPr>
          </w:p>
        </w:tc>
        <w:tc>
          <w:tcPr>
            <w:tcW w:w="1276" w:type="dxa"/>
            <w:shd w:val="clear" w:color="auto" w:fill="auto"/>
            <w:vAlign w:val="center"/>
          </w:tcPr>
          <w:p w14:paraId="5029BBBC" w14:textId="77777777" w:rsidR="00E044DD" w:rsidRDefault="00E044DD" w:rsidP="00E044DD">
            <w:pPr>
              <w:pStyle w:val="Tabletext"/>
              <w:jc w:val="center"/>
            </w:pPr>
            <w:r w:rsidRPr="007576EF">
              <w:t>.06</w:t>
            </w:r>
          </w:p>
        </w:tc>
        <w:tc>
          <w:tcPr>
            <w:tcW w:w="6521" w:type="dxa"/>
            <w:shd w:val="clear" w:color="auto" w:fill="auto"/>
            <w:vAlign w:val="bottom"/>
          </w:tcPr>
          <w:p w14:paraId="6C13FAE7" w14:textId="77777777" w:rsidR="00E044DD" w:rsidRDefault="00E044DD" w:rsidP="00E044DD">
            <w:pPr>
              <w:pStyle w:val="Tabletext"/>
            </w:pPr>
            <w:r>
              <w:t>The mechanics of writing</w:t>
            </w:r>
          </w:p>
        </w:tc>
      </w:tr>
      <w:tr w:rsidR="00E044DD" w14:paraId="5EB40A67" w14:textId="77777777" w:rsidTr="00E044DD">
        <w:trPr>
          <w:cantSplit/>
        </w:trPr>
        <w:tc>
          <w:tcPr>
            <w:tcW w:w="2125" w:type="dxa"/>
            <w:vMerge w:val="restart"/>
            <w:shd w:val="clear" w:color="auto" w:fill="auto"/>
            <w:vAlign w:val="center"/>
          </w:tcPr>
          <w:p w14:paraId="2CC5B603" w14:textId="77777777" w:rsidR="00E044DD" w:rsidRDefault="00E044DD" w:rsidP="00E044DD">
            <w:pPr>
              <w:pStyle w:val="Tabletext"/>
            </w:pPr>
            <w:r>
              <w:t>Oral Communication</w:t>
            </w:r>
          </w:p>
        </w:tc>
        <w:tc>
          <w:tcPr>
            <w:tcW w:w="1276" w:type="dxa"/>
            <w:shd w:val="clear" w:color="auto" w:fill="auto"/>
            <w:vAlign w:val="center"/>
          </w:tcPr>
          <w:p w14:paraId="37E45CC5" w14:textId="77777777" w:rsidR="00E044DD" w:rsidRDefault="00E044DD" w:rsidP="00E044DD">
            <w:pPr>
              <w:pStyle w:val="Tabletext"/>
              <w:jc w:val="center"/>
            </w:pPr>
            <w:r w:rsidRPr="007576EF">
              <w:t>.07</w:t>
            </w:r>
          </w:p>
        </w:tc>
        <w:tc>
          <w:tcPr>
            <w:tcW w:w="6521" w:type="dxa"/>
            <w:shd w:val="clear" w:color="auto" w:fill="auto"/>
            <w:vAlign w:val="bottom"/>
          </w:tcPr>
          <w:p w14:paraId="4EC7B693" w14:textId="77777777" w:rsidR="00E044DD" w:rsidRDefault="00E044DD" w:rsidP="00E044DD">
            <w:pPr>
              <w:pStyle w:val="Tabletext"/>
            </w:pPr>
            <w:r>
              <w:t>Speaking</w:t>
            </w:r>
          </w:p>
        </w:tc>
      </w:tr>
      <w:tr w:rsidR="00E044DD" w14:paraId="0F56FC4C" w14:textId="77777777" w:rsidTr="00E044DD">
        <w:trPr>
          <w:cantSplit/>
        </w:trPr>
        <w:tc>
          <w:tcPr>
            <w:tcW w:w="2125" w:type="dxa"/>
            <w:vMerge/>
            <w:shd w:val="clear" w:color="auto" w:fill="auto"/>
            <w:vAlign w:val="center"/>
          </w:tcPr>
          <w:p w14:paraId="3C000BED" w14:textId="77777777" w:rsidR="00E044DD" w:rsidRDefault="00E044DD" w:rsidP="00E044DD">
            <w:pPr>
              <w:pStyle w:val="Tabletext"/>
            </w:pPr>
          </w:p>
        </w:tc>
        <w:tc>
          <w:tcPr>
            <w:tcW w:w="1276" w:type="dxa"/>
            <w:shd w:val="clear" w:color="auto" w:fill="auto"/>
            <w:vAlign w:val="center"/>
          </w:tcPr>
          <w:p w14:paraId="68D65C43" w14:textId="77777777" w:rsidR="00E044DD" w:rsidRDefault="00E044DD" w:rsidP="00E044DD">
            <w:pPr>
              <w:pStyle w:val="Tabletext"/>
              <w:jc w:val="center"/>
            </w:pPr>
            <w:r w:rsidRPr="007576EF">
              <w:t>.08</w:t>
            </w:r>
          </w:p>
        </w:tc>
        <w:tc>
          <w:tcPr>
            <w:tcW w:w="6521" w:type="dxa"/>
            <w:shd w:val="clear" w:color="auto" w:fill="auto"/>
            <w:vAlign w:val="bottom"/>
          </w:tcPr>
          <w:p w14:paraId="029E5607" w14:textId="77777777" w:rsidR="00E044DD" w:rsidRDefault="00E044DD" w:rsidP="00E044DD">
            <w:pPr>
              <w:pStyle w:val="Tabletext"/>
            </w:pPr>
            <w:r>
              <w:t>Listening</w:t>
            </w:r>
          </w:p>
        </w:tc>
      </w:tr>
      <w:tr w:rsidR="00E044DD" w14:paraId="07AB56BB" w14:textId="77777777" w:rsidTr="00E044DD">
        <w:trPr>
          <w:cantSplit/>
        </w:trPr>
        <w:tc>
          <w:tcPr>
            <w:tcW w:w="2125" w:type="dxa"/>
            <w:vMerge w:val="restart"/>
            <w:shd w:val="clear" w:color="auto" w:fill="auto"/>
            <w:vAlign w:val="center"/>
          </w:tcPr>
          <w:p w14:paraId="1719BA78" w14:textId="77777777" w:rsidR="00E044DD" w:rsidRDefault="00E044DD" w:rsidP="00E044DD">
            <w:pPr>
              <w:pStyle w:val="Tabletext"/>
            </w:pPr>
            <w:r>
              <w:t>Numeracy</w:t>
            </w:r>
          </w:p>
        </w:tc>
        <w:tc>
          <w:tcPr>
            <w:tcW w:w="1276" w:type="dxa"/>
            <w:shd w:val="clear" w:color="auto" w:fill="auto"/>
            <w:vAlign w:val="center"/>
          </w:tcPr>
          <w:p w14:paraId="51134351" w14:textId="77777777" w:rsidR="00E044DD" w:rsidRDefault="00E044DD" w:rsidP="00E044DD">
            <w:pPr>
              <w:pStyle w:val="Tabletext"/>
              <w:jc w:val="center"/>
            </w:pPr>
            <w:r w:rsidRPr="007576EF">
              <w:t>.09</w:t>
            </w:r>
          </w:p>
        </w:tc>
        <w:tc>
          <w:tcPr>
            <w:tcW w:w="6521" w:type="dxa"/>
            <w:shd w:val="clear" w:color="auto" w:fill="auto"/>
            <w:vAlign w:val="bottom"/>
          </w:tcPr>
          <w:p w14:paraId="6B0A5D54" w14:textId="77777777" w:rsidR="00E044DD" w:rsidRDefault="00E044DD" w:rsidP="00E044DD">
            <w:pPr>
              <w:pStyle w:val="Tabletext"/>
            </w:pPr>
            <w:r>
              <w:t>Identifying mathematical information and meaning in activities and texts</w:t>
            </w:r>
          </w:p>
        </w:tc>
      </w:tr>
      <w:tr w:rsidR="00E044DD" w14:paraId="51A7D7D7" w14:textId="77777777" w:rsidTr="00E044DD">
        <w:trPr>
          <w:cantSplit/>
        </w:trPr>
        <w:tc>
          <w:tcPr>
            <w:tcW w:w="2125" w:type="dxa"/>
            <w:vMerge/>
            <w:shd w:val="clear" w:color="auto" w:fill="auto"/>
            <w:vAlign w:val="center"/>
          </w:tcPr>
          <w:p w14:paraId="532AF71C" w14:textId="77777777" w:rsidR="00E044DD" w:rsidRDefault="00E044DD" w:rsidP="00E044DD">
            <w:pPr>
              <w:pStyle w:val="Tabletext"/>
            </w:pPr>
          </w:p>
        </w:tc>
        <w:tc>
          <w:tcPr>
            <w:tcW w:w="1276" w:type="dxa"/>
            <w:tcBorders>
              <w:bottom w:val="single" w:sz="2" w:space="0" w:color="C0C0C0"/>
            </w:tcBorders>
            <w:shd w:val="clear" w:color="auto" w:fill="auto"/>
            <w:vAlign w:val="center"/>
          </w:tcPr>
          <w:p w14:paraId="3256C956" w14:textId="77777777" w:rsidR="00E044DD" w:rsidRDefault="00E044DD" w:rsidP="00E044DD">
            <w:pPr>
              <w:pStyle w:val="Tabletext"/>
              <w:jc w:val="center"/>
            </w:pPr>
            <w:r w:rsidRPr="007576EF">
              <w:t>.1</w:t>
            </w:r>
            <w:r>
              <w:t>0</w:t>
            </w:r>
          </w:p>
        </w:tc>
        <w:tc>
          <w:tcPr>
            <w:tcW w:w="6521" w:type="dxa"/>
            <w:tcBorders>
              <w:bottom w:val="single" w:sz="2" w:space="0" w:color="C0C0C0"/>
            </w:tcBorders>
            <w:shd w:val="clear" w:color="auto" w:fill="auto"/>
            <w:vAlign w:val="bottom"/>
          </w:tcPr>
          <w:p w14:paraId="4676ABC1" w14:textId="77777777" w:rsidR="00E044DD" w:rsidRDefault="00E044DD" w:rsidP="00E044DD">
            <w:pPr>
              <w:pStyle w:val="Tabletext"/>
            </w:pPr>
            <w:r>
              <w:t>Using and applying mathematical knowledge and problem solving processes</w:t>
            </w:r>
          </w:p>
        </w:tc>
      </w:tr>
      <w:tr w:rsidR="00E044DD" w14:paraId="48112C54" w14:textId="77777777" w:rsidTr="00E044DD">
        <w:trPr>
          <w:cantSplit/>
        </w:trPr>
        <w:tc>
          <w:tcPr>
            <w:tcW w:w="2125" w:type="dxa"/>
            <w:vMerge/>
            <w:tcBorders>
              <w:bottom w:val="single" w:sz="2" w:space="0" w:color="999999"/>
            </w:tcBorders>
            <w:shd w:val="clear" w:color="auto" w:fill="auto"/>
            <w:vAlign w:val="center"/>
          </w:tcPr>
          <w:p w14:paraId="2F102CF2" w14:textId="77777777" w:rsidR="00E044DD" w:rsidRDefault="00E044DD" w:rsidP="00E044DD">
            <w:pPr>
              <w:pStyle w:val="Tabletext"/>
            </w:pPr>
          </w:p>
        </w:tc>
        <w:tc>
          <w:tcPr>
            <w:tcW w:w="1276" w:type="dxa"/>
            <w:tcBorders>
              <w:top w:val="single" w:sz="2" w:space="0" w:color="C0C0C0"/>
              <w:bottom w:val="single" w:sz="2" w:space="0" w:color="999999"/>
            </w:tcBorders>
            <w:shd w:val="clear" w:color="auto" w:fill="auto"/>
            <w:vAlign w:val="center"/>
          </w:tcPr>
          <w:p w14:paraId="1A991197" w14:textId="77777777" w:rsidR="00E044DD" w:rsidRDefault="00E044DD" w:rsidP="00E044DD">
            <w:pPr>
              <w:pStyle w:val="Tabletext"/>
              <w:jc w:val="center"/>
            </w:pPr>
            <w:r w:rsidRPr="007576EF">
              <w:t>.11</w:t>
            </w:r>
          </w:p>
        </w:tc>
        <w:tc>
          <w:tcPr>
            <w:tcW w:w="6521" w:type="dxa"/>
            <w:tcBorders>
              <w:top w:val="single" w:sz="2" w:space="0" w:color="C0C0C0"/>
              <w:bottom w:val="single" w:sz="2" w:space="0" w:color="999999"/>
            </w:tcBorders>
            <w:shd w:val="clear" w:color="auto" w:fill="auto"/>
            <w:vAlign w:val="bottom"/>
          </w:tcPr>
          <w:p w14:paraId="7D4480E1" w14:textId="77777777" w:rsidR="00E044DD" w:rsidRDefault="00E044DD" w:rsidP="00E044DD">
            <w:pPr>
              <w:pStyle w:val="Tabletext"/>
            </w:pPr>
            <w:r w:rsidRPr="00E044DD">
              <w:t>Communicating and representing mathematics</w:t>
            </w:r>
          </w:p>
        </w:tc>
      </w:tr>
    </w:tbl>
    <w:p w14:paraId="55DE5E44" w14:textId="77777777" w:rsidR="002E6589" w:rsidRPr="00E044DD" w:rsidRDefault="002E6589" w:rsidP="002E6589">
      <w:pPr>
        <w:pStyle w:val="Source"/>
        <w:ind w:left="-2551"/>
      </w:pPr>
      <w:r>
        <w:t>Source</w:t>
      </w:r>
      <w:r w:rsidRPr="002E6589">
        <w:rPr>
          <w:i/>
        </w:rPr>
        <w:t xml:space="preserve">: </w:t>
      </w:r>
      <w:r w:rsidR="00E044DD">
        <w:t>ACSF</w:t>
      </w:r>
    </w:p>
    <w:p w14:paraId="4ED3490B" w14:textId="3C76B1C2" w:rsidR="00E5121B" w:rsidRDefault="00E5121B" w:rsidP="00EE7926">
      <w:pPr>
        <w:pStyle w:val="BodyText"/>
        <w:keepNext/>
      </w:pPr>
      <w:r>
        <w:t xml:space="preserve">The ACSF uses </w:t>
      </w:r>
      <w:r w:rsidR="00070285">
        <w:t>six</w:t>
      </w:r>
      <w:r>
        <w:t xml:space="preserve"> levels to describe performance at each performance indicator (</w:t>
      </w:r>
      <w:r w:rsidR="00304AAF">
        <w:fldChar w:fldCharType="begin"/>
      </w:r>
      <w:r w:rsidR="00304AAF">
        <w:instrText xml:space="preserve"> REF _Ref408575691 \h </w:instrText>
      </w:r>
      <w:r w:rsidR="00304AAF">
        <w:fldChar w:fldCharType="separate"/>
      </w:r>
      <w:r w:rsidR="00294A5A">
        <w:t xml:space="preserve">Table </w:t>
      </w:r>
      <w:r w:rsidR="00294A5A">
        <w:rPr>
          <w:noProof/>
        </w:rPr>
        <w:t>10</w:t>
      </w:r>
      <w:r w:rsidR="00304AAF">
        <w:fldChar w:fldCharType="end"/>
      </w:r>
      <w:r>
        <w:t xml:space="preserve">). </w:t>
      </w:r>
    </w:p>
    <w:p w14:paraId="1AA60BE2" w14:textId="086444C7" w:rsidR="00353B84" w:rsidRDefault="00353B84" w:rsidP="00353B84">
      <w:pPr>
        <w:pStyle w:val="Caption"/>
        <w:ind w:left="-1417" w:hanging="1247"/>
      </w:pPr>
      <w:bookmarkStart w:id="100" w:name="_Ref408575691"/>
      <w:bookmarkStart w:id="101" w:name="_Toc420065506"/>
      <w:r>
        <w:t xml:space="preserve">Table </w:t>
      </w:r>
      <w:fldSimple w:instr=" SEQ Table \* MERGEFORMAT ">
        <w:r w:rsidR="00294A5A">
          <w:rPr>
            <w:noProof/>
          </w:rPr>
          <w:t>10</w:t>
        </w:r>
      </w:fldSimple>
      <w:bookmarkEnd w:id="100"/>
      <w:r w:rsidRPr="00353B84">
        <w:rPr>
          <w:b/>
          <w:color w:val="000000"/>
        </w:rPr>
        <w:tab/>
      </w:r>
      <w:r>
        <w:rPr>
          <w:b/>
          <w:color w:val="000000"/>
        </w:rPr>
        <w:t>ASCF levels of performance</w:t>
      </w:r>
      <w:bookmarkEnd w:id="101"/>
    </w:p>
    <w:tbl>
      <w:tblPr>
        <w:tblW w:w="9922" w:type="dxa"/>
        <w:tblInd w:w="-2551"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708"/>
        <w:gridCol w:w="2303"/>
        <w:gridCol w:w="2304"/>
        <w:gridCol w:w="2303"/>
        <w:gridCol w:w="2304"/>
      </w:tblGrid>
      <w:tr w:rsidR="00353B84" w14:paraId="6A103FDD" w14:textId="77777777" w:rsidTr="00353B84">
        <w:trPr>
          <w:cantSplit/>
        </w:trPr>
        <w:tc>
          <w:tcPr>
            <w:tcW w:w="708" w:type="dxa"/>
            <w:tcBorders>
              <w:top w:val="nil"/>
              <w:bottom w:val="single" w:sz="2" w:space="0" w:color="C0C0C0"/>
            </w:tcBorders>
            <w:shd w:val="solid" w:color="9757A6" w:fill="auto"/>
            <w:vAlign w:val="center"/>
          </w:tcPr>
          <w:p w14:paraId="6F228B41" w14:textId="77777777" w:rsidR="00353B84" w:rsidRDefault="00353B84" w:rsidP="00353B84">
            <w:pPr>
              <w:pStyle w:val="Tablecolumnheadings"/>
            </w:pPr>
            <w:r>
              <w:t>ACSF level</w:t>
            </w:r>
          </w:p>
        </w:tc>
        <w:tc>
          <w:tcPr>
            <w:tcW w:w="2303" w:type="dxa"/>
            <w:tcBorders>
              <w:top w:val="nil"/>
              <w:bottom w:val="single" w:sz="2" w:space="0" w:color="C0C0C0"/>
            </w:tcBorders>
            <w:shd w:val="solid" w:color="9757A6" w:fill="auto"/>
          </w:tcPr>
          <w:p w14:paraId="1B45389F" w14:textId="77777777" w:rsidR="00353B84" w:rsidRDefault="00353B84" w:rsidP="00353B84">
            <w:pPr>
              <w:pStyle w:val="Tablecolumnheadings"/>
            </w:pPr>
            <w:r w:rsidRPr="00890997">
              <w:t>Support</w:t>
            </w:r>
          </w:p>
        </w:tc>
        <w:tc>
          <w:tcPr>
            <w:tcW w:w="2304" w:type="dxa"/>
            <w:tcBorders>
              <w:top w:val="nil"/>
              <w:bottom w:val="single" w:sz="2" w:space="0" w:color="C0C0C0"/>
            </w:tcBorders>
            <w:shd w:val="solid" w:color="9757A6" w:fill="auto"/>
          </w:tcPr>
          <w:p w14:paraId="4999F6EA" w14:textId="77777777" w:rsidR="00353B84" w:rsidRDefault="00353B84" w:rsidP="00353B84">
            <w:pPr>
              <w:pStyle w:val="Tablecolumnheadings"/>
            </w:pPr>
            <w:r w:rsidRPr="00890997">
              <w:t>Context</w:t>
            </w:r>
          </w:p>
        </w:tc>
        <w:tc>
          <w:tcPr>
            <w:tcW w:w="2303" w:type="dxa"/>
            <w:tcBorders>
              <w:top w:val="nil"/>
              <w:bottom w:val="single" w:sz="2" w:space="0" w:color="C0C0C0"/>
            </w:tcBorders>
            <w:shd w:val="solid" w:color="9757A6" w:fill="auto"/>
          </w:tcPr>
          <w:p w14:paraId="32A24FF7" w14:textId="77777777" w:rsidR="00353B84" w:rsidRDefault="00353B84" w:rsidP="00353B84">
            <w:pPr>
              <w:pStyle w:val="Tablecolumnheadings"/>
            </w:pPr>
            <w:r w:rsidRPr="00890997">
              <w:t>Text complexity</w:t>
            </w:r>
          </w:p>
        </w:tc>
        <w:tc>
          <w:tcPr>
            <w:tcW w:w="2304" w:type="dxa"/>
            <w:tcBorders>
              <w:top w:val="nil"/>
              <w:bottom w:val="single" w:sz="2" w:space="0" w:color="C0C0C0"/>
            </w:tcBorders>
            <w:shd w:val="solid" w:color="9757A6" w:fill="auto"/>
          </w:tcPr>
          <w:p w14:paraId="17E29238" w14:textId="77777777" w:rsidR="00353B84" w:rsidRDefault="00353B84" w:rsidP="00353B84">
            <w:pPr>
              <w:pStyle w:val="Tablecolumnheadings"/>
            </w:pPr>
            <w:r w:rsidRPr="00890997">
              <w:t>Task complexity</w:t>
            </w:r>
          </w:p>
        </w:tc>
      </w:tr>
      <w:tr w:rsidR="00353B84" w14:paraId="57B30BA0" w14:textId="77777777" w:rsidTr="00353B84">
        <w:trPr>
          <w:cantSplit/>
        </w:trPr>
        <w:tc>
          <w:tcPr>
            <w:tcW w:w="708" w:type="dxa"/>
            <w:shd w:val="clear" w:color="auto" w:fill="auto"/>
            <w:vAlign w:val="center"/>
          </w:tcPr>
          <w:p w14:paraId="0C6EF31B" w14:textId="54ED1BE6" w:rsidR="00353B84" w:rsidRDefault="00070285" w:rsidP="00353B84">
            <w:pPr>
              <w:pStyle w:val="Tabletext"/>
            </w:pPr>
            <w:r>
              <w:t>Pre</w:t>
            </w:r>
            <w:r w:rsidR="001537C2">
              <w:t>-</w:t>
            </w:r>
            <w:r>
              <w:t>level 1</w:t>
            </w:r>
          </w:p>
        </w:tc>
        <w:tc>
          <w:tcPr>
            <w:tcW w:w="2303" w:type="dxa"/>
            <w:shd w:val="clear" w:color="auto" w:fill="auto"/>
          </w:tcPr>
          <w:p w14:paraId="177102EA" w14:textId="77777777" w:rsidR="00094669" w:rsidRDefault="00094669" w:rsidP="00094669">
            <w:pPr>
              <w:pStyle w:val="Tabletext"/>
            </w:pPr>
            <w:r>
              <w:t>Significant support</w:t>
            </w:r>
          </w:p>
          <w:p w14:paraId="65899602" w14:textId="77777777" w:rsidR="00094669" w:rsidRDefault="00094669" w:rsidP="00094669">
            <w:pPr>
              <w:pStyle w:val="Tabletext"/>
            </w:pPr>
            <w:r>
              <w:t>Works alongside an expert/mentor</w:t>
            </w:r>
          </w:p>
          <w:p w14:paraId="6A4CC41C" w14:textId="77777777" w:rsidR="00353B84" w:rsidRDefault="00094669" w:rsidP="00094669">
            <w:pPr>
              <w:pStyle w:val="Tabletext"/>
            </w:pPr>
            <w:r>
              <w:t>Prompting, advice and modelling provided</w:t>
            </w:r>
          </w:p>
        </w:tc>
        <w:tc>
          <w:tcPr>
            <w:tcW w:w="2304" w:type="dxa"/>
            <w:shd w:val="clear" w:color="auto" w:fill="auto"/>
          </w:tcPr>
          <w:p w14:paraId="1E0C49E7" w14:textId="77777777" w:rsidR="00094669" w:rsidRDefault="00094669" w:rsidP="00094669">
            <w:pPr>
              <w:pStyle w:val="Tabletext"/>
            </w:pPr>
            <w:r>
              <w:t>Highly familiar contexts only</w:t>
            </w:r>
          </w:p>
          <w:p w14:paraId="587BF3B1" w14:textId="77777777" w:rsidR="00094669" w:rsidRDefault="00094669" w:rsidP="00094669">
            <w:pPr>
              <w:pStyle w:val="Tabletext"/>
            </w:pPr>
            <w:r>
              <w:t>Concrete and immediate</w:t>
            </w:r>
          </w:p>
          <w:p w14:paraId="26409FCC" w14:textId="77777777" w:rsidR="00353B84" w:rsidRDefault="00094669" w:rsidP="00094669">
            <w:pPr>
              <w:pStyle w:val="Tabletext"/>
            </w:pPr>
            <w:r>
              <w:t>Extremely restricted range of contexts</w:t>
            </w:r>
          </w:p>
        </w:tc>
        <w:tc>
          <w:tcPr>
            <w:tcW w:w="2303" w:type="dxa"/>
            <w:shd w:val="clear" w:color="auto" w:fill="auto"/>
          </w:tcPr>
          <w:p w14:paraId="183F2E6D" w14:textId="77777777" w:rsidR="00094669" w:rsidRDefault="00094669" w:rsidP="00094669">
            <w:pPr>
              <w:pStyle w:val="Tabletext"/>
            </w:pPr>
            <w:r>
              <w:t>Short and simple</w:t>
            </w:r>
          </w:p>
          <w:p w14:paraId="4AE4D2DB" w14:textId="77777777" w:rsidR="00094669" w:rsidRDefault="00094669" w:rsidP="00094669">
            <w:pPr>
              <w:pStyle w:val="Tabletext"/>
            </w:pPr>
            <w:r>
              <w:t>Highly explicit purpose</w:t>
            </w:r>
          </w:p>
          <w:p w14:paraId="4779EB6F" w14:textId="77777777" w:rsidR="00353B84" w:rsidRDefault="00094669" w:rsidP="00094669">
            <w:pPr>
              <w:pStyle w:val="Tabletext"/>
            </w:pPr>
            <w:r>
              <w:t>Limited, highly familiar vocabulary</w:t>
            </w:r>
          </w:p>
        </w:tc>
        <w:tc>
          <w:tcPr>
            <w:tcW w:w="2304" w:type="dxa"/>
            <w:shd w:val="clear" w:color="auto" w:fill="auto"/>
          </w:tcPr>
          <w:p w14:paraId="2B49CCEE" w14:textId="77777777" w:rsidR="00094669" w:rsidRDefault="00094669" w:rsidP="00094669">
            <w:pPr>
              <w:pStyle w:val="Tabletext"/>
            </w:pPr>
            <w:r>
              <w:t>Single step, concrete tasks</w:t>
            </w:r>
          </w:p>
          <w:p w14:paraId="49478480" w14:textId="77777777" w:rsidR="00353B84" w:rsidRDefault="00094669" w:rsidP="00094669">
            <w:pPr>
              <w:pStyle w:val="Tabletext"/>
            </w:pPr>
            <w:r>
              <w:t>Processes include copying, naming, matching, ordering</w:t>
            </w:r>
          </w:p>
        </w:tc>
      </w:tr>
      <w:tr w:rsidR="00094669" w14:paraId="47CAFDE5" w14:textId="77777777" w:rsidTr="00353B84">
        <w:trPr>
          <w:cantSplit/>
        </w:trPr>
        <w:tc>
          <w:tcPr>
            <w:tcW w:w="708" w:type="dxa"/>
            <w:shd w:val="clear" w:color="auto" w:fill="auto"/>
            <w:vAlign w:val="center"/>
          </w:tcPr>
          <w:p w14:paraId="0AD1CCE6" w14:textId="77777777" w:rsidR="00094669" w:rsidRDefault="00094669" w:rsidP="00094669">
            <w:pPr>
              <w:pStyle w:val="Tabletext"/>
            </w:pPr>
            <w:r>
              <w:t>1</w:t>
            </w:r>
          </w:p>
        </w:tc>
        <w:tc>
          <w:tcPr>
            <w:tcW w:w="2303" w:type="dxa"/>
            <w:shd w:val="clear" w:color="auto" w:fill="auto"/>
          </w:tcPr>
          <w:p w14:paraId="2DAE49E1" w14:textId="77777777" w:rsidR="00094669" w:rsidRDefault="00094669" w:rsidP="00094669">
            <w:pPr>
              <w:pStyle w:val="Tabletext"/>
              <w:rPr>
                <w:lang w:val="en-US"/>
              </w:rPr>
            </w:pPr>
            <w:r>
              <w:rPr>
                <w:lang w:val="en-US"/>
              </w:rPr>
              <w:t>Works alongside an expert/ mentor where prompting and advice can be provided</w:t>
            </w:r>
          </w:p>
        </w:tc>
        <w:tc>
          <w:tcPr>
            <w:tcW w:w="2304" w:type="dxa"/>
            <w:shd w:val="clear" w:color="auto" w:fill="auto"/>
          </w:tcPr>
          <w:p w14:paraId="12550AAB" w14:textId="77777777" w:rsidR="00094669" w:rsidRDefault="00094669" w:rsidP="00094669">
            <w:pPr>
              <w:pStyle w:val="Tabletext"/>
              <w:rPr>
                <w:lang w:val="en-US"/>
              </w:rPr>
            </w:pPr>
            <w:r>
              <w:rPr>
                <w:lang w:val="en-US"/>
              </w:rPr>
              <w:t xml:space="preserve">Highly familiar contexts </w:t>
            </w:r>
            <w:r>
              <w:rPr>
                <w:lang w:val="en-US"/>
              </w:rPr>
              <w:br/>
              <w:t>Concrete and immediate Very restricted range of contexts</w:t>
            </w:r>
          </w:p>
        </w:tc>
        <w:tc>
          <w:tcPr>
            <w:tcW w:w="2303" w:type="dxa"/>
            <w:shd w:val="clear" w:color="auto" w:fill="auto"/>
          </w:tcPr>
          <w:p w14:paraId="6386F200" w14:textId="77777777" w:rsidR="00094669" w:rsidRDefault="00094669" w:rsidP="00094669">
            <w:pPr>
              <w:pStyle w:val="Tabletext"/>
              <w:rPr>
                <w:lang w:val="en-US"/>
              </w:rPr>
            </w:pPr>
            <w:r>
              <w:rPr>
                <w:lang w:val="en-US"/>
              </w:rPr>
              <w:t xml:space="preserve">Short and simple Highly explicit purpose </w:t>
            </w:r>
          </w:p>
          <w:p w14:paraId="4AFEC676" w14:textId="77777777" w:rsidR="00094669" w:rsidRDefault="00094669" w:rsidP="00094669">
            <w:pPr>
              <w:pStyle w:val="Tabletext"/>
              <w:rPr>
                <w:lang w:val="en-US"/>
              </w:rPr>
            </w:pPr>
            <w:r>
              <w:rPr>
                <w:lang w:val="en-US"/>
              </w:rPr>
              <w:t>Limited, highly familiar vocabulary</w:t>
            </w:r>
          </w:p>
        </w:tc>
        <w:tc>
          <w:tcPr>
            <w:tcW w:w="2304" w:type="dxa"/>
            <w:shd w:val="clear" w:color="auto" w:fill="auto"/>
          </w:tcPr>
          <w:p w14:paraId="2B107C41" w14:textId="77777777" w:rsidR="00094669" w:rsidRDefault="00094669" w:rsidP="00094669">
            <w:pPr>
              <w:pStyle w:val="Tabletext"/>
              <w:rPr>
                <w:lang w:val="en-US"/>
              </w:rPr>
            </w:pPr>
            <w:r>
              <w:rPr>
                <w:lang w:val="en-US"/>
              </w:rPr>
              <w:t>Concrete tasks of 1 or 2 steps</w:t>
            </w:r>
          </w:p>
          <w:p w14:paraId="327B85DB" w14:textId="77777777" w:rsidR="00094669" w:rsidRDefault="00094669" w:rsidP="00094669">
            <w:pPr>
              <w:pStyle w:val="Tabletext"/>
              <w:rPr>
                <w:lang w:val="en-US"/>
              </w:rPr>
            </w:pPr>
            <w:r>
              <w:rPr>
                <w:lang w:val="en-US"/>
              </w:rPr>
              <w:t>Processes include locating, recognising</w:t>
            </w:r>
          </w:p>
        </w:tc>
      </w:tr>
      <w:tr w:rsidR="00094669" w14:paraId="6BDF582C" w14:textId="77777777" w:rsidTr="00353B84">
        <w:trPr>
          <w:cantSplit/>
        </w:trPr>
        <w:tc>
          <w:tcPr>
            <w:tcW w:w="708" w:type="dxa"/>
            <w:shd w:val="clear" w:color="auto" w:fill="auto"/>
            <w:vAlign w:val="center"/>
          </w:tcPr>
          <w:p w14:paraId="517B2424" w14:textId="77777777" w:rsidR="00094669" w:rsidRDefault="00094669" w:rsidP="00094669">
            <w:pPr>
              <w:pStyle w:val="Tabletext"/>
            </w:pPr>
            <w:r>
              <w:t>2</w:t>
            </w:r>
          </w:p>
        </w:tc>
        <w:tc>
          <w:tcPr>
            <w:tcW w:w="2303" w:type="dxa"/>
            <w:shd w:val="clear" w:color="auto" w:fill="auto"/>
          </w:tcPr>
          <w:p w14:paraId="7C264CC5" w14:textId="77777777" w:rsidR="00094669" w:rsidRDefault="00094669" w:rsidP="00094669">
            <w:pPr>
              <w:pStyle w:val="Tabletext"/>
            </w:pPr>
            <w:r>
              <w:rPr>
                <w:lang w:val="en-US"/>
              </w:rPr>
              <w:t>May work with an expert/ mentor where support is available if requested</w:t>
            </w:r>
          </w:p>
        </w:tc>
        <w:tc>
          <w:tcPr>
            <w:tcW w:w="2304" w:type="dxa"/>
            <w:shd w:val="clear" w:color="auto" w:fill="auto"/>
          </w:tcPr>
          <w:p w14:paraId="645C1DA5" w14:textId="77777777" w:rsidR="00094669" w:rsidRDefault="00094669" w:rsidP="00094669">
            <w:pPr>
              <w:pStyle w:val="Tabletext"/>
              <w:rPr>
                <w:lang w:val="en-US"/>
              </w:rPr>
            </w:pPr>
            <w:r>
              <w:rPr>
                <w:lang w:val="en-US"/>
              </w:rPr>
              <w:t>Familiar and predictable contexts</w:t>
            </w:r>
          </w:p>
          <w:p w14:paraId="3CEA3B5A" w14:textId="77777777" w:rsidR="00094669" w:rsidRDefault="00094669" w:rsidP="00094669">
            <w:pPr>
              <w:pStyle w:val="Tabletext"/>
            </w:pPr>
            <w:r>
              <w:rPr>
                <w:lang w:val="en-US"/>
              </w:rPr>
              <w:t>Limited range of contexts</w:t>
            </w:r>
          </w:p>
        </w:tc>
        <w:tc>
          <w:tcPr>
            <w:tcW w:w="2303" w:type="dxa"/>
            <w:shd w:val="clear" w:color="auto" w:fill="auto"/>
          </w:tcPr>
          <w:p w14:paraId="00F3C191" w14:textId="77777777" w:rsidR="00094669" w:rsidRDefault="00094669" w:rsidP="00094669">
            <w:pPr>
              <w:pStyle w:val="Tabletext"/>
              <w:rPr>
                <w:lang w:val="en-US"/>
              </w:rPr>
            </w:pPr>
            <w:r>
              <w:rPr>
                <w:lang w:val="en-US"/>
              </w:rPr>
              <w:t>Simple familiar texts with clear purpose</w:t>
            </w:r>
          </w:p>
          <w:p w14:paraId="2255914C" w14:textId="77777777" w:rsidR="00094669" w:rsidRDefault="00094669" w:rsidP="00094669">
            <w:pPr>
              <w:pStyle w:val="Tabletext"/>
            </w:pPr>
            <w:r>
              <w:rPr>
                <w:lang w:val="en-US"/>
              </w:rPr>
              <w:t>Familiar vocabulary</w:t>
            </w:r>
          </w:p>
        </w:tc>
        <w:tc>
          <w:tcPr>
            <w:tcW w:w="2304" w:type="dxa"/>
            <w:shd w:val="clear" w:color="auto" w:fill="auto"/>
          </w:tcPr>
          <w:p w14:paraId="47B3DE3C" w14:textId="77777777" w:rsidR="00094669" w:rsidRDefault="00094669" w:rsidP="00094669">
            <w:pPr>
              <w:pStyle w:val="Tabletext"/>
              <w:rPr>
                <w:lang w:val="en-US"/>
              </w:rPr>
            </w:pPr>
            <w:r>
              <w:rPr>
                <w:lang w:val="en-US"/>
              </w:rPr>
              <w:t>Explicit tasks involving a limited number of familiar steps</w:t>
            </w:r>
          </w:p>
          <w:p w14:paraId="5A619008" w14:textId="77777777" w:rsidR="00094669" w:rsidRDefault="00094669" w:rsidP="00094669">
            <w:pPr>
              <w:pStyle w:val="Tabletext"/>
            </w:pPr>
            <w:r>
              <w:rPr>
                <w:lang w:val="en-US"/>
              </w:rPr>
              <w:t>Processes include identifying, simple interpreting, simple sequencing</w:t>
            </w:r>
          </w:p>
        </w:tc>
      </w:tr>
      <w:tr w:rsidR="00094669" w14:paraId="2AC6BFFE" w14:textId="77777777" w:rsidTr="00353B84">
        <w:trPr>
          <w:cantSplit/>
        </w:trPr>
        <w:tc>
          <w:tcPr>
            <w:tcW w:w="708" w:type="dxa"/>
            <w:shd w:val="clear" w:color="auto" w:fill="auto"/>
            <w:vAlign w:val="center"/>
          </w:tcPr>
          <w:p w14:paraId="724684F2" w14:textId="77777777" w:rsidR="00094669" w:rsidRDefault="00094669" w:rsidP="00094669">
            <w:pPr>
              <w:pStyle w:val="Tabletext"/>
            </w:pPr>
            <w:r>
              <w:t>3</w:t>
            </w:r>
          </w:p>
        </w:tc>
        <w:tc>
          <w:tcPr>
            <w:tcW w:w="2303" w:type="dxa"/>
            <w:shd w:val="clear" w:color="auto" w:fill="auto"/>
          </w:tcPr>
          <w:p w14:paraId="16672696" w14:textId="77777777" w:rsidR="00094669" w:rsidRDefault="00094669" w:rsidP="00094669">
            <w:pPr>
              <w:pStyle w:val="Tabletext"/>
            </w:pPr>
            <w:r>
              <w:rPr>
                <w:lang w:val="en-US"/>
              </w:rPr>
              <w:t>Works independently and uses own familiar support resources</w:t>
            </w:r>
          </w:p>
        </w:tc>
        <w:tc>
          <w:tcPr>
            <w:tcW w:w="2304" w:type="dxa"/>
            <w:shd w:val="clear" w:color="auto" w:fill="auto"/>
          </w:tcPr>
          <w:p w14:paraId="0E4006E9" w14:textId="77777777" w:rsidR="00094669" w:rsidRDefault="00094669" w:rsidP="00094669">
            <w:pPr>
              <w:pStyle w:val="Tabletext"/>
              <w:rPr>
                <w:lang w:val="en-US"/>
              </w:rPr>
            </w:pPr>
            <w:r>
              <w:rPr>
                <w:lang w:val="en-US"/>
              </w:rPr>
              <w:t xml:space="preserve">Range of familiar contexts </w:t>
            </w:r>
          </w:p>
          <w:p w14:paraId="4955D7E2" w14:textId="77777777" w:rsidR="00094669" w:rsidRDefault="00094669" w:rsidP="00094669">
            <w:pPr>
              <w:pStyle w:val="Tabletext"/>
              <w:rPr>
                <w:lang w:val="en-US"/>
              </w:rPr>
            </w:pPr>
            <w:r>
              <w:rPr>
                <w:lang w:val="en-US"/>
              </w:rPr>
              <w:t xml:space="preserve">Some less familiar contexts </w:t>
            </w:r>
          </w:p>
          <w:p w14:paraId="7D47DEA0" w14:textId="77777777" w:rsidR="00094669" w:rsidRDefault="00094669" w:rsidP="00094669">
            <w:pPr>
              <w:pStyle w:val="Tabletext"/>
              <w:rPr>
                <w:lang w:val="en-US"/>
              </w:rPr>
            </w:pPr>
            <w:r>
              <w:rPr>
                <w:lang w:val="en-US"/>
              </w:rPr>
              <w:t>Some specialisation in</w:t>
            </w:r>
          </w:p>
          <w:p w14:paraId="4934A50C" w14:textId="77777777" w:rsidR="00094669" w:rsidRDefault="00094669" w:rsidP="00094669">
            <w:pPr>
              <w:pStyle w:val="Tabletext"/>
            </w:pPr>
            <w:r>
              <w:rPr>
                <w:lang w:val="en-US"/>
              </w:rPr>
              <w:t>familiar/known contexts</w:t>
            </w:r>
          </w:p>
        </w:tc>
        <w:tc>
          <w:tcPr>
            <w:tcW w:w="2303" w:type="dxa"/>
            <w:shd w:val="clear" w:color="auto" w:fill="auto"/>
          </w:tcPr>
          <w:p w14:paraId="03ACA032" w14:textId="77777777" w:rsidR="00094669" w:rsidRDefault="00094669" w:rsidP="00094669">
            <w:pPr>
              <w:pStyle w:val="Tabletext"/>
              <w:rPr>
                <w:lang w:val="en-US"/>
              </w:rPr>
            </w:pPr>
            <w:r>
              <w:rPr>
                <w:lang w:val="en-US"/>
              </w:rPr>
              <w:t>Routine texts</w:t>
            </w:r>
          </w:p>
          <w:p w14:paraId="108A41AF" w14:textId="77777777" w:rsidR="00094669" w:rsidRDefault="00094669" w:rsidP="00094669">
            <w:pPr>
              <w:pStyle w:val="Tabletext"/>
              <w:rPr>
                <w:lang w:val="en-US"/>
              </w:rPr>
            </w:pPr>
            <w:r>
              <w:rPr>
                <w:lang w:val="en-US"/>
              </w:rPr>
              <w:t>May include some unfamiliar elements, embedded information and abstraction</w:t>
            </w:r>
          </w:p>
          <w:p w14:paraId="23068DCC" w14:textId="77777777" w:rsidR="00094669" w:rsidRDefault="00094669" w:rsidP="00094669">
            <w:pPr>
              <w:pStyle w:val="Tabletext"/>
            </w:pPr>
            <w:r>
              <w:rPr>
                <w:lang w:val="en-US"/>
              </w:rPr>
              <w:t>Includes some specialised vocabulary</w:t>
            </w:r>
          </w:p>
        </w:tc>
        <w:tc>
          <w:tcPr>
            <w:tcW w:w="2304" w:type="dxa"/>
            <w:shd w:val="clear" w:color="auto" w:fill="auto"/>
          </w:tcPr>
          <w:p w14:paraId="4D7A9FED" w14:textId="77777777" w:rsidR="00094669" w:rsidRDefault="00094669" w:rsidP="00094669">
            <w:pPr>
              <w:pStyle w:val="Tabletext"/>
              <w:rPr>
                <w:lang w:val="en-US"/>
              </w:rPr>
            </w:pPr>
            <w:r>
              <w:rPr>
                <w:lang w:val="en-US"/>
              </w:rPr>
              <w:t>Tasks involving a number of steps</w:t>
            </w:r>
          </w:p>
          <w:p w14:paraId="7456389C" w14:textId="77777777" w:rsidR="00094669" w:rsidRDefault="00094669" w:rsidP="00094669">
            <w:pPr>
              <w:pStyle w:val="Tabletext"/>
            </w:pPr>
            <w:r>
              <w:rPr>
                <w:lang w:val="en-US"/>
              </w:rPr>
              <w:t>Processes include sequencing, integrating, interpreting, simple extrapolating, simple inferencing, simple abstracting</w:t>
            </w:r>
          </w:p>
        </w:tc>
      </w:tr>
      <w:tr w:rsidR="00094669" w14:paraId="42675F3F" w14:textId="77777777" w:rsidTr="00353B84">
        <w:trPr>
          <w:cantSplit/>
        </w:trPr>
        <w:tc>
          <w:tcPr>
            <w:tcW w:w="708" w:type="dxa"/>
            <w:shd w:val="clear" w:color="auto" w:fill="auto"/>
            <w:vAlign w:val="center"/>
          </w:tcPr>
          <w:p w14:paraId="25C04EEA" w14:textId="77777777" w:rsidR="00094669" w:rsidRDefault="00094669" w:rsidP="00094669">
            <w:pPr>
              <w:pStyle w:val="Tabletext"/>
            </w:pPr>
            <w:r>
              <w:t>4</w:t>
            </w:r>
          </w:p>
        </w:tc>
        <w:tc>
          <w:tcPr>
            <w:tcW w:w="2303" w:type="dxa"/>
            <w:shd w:val="clear" w:color="auto" w:fill="auto"/>
          </w:tcPr>
          <w:p w14:paraId="5DA0201A" w14:textId="77777777" w:rsidR="00094669" w:rsidRDefault="00094669" w:rsidP="00094669">
            <w:pPr>
              <w:pStyle w:val="Tabletext"/>
            </w:pPr>
            <w:r>
              <w:rPr>
                <w:lang w:val="en-US"/>
              </w:rPr>
              <w:t>Works independently and initiates and uses support from a range of established resources</w:t>
            </w:r>
          </w:p>
        </w:tc>
        <w:tc>
          <w:tcPr>
            <w:tcW w:w="2304" w:type="dxa"/>
            <w:shd w:val="clear" w:color="auto" w:fill="auto"/>
          </w:tcPr>
          <w:p w14:paraId="62FC6F04" w14:textId="77777777" w:rsidR="00094669" w:rsidRDefault="00094669" w:rsidP="00094669">
            <w:pPr>
              <w:pStyle w:val="Tabletext"/>
              <w:rPr>
                <w:lang w:val="en-US"/>
              </w:rPr>
            </w:pPr>
            <w:r>
              <w:rPr>
                <w:lang w:val="en-US"/>
              </w:rPr>
              <w:t>Range of contexts, including some that are unfamiliar and/or unpredictable</w:t>
            </w:r>
          </w:p>
          <w:p w14:paraId="093BEA09" w14:textId="77777777" w:rsidR="00094669" w:rsidRDefault="00094669" w:rsidP="00094669">
            <w:pPr>
              <w:pStyle w:val="Tabletext"/>
            </w:pPr>
            <w:r>
              <w:rPr>
                <w:lang w:val="en-US"/>
              </w:rPr>
              <w:t>Some specialisation in less familiar/known contexts</w:t>
            </w:r>
          </w:p>
        </w:tc>
        <w:tc>
          <w:tcPr>
            <w:tcW w:w="2303" w:type="dxa"/>
            <w:shd w:val="clear" w:color="auto" w:fill="auto"/>
          </w:tcPr>
          <w:p w14:paraId="5A8E1F3A" w14:textId="77777777" w:rsidR="00094669" w:rsidRDefault="00094669" w:rsidP="00094669">
            <w:pPr>
              <w:pStyle w:val="Tabletext"/>
              <w:rPr>
                <w:lang w:val="en-US"/>
              </w:rPr>
            </w:pPr>
            <w:r>
              <w:rPr>
                <w:lang w:val="en-US"/>
              </w:rPr>
              <w:t xml:space="preserve">Complex texts </w:t>
            </w:r>
          </w:p>
          <w:p w14:paraId="1950EA9C" w14:textId="77777777" w:rsidR="00094669" w:rsidRDefault="00094669" w:rsidP="00094669">
            <w:pPr>
              <w:pStyle w:val="Tabletext"/>
              <w:rPr>
                <w:lang w:val="en-US"/>
              </w:rPr>
            </w:pPr>
            <w:r>
              <w:rPr>
                <w:lang w:val="en-US"/>
              </w:rPr>
              <w:t>Embedded information Includes specialised vocabulary</w:t>
            </w:r>
          </w:p>
          <w:p w14:paraId="504523C9" w14:textId="77777777" w:rsidR="00094669" w:rsidRDefault="00094669" w:rsidP="00094669">
            <w:pPr>
              <w:pStyle w:val="Tabletext"/>
            </w:pPr>
            <w:r>
              <w:rPr>
                <w:lang w:val="en-US"/>
              </w:rPr>
              <w:t>Includes abstraction and symbolism</w:t>
            </w:r>
          </w:p>
        </w:tc>
        <w:tc>
          <w:tcPr>
            <w:tcW w:w="2304" w:type="dxa"/>
            <w:shd w:val="clear" w:color="auto" w:fill="auto"/>
          </w:tcPr>
          <w:p w14:paraId="077AA9F1" w14:textId="77777777" w:rsidR="00094669" w:rsidRDefault="00094669" w:rsidP="00094669">
            <w:pPr>
              <w:pStyle w:val="Tabletext"/>
              <w:rPr>
                <w:lang w:val="en-US"/>
              </w:rPr>
            </w:pPr>
            <w:r>
              <w:rPr>
                <w:lang w:val="en-US"/>
              </w:rPr>
              <w:t>Complex task organisation and analysis involving application of a number of steps</w:t>
            </w:r>
          </w:p>
          <w:p w14:paraId="07D646D0" w14:textId="77777777" w:rsidR="00094669" w:rsidRDefault="00094669" w:rsidP="00094669">
            <w:pPr>
              <w:pStyle w:val="Tabletext"/>
            </w:pPr>
            <w:r>
              <w:rPr>
                <w:lang w:val="en-US"/>
              </w:rPr>
              <w:t>Processes include extracting, extrapolating, inferencing, reflecting, abstracting</w:t>
            </w:r>
          </w:p>
        </w:tc>
      </w:tr>
      <w:tr w:rsidR="00094669" w14:paraId="77C16412" w14:textId="77777777" w:rsidTr="00353B84">
        <w:trPr>
          <w:cantSplit/>
        </w:trPr>
        <w:tc>
          <w:tcPr>
            <w:tcW w:w="708" w:type="dxa"/>
            <w:tcBorders>
              <w:top w:val="single" w:sz="2" w:space="0" w:color="C0C0C0"/>
              <w:bottom w:val="single" w:sz="2" w:space="0" w:color="999999"/>
            </w:tcBorders>
            <w:shd w:val="clear" w:color="auto" w:fill="auto"/>
            <w:vAlign w:val="center"/>
          </w:tcPr>
          <w:p w14:paraId="12BDCAE2" w14:textId="77777777" w:rsidR="00094669" w:rsidRDefault="00094669" w:rsidP="00094669">
            <w:pPr>
              <w:pStyle w:val="Tabletext"/>
            </w:pPr>
            <w:r>
              <w:t>5</w:t>
            </w:r>
          </w:p>
        </w:tc>
        <w:tc>
          <w:tcPr>
            <w:tcW w:w="2303" w:type="dxa"/>
            <w:tcBorders>
              <w:top w:val="single" w:sz="2" w:space="0" w:color="C0C0C0"/>
              <w:bottom w:val="single" w:sz="2" w:space="0" w:color="999999"/>
            </w:tcBorders>
            <w:shd w:val="clear" w:color="auto" w:fill="auto"/>
          </w:tcPr>
          <w:p w14:paraId="161CEF29" w14:textId="77777777" w:rsidR="00094669" w:rsidRDefault="00094669" w:rsidP="00094669">
            <w:pPr>
              <w:pStyle w:val="Tabletext"/>
            </w:pPr>
            <w:r>
              <w:rPr>
                <w:lang w:val="en-US"/>
              </w:rPr>
              <w:t>Autonomous learner who accesses and evaluates support from a broad range of sources</w:t>
            </w:r>
          </w:p>
        </w:tc>
        <w:tc>
          <w:tcPr>
            <w:tcW w:w="2304" w:type="dxa"/>
            <w:tcBorders>
              <w:top w:val="single" w:sz="2" w:space="0" w:color="C0C0C0"/>
              <w:bottom w:val="single" w:sz="2" w:space="0" w:color="999999"/>
            </w:tcBorders>
            <w:shd w:val="clear" w:color="auto" w:fill="auto"/>
          </w:tcPr>
          <w:p w14:paraId="6F0FAE11" w14:textId="77777777" w:rsidR="00094669" w:rsidRDefault="00094669" w:rsidP="00094669">
            <w:pPr>
              <w:pStyle w:val="Tabletext"/>
              <w:rPr>
                <w:lang w:val="en-US"/>
              </w:rPr>
            </w:pPr>
            <w:r>
              <w:rPr>
                <w:lang w:val="en-US"/>
              </w:rPr>
              <w:t>Broad range of contexts</w:t>
            </w:r>
          </w:p>
          <w:p w14:paraId="4795A887" w14:textId="77777777" w:rsidR="00094669" w:rsidRDefault="00094669" w:rsidP="00094669">
            <w:pPr>
              <w:pStyle w:val="Tabletext"/>
              <w:rPr>
                <w:lang w:val="en-US"/>
              </w:rPr>
            </w:pPr>
            <w:r>
              <w:rPr>
                <w:lang w:val="en-US"/>
              </w:rPr>
              <w:t>Adaptability within and across contexts</w:t>
            </w:r>
          </w:p>
          <w:p w14:paraId="536F21AD" w14:textId="77777777" w:rsidR="00094669" w:rsidRDefault="00094669" w:rsidP="00094669">
            <w:pPr>
              <w:pStyle w:val="Tabletext"/>
            </w:pPr>
            <w:r>
              <w:rPr>
                <w:lang w:val="en-US"/>
              </w:rPr>
              <w:t>Specialisation in one or more contexts</w:t>
            </w:r>
          </w:p>
        </w:tc>
        <w:tc>
          <w:tcPr>
            <w:tcW w:w="2303" w:type="dxa"/>
            <w:tcBorders>
              <w:top w:val="single" w:sz="2" w:space="0" w:color="C0C0C0"/>
              <w:bottom w:val="single" w:sz="2" w:space="0" w:color="999999"/>
            </w:tcBorders>
            <w:shd w:val="clear" w:color="auto" w:fill="auto"/>
          </w:tcPr>
          <w:p w14:paraId="696BD37F" w14:textId="77777777" w:rsidR="00094669" w:rsidRDefault="00094669" w:rsidP="00094669">
            <w:pPr>
              <w:pStyle w:val="Tabletext"/>
              <w:rPr>
                <w:lang w:val="en-US"/>
              </w:rPr>
            </w:pPr>
            <w:r>
              <w:rPr>
                <w:lang w:val="en-US"/>
              </w:rPr>
              <w:t>Highly complex texts</w:t>
            </w:r>
          </w:p>
          <w:p w14:paraId="689D8D52" w14:textId="77777777" w:rsidR="00094669" w:rsidRDefault="00094669" w:rsidP="00094669">
            <w:pPr>
              <w:pStyle w:val="Tabletext"/>
              <w:rPr>
                <w:lang w:val="en-US"/>
              </w:rPr>
            </w:pPr>
            <w:r>
              <w:rPr>
                <w:lang w:val="en-US"/>
              </w:rPr>
              <w:t>Highly embedded information</w:t>
            </w:r>
          </w:p>
          <w:p w14:paraId="7F4368FD" w14:textId="77777777" w:rsidR="00094669" w:rsidRDefault="00094669" w:rsidP="00094669">
            <w:pPr>
              <w:pStyle w:val="Tabletext"/>
            </w:pPr>
            <w:r>
              <w:rPr>
                <w:lang w:val="en-US"/>
              </w:rPr>
              <w:t>Includes highly specialised language and symbolism</w:t>
            </w:r>
          </w:p>
        </w:tc>
        <w:tc>
          <w:tcPr>
            <w:tcW w:w="2304" w:type="dxa"/>
            <w:tcBorders>
              <w:top w:val="single" w:sz="2" w:space="0" w:color="C0C0C0"/>
              <w:bottom w:val="single" w:sz="2" w:space="0" w:color="999999"/>
            </w:tcBorders>
            <w:shd w:val="clear" w:color="auto" w:fill="auto"/>
          </w:tcPr>
          <w:p w14:paraId="581FA8D2" w14:textId="77777777" w:rsidR="00094669" w:rsidRDefault="00094669" w:rsidP="00094669">
            <w:pPr>
              <w:pStyle w:val="Tabletext"/>
              <w:rPr>
                <w:lang w:val="en-US"/>
              </w:rPr>
            </w:pPr>
            <w:r>
              <w:rPr>
                <w:lang w:val="en-US"/>
              </w:rPr>
              <w:t>Sophisticated task conceptualisation, organisation and analysis</w:t>
            </w:r>
          </w:p>
          <w:p w14:paraId="519C6451" w14:textId="77777777" w:rsidR="00094669" w:rsidRDefault="00094669" w:rsidP="00094669">
            <w:pPr>
              <w:pStyle w:val="Tabletext"/>
            </w:pPr>
            <w:r>
              <w:rPr>
                <w:lang w:val="en-US"/>
              </w:rPr>
              <w:t>Processes include synthesising, critically reflecting, evaluating, recommending</w:t>
            </w:r>
          </w:p>
        </w:tc>
      </w:tr>
    </w:tbl>
    <w:p w14:paraId="5128EEEA" w14:textId="77777777" w:rsidR="00353B84" w:rsidRPr="00304AAF" w:rsidRDefault="00353B84" w:rsidP="00353B84">
      <w:pPr>
        <w:pStyle w:val="Source"/>
        <w:ind w:left="-2551"/>
      </w:pPr>
      <w:r>
        <w:t>Source</w:t>
      </w:r>
      <w:r w:rsidRPr="00353B84">
        <w:rPr>
          <w:i/>
        </w:rPr>
        <w:t xml:space="preserve">: </w:t>
      </w:r>
      <w:r w:rsidR="00304AAF">
        <w:t>ACSF</w:t>
      </w:r>
    </w:p>
    <w:p w14:paraId="2A6261E6" w14:textId="28267E7A" w:rsidR="00617BD6" w:rsidRDefault="00BD48FF" w:rsidP="0008204D">
      <w:pPr>
        <w:pStyle w:val="BodyText"/>
      </w:pPr>
      <w:r>
        <w:fldChar w:fldCharType="begin"/>
      </w:r>
      <w:r>
        <w:instrText xml:space="preserve"> REF _Ref408481858 \h </w:instrText>
      </w:r>
      <w:r w:rsidR="006736B2">
        <w:instrText xml:space="preserve"> \* MERGEFORMAT </w:instrText>
      </w:r>
      <w:r>
        <w:fldChar w:fldCharType="separate"/>
      </w:r>
      <w:r w:rsidR="00294A5A">
        <w:t xml:space="preserve">Figure </w:t>
      </w:r>
      <w:r w:rsidR="00294A5A">
        <w:rPr>
          <w:noProof/>
        </w:rPr>
        <w:t>18</w:t>
      </w:r>
      <w:r>
        <w:fldChar w:fldCharType="end"/>
      </w:r>
      <w:r w:rsidR="006736B2">
        <w:t xml:space="preserve"> sets out </w:t>
      </w:r>
      <w:r w:rsidR="007508DF">
        <w:t xml:space="preserve">the average entry scores for </w:t>
      </w:r>
      <w:r w:rsidR="00617BD6">
        <w:t xml:space="preserve">SEE </w:t>
      </w:r>
      <w:r w:rsidR="003E33FA">
        <w:t xml:space="preserve">programme </w:t>
      </w:r>
      <w:r w:rsidR="00617BD6">
        <w:t>clients across all 11 performance indicators by cohort. On this and subsequent charts, ‘pre-level 1’ is displayed as 0.</w:t>
      </w:r>
    </w:p>
    <w:p w14:paraId="1B5274B2" w14:textId="77777777" w:rsidR="006318DA" w:rsidRDefault="00617BD6" w:rsidP="0008204D">
      <w:pPr>
        <w:pStyle w:val="BodyText"/>
      </w:pPr>
      <w:r>
        <w:t>It shows that non-CALD, non</w:t>
      </w:r>
      <w:r>
        <w:noBreakHyphen/>
        <w:t xml:space="preserve">Indigenous clients enter the programme with higher average scores across all indicators, while CALD clients have the lowest average entry scores. The largest difference is between CALD clients and other clients on oral communication. </w:t>
      </w:r>
    </w:p>
    <w:p w14:paraId="455396B9" w14:textId="77777777" w:rsidR="00C80FDC" w:rsidRDefault="00C80FDC" w:rsidP="00C80FDC">
      <w:pPr>
        <w:pStyle w:val="Caption"/>
        <w:framePr w:w="9921" w:hSpace="181" w:wrap="notBeside" w:vAnchor="text" w:hAnchor="text" w:x="-2550" w:y="1"/>
      </w:pPr>
      <w:bookmarkStart w:id="102" w:name="_Ref408481858"/>
      <w:bookmarkStart w:id="103" w:name="_Toc420065478"/>
      <w:r>
        <w:t xml:space="preserve">Figure </w:t>
      </w:r>
      <w:r w:rsidR="006A2396">
        <w:fldChar w:fldCharType="begin"/>
      </w:r>
      <w:r w:rsidR="006A2396">
        <w:instrText xml:space="preserve"> SEQ Figure </w:instrText>
      </w:r>
      <w:r w:rsidR="006A2396">
        <w:instrText xml:space="preserve">\* ARABIC </w:instrText>
      </w:r>
      <w:r w:rsidR="006A2396">
        <w:fldChar w:fldCharType="separate"/>
      </w:r>
      <w:r w:rsidR="00294A5A">
        <w:rPr>
          <w:noProof/>
        </w:rPr>
        <w:t>18</w:t>
      </w:r>
      <w:r w:rsidR="006A2396">
        <w:rPr>
          <w:noProof/>
        </w:rPr>
        <w:fldChar w:fldCharType="end"/>
      </w:r>
      <w:bookmarkEnd w:id="102"/>
      <w:r w:rsidRPr="004E0C91">
        <w:rPr>
          <w:b/>
          <w:color w:val="000080"/>
        </w:rPr>
        <w:tab/>
      </w:r>
      <w:r w:rsidR="0053032B">
        <w:rPr>
          <w:rStyle w:val="CaptionLabel"/>
        </w:rPr>
        <w:t xml:space="preserve">Average entry assessed ACSF performance by </w:t>
      </w:r>
      <w:r w:rsidR="006736B2">
        <w:rPr>
          <w:rStyle w:val="CaptionLabel"/>
        </w:rPr>
        <w:t>cohort</w:t>
      </w:r>
      <w:bookmarkEnd w:id="103"/>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19"/>
      </w:tblGrid>
      <w:tr w:rsidR="00C80FDC" w14:paraId="0C087607" w14:textId="77777777" w:rsidTr="00C527D8">
        <w:tc>
          <w:tcPr>
            <w:tcW w:w="5000" w:type="pct"/>
          </w:tcPr>
          <w:p w14:paraId="32CA0AAE" w14:textId="77777777" w:rsidR="00C80FDC" w:rsidRDefault="00C80FDC" w:rsidP="00C80FDC">
            <w:pPr>
              <w:pStyle w:val="SmallDeltasRightAligned"/>
              <w:keepNext/>
              <w:keepLines/>
              <w:framePr w:w="9921" w:hSpace="181" w:wrap="notBeside" w:vAnchor="text" w:hAnchor="text" w:x="-2550" w:y="1"/>
            </w:pPr>
            <w:r>
              <w:rPr>
                <w:noProof/>
                <w:lang w:eastAsia="en-AU"/>
              </w:rPr>
              <w:drawing>
                <wp:inline distT="0" distB="0" distL="0" distR="0" wp14:anchorId="1EC1B7A1" wp14:editId="08AE527D">
                  <wp:extent cx="481585" cy="23469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80FDC" w14:paraId="35FE4F9A" w14:textId="77777777" w:rsidTr="0053032B">
        <w:tblPrEx>
          <w:tblCellMar>
            <w:left w:w="108" w:type="dxa"/>
            <w:right w:w="108" w:type="dxa"/>
          </w:tblCellMar>
        </w:tblPrEx>
        <w:tc>
          <w:tcPr>
            <w:tcW w:w="5000" w:type="pct"/>
          </w:tcPr>
          <w:p w14:paraId="3BA4A297" w14:textId="77777777" w:rsidR="00C80FDC" w:rsidRDefault="0053032B" w:rsidP="00C80FDC">
            <w:pPr>
              <w:pStyle w:val="Figure"/>
              <w:keepLines/>
              <w:framePr w:w="9921" w:hSpace="181" w:wrap="notBeside" w:vAnchor="text" w:hAnchor="text" w:x="-2550" w:y="1"/>
            </w:pPr>
            <w:r>
              <w:rPr>
                <w:noProof/>
                <w:lang w:eastAsia="en-AU"/>
              </w:rPr>
              <w:drawing>
                <wp:inline distT="0" distB="0" distL="0" distR="0" wp14:anchorId="229F4553" wp14:editId="6AD62C55">
                  <wp:extent cx="6181725"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14:paraId="78408B20" w14:textId="56062245" w:rsidR="002C34F5" w:rsidRDefault="00C80FDC" w:rsidP="002C34F5">
      <w:pPr>
        <w:pStyle w:val="Note"/>
        <w:framePr w:w="9921" w:hSpace="181" w:wrap="notBeside" w:vAnchor="text" w:hAnchor="text" w:x="-2550" w:y="1"/>
      </w:pPr>
      <w:r>
        <w:rPr>
          <w:i/>
        </w:rPr>
        <w:t>Note:</w:t>
      </w:r>
      <w:r>
        <w:t xml:space="preserve"> </w:t>
      </w:r>
      <w:r w:rsidR="00147674">
        <w:t>SEE programme</w:t>
      </w:r>
      <w:r w:rsidR="006A28F2">
        <w:t xml:space="preserve"> </w:t>
      </w:r>
      <w:r w:rsidR="002C34F5">
        <w:t>clients that commenced training in 2010-11 – 2013-14.</w:t>
      </w:r>
    </w:p>
    <w:p w14:paraId="5F265611" w14:textId="5981DDE2" w:rsidR="00C80FDC" w:rsidRPr="00AE6C4B" w:rsidRDefault="00C80FDC" w:rsidP="002C34F5">
      <w:pPr>
        <w:pStyle w:val="Note"/>
        <w:framePr w:w="9921" w:hSpace="181" w:wrap="notBeside" w:vAnchor="text" w:hAnchor="text" w:x="-2550" w:y="1"/>
      </w:pPr>
      <w:r w:rsidRPr="00B50A1B">
        <w:t>Source:</w:t>
      </w:r>
      <w:r w:rsidRPr="00954EED">
        <w:t xml:space="preserve"> </w:t>
      </w:r>
      <w:r w:rsidR="007A143E">
        <w:t>SEE programme</w:t>
      </w:r>
      <w:r w:rsidR="006A28F2">
        <w:t xml:space="preserve"> </w:t>
      </w:r>
      <w:r w:rsidR="007A143E">
        <w:t>dataset</w:t>
      </w:r>
    </w:p>
    <w:p w14:paraId="5CC0A55D" w14:textId="77777777" w:rsidR="00C80FDC" w:rsidRDefault="00BD48FF" w:rsidP="0008204D">
      <w:pPr>
        <w:pStyle w:val="BodyText"/>
      </w:pPr>
      <w:r>
        <w:fldChar w:fldCharType="begin"/>
      </w:r>
      <w:r>
        <w:instrText xml:space="preserve"> REF _Ref408481890 \h </w:instrText>
      </w:r>
      <w:r>
        <w:fldChar w:fldCharType="separate"/>
      </w:r>
      <w:r w:rsidR="00294A5A">
        <w:t xml:space="preserve">Figure </w:t>
      </w:r>
      <w:r w:rsidR="00294A5A">
        <w:rPr>
          <w:noProof/>
        </w:rPr>
        <w:t>19</w:t>
      </w:r>
      <w:r>
        <w:fldChar w:fldCharType="end"/>
      </w:r>
      <w:r w:rsidR="00617BD6">
        <w:t xml:space="preserve"> </w:t>
      </w:r>
      <w:r w:rsidR="004D4757">
        <w:t xml:space="preserve">shows the proportion of clients being assessed at each ASCF level across the 11 performance indicators. On all indicators apart from the two oral communication indicators, a third or more of all clients are at pre-level 1. </w:t>
      </w:r>
    </w:p>
    <w:p w14:paraId="6594BCCC" w14:textId="77777777" w:rsidR="00722CFF" w:rsidRDefault="00722CFF" w:rsidP="00722CFF">
      <w:pPr>
        <w:pStyle w:val="Caption"/>
        <w:framePr w:w="9921" w:hSpace="181" w:wrap="notBeside" w:vAnchor="text" w:hAnchor="text" w:x="-2550" w:y="1"/>
      </w:pPr>
      <w:bookmarkStart w:id="104" w:name="_Ref408481890"/>
      <w:bookmarkStart w:id="105" w:name="_Toc420065479"/>
      <w:r>
        <w:t xml:space="preserve">Figure </w:t>
      </w:r>
      <w:r w:rsidR="006A2396">
        <w:fldChar w:fldCharType="begin"/>
      </w:r>
      <w:r w:rsidR="006A2396">
        <w:instrText xml:space="preserve"> SEQ Figure \* ARABIC </w:instrText>
      </w:r>
      <w:r w:rsidR="006A2396">
        <w:fldChar w:fldCharType="separate"/>
      </w:r>
      <w:r w:rsidR="00294A5A">
        <w:rPr>
          <w:noProof/>
        </w:rPr>
        <w:t>19</w:t>
      </w:r>
      <w:r w:rsidR="006A2396">
        <w:rPr>
          <w:noProof/>
        </w:rPr>
        <w:fldChar w:fldCharType="end"/>
      </w:r>
      <w:bookmarkEnd w:id="104"/>
      <w:r w:rsidRPr="004E0C91">
        <w:rPr>
          <w:b/>
          <w:color w:val="000080"/>
        </w:rPr>
        <w:tab/>
      </w:r>
      <w:r>
        <w:rPr>
          <w:rStyle w:val="CaptionLabel"/>
        </w:rPr>
        <w:t xml:space="preserve">Distribution of </w:t>
      </w:r>
      <w:r w:rsidR="00E56342">
        <w:rPr>
          <w:rStyle w:val="CaptionLabel"/>
        </w:rPr>
        <w:t>client</w:t>
      </w:r>
      <w:r>
        <w:rPr>
          <w:rStyle w:val="CaptionLabel"/>
        </w:rPr>
        <w:t xml:space="preserve"> entry scores by assessment area</w:t>
      </w:r>
      <w:bookmarkEnd w:id="105"/>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19"/>
      </w:tblGrid>
      <w:tr w:rsidR="00722CFF" w14:paraId="40BD3354" w14:textId="77777777" w:rsidTr="00E435FF">
        <w:tc>
          <w:tcPr>
            <w:tcW w:w="5000" w:type="pct"/>
          </w:tcPr>
          <w:p w14:paraId="161BBA0D" w14:textId="77777777" w:rsidR="00722CFF" w:rsidRDefault="00722CFF" w:rsidP="00722CFF">
            <w:pPr>
              <w:pStyle w:val="SmallDeltasRightAligned"/>
              <w:keepNext/>
              <w:keepLines/>
              <w:framePr w:w="9921" w:hSpace="181" w:wrap="notBeside" w:vAnchor="text" w:hAnchor="text" w:x="-2550" w:y="1"/>
            </w:pPr>
            <w:r>
              <w:rPr>
                <w:noProof/>
                <w:lang w:eastAsia="en-AU"/>
              </w:rPr>
              <w:drawing>
                <wp:inline distT="0" distB="0" distL="0" distR="0" wp14:anchorId="73DD77F4" wp14:editId="124FB1B2">
                  <wp:extent cx="481585" cy="23469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22CFF" w14:paraId="4A0F7106" w14:textId="77777777" w:rsidTr="00F67194">
        <w:tblPrEx>
          <w:tblCellMar>
            <w:left w:w="108" w:type="dxa"/>
            <w:right w:w="108" w:type="dxa"/>
          </w:tblCellMar>
        </w:tblPrEx>
        <w:tc>
          <w:tcPr>
            <w:tcW w:w="5000" w:type="pct"/>
          </w:tcPr>
          <w:p w14:paraId="3566F69B" w14:textId="77777777" w:rsidR="00722CFF" w:rsidRDefault="00F67194" w:rsidP="00722CFF">
            <w:pPr>
              <w:pStyle w:val="Figure"/>
              <w:keepLines/>
              <w:framePr w:w="9921" w:hSpace="181" w:wrap="notBeside" w:vAnchor="text" w:hAnchor="text" w:x="-2550" w:y="1"/>
            </w:pPr>
            <w:r>
              <w:rPr>
                <w:noProof/>
                <w:lang w:eastAsia="en-AU"/>
              </w:rPr>
              <w:drawing>
                <wp:inline distT="0" distB="0" distL="0" distR="0" wp14:anchorId="1660BC6E" wp14:editId="356F98CA">
                  <wp:extent cx="5815013" cy="3124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4D6FCF6A" w14:textId="445D8523" w:rsidR="00722CFF" w:rsidRDefault="00722CFF" w:rsidP="00722CFF">
      <w:pPr>
        <w:pStyle w:val="Note"/>
        <w:framePr w:w="9921" w:hSpace="181" w:wrap="notBeside" w:vAnchor="text" w:hAnchor="text" w:x="-2550" w:y="1"/>
      </w:pPr>
      <w:r>
        <w:rPr>
          <w:i/>
        </w:rPr>
        <w:t>Note:</w:t>
      </w:r>
      <w:r>
        <w:t xml:space="preserve"> </w:t>
      </w:r>
      <w:r w:rsidR="00147674">
        <w:t>SEE programme</w:t>
      </w:r>
      <w:r w:rsidR="006A28F2">
        <w:t xml:space="preserve"> </w:t>
      </w:r>
      <w:r w:rsidRPr="00722CFF">
        <w:t>clients that commenced training in 2010-11 – 2013-</w:t>
      </w:r>
      <w:r>
        <w:t>14</w:t>
      </w:r>
    </w:p>
    <w:p w14:paraId="55750659" w14:textId="76E2B328" w:rsidR="00722CFF" w:rsidRPr="00AE6C4B" w:rsidRDefault="00722CFF" w:rsidP="00722CFF">
      <w:pPr>
        <w:pStyle w:val="Source"/>
        <w:framePr w:w="9921" w:hSpace="181" w:wrap="notBeside" w:vAnchor="text" w:hAnchor="text" w:x="-2550" w:y="1"/>
      </w:pPr>
      <w:r w:rsidRPr="00B50A1B">
        <w:t>Source:</w:t>
      </w:r>
      <w:r w:rsidRPr="00954EED">
        <w:t xml:space="preserve"> </w:t>
      </w:r>
      <w:r w:rsidR="007A143E">
        <w:t>SEE programme</w:t>
      </w:r>
      <w:r w:rsidR="006A28F2">
        <w:t xml:space="preserve"> </w:t>
      </w:r>
      <w:r w:rsidR="007A143E">
        <w:t>dataset</w:t>
      </w:r>
    </w:p>
    <w:p w14:paraId="0581734E" w14:textId="67CEC949" w:rsidR="0069536A" w:rsidRDefault="0069536A" w:rsidP="0069536A">
      <w:pPr>
        <w:pStyle w:val="BodyText"/>
      </w:pPr>
      <w:r>
        <w:t xml:space="preserve">While average entry scores are a useful measure </w:t>
      </w:r>
      <w:r w:rsidR="004D4757">
        <w:t xml:space="preserve">of the SEE </w:t>
      </w:r>
      <w:r w:rsidR="003E33FA">
        <w:t xml:space="preserve">programme </w:t>
      </w:r>
      <w:r w:rsidR="004D4757">
        <w:t xml:space="preserve">cohort on entry </w:t>
      </w:r>
      <w:r w:rsidR="00D5632E">
        <w:t xml:space="preserve">into </w:t>
      </w:r>
      <w:r w:rsidR="004D4757">
        <w:t>the programme, it can be more instructive to examine the clients that are entering the programme at a very low LLN level.</w:t>
      </w:r>
    </w:p>
    <w:p w14:paraId="52312B2F" w14:textId="030CF3DA" w:rsidR="00BD48FF" w:rsidRDefault="00BD48FF" w:rsidP="0008204D">
      <w:pPr>
        <w:pStyle w:val="BodyText"/>
      </w:pPr>
      <w:r>
        <w:fldChar w:fldCharType="begin"/>
      </w:r>
      <w:r>
        <w:instrText xml:space="preserve"> REF _Ref408481907 \h </w:instrText>
      </w:r>
      <w:r>
        <w:fldChar w:fldCharType="separate"/>
      </w:r>
      <w:r w:rsidR="00294A5A">
        <w:t xml:space="preserve">Figure </w:t>
      </w:r>
      <w:r w:rsidR="00294A5A">
        <w:rPr>
          <w:noProof/>
        </w:rPr>
        <w:t>20</w:t>
      </w:r>
      <w:r>
        <w:fldChar w:fldCharType="end"/>
      </w:r>
      <w:r w:rsidR="004D4757">
        <w:t xml:space="preserve"> sets out the proportion of SEE </w:t>
      </w:r>
      <w:r w:rsidR="003E33FA">
        <w:t xml:space="preserve">programme </w:t>
      </w:r>
      <w:r w:rsidR="00D91D58">
        <w:t>clients assessed as pre</w:t>
      </w:r>
      <w:r w:rsidR="004D4757">
        <w:t>-level 1 across all 11 performance indicators</w:t>
      </w:r>
      <w:r w:rsidR="00D91D58">
        <w:t xml:space="preserve"> by cohort</w:t>
      </w:r>
      <w:r w:rsidR="004D4757">
        <w:t xml:space="preserve">. </w:t>
      </w:r>
      <w:r w:rsidR="001710F9">
        <w:t>The proportion of CALD clients entering the programme with this skill level is around 25 per cent and has risen from 15 per cent in 2010-11. The share of the non-CALD cohort assessed as pr</w:t>
      </w:r>
      <w:r w:rsidR="006E6516">
        <w:t>e</w:t>
      </w:r>
      <w:r w:rsidR="001710F9">
        <w:t>-level 1 across all 11 performance indicators is relatively low, in part because</w:t>
      </w:r>
      <w:r w:rsidR="00D91D58">
        <w:t xml:space="preserve">, due to growing up in an </w:t>
      </w:r>
      <w:r w:rsidR="001710F9">
        <w:t xml:space="preserve">English </w:t>
      </w:r>
      <w:r w:rsidR="00D91D58">
        <w:t xml:space="preserve">speaking country, most score above pre-level 1 in the oral communication indicators. </w:t>
      </w:r>
    </w:p>
    <w:p w14:paraId="43529E96" w14:textId="77777777" w:rsidR="000C041E" w:rsidRDefault="000C041E">
      <w:pPr>
        <w:pStyle w:val="Caption"/>
      </w:pPr>
      <w:bookmarkStart w:id="106" w:name="_Ref408481907"/>
      <w:bookmarkStart w:id="107" w:name="_Toc420065480"/>
      <w:r>
        <w:t xml:space="preserve">Figure </w:t>
      </w:r>
      <w:r w:rsidR="006A2396">
        <w:fldChar w:fldCharType="begin"/>
      </w:r>
      <w:r w:rsidR="006A2396">
        <w:instrText xml:space="preserve"> SEQ Figure \* ARABIC </w:instrText>
      </w:r>
      <w:r w:rsidR="006A2396">
        <w:fldChar w:fldCharType="separate"/>
      </w:r>
      <w:r w:rsidR="00294A5A">
        <w:rPr>
          <w:noProof/>
        </w:rPr>
        <w:t>20</w:t>
      </w:r>
      <w:r w:rsidR="006A2396">
        <w:rPr>
          <w:noProof/>
        </w:rPr>
        <w:fldChar w:fldCharType="end"/>
      </w:r>
      <w:bookmarkEnd w:id="106"/>
      <w:r w:rsidRPr="004E0C91">
        <w:rPr>
          <w:b/>
          <w:color w:val="000080"/>
        </w:rPr>
        <w:tab/>
      </w:r>
      <w:r w:rsidRPr="000C041E">
        <w:rPr>
          <w:rStyle w:val="CaptionLabel"/>
        </w:rPr>
        <w:t xml:space="preserve">Proportion of clients </w:t>
      </w:r>
      <w:r w:rsidR="004D4757">
        <w:rPr>
          <w:rStyle w:val="CaptionLabel"/>
        </w:rPr>
        <w:t xml:space="preserve">at pre-level 1 on all </w:t>
      </w:r>
      <w:r w:rsidRPr="000C041E">
        <w:rPr>
          <w:rStyle w:val="CaptionLabel"/>
        </w:rPr>
        <w:t xml:space="preserve">11 </w:t>
      </w:r>
      <w:r w:rsidR="004D4757">
        <w:rPr>
          <w:rStyle w:val="CaptionLabel"/>
        </w:rPr>
        <w:t>performance indicators</w:t>
      </w:r>
      <w:bookmarkEnd w:id="107"/>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0C041E" w14:paraId="748322AC" w14:textId="77777777" w:rsidTr="00E435FF">
        <w:trPr>
          <w:cantSplit/>
        </w:trPr>
        <w:tc>
          <w:tcPr>
            <w:tcW w:w="5000" w:type="pct"/>
          </w:tcPr>
          <w:p w14:paraId="539ACBA4" w14:textId="77777777" w:rsidR="000C041E" w:rsidRDefault="000C041E" w:rsidP="00E435FF">
            <w:pPr>
              <w:pStyle w:val="SmallDeltasRightAligned"/>
              <w:keepNext/>
            </w:pPr>
            <w:r>
              <w:rPr>
                <w:noProof/>
                <w:lang w:eastAsia="en-AU"/>
              </w:rPr>
              <w:drawing>
                <wp:inline distT="0" distB="0" distL="0" distR="0" wp14:anchorId="098873D7" wp14:editId="52D0A6AB">
                  <wp:extent cx="481585" cy="23469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C041E" w14:paraId="63B0A619" w14:textId="77777777" w:rsidTr="004703C2">
        <w:tblPrEx>
          <w:tblCellMar>
            <w:left w:w="108" w:type="dxa"/>
            <w:right w:w="108" w:type="dxa"/>
          </w:tblCellMar>
        </w:tblPrEx>
        <w:trPr>
          <w:cantSplit/>
        </w:trPr>
        <w:tc>
          <w:tcPr>
            <w:tcW w:w="5000" w:type="pct"/>
          </w:tcPr>
          <w:p w14:paraId="65D6275A" w14:textId="77777777" w:rsidR="000C041E" w:rsidRDefault="004703C2" w:rsidP="00E435FF">
            <w:pPr>
              <w:pStyle w:val="Figure"/>
            </w:pPr>
            <w:r>
              <w:rPr>
                <w:noProof/>
                <w:lang w:eastAsia="en-AU"/>
              </w:rPr>
              <w:drawing>
                <wp:inline distT="0" distB="0" distL="0" distR="0" wp14:anchorId="2996C45E" wp14:editId="1545440B">
                  <wp:extent cx="4543425" cy="2686685"/>
                  <wp:effectExtent l="0" t="0" r="0" b="0"/>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bl>
    <w:p w14:paraId="0AE0F755" w14:textId="52C961E9" w:rsidR="000C041E" w:rsidRDefault="000C041E">
      <w:pPr>
        <w:pStyle w:val="Note"/>
      </w:pPr>
      <w:r>
        <w:rPr>
          <w:i/>
        </w:rPr>
        <w:t>Note:</w:t>
      </w:r>
      <w:r>
        <w:t xml:space="preserve"> </w:t>
      </w:r>
      <w:r w:rsidR="00147674">
        <w:t>SEE programme</w:t>
      </w:r>
      <w:r w:rsidR="006A28F2">
        <w:t xml:space="preserve"> </w:t>
      </w:r>
      <w:r w:rsidRPr="00722CFF">
        <w:t>clients that commenced training in 2010-11 – 2013-</w:t>
      </w:r>
      <w:r>
        <w:t>14</w:t>
      </w:r>
    </w:p>
    <w:p w14:paraId="737D4115" w14:textId="040E8476" w:rsidR="000C041E" w:rsidRPr="00B50A1B" w:rsidRDefault="000C041E" w:rsidP="00E435FF">
      <w:pPr>
        <w:pStyle w:val="Source"/>
        <w:rPr>
          <w:i/>
        </w:rPr>
      </w:pPr>
      <w:r>
        <w:t>S</w:t>
      </w:r>
      <w:r w:rsidRPr="00B50A1B">
        <w:t>ource:</w:t>
      </w:r>
      <w:r w:rsidRPr="00954EED">
        <w:t xml:space="preserve"> </w:t>
      </w:r>
      <w:r w:rsidR="007A143E">
        <w:t>SEE programme</w:t>
      </w:r>
      <w:r w:rsidR="006A28F2">
        <w:t xml:space="preserve"> </w:t>
      </w:r>
      <w:r w:rsidR="007A143E">
        <w:t>dataset</w:t>
      </w:r>
    </w:p>
    <w:p w14:paraId="2736AE3A" w14:textId="22F3AF1D" w:rsidR="000C041E" w:rsidRDefault="00D91D58" w:rsidP="00D91D58">
      <w:pPr>
        <w:pStyle w:val="BodyText"/>
      </w:pPr>
      <w:r w:rsidRPr="00D91D58">
        <w:t xml:space="preserve">To control for this, </w:t>
      </w:r>
      <w:r w:rsidR="00BD48FF" w:rsidRPr="00D91D58">
        <w:rPr>
          <w:b/>
        </w:rPr>
        <w:fldChar w:fldCharType="begin"/>
      </w:r>
      <w:r w:rsidR="00BD48FF" w:rsidRPr="00D91D58">
        <w:rPr>
          <w:b/>
        </w:rPr>
        <w:instrText xml:space="preserve"> REF _Ref408481918 \h </w:instrText>
      </w:r>
      <w:r>
        <w:rPr>
          <w:b/>
        </w:rPr>
        <w:instrText xml:space="preserve"> \* MERGEFORMAT </w:instrText>
      </w:r>
      <w:r w:rsidR="00BD48FF" w:rsidRPr="00D91D58">
        <w:rPr>
          <w:b/>
        </w:rPr>
      </w:r>
      <w:r w:rsidR="00BD48FF" w:rsidRPr="00D91D58">
        <w:rPr>
          <w:b/>
        </w:rPr>
        <w:fldChar w:fldCharType="separate"/>
      </w:r>
      <w:r w:rsidR="00294A5A">
        <w:t>Figure 21</w:t>
      </w:r>
      <w:r w:rsidR="00BD48FF" w:rsidRPr="00D91D58">
        <w:rPr>
          <w:b/>
        </w:rPr>
        <w:fldChar w:fldCharType="end"/>
      </w:r>
      <w:r w:rsidRPr="00D91D58">
        <w:rPr>
          <w:b/>
        </w:rPr>
        <w:t xml:space="preserve"> </w:t>
      </w:r>
      <w:r w:rsidRPr="00D91D58">
        <w:t xml:space="preserve">shows </w:t>
      </w:r>
      <w:r>
        <w:t xml:space="preserve">the proportion of SEE </w:t>
      </w:r>
      <w:r w:rsidR="003E33FA">
        <w:t xml:space="preserve">programme </w:t>
      </w:r>
      <w:r>
        <w:t>clients assessed as pre-level 1 across nine performance indicators, excluding oral communication. This brings the share of low level Indigenous clients to around 9 per cent. More than 4 per cent of non-CALD, non</w:t>
      </w:r>
      <w:r>
        <w:noBreakHyphen/>
        <w:t>Indigenous clients are assessed as pre-level 1 across the nine performance indicators.</w:t>
      </w:r>
    </w:p>
    <w:p w14:paraId="1DF2072F" w14:textId="77777777" w:rsidR="000C041E" w:rsidRDefault="000C041E">
      <w:pPr>
        <w:pStyle w:val="Caption"/>
      </w:pPr>
      <w:bookmarkStart w:id="108" w:name="_Ref408481918"/>
      <w:bookmarkStart w:id="109" w:name="_Toc420065481"/>
      <w:r>
        <w:t xml:space="preserve">Figure </w:t>
      </w:r>
      <w:r w:rsidR="006A2396">
        <w:fldChar w:fldCharType="begin"/>
      </w:r>
      <w:r w:rsidR="006A2396">
        <w:instrText xml:space="preserve"> SEQ Figure \* ARABIC </w:instrText>
      </w:r>
      <w:r w:rsidR="006A2396">
        <w:fldChar w:fldCharType="separate"/>
      </w:r>
      <w:r w:rsidR="00294A5A">
        <w:rPr>
          <w:noProof/>
        </w:rPr>
        <w:t>21</w:t>
      </w:r>
      <w:r w:rsidR="006A2396">
        <w:rPr>
          <w:noProof/>
        </w:rPr>
        <w:fldChar w:fldCharType="end"/>
      </w:r>
      <w:bookmarkEnd w:id="108"/>
      <w:r w:rsidRPr="004E0C91">
        <w:rPr>
          <w:b/>
          <w:color w:val="000080"/>
        </w:rPr>
        <w:tab/>
      </w:r>
      <w:r w:rsidRPr="000C041E">
        <w:rPr>
          <w:rStyle w:val="CaptionLabel"/>
        </w:rPr>
        <w:t>Proportio</w:t>
      </w:r>
      <w:r>
        <w:rPr>
          <w:rStyle w:val="CaptionLabel"/>
        </w:rPr>
        <w:t>n of clients with zero in 9</w:t>
      </w:r>
      <w:r w:rsidR="00E56342">
        <w:rPr>
          <w:rStyle w:val="CaptionLabel"/>
        </w:rPr>
        <w:t xml:space="preserve"> assessment areas</w:t>
      </w:r>
      <w:r>
        <w:rPr>
          <w:rStyle w:val="CaptionLabel"/>
        </w:rPr>
        <w:t>,</w:t>
      </w:r>
      <w:r w:rsidRPr="000C041E">
        <w:rPr>
          <w:rStyle w:val="CaptionLabel"/>
        </w:rPr>
        <w:t xml:space="preserve"> excluding oral</w:t>
      </w:r>
      <w:r>
        <w:rPr>
          <w:rStyle w:val="CaptionLabel"/>
        </w:rPr>
        <w:t xml:space="preserve"> communication</w:t>
      </w:r>
      <w:bookmarkEnd w:id="109"/>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0C041E" w14:paraId="4ACB76DC" w14:textId="77777777" w:rsidTr="00E435FF">
        <w:trPr>
          <w:cantSplit/>
        </w:trPr>
        <w:tc>
          <w:tcPr>
            <w:tcW w:w="5000" w:type="pct"/>
          </w:tcPr>
          <w:p w14:paraId="690A4A26" w14:textId="77777777" w:rsidR="000C041E" w:rsidRDefault="000C041E" w:rsidP="00E435FF">
            <w:pPr>
              <w:pStyle w:val="SmallDeltasRightAligned"/>
              <w:keepNext/>
            </w:pPr>
            <w:r>
              <w:rPr>
                <w:noProof/>
                <w:lang w:eastAsia="en-AU"/>
              </w:rPr>
              <w:drawing>
                <wp:inline distT="0" distB="0" distL="0" distR="0" wp14:anchorId="202E5046" wp14:editId="2BCA49AC">
                  <wp:extent cx="481585" cy="23469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C041E" w14:paraId="427054FA" w14:textId="77777777" w:rsidTr="004703C2">
        <w:tblPrEx>
          <w:tblCellMar>
            <w:left w:w="108" w:type="dxa"/>
            <w:right w:w="108" w:type="dxa"/>
          </w:tblCellMar>
        </w:tblPrEx>
        <w:trPr>
          <w:cantSplit/>
        </w:trPr>
        <w:tc>
          <w:tcPr>
            <w:tcW w:w="5000" w:type="pct"/>
          </w:tcPr>
          <w:p w14:paraId="7A9BB4B4" w14:textId="77777777" w:rsidR="000C041E" w:rsidRDefault="004703C2" w:rsidP="00E435FF">
            <w:pPr>
              <w:pStyle w:val="Figure"/>
            </w:pPr>
            <w:r>
              <w:rPr>
                <w:noProof/>
                <w:lang w:eastAsia="en-AU"/>
              </w:rPr>
              <w:drawing>
                <wp:inline distT="0" distB="0" distL="0" distR="0" wp14:anchorId="0A7926D3" wp14:editId="1D50187D">
                  <wp:extent cx="4543425" cy="2726055"/>
                  <wp:effectExtent l="0" t="0" r="0" b="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6A78D0C3" w14:textId="12BE0B74" w:rsidR="000C041E" w:rsidRDefault="000C041E">
      <w:pPr>
        <w:pStyle w:val="Note"/>
      </w:pPr>
      <w:r>
        <w:rPr>
          <w:i/>
        </w:rPr>
        <w:t>Note:</w:t>
      </w:r>
      <w:r>
        <w:t xml:space="preserve"> </w:t>
      </w:r>
      <w:r w:rsidR="00147674">
        <w:t>SEE programme</w:t>
      </w:r>
      <w:r w:rsidR="006A28F2">
        <w:t xml:space="preserve"> </w:t>
      </w:r>
      <w:r w:rsidRPr="00722CFF">
        <w:t>clients that commenced training in 2010-11 – 2013-</w:t>
      </w:r>
      <w:r>
        <w:t>14</w:t>
      </w:r>
    </w:p>
    <w:p w14:paraId="37EDAFCB" w14:textId="5AFC3A77" w:rsidR="000C041E" w:rsidRPr="00B50A1B" w:rsidRDefault="000C041E" w:rsidP="00E435FF">
      <w:pPr>
        <w:pStyle w:val="Source"/>
        <w:rPr>
          <w:i/>
        </w:rPr>
      </w:pPr>
      <w:r>
        <w:t>S</w:t>
      </w:r>
      <w:r w:rsidRPr="00B50A1B">
        <w:t>ource:</w:t>
      </w:r>
      <w:r w:rsidRPr="00954EED">
        <w:t xml:space="preserve"> </w:t>
      </w:r>
      <w:r w:rsidR="007A143E">
        <w:t>SEE programme</w:t>
      </w:r>
      <w:r w:rsidR="006A28F2">
        <w:t xml:space="preserve"> </w:t>
      </w:r>
      <w:r w:rsidR="007A143E">
        <w:t>dataset</w:t>
      </w:r>
    </w:p>
    <w:p w14:paraId="347DC840" w14:textId="19E44805" w:rsidR="00177405" w:rsidRDefault="00A46D01" w:rsidP="00A46D01">
      <w:pPr>
        <w:pStyle w:val="BodyText"/>
      </w:pPr>
      <w:r w:rsidRPr="00A46D01">
        <w:t xml:space="preserve">Taking the above </w:t>
      </w:r>
      <w:r w:rsidR="00040415">
        <w:t>entry assessment</w:t>
      </w:r>
      <w:r w:rsidRPr="00A46D01">
        <w:t xml:space="preserve"> charts in totality, </w:t>
      </w:r>
      <w:r w:rsidR="00040415">
        <w:t xml:space="preserve">the data show that a significant proportion of clients are entering the </w:t>
      </w:r>
      <w:r w:rsidR="00147674">
        <w:t>SEE programme</w:t>
      </w:r>
      <w:r w:rsidR="006A28F2">
        <w:t xml:space="preserve"> </w:t>
      </w:r>
      <w:r w:rsidR="00040415">
        <w:t xml:space="preserve">at the pre-level 1 on the ASCF performance indicators. </w:t>
      </w:r>
      <w:r w:rsidR="00177405">
        <w:t xml:space="preserve">The share of </w:t>
      </w:r>
      <w:r w:rsidR="00221649">
        <w:t xml:space="preserve">clients </w:t>
      </w:r>
      <w:r w:rsidR="00177405">
        <w:t xml:space="preserve">entering the </w:t>
      </w:r>
      <w:r w:rsidR="00147674">
        <w:t>SEE programme</w:t>
      </w:r>
      <w:r w:rsidR="00D5632E">
        <w:t xml:space="preserve"> </w:t>
      </w:r>
      <w:r w:rsidR="00221649">
        <w:t xml:space="preserve">with lower proficiency levels </w:t>
      </w:r>
      <w:r w:rsidR="00177405">
        <w:t xml:space="preserve">has increased over the last four years, mainly driven by falling ACSF entry assessments in the CALD cohort. </w:t>
      </w:r>
    </w:p>
    <w:p w14:paraId="5878205B" w14:textId="02C205D0" w:rsidR="00177405" w:rsidRDefault="00177405" w:rsidP="00A46D01">
      <w:pPr>
        <w:pStyle w:val="BodyText"/>
      </w:pPr>
      <w:r>
        <w:t xml:space="preserve">It is not clear what is driving the </w:t>
      </w:r>
      <w:r w:rsidR="0005259D">
        <w:t xml:space="preserve">increasing proportion of </w:t>
      </w:r>
      <w:r>
        <w:t xml:space="preserve">CALD </w:t>
      </w:r>
      <w:r w:rsidR="00221649">
        <w:t>clients</w:t>
      </w:r>
      <w:r w:rsidR="0005259D">
        <w:t xml:space="preserve"> with very low LLN </w:t>
      </w:r>
      <w:r>
        <w:t xml:space="preserve">entry assessment scores. It has occurred in the context of </w:t>
      </w:r>
      <w:r w:rsidRPr="00A46D01">
        <w:t xml:space="preserve">a steady increase in the English language skill level of clients entering the </w:t>
      </w:r>
      <w:r>
        <w:t xml:space="preserve">AMEP over </w:t>
      </w:r>
      <w:r w:rsidR="00A46D01" w:rsidRPr="00A46D01">
        <w:t>2004-05 to 2012-13</w:t>
      </w:r>
      <w:r>
        <w:t xml:space="preserve"> (although there was a fall in 2013-14). AMEP entry level skills have increased </w:t>
      </w:r>
      <w:r w:rsidR="00085602">
        <w:t>o</w:t>
      </w:r>
      <w:r>
        <w:t xml:space="preserve">n average and the </w:t>
      </w:r>
      <w:r w:rsidRPr="00A46D01">
        <w:t xml:space="preserve">proportion of clients assessed at the lowest </w:t>
      </w:r>
      <w:r>
        <w:t xml:space="preserve">level of English Language proficiency has fallen (see the AMEP Evaluation Report, Chapter 4). </w:t>
      </w:r>
    </w:p>
    <w:p w14:paraId="137E2C7C" w14:textId="5F1C4D02" w:rsidR="005648FA" w:rsidRDefault="00905C93" w:rsidP="00905C93">
      <w:pPr>
        <w:pStyle w:val="BodyText"/>
      </w:pPr>
      <w:r>
        <w:t xml:space="preserve">Consultations for the evaluation </w:t>
      </w:r>
      <w:r w:rsidRPr="00A46D01">
        <w:t>emphasised</w:t>
      </w:r>
      <w:r>
        <w:t xml:space="preserve"> the low levels</w:t>
      </w:r>
      <w:r w:rsidR="00085602">
        <w:t xml:space="preserve"> of</w:t>
      </w:r>
      <w:r>
        <w:t xml:space="preserve"> LLN of some clients entering the </w:t>
      </w:r>
      <w:r w:rsidR="00147674">
        <w:t>SEE programme</w:t>
      </w:r>
      <w:r>
        <w:t xml:space="preserve">. Just as in the AMEP cohort, some CALD clients lack </w:t>
      </w:r>
      <w:r w:rsidR="00A46D01" w:rsidRPr="00A46D01">
        <w:t xml:space="preserve">literacy in their first language </w:t>
      </w:r>
      <w:r w:rsidR="001B1102">
        <w:t xml:space="preserve">and this </w:t>
      </w:r>
      <w:r w:rsidR="00A46D01" w:rsidRPr="00A46D01">
        <w:t>can have a significant impact on the speed at w</w:t>
      </w:r>
      <w:r>
        <w:t>hich clients are able to learn.</w:t>
      </w:r>
      <w:r w:rsidR="004703C2">
        <w:t xml:space="preserve"> </w:t>
      </w:r>
      <w:r w:rsidR="005648FA">
        <w:t xml:space="preserve">Despite this, CALD </w:t>
      </w:r>
      <w:r w:rsidR="00A177EF">
        <w:t>clients</w:t>
      </w:r>
      <w:r w:rsidR="005648FA">
        <w:t xml:space="preserve"> are recognised by providers </w:t>
      </w:r>
      <w:r w:rsidR="00A177EF">
        <w:t>as having</w:t>
      </w:r>
      <w:r w:rsidR="005648FA">
        <w:t xml:space="preserve"> above average </w:t>
      </w:r>
      <w:r w:rsidR="00A177EF">
        <w:t>levels</w:t>
      </w:r>
      <w:r w:rsidR="005648FA">
        <w:t xml:space="preserve"> of </w:t>
      </w:r>
      <w:r w:rsidR="00A177EF">
        <w:t xml:space="preserve">commitment to the programme.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92439D" w14:paraId="05CAA646" w14:textId="77777777" w:rsidTr="00F842C5">
        <w:tc>
          <w:tcPr>
            <w:tcW w:w="5000" w:type="pct"/>
            <w:shd w:val="pct12" w:color="auto" w:fill="auto"/>
          </w:tcPr>
          <w:p w14:paraId="65FF14B7" w14:textId="77777777" w:rsidR="0092439D" w:rsidRDefault="0092439D" w:rsidP="00F842C5">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8</w:t>
            </w:r>
            <w:r w:rsidR="006A2396">
              <w:rPr>
                <w:noProof/>
              </w:rPr>
              <w:fldChar w:fldCharType="end"/>
            </w:r>
          </w:p>
        </w:tc>
      </w:tr>
      <w:tr w:rsidR="0092439D" w14:paraId="56D323DD" w14:textId="77777777" w:rsidTr="00F842C5">
        <w:tc>
          <w:tcPr>
            <w:tcW w:w="5000" w:type="pct"/>
            <w:shd w:val="pct12" w:color="auto" w:fill="auto"/>
          </w:tcPr>
          <w:p w14:paraId="4A596D39" w14:textId="7991B8DC" w:rsidR="00AF70C4" w:rsidRDefault="00AF70C4" w:rsidP="00AF70C4">
            <w:pPr>
              <w:pStyle w:val="BoxText"/>
            </w:pPr>
            <w:r>
              <w:t xml:space="preserve">In total, </w:t>
            </w:r>
            <w:r w:rsidR="001B1102">
              <w:t>17</w:t>
            </w:r>
            <w:r>
              <w:t xml:space="preserve"> per cent of </w:t>
            </w:r>
            <w:r w:rsidR="001B1102">
              <w:t xml:space="preserve">SEE </w:t>
            </w:r>
            <w:r w:rsidR="003E33FA">
              <w:t xml:space="preserve">programme </w:t>
            </w:r>
            <w:r>
              <w:t xml:space="preserve">clients are assessed as having </w:t>
            </w:r>
            <w:r w:rsidR="001B1102">
              <w:t>pre-level 1 performance on all ACSF indicators</w:t>
            </w:r>
            <w:r>
              <w:t>.</w:t>
            </w:r>
            <w:r w:rsidR="001B1102">
              <w:t xml:space="preserve"> </w:t>
            </w:r>
            <w:r w:rsidR="001860E4">
              <w:t xml:space="preserve">The majority of these clients are CALD clients </w:t>
            </w:r>
          </w:p>
          <w:p w14:paraId="63BFFA79" w14:textId="77777777" w:rsidR="001B1102" w:rsidRDefault="001B1102" w:rsidP="00AF70C4">
            <w:pPr>
              <w:pStyle w:val="BoxText"/>
            </w:pPr>
            <w:r>
              <w:t xml:space="preserve">2010-11 to 2013-14 saw an increase in the share of clients </w:t>
            </w:r>
            <w:r w:rsidR="001860E4">
              <w:t xml:space="preserve">at this </w:t>
            </w:r>
            <w:r w:rsidR="0005259D">
              <w:t xml:space="preserve">very </w:t>
            </w:r>
            <w:r w:rsidR="001860E4">
              <w:t xml:space="preserve">low level, driven by an increasing proportion of CALD clients assessed as having pre-level 1 performance on all ACSF indicators. </w:t>
            </w:r>
          </w:p>
          <w:p w14:paraId="56F8DAD5" w14:textId="77777777" w:rsidR="001860E4" w:rsidRDefault="001860E4" w:rsidP="00AF70C4">
            <w:pPr>
              <w:pStyle w:val="BoxText"/>
            </w:pPr>
            <w:r>
              <w:t>Excluding oral communication, 9 per cent of Indigenous clients and 4.5 per cent of non-CALD, non</w:t>
            </w:r>
            <w:r>
              <w:noBreakHyphen/>
              <w:t xml:space="preserve">Indigenous cohorts are assessed as </w:t>
            </w:r>
            <w:r w:rsidR="005648FA">
              <w:t xml:space="preserve">pre-level 1 on all of the nine remaining ACSF performance indicators. </w:t>
            </w:r>
          </w:p>
          <w:p w14:paraId="23F00648" w14:textId="77777777" w:rsidR="00905C93" w:rsidRDefault="00A177EF" w:rsidP="00AF70C4">
            <w:pPr>
              <w:pStyle w:val="BoxText"/>
            </w:pPr>
            <w:r>
              <w:t>CALD clients are seen as more committed to the programme on average, while other clients are more likely to have issues with attendance.</w:t>
            </w:r>
          </w:p>
          <w:p w14:paraId="4A2DB705" w14:textId="77777777" w:rsidR="0092439D" w:rsidRPr="00090BC6" w:rsidRDefault="0092439D" w:rsidP="00F842C5">
            <w:pPr>
              <w:pStyle w:val="SmallDeltasRightAligned"/>
            </w:pPr>
            <w:r w:rsidRPr="00090BC6">
              <w:rPr>
                <w:noProof/>
                <w:lang w:eastAsia="en-AU"/>
              </w:rPr>
              <w:drawing>
                <wp:inline distT="0" distB="0" distL="0" distR="0" wp14:anchorId="14EE67DC" wp14:editId="19131247">
                  <wp:extent cx="481585" cy="234696"/>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2439D" w14:paraId="7AFDC495" w14:textId="77777777" w:rsidTr="00F842C5">
        <w:trPr>
          <w:trHeight w:hRule="exact" w:val="80"/>
        </w:trPr>
        <w:tc>
          <w:tcPr>
            <w:tcW w:w="5000" w:type="pct"/>
            <w:shd w:val="pct12" w:color="auto" w:fill="auto"/>
          </w:tcPr>
          <w:p w14:paraId="7D13C872" w14:textId="77777777" w:rsidR="0092439D" w:rsidRDefault="0092439D" w:rsidP="00F842C5">
            <w:pPr>
              <w:spacing w:before="160"/>
            </w:pPr>
            <w:r>
              <w:t xml:space="preserve"> </w:t>
            </w:r>
          </w:p>
        </w:tc>
      </w:tr>
    </w:tbl>
    <w:p w14:paraId="5A828BD5" w14:textId="104BE975" w:rsidR="00A8047F" w:rsidRDefault="00A8047F" w:rsidP="00A8047F">
      <w:pPr>
        <w:pStyle w:val="Heading1"/>
      </w:pPr>
      <w:bookmarkStart w:id="110" w:name="_Toc420065451"/>
      <w:r>
        <w:t xml:space="preserve">The effectiveness of the </w:t>
      </w:r>
      <w:r w:rsidR="00147674">
        <w:t>SEE programme</w:t>
      </w:r>
      <w:bookmarkEnd w:id="110"/>
    </w:p>
    <w:p w14:paraId="5D3B627D" w14:textId="348A5197" w:rsidR="00832284" w:rsidRDefault="00832284" w:rsidP="00832284">
      <w:pPr>
        <w:pStyle w:val="BodyText"/>
        <w:rPr>
          <w:b/>
          <w:i/>
          <w:color w:val="7F7F7F" w:themeColor="text1" w:themeTint="80"/>
        </w:rPr>
      </w:pPr>
      <w:r w:rsidRPr="00076300">
        <w:rPr>
          <w:b/>
          <w:i/>
          <w:color w:val="7F7F7F" w:themeColor="text1" w:themeTint="80"/>
        </w:rPr>
        <w:t>This chapter</w:t>
      </w:r>
      <w:r>
        <w:rPr>
          <w:b/>
          <w:i/>
          <w:color w:val="7F7F7F" w:themeColor="text1" w:themeTint="80"/>
        </w:rPr>
        <w:t xml:space="preserve"> examines the effectiveness of the </w:t>
      </w:r>
      <w:r w:rsidR="00147674">
        <w:rPr>
          <w:b/>
          <w:i/>
          <w:color w:val="7F7F7F" w:themeColor="text1" w:themeTint="80"/>
        </w:rPr>
        <w:t>SEE programme</w:t>
      </w:r>
      <w:r>
        <w:rPr>
          <w:b/>
          <w:i/>
          <w:color w:val="7F7F7F" w:themeColor="text1" w:themeTint="80"/>
        </w:rPr>
        <w:t xml:space="preserve">. It begins by analysing the </w:t>
      </w:r>
      <w:r w:rsidR="00147674">
        <w:rPr>
          <w:b/>
          <w:i/>
          <w:color w:val="7F7F7F" w:themeColor="text1" w:themeTint="80"/>
        </w:rPr>
        <w:t>SEE programme</w:t>
      </w:r>
      <w:r w:rsidR="006A28F2">
        <w:rPr>
          <w:b/>
          <w:i/>
          <w:color w:val="7F7F7F" w:themeColor="text1" w:themeTint="80"/>
        </w:rPr>
        <w:t xml:space="preserve"> </w:t>
      </w:r>
      <w:r>
        <w:rPr>
          <w:b/>
          <w:i/>
          <w:color w:val="7F7F7F" w:themeColor="text1" w:themeTint="80"/>
        </w:rPr>
        <w:t>sub-</w:t>
      </w:r>
      <w:r w:rsidR="003108A7">
        <w:rPr>
          <w:b/>
          <w:i/>
          <w:color w:val="7F7F7F" w:themeColor="text1" w:themeTint="80"/>
        </w:rPr>
        <w:t xml:space="preserve">elements </w:t>
      </w:r>
      <w:r>
        <w:rPr>
          <w:b/>
          <w:i/>
          <w:color w:val="7F7F7F" w:themeColor="text1" w:themeTint="80"/>
        </w:rPr>
        <w:t xml:space="preserve">before looking at completion rates of the </w:t>
      </w:r>
      <w:r w:rsidR="00147674">
        <w:rPr>
          <w:b/>
          <w:i/>
          <w:color w:val="7F7F7F" w:themeColor="text1" w:themeTint="80"/>
        </w:rPr>
        <w:t>SEE programme</w:t>
      </w:r>
      <w:r>
        <w:rPr>
          <w:b/>
          <w:i/>
          <w:color w:val="7F7F7F" w:themeColor="text1" w:themeTint="80"/>
        </w:rPr>
        <w:t xml:space="preserve">. The </w:t>
      </w:r>
      <w:r w:rsidR="006E6516">
        <w:rPr>
          <w:b/>
          <w:i/>
          <w:color w:val="7F7F7F" w:themeColor="text1" w:themeTint="80"/>
        </w:rPr>
        <w:t xml:space="preserve">chapter </w:t>
      </w:r>
      <w:r>
        <w:rPr>
          <w:b/>
          <w:i/>
          <w:color w:val="7F7F7F" w:themeColor="text1" w:themeTint="80"/>
        </w:rPr>
        <w:t xml:space="preserve">then examines the </w:t>
      </w:r>
      <w:r w:rsidR="003108A7">
        <w:rPr>
          <w:b/>
          <w:i/>
          <w:color w:val="7F7F7F" w:themeColor="text1" w:themeTint="80"/>
        </w:rPr>
        <w:t xml:space="preserve">LLN, training and employment </w:t>
      </w:r>
      <w:r>
        <w:rPr>
          <w:b/>
          <w:i/>
          <w:color w:val="7F7F7F" w:themeColor="text1" w:themeTint="80"/>
        </w:rPr>
        <w:t>outcomes of the programme.</w:t>
      </w:r>
    </w:p>
    <w:p w14:paraId="4A3E35C5" w14:textId="3968E7EC" w:rsidR="00832284" w:rsidRDefault="00147674" w:rsidP="00832284">
      <w:pPr>
        <w:pStyle w:val="Heading2"/>
      </w:pPr>
      <w:bookmarkStart w:id="111" w:name="_Toc408083811"/>
      <w:bookmarkStart w:id="112" w:name="_Ref408511573"/>
      <w:bookmarkStart w:id="113" w:name="_Toc420065452"/>
      <w:r>
        <w:t>SEE programme</w:t>
      </w:r>
      <w:r w:rsidR="006A28F2">
        <w:t xml:space="preserve"> </w:t>
      </w:r>
      <w:r w:rsidR="00832284">
        <w:t>sub-elements</w:t>
      </w:r>
      <w:bookmarkStart w:id="114" w:name="_Ref408322190"/>
      <w:bookmarkEnd w:id="111"/>
      <w:bookmarkEnd w:id="112"/>
      <w:bookmarkEnd w:id="113"/>
    </w:p>
    <w:bookmarkEnd w:id="114"/>
    <w:p w14:paraId="4FA190AB" w14:textId="089608F4" w:rsidR="00832284" w:rsidRDefault="00832284" w:rsidP="00832284">
      <w:pPr>
        <w:pStyle w:val="BodyText"/>
      </w:pPr>
      <w:r>
        <w:t xml:space="preserve">As noted in Chapter 2, the </w:t>
      </w:r>
      <w:r w:rsidR="00147674">
        <w:t>SEE programme</w:t>
      </w:r>
      <w:r w:rsidR="006A28F2">
        <w:t xml:space="preserve"> </w:t>
      </w:r>
      <w:r>
        <w:t>has a number of sub-elements. This section examines the take up and effectiveness of:</w:t>
      </w:r>
    </w:p>
    <w:p w14:paraId="0437E29E" w14:textId="7FDF3370" w:rsidR="005E6A9B" w:rsidRDefault="005E6A9B" w:rsidP="005E6A9B">
      <w:pPr>
        <w:pStyle w:val="ListDash"/>
      </w:pPr>
      <w:r>
        <w:t>small group training classes</w:t>
      </w:r>
    </w:p>
    <w:p w14:paraId="6EFD697D" w14:textId="77777777" w:rsidR="005E6A9B" w:rsidRDefault="005E6A9B" w:rsidP="005E6A9B">
      <w:pPr>
        <w:pStyle w:val="ListDash"/>
      </w:pPr>
      <w:r>
        <w:t>mixed mode delivery</w:t>
      </w:r>
    </w:p>
    <w:p w14:paraId="0AC4D30E" w14:textId="77777777" w:rsidR="005E6A9B" w:rsidRDefault="005E6A9B" w:rsidP="005E6A9B">
      <w:pPr>
        <w:pStyle w:val="ListDash"/>
      </w:pPr>
      <w:r>
        <w:t>work experience.</w:t>
      </w:r>
    </w:p>
    <w:p w14:paraId="3BE17044" w14:textId="35A0249B" w:rsidR="005E6A9B" w:rsidRDefault="005E6A9B" w:rsidP="005E6A9B">
      <w:pPr>
        <w:pStyle w:val="Heading3"/>
      </w:pPr>
      <w:r>
        <w:t xml:space="preserve">Small </w:t>
      </w:r>
      <w:r w:rsidR="00D5632E">
        <w:t xml:space="preserve">Group Training </w:t>
      </w:r>
      <w:r>
        <w:t>(SGT)</w:t>
      </w:r>
    </w:p>
    <w:p w14:paraId="529CB2AD" w14:textId="1D7BBFB3" w:rsidR="0019780E" w:rsidRDefault="005E6A9B" w:rsidP="0019780E">
      <w:pPr>
        <w:pStyle w:val="BodyText"/>
      </w:pPr>
      <w:r>
        <w:t>SGT offers clients</w:t>
      </w:r>
      <w:r w:rsidR="00B93B12">
        <w:t>,</w:t>
      </w:r>
      <w:r>
        <w:t xml:space="preserve"> </w:t>
      </w:r>
      <w:r w:rsidR="00B93B12">
        <w:t xml:space="preserve">when they begin </w:t>
      </w:r>
      <w:r w:rsidR="00B91671">
        <w:t xml:space="preserve">the </w:t>
      </w:r>
      <w:r w:rsidR="00B93B12">
        <w:t>SEE</w:t>
      </w:r>
      <w:r w:rsidR="00B91671">
        <w:t xml:space="preserve"> programme</w:t>
      </w:r>
      <w:r w:rsidR="00B93B12">
        <w:t xml:space="preserve">, </w:t>
      </w:r>
      <w:r w:rsidR="00E93EFA">
        <w:t xml:space="preserve">20 </w:t>
      </w:r>
      <w:r>
        <w:t xml:space="preserve">hours of training in a class of no more than five </w:t>
      </w:r>
      <w:r w:rsidR="00221649">
        <w:t>client</w:t>
      </w:r>
      <w:r>
        <w:t xml:space="preserve">s. </w:t>
      </w:r>
      <w:r w:rsidR="00B93B12">
        <w:t xml:space="preserve">The goal of SGT is to provide a transition into </w:t>
      </w:r>
      <w:r w:rsidR="00B91671">
        <w:t xml:space="preserve">the </w:t>
      </w:r>
      <w:r w:rsidR="00B93B12">
        <w:t xml:space="preserve">SEE </w:t>
      </w:r>
      <w:r w:rsidR="00B91671">
        <w:t xml:space="preserve">programme </w:t>
      </w:r>
      <w:r w:rsidR="00B93B12">
        <w:t xml:space="preserve">for clients who are </w:t>
      </w:r>
      <w:r w:rsidR="00B93B12" w:rsidRPr="00971A47">
        <w:t xml:space="preserve">uncomfortable or </w:t>
      </w:r>
      <w:r w:rsidR="00B93B12">
        <w:t>may struggle</w:t>
      </w:r>
      <w:r w:rsidR="00B93B12" w:rsidRPr="00971A47">
        <w:t xml:space="preserve"> in a larger class</w:t>
      </w:r>
      <w:r w:rsidR="00B93B12">
        <w:t>.</w:t>
      </w:r>
    </w:p>
    <w:p w14:paraId="607F65BF" w14:textId="337E7BEE" w:rsidR="009577D8" w:rsidRDefault="00B93B12" w:rsidP="0019780E">
      <w:pPr>
        <w:pStyle w:val="BodyText"/>
      </w:pPr>
      <w:r>
        <w:t xml:space="preserve">Take up of SGT has averaged </w:t>
      </w:r>
      <w:r w:rsidR="009577D8">
        <w:t>10 per cent</w:t>
      </w:r>
      <w:r w:rsidR="004E3969">
        <w:t xml:space="preserve"> of all clients</w:t>
      </w:r>
      <w:r w:rsidR="009577D8">
        <w:t xml:space="preserve"> over the last four year</w:t>
      </w:r>
      <w:r w:rsidR="00BA2305">
        <w:t>s</w:t>
      </w:r>
      <w:r>
        <w:t xml:space="preserve">, although </w:t>
      </w:r>
      <w:r w:rsidR="0005259D">
        <w:t xml:space="preserve">data for the last four years shows </w:t>
      </w:r>
      <w:r>
        <w:t xml:space="preserve"> that </w:t>
      </w:r>
      <w:r w:rsidR="0005259D">
        <w:t xml:space="preserve">SGT </w:t>
      </w:r>
      <w:r>
        <w:t>take up is falling (</w:t>
      </w:r>
      <w:r>
        <w:fldChar w:fldCharType="begin"/>
      </w:r>
      <w:r>
        <w:instrText xml:space="preserve"> REF _Ref408600527 \h </w:instrText>
      </w:r>
      <w:r>
        <w:fldChar w:fldCharType="separate"/>
      </w:r>
      <w:r w:rsidR="00294A5A">
        <w:t xml:space="preserve">Figure </w:t>
      </w:r>
      <w:r w:rsidR="00294A5A">
        <w:rPr>
          <w:noProof/>
        </w:rPr>
        <w:t>22</w:t>
      </w:r>
      <w:r>
        <w:fldChar w:fldCharType="end"/>
      </w:r>
      <w:r>
        <w:t>)</w:t>
      </w:r>
      <w:r w:rsidR="009577D8">
        <w:t>. Take</w:t>
      </w:r>
      <w:r>
        <w:t xml:space="preserve"> up</w:t>
      </w:r>
      <w:r w:rsidR="009577D8">
        <w:t xml:space="preserve"> has generally been higher among the Indigenous cohort and </w:t>
      </w:r>
      <w:r>
        <w:t xml:space="preserve">low among </w:t>
      </w:r>
      <w:r w:rsidR="009577D8">
        <w:t xml:space="preserve">CALD clients. </w:t>
      </w:r>
    </w:p>
    <w:p w14:paraId="126F347E" w14:textId="77777777" w:rsidR="005E6A9B" w:rsidRDefault="00B93B12" w:rsidP="005E6A9B">
      <w:pPr>
        <w:pStyle w:val="BodyText"/>
      </w:pPr>
      <w:r>
        <w:t>The average number of SGT hours used by clients is around nine, and this is uniform across the three cohort groups. Only 23 per cent of clients use more than 15 hours of SGT.</w:t>
      </w:r>
    </w:p>
    <w:p w14:paraId="4F3D9306" w14:textId="77777777" w:rsidR="005E6A9B" w:rsidRDefault="005E6A9B" w:rsidP="005E6A9B">
      <w:pPr>
        <w:pStyle w:val="Caption"/>
        <w:framePr w:w="9921" w:hSpace="181" w:wrap="notBeside" w:vAnchor="text" w:hAnchor="text" w:x="-2550" w:y="1"/>
      </w:pPr>
      <w:bookmarkStart w:id="115" w:name="_Ref408600527"/>
      <w:bookmarkStart w:id="116" w:name="_Toc420065482"/>
      <w:r>
        <w:t xml:space="preserve">Figure </w:t>
      </w:r>
      <w:r w:rsidR="006A2396">
        <w:fldChar w:fldCharType="begin"/>
      </w:r>
      <w:r w:rsidR="006A2396">
        <w:instrText xml:space="preserve"> SEQ Figure \* ARABIC </w:instrText>
      </w:r>
      <w:r w:rsidR="006A2396">
        <w:fldChar w:fldCharType="separate"/>
      </w:r>
      <w:r w:rsidR="00294A5A">
        <w:rPr>
          <w:noProof/>
        </w:rPr>
        <w:t>22</w:t>
      </w:r>
      <w:r w:rsidR="006A2396">
        <w:rPr>
          <w:noProof/>
        </w:rPr>
        <w:fldChar w:fldCharType="end"/>
      </w:r>
      <w:bookmarkEnd w:id="115"/>
      <w:r w:rsidRPr="004E0C91">
        <w:rPr>
          <w:b/>
          <w:color w:val="000080"/>
        </w:rPr>
        <w:tab/>
      </w:r>
      <w:r>
        <w:rPr>
          <w:rStyle w:val="CaptionLabel"/>
        </w:rPr>
        <w:t xml:space="preserve">Small group training </w:t>
      </w:r>
      <w:r w:rsidR="00FF3D58">
        <w:rPr>
          <w:rStyle w:val="CaptionLabel"/>
        </w:rPr>
        <w:t>take up and hours used</w:t>
      </w:r>
      <w:bookmarkEnd w:id="116"/>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959"/>
        <w:gridCol w:w="4960"/>
      </w:tblGrid>
      <w:tr w:rsidR="005E6A9B" w14:paraId="54FB4A83" w14:textId="77777777" w:rsidTr="006D5201">
        <w:tc>
          <w:tcPr>
            <w:tcW w:w="5000" w:type="pct"/>
            <w:gridSpan w:val="2"/>
          </w:tcPr>
          <w:p w14:paraId="083E3170" w14:textId="77777777" w:rsidR="005E6A9B" w:rsidRDefault="005E6A9B" w:rsidP="006D5201">
            <w:pPr>
              <w:pStyle w:val="SmallDeltasRightAligned"/>
              <w:keepNext/>
              <w:keepLines/>
              <w:framePr w:w="9921" w:hSpace="181" w:wrap="notBeside" w:vAnchor="text" w:hAnchor="text" w:x="-2550" w:y="1"/>
            </w:pPr>
            <w:r>
              <w:rPr>
                <w:noProof/>
                <w:lang w:eastAsia="en-AU"/>
              </w:rPr>
              <w:drawing>
                <wp:inline distT="0" distB="0" distL="0" distR="0" wp14:anchorId="0BB0FFD8" wp14:editId="2053B0FA">
                  <wp:extent cx="481585" cy="23469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5E6A9B" w14:paraId="513A1D12" w14:textId="77777777" w:rsidTr="006D5201">
        <w:trPr>
          <w:trHeight w:val="163"/>
        </w:trPr>
        <w:tc>
          <w:tcPr>
            <w:tcW w:w="2500" w:type="pct"/>
          </w:tcPr>
          <w:p w14:paraId="47665F9A" w14:textId="77777777" w:rsidR="005E6A9B" w:rsidRDefault="006E24A9" w:rsidP="006D5201">
            <w:pPr>
              <w:pStyle w:val="Figure"/>
              <w:keepLines/>
              <w:framePr w:w="9921" w:hSpace="181" w:wrap="notBeside" w:vAnchor="text" w:hAnchor="text" w:x="-2550" w:y="1"/>
            </w:pPr>
            <w:r>
              <w:rPr>
                <w:rStyle w:val="CaptionLabel"/>
              </w:rPr>
              <w:t>SGT</w:t>
            </w:r>
            <w:r w:rsidR="004703C2">
              <w:rPr>
                <w:rStyle w:val="CaptionLabel"/>
              </w:rPr>
              <w:t xml:space="preserve"> take up, as a proportion of all clients</w:t>
            </w:r>
          </w:p>
        </w:tc>
        <w:tc>
          <w:tcPr>
            <w:tcW w:w="2500" w:type="pct"/>
          </w:tcPr>
          <w:p w14:paraId="3D6E72E2" w14:textId="77777777" w:rsidR="005E6A9B" w:rsidRPr="006E24A9" w:rsidRDefault="006E24A9" w:rsidP="006D5201">
            <w:pPr>
              <w:pStyle w:val="Figure"/>
              <w:keepLines/>
              <w:framePr w:w="9921" w:hSpace="181" w:wrap="notBeside" w:vAnchor="text" w:hAnchor="text" w:x="-2550" w:y="1"/>
              <w:rPr>
                <w:b/>
              </w:rPr>
            </w:pPr>
            <w:r>
              <w:rPr>
                <w:b/>
              </w:rPr>
              <w:t>SGT hours used, as a proportion of SGT clients</w:t>
            </w:r>
          </w:p>
        </w:tc>
      </w:tr>
      <w:tr w:rsidR="005E6A9B" w14:paraId="4616D021" w14:textId="77777777" w:rsidTr="004B22B9">
        <w:tblPrEx>
          <w:tblCellMar>
            <w:left w:w="108" w:type="dxa"/>
            <w:right w:w="108" w:type="dxa"/>
          </w:tblCellMar>
        </w:tblPrEx>
        <w:trPr>
          <w:trHeight w:val="163"/>
        </w:trPr>
        <w:tc>
          <w:tcPr>
            <w:tcW w:w="2500" w:type="pct"/>
          </w:tcPr>
          <w:p w14:paraId="3D7A14A1" w14:textId="77777777" w:rsidR="005E6A9B" w:rsidRDefault="005E6A9B" w:rsidP="006D5201">
            <w:pPr>
              <w:pStyle w:val="Figure"/>
              <w:keepLines/>
              <w:framePr w:w="9921" w:hSpace="181" w:wrap="notBeside" w:vAnchor="text" w:hAnchor="text" w:x="-2550" w:y="1"/>
            </w:pPr>
            <w:r>
              <w:rPr>
                <w:noProof/>
                <w:lang w:eastAsia="en-AU"/>
              </w:rPr>
              <w:drawing>
                <wp:inline distT="0" distB="0" distL="0" distR="0" wp14:anchorId="45B92071" wp14:editId="24C8399F">
                  <wp:extent cx="3148965" cy="2329732"/>
                  <wp:effectExtent l="0" t="0" r="0" b="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2500" w:type="pct"/>
          </w:tcPr>
          <w:p w14:paraId="0F763D35" w14:textId="77777777" w:rsidR="005E6A9B" w:rsidRDefault="004B22B9" w:rsidP="006D5201">
            <w:pPr>
              <w:pStyle w:val="Figure"/>
              <w:keepLines/>
              <w:framePr w:w="9921" w:hSpace="181" w:wrap="notBeside" w:vAnchor="text" w:hAnchor="text" w:x="-2550" w:y="1"/>
            </w:pPr>
            <w:r>
              <w:rPr>
                <w:noProof/>
                <w:lang w:eastAsia="en-AU"/>
              </w:rPr>
              <w:drawing>
                <wp:inline distT="0" distB="0" distL="0" distR="0" wp14:anchorId="29D63995" wp14:editId="305743CE">
                  <wp:extent cx="3012440" cy="2329180"/>
                  <wp:effectExtent l="0" t="0" r="0" b="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743B4C77" w14:textId="77777777" w:rsidR="005E6A9B" w:rsidRDefault="005E6A9B" w:rsidP="005E6A9B">
      <w:pPr>
        <w:pStyle w:val="Note"/>
        <w:framePr w:w="9921" w:hSpace="181" w:wrap="notBeside" w:vAnchor="text" w:hAnchor="text" w:x="-2550" w:y="1"/>
      </w:pPr>
      <w:r>
        <w:rPr>
          <w:i/>
        </w:rPr>
        <w:t>Note:</w:t>
      </w:r>
      <w:r>
        <w:t xml:space="preserve"> </w:t>
      </w:r>
      <w:r w:rsidR="00FF3D58">
        <w:t>Hours used for clients commencing in 2010-11 to 2013-14</w:t>
      </w:r>
    </w:p>
    <w:p w14:paraId="21F16034" w14:textId="7404336D" w:rsidR="005E6A9B" w:rsidRPr="00AE6C4B" w:rsidRDefault="005E6A9B" w:rsidP="005E6A9B">
      <w:pPr>
        <w:pStyle w:val="Source"/>
        <w:framePr w:w="9921" w:hSpace="181" w:wrap="notBeside" w:vAnchor="text" w:hAnchor="text" w:x="-2550" w:y="1"/>
      </w:pPr>
      <w:r w:rsidRPr="00B50A1B">
        <w:t>Source:</w:t>
      </w:r>
      <w:r w:rsidRPr="00954EED">
        <w:t xml:space="preserve"> </w:t>
      </w:r>
      <w:r w:rsidR="007A143E">
        <w:t>SEE programme</w:t>
      </w:r>
      <w:r w:rsidR="006A28F2">
        <w:t xml:space="preserve"> </w:t>
      </w:r>
      <w:r w:rsidR="007A143E">
        <w:t>dataset</w:t>
      </w:r>
    </w:p>
    <w:p w14:paraId="44045ED1" w14:textId="6035DB4D" w:rsidR="004B6CF6" w:rsidRDefault="00A44A8F" w:rsidP="004B6CF6">
      <w:pPr>
        <w:spacing w:line="280" w:lineRule="exact"/>
        <w:rPr>
          <w:sz w:val="22"/>
          <w:szCs w:val="22"/>
          <w:lang w:eastAsia="en-AU"/>
        </w:rPr>
      </w:pPr>
      <w:r>
        <w:rPr>
          <w:sz w:val="22"/>
          <w:szCs w:val="22"/>
          <w:lang w:eastAsia="en-AU"/>
        </w:rPr>
        <w:t>SEE providers</w:t>
      </w:r>
      <w:r w:rsidR="00701AB4">
        <w:rPr>
          <w:sz w:val="22"/>
          <w:szCs w:val="22"/>
          <w:lang w:eastAsia="en-AU"/>
        </w:rPr>
        <w:t xml:space="preserve"> use SGT with high needs clients and see the sub-element as important </w:t>
      </w:r>
      <w:r w:rsidR="00D5632E">
        <w:rPr>
          <w:sz w:val="22"/>
          <w:szCs w:val="22"/>
          <w:lang w:eastAsia="en-AU"/>
        </w:rPr>
        <w:t xml:space="preserve">in assisting </w:t>
      </w:r>
      <w:r w:rsidR="00701AB4">
        <w:rPr>
          <w:sz w:val="22"/>
          <w:szCs w:val="22"/>
          <w:lang w:eastAsia="en-AU"/>
        </w:rPr>
        <w:t xml:space="preserve">clients with the transition to training. </w:t>
      </w:r>
      <w:r w:rsidR="00A86387">
        <w:rPr>
          <w:sz w:val="22"/>
          <w:szCs w:val="22"/>
          <w:lang w:eastAsia="en-AU"/>
        </w:rPr>
        <w:t xml:space="preserve">The low utilisation of SGT with CALD clients as noted above may be surprising due to their average low level of LLN skills on entry. This may reflect CALD clients’ </w:t>
      </w:r>
      <w:r w:rsidR="0005259D">
        <w:rPr>
          <w:sz w:val="22"/>
          <w:szCs w:val="22"/>
          <w:lang w:eastAsia="en-AU"/>
        </w:rPr>
        <w:t xml:space="preserve">relatively high levels of familiarity </w:t>
      </w:r>
      <w:r w:rsidR="00A86387">
        <w:rPr>
          <w:sz w:val="22"/>
          <w:szCs w:val="22"/>
          <w:lang w:eastAsia="en-AU"/>
        </w:rPr>
        <w:t>with the classroom environment due to the</w:t>
      </w:r>
      <w:r w:rsidR="0005259D">
        <w:rPr>
          <w:sz w:val="22"/>
          <w:szCs w:val="22"/>
          <w:lang w:eastAsia="en-AU"/>
        </w:rPr>
        <w:t>ir experience in</w:t>
      </w:r>
      <w:r w:rsidR="00A86387">
        <w:rPr>
          <w:sz w:val="22"/>
          <w:szCs w:val="22"/>
          <w:lang w:eastAsia="en-AU"/>
        </w:rPr>
        <w:t xml:space="preserve"> </w:t>
      </w:r>
      <w:r w:rsidR="008D0896">
        <w:rPr>
          <w:sz w:val="22"/>
          <w:szCs w:val="22"/>
          <w:lang w:eastAsia="en-AU"/>
        </w:rPr>
        <w:t xml:space="preserve">the </w:t>
      </w:r>
      <w:r w:rsidR="00A86387">
        <w:rPr>
          <w:sz w:val="22"/>
          <w:szCs w:val="22"/>
          <w:lang w:eastAsia="en-AU"/>
        </w:rPr>
        <w:t xml:space="preserve">AMEP and/or previous education. Conversely, providers may be underutilising SGT with this cohort. </w:t>
      </w:r>
    </w:p>
    <w:p w14:paraId="76B64D0B" w14:textId="0D2AF8CF" w:rsidR="004B6CF6" w:rsidRPr="00A9564A" w:rsidRDefault="00A86387" w:rsidP="004B6CF6">
      <w:pPr>
        <w:spacing w:line="280" w:lineRule="exact"/>
        <w:rPr>
          <w:sz w:val="22"/>
          <w:szCs w:val="22"/>
          <w:lang w:eastAsia="en-AU"/>
        </w:rPr>
      </w:pPr>
      <w:r>
        <w:rPr>
          <w:sz w:val="22"/>
          <w:szCs w:val="22"/>
          <w:lang w:eastAsia="en-AU"/>
        </w:rPr>
        <w:t xml:space="preserve">Some </w:t>
      </w:r>
      <w:r w:rsidR="00B91671">
        <w:rPr>
          <w:sz w:val="22"/>
          <w:szCs w:val="22"/>
          <w:lang w:eastAsia="en-AU"/>
        </w:rPr>
        <w:t xml:space="preserve">SEE </w:t>
      </w:r>
      <w:r>
        <w:rPr>
          <w:sz w:val="22"/>
          <w:szCs w:val="22"/>
          <w:lang w:eastAsia="en-AU"/>
        </w:rPr>
        <w:t xml:space="preserve">providers </w:t>
      </w:r>
      <w:r w:rsidR="00B91671">
        <w:rPr>
          <w:sz w:val="22"/>
          <w:szCs w:val="22"/>
          <w:lang w:eastAsia="en-AU"/>
        </w:rPr>
        <w:t xml:space="preserve">contend </w:t>
      </w:r>
      <w:r>
        <w:rPr>
          <w:sz w:val="22"/>
          <w:szCs w:val="22"/>
          <w:lang w:eastAsia="en-AU"/>
        </w:rPr>
        <w:t xml:space="preserve">that the current maximum SGT hours is inadequate to </w:t>
      </w:r>
      <w:r w:rsidR="00DC0D10">
        <w:rPr>
          <w:sz w:val="22"/>
          <w:szCs w:val="22"/>
          <w:lang w:eastAsia="en-AU"/>
        </w:rPr>
        <w:t>assist high needs clients.</w:t>
      </w:r>
      <w:r w:rsidR="00002136">
        <w:rPr>
          <w:rStyle w:val="FootnoteReference"/>
          <w:sz w:val="22"/>
          <w:szCs w:val="22"/>
          <w:lang w:eastAsia="en-AU"/>
        </w:rPr>
        <w:footnoteReference w:id="3"/>
      </w:r>
    </w:p>
    <w:p w14:paraId="4AB68606" w14:textId="77777777" w:rsidR="004B6CF6" w:rsidRPr="00A9564A" w:rsidRDefault="004B6CF6" w:rsidP="004B6CF6">
      <w:pPr>
        <w:spacing w:before="60" w:after="60" w:line="220" w:lineRule="exact"/>
        <w:ind w:left="567" w:right="567"/>
        <w:rPr>
          <w:sz w:val="18"/>
          <w:szCs w:val="22"/>
          <w:lang w:eastAsia="en-AU"/>
        </w:rPr>
      </w:pPr>
      <w:r w:rsidRPr="00A9564A">
        <w:rPr>
          <w:sz w:val="18"/>
          <w:szCs w:val="22"/>
          <w:lang w:eastAsia="en-AU"/>
        </w:rPr>
        <w:t>The change in Small Group Training (SGT) to 25 hours – this is not enough hours for vulnerable clients. The financial reimbursement is not commensurate with the workload involved in establishing SGT. Delivery of SGT in the initial 25 hours only of training restricts involvement in class for clients who fall into this category and may require ongoing assistance. SGT could be extended to assist clients who will engaged in WE prepare for their placement e.g. develop resume and cover letter, develop schedule for WE.</w:t>
      </w:r>
    </w:p>
    <w:p w14:paraId="574064BA" w14:textId="77777777" w:rsidR="004B6CF6" w:rsidRPr="00A9564A" w:rsidRDefault="008C774B" w:rsidP="004B6CF6">
      <w:pPr>
        <w:spacing w:before="60" w:after="60" w:line="220" w:lineRule="exact"/>
        <w:ind w:left="567" w:right="567"/>
        <w:jc w:val="right"/>
        <w:rPr>
          <w:i/>
          <w:sz w:val="18"/>
          <w:szCs w:val="22"/>
          <w:lang w:eastAsia="en-AU"/>
        </w:rPr>
      </w:pPr>
      <w:r w:rsidRPr="00C94F0C">
        <w:rPr>
          <w:i/>
          <w:sz w:val="18"/>
          <w:szCs w:val="22"/>
          <w:lang w:eastAsia="en-AU"/>
        </w:rPr>
        <w:t xml:space="preserve">– </w:t>
      </w:r>
      <w:r w:rsidR="004B6CF6" w:rsidRPr="00A9564A">
        <w:rPr>
          <w:i/>
          <w:sz w:val="18"/>
          <w:szCs w:val="22"/>
          <w:lang w:eastAsia="en-AU"/>
        </w:rPr>
        <w:t>Confidential submission</w:t>
      </w:r>
    </w:p>
    <w:p w14:paraId="5C651786" w14:textId="7C598807" w:rsidR="00A86387" w:rsidRDefault="00B91671" w:rsidP="00A86387">
      <w:pPr>
        <w:spacing w:line="280" w:lineRule="exact"/>
        <w:rPr>
          <w:sz w:val="22"/>
          <w:szCs w:val="22"/>
          <w:lang w:eastAsia="en-AU"/>
        </w:rPr>
      </w:pPr>
      <w:r>
        <w:rPr>
          <w:sz w:val="22"/>
          <w:szCs w:val="22"/>
          <w:lang w:eastAsia="en-AU"/>
        </w:rPr>
        <w:t>Others suggest that</w:t>
      </w:r>
      <w:r w:rsidR="00A86387">
        <w:rPr>
          <w:sz w:val="22"/>
          <w:szCs w:val="22"/>
          <w:lang w:eastAsia="en-AU"/>
        </w:rPr>
        <w:t xml:space="preserve"> SGT should be available throughout clients’ </w:t>
      </w:r>
      <w:r w:rsidR="00276A03">
        <w:rPr>
          <w:sz w:val="22"/>
          <w:szCs w:val="22"/>
          <w:lang w:eastAsia="en-AU"/>
        </w:rPr>
        <w:t>SEE programme training</w:t>
      </w:r>
      <w:r w:rsidR="00A86387">
        <w:rPr>
          <w:sz w:val="22"/>
          <w:szCs w:val="22"/>
          <w:lang w:eastAsia="en-AU"/>
        </w:rPr>
        <w:t xml:space="preserve">. </w:t>
      </w:r>
    </w:p>
    <w:p w14:paraId="2D44555C" w14:textId="77777777" w:rsidR="00A86387" w:rsidRDefault="00A86387" w:rsidP="00A86387">
      <w:pPr>
        <w:pStyle w:val="Quote"/>
      </w:pPr>
      <w:r w:rsidRPr="003F5094">
        <w:t>Small group training at various stages of training, rather than just at entry</w:t>
      </w:r>
      <w:r w:rsidR="008C774B">
        <w:t xml:space="preserve"> [is needed]</w:t>
      </w:r>
      <w:r w:rsidRPr="003F5094">
        <w:t>.</w:t>
      </w:r>
    </w:p>
    <w:p w14:paraId="318B708E" w14:textId="77777777" w:rsidR="00A86387" w:rsidRPr="00A9564A" w:rsidRDefault="008C774B" w:rsidP="00A86387">
      <w:pPr>
        <w:pStyle w:val="QuoteSource"/>
      </w:pPr>
      <w:r w:rsidRPr="00C94F0C">
        <w:rPr>
          <w:i w:val="0"/>
        </w:rPr>
        <w:t xml:space="preserve">– </w:t>
      </w:r>
      <w:r w:rsidR="00A86387">
        <w:t>Survey respondent</w:t>
      </w:r>
    </w:p>
    <w:p w14:paraId="4D69D206" w14:textId="77777777" w:rsidR="00A86387" w:rsidRDefault="00A86387" w:rsidP="00A86387">
      <w:pPr>
        <w:pStyle w:val="Quote"/>
      </w:pPr>
      <w:r w:rsidRPr="003F5094">
        <w:t>Small Group Training should be available throughout the 800 hours not just within the initial 25 hours for maximum benefit for all clients who may require extra support at different times during their SEE pathway.</w:t>
      </w:r>
    </w:p>
    <w:p w14:paraId="6FAB133B" w14:textId="77777777" w:rsidR="00A86387" w:rsidRPr="00A9564A" w:rsidRDefault="008C774B" w:rsidP="00A86387">
      <w:pPr>
        <w:pStyle w:val="QuoteSource"/>
      </w:pPr>
      <w:r w:rsidRPr="00C94F0C">
        <w:rPr>
          <w:i w:val="0"/>
        </w:rPr>
        <w:t xml:space="preserve">– </w:t>
      </w:r>
      <w:r w:rsidR="00A86387">
        <w:t>Survey respondent</w:t>
      </w:r>
    </w:p>
    <w:p w14:paraId="110DC396" w14:textId="77777777" w:rsidR="00A86387" w:rsidRDefault="00DC0D10" w:rsidP="005E6A9B">
      <w:pPr>
        <w:pStyle w:val="BodyText"/>
      </w:pPr>
      <w:r>
        <w:t xml:space="preserve">While expanding SGT may assist clients develop their LLN skills, it should be noted that the goal of SGT is to primarily build the confidence of clients so they can transition into </w:t>
      </w:r>
      <w:r w:rsidRPr="00971A47">
        <w:t>larger class</w:t>
      </w:r>
      <w:r>
        <w:t xml:space="preserve">es, rather than to provide ongoing LLN support. There are also benefits to clients from attending larger classes including developing team work skills and networking.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4B6CF6" w14:paraId="3824BE82" w14:textId="77777777" w:rsidTr="006D5201">
        <w:tc>
          <w:tcPr>
            <w:tcW w:w="5000" w:type="pct"/>
            <w:shd w:val="pct12" w:color="auto" w:fill="auto"/>
          </w:tcPr>
          <w:p w14:paraId="5814FC6D" w14:textId="77777777" w:rsidR="004B6CF6" w:rsidRDefault="004B6CF6" w:rsidP="006D5201">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9</w:t>
            </w:r>
            <w:r w:rsidR="006A2396">
              <w:rPr>
                <w:noProof/>
              </w:rPr>
              <w:fldChar w:fldCharType="end"/>
            </w:r>
          </w:p>
        </w:tc>
      </w:tr>
      <w:tr w:rsidR="004B6CF6" w14:paraId="7383A301" w14:textId="77777777" w:rsidTr="006D5201">
        <w:tc>
          <w:tcPr>
            <w:tcW w:w="5000" w:type="pct"/>
            <w:shd w:val="pct12" w:color="auto" w:fill="auto"/>
          </w:tcPr>
          <w:p w14:paraId="74AD640E" w14:textId="57795BCB" w:rsidR="004B6CF6" w:rsidRDefault="00CA7CD0" w:rsidP="00CA7CD0">
            <w:pPr>
              <w:pStyle w:val="BoxText"/>
            </w:pPr>
            <w:r>
              <w:t xml:space="preserve">Take up of SGT has </w:t>
            </w:r>
            <w:r w:rsidRPr="00BE67D9">
              <w:t>averaged 10 per cent over the last four year</w:t>
            </w:r>
            <w:r w:rsidR="00A57D00" w:rsidRPr="00BE67D9">
              <w:t>s</w:t>
            </w:r>
            <w:r w:rsidRPr="00BE67D9">
              <w:t>. Take up has generally been higher among the Indigenous cohort and low</w:t>
            </w:r>
            <w:r>
              <w:t xml:space="preserve"> among CALD clients. The average number of SGT hours used by clients is around nine, and this is uniform across the three cohort groups.</w:t>
            </w:r>
          </w:p>
          <w:p w14:paraId="3AE45D54" w14:textId="43D7C2AF" w:rsidR="00701AB4" w:rsidRDefault="00701AB4" w:rsidP="00CA7CD0">
            <w:pPr>
              <w:pStyle w:val="BoxText"/>
            </w:pPr>
            <w:r>
              <w:t xml:space="preserve">Some </w:t>
            </w:r>
            <w:r w:rsidR="00A57D00">
              <w:t xml:space="preserve">SEE </w:t>
            </w:r>
            <w:r>
              <w:t>providers would like to see the number of SGT hours increased for high needs clients, and offered throughout clients’ 800 hours.</w:t>
            </w:r>
          </w:p>
          <w:p w14:paraId="65DD3D40" w14:textId="77777777" w:rsidR="004B6CF6" w:rsidRPr="00090BC6" w:rsidRDefault="004B6CF6" w:rsidP="006D5201">
            <w:pPr>
              <w:pStyle w:val="SmallDeltasRightAligned"/>
            </w:pPr>
            <w:r w:rsidRPr="00090BC6">
              <w:rPr>
                <w:noProof/>
                <w:lang w:eastAsia="en-AU"/>
              </w:rPr>
              <w:drawing>
                <wp:inline distT="0" distB="0" distL="0" distR="0" wp14:anchorId="350C5701" wp14:editId="35728BB1">
                  <wp:extent cx="481585" cy="23469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4B6CF6" w14:paraId="5DCFBCFF" w14:textId="77777777" w:rsidTr="006D5201">
        <w:trPr>
          <w:trHeight w:hRule="exact" w:val="80"/>
        </w:trPr>
        <w:tc>
          <w:tcPr>
            <w:tcW w:w="5000" w:type="pct"/>
            <w:shd w:val="pct12" w:color="auto" w:fill="auto"/>
          </w:tcPr>
          <w:p w14:paraId="1C1146A4" w14:textId="77777777" w:rsidR="004B6CF6" w:rsidRDefault="004B6CF6" w:rsidP="006D5201">
            <w:pPr>
              <w:spacing w:before="160"/>
            </w:pPr>
            <w:r>
              <w:t xml:space="preserve"> </w:t>
            </w:r>
          </w:p>
        </w:tc>
      </w:tr>
    </w:tbl>
    <w:p w14:paraId="05925E0E" w14:textId="77777777" w:rsidR="00FF3D58" w:rsidRDefault="00E50CD8" w:rsidP="00E50CD8">
      <w:pPr>
        <w:pStyle w:val="Heading3"/>
      </w:pPr>
      <w:bookmarkStart w:id="117" w:name="_Ref408677091"/>
      <w:r>
        <w:t>Mixed mode</w:t>
      </w:r>
      <w:bookmarkEnd w:id="117"/>
    </w:p>
    <w:p w14:paraId="5B2EE346" w14:textId="06FBC130" w:rsidR="00E50CD8" w:rsidRDefault="00E50CD8" w:rsidP="00E50CD8">
      <w:pPr>
        <w:pStyle w:val="BodyText"/>
      </w:pPr>
      <w:r w:rsidRPr="00367FA4">
        <w:t>M</w:t>
      </w:r>
      <w:r w:rsidRPr="00F419D0">
        <w:t xml:space="preserve">ixed mode is the delivery of training through a combination of </w:t>
      </w:r>
      <w:r>
        <w:t xml:space="preserve">both </w:t>
      </w:r>
      <w:r w:rsidRPr="00F419D0">
        <w:t>face-to-face and distance</w:t>
      </w:r>
      <w:r>
        <w:t xml:space="preserve"> </w:t>
      </w:r>
      <w:r w:rsidRPr="00F419D0">
        <w:t>mode</w:t>
      </w:r>
      <w:r>
        <w:t xml:space="preserve"> </w:t>
      </w:r>
      <w:r w:rsidRPr="00F419D0">
        <w:t>delivery</w:t>
      </w:r>
      <w:r>
        <w:t xml:space="preserve">. The distance mode must not account for more than four consecutive weeks of SEE </w:t>
      </w:r>
      <w:r w:rsidR="00B91671">
        <w:t xml:space="preserve">programme </w:t>
      </w:r>
      <w:r>
        <w:t>training and clients must not exceed 12 weeks of distance training within 800 hours of training.</w:t>
      </w:r>
    </w:p>
    <w:p w14:paraId="30D1EA5E" w14:textId="1828CECE" w:rsidR="00CA7CD0" w:rsidRDefault="00CA7CD0" w:rsidP="00CA7CD0">
      <w:pPr>
        <w:pStyle w:val="BodyText"/>
      </w:pPr>
      <w:r>
        <w:t xml:space="preserve">Take up of </w:t>
      </w:r>
      <w:r w:rsidR="00BA2305">
        <w:t>mixed mode</w:t>
      </w:r>
      <w:r>
        <w:t xml:space="preserve"> has averaged </w:t>
      </w:r>
      <w:r w:rsidR="00BA2305">
        <w:t>7</w:t>
      </w:r>
      <w:r>
        <w:t xml:space="preserve"> per cent over the last four year</w:t>
      </w:r>
      <w:r w:rsidR="00BA2305">
        <w:t>s</w:t>
      </w:r>
      <w:r>
        <w:t xml:space="preserve">, and </w:t>
      </w:r>
      <w:r w:rsidR="00405A83">
        <w:t xml:space="preserve">in that period there has been </w:t>
      </w:r>
      <w:r>
        <w:t>an upward trend in take up (</w:t>
      </w:r>
      <w:r>
        <w:fldChar w:fldCharType="begin"/>
      </w:r>
      <w:r>
        <w:instrText xml:space="preserve"> REF _Ref408601297 \h </w:instrText>
      </w:r>
      <w:r>
        <w:fldChar w:fldCharType="separate"/>
      </w:r>
      <w:r w:rsidR="00294A5A">
        <w:t xml:space="preserve">Figure </w:t>
      </w:r>
      <w:r w:rsidR="00294A5A">
        <w:rPr>
          <w:noProof/>
        </w:rPr>
        <w:t>24</w:t>
      </w:r>
      <w:r>
        <w:fldChar w:fldCharType="end"/>
      </w:r>
      <w:r>
        <w:t xml:space="preserve">). Take up </w:t>
      </w:r>
      <w:r w:rsidR="00BA2305">
        <w:t xml:space="preserve">is higher among CALD clients, and low in the Indigenous cohort. </w:t>
      </w:r>
    </w:p>
    <w:p w14:paraId="0018EE3F" w14:textId="77777777" w:rsidR="00FF3D58" w:rsidRDefault="00856692" w:rsidP="00FF3D58">
      <w:pPr>
        <w:pStyle w:val="BodyText"/>
      </w:pPr>
      <w:r>
        <w:t>Participating CALD clients complete an average of 52 hours of mixed mode training, more than non-CALD, non</w:t>
      </w:r>
      <w:r>
        <w:noBreakHyphen/>
        <w:t xml:space="preserve">Indigenous clients (46 hours) and Indigenous clients (31 hours). </w:t>
      </w:r>
      <w:r w:rsidR="00626FF8">
        <w:t xml:space="preserve">The all </w:t>
      </w:r>
      <w:r w:rsidR="00BA2305">
        <w:t xml:space="preserve">client </w:t>
      </w:r>
      <w:r w:rsidR="00626FF8">
        <w:t>average is 50 hours.</w:t>
      </w:r>
      <w:r w:rsidR="008B12C2">
        <w:t xml:space="preserve"> </w:t>
      </w:r>
      <w:r w:rsidR="00BA2305">
        <w:t>A third of mixed mode clients use more than 50 hours of mixed mode training (</w:t>
      </w:r>
      <w:r w:rsidR="00BA2305">
        <w:fldChar w:fldCharType="begin"/>
      </w:r>
      <w:r w:rsidR="00BA2305">
        <w:instrText xml:space="preserve"> REF _Ref408601297 \h </w:instrText>
      </w:r>
      <w:r w:rsidR="00BA2305">
        <w:fldChar w:fldCharType="separate"/>
      </w:r>
      <w:r w:rsidR="00294A5A">
        <w:t xml:space="preserve">Figure </w:t>
      </w:r>
      <w:r w:rsidR="00294A5A">
        <w:rPr>
          <w:noProof/>
        </w:rPr>
        <w:t>24</w:t>
      </w:r>
      <w:r w:rsidR="00BA2305">
        <w:fldChar w:fldCharType="end"/>
      </w:r>
      <w:r w:rsidR="00BA2305">
        <w:t>).</w:t>
      </w:r>
    </w:p>
    <w:p w14:paraId="57788F0C" w14:textId="77777777" w:rsidR="00FF3D58" w:rsidRDefault="00FF3D58" w:rsidP="00FF3D58">
      <w:pPr>
        <w:pStyle w:val="Caption"/>
        <w:framePr w:w="9921" w:hSpace="181" w:wrap="notBeside" w:vAnchor="text" w:hAnchor="text" w:x="-2550" w:y="1"/>
      </w:pPr>
      <w:bookmarkStart w:id="118" w:name="_Toc420065483"/>
      <w:r>
        <w:t xml:space="preserve">Figure </w:t>
      </w:r>
      <w:r w:rsidR="006A2396">
        <w:fldChar w:fldCharType="begin"/>
      </w:r>
      <w:r w:rsidR="006A2396">
        <w:instrText xml:space="preserve"> SEQ Figure \* ARABIC </w:instrText>
      </w:r>
      <w:r w:rsidR="006A2396">
        <w:fldChar w:fldCharType="separate"/>
      </w:r>
      <w:r w:rsidR="00294A5A">
        <w:rPr>
          <w:noProof/>
        </w:rPr>
        <w:t>23</w:t>
      </w:r>
      <w:r w:rsidR="006A2396">
        <w:rPr>
          <w:noProof/>
        </w:rPr>
        <w:fldChar w:fldCharType="end"/>
      </w:r>
      <w:r w:rsidRPr="004E0C91">
        <w:rPr>
          <w:b/>
          <w:color w:val="000080"/>
        </w:rPr>
        <w:tab/>
      </w:r>
      <w:r>
        <w:rPr>
          <w:rStyle w:val="CaptionLabel"/>
        </w:rPr>
        <w:t>Mixed mode delivery take up and hours used</w:t>
      </w:r>
      <w:bookmarkEnd w:id="118"/>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959"/>
        <w:gridCol w:w="4960"/>
      </w:tblGrid>
      <w:tr w:rsidR="00FF3D58" w14:paraId="7E570109" w14:textId="77777777" w:rsidTr="006D5201">
        <w:tc>
          <w:tcPr>
            <w:tcW w:w="5000" w:type="pct"/>
            <w:gridSpan w:val="2"/>
          </w:tcPr>
          <w:p w14:paraId="4714A6FD" w14:textId="77777777" w:rsidR="00FF3D58" w:rsidRDefault="00FF3D58" w:rsidP="006D5201">
            <w:pPr>
              <w:pStyle w:val="SmallDeltasRightAligned"/>
              <w:keepNext/>
              <w:keepLines/>
              <w:framePr w:w="9921" w:hSpace="181" w:wrap="notBeside" w:vAnchor="text" w:hAnchor="text" w:x="-2550" w:y="1"/>
            </w:pPr>
            <w:r>
              <w:rPr>
                <w:noProof/>
                <w:lang w:eastAsia="en-AU"/>
              </w:rPr>
              <w:drawing>
                <wp:inline distT="0" distB="0" distL="0" distR="0" wp14:anchorId="0665E656" wp14:editId="0E422D57">
                  <wp:extent cx="481585" cy="234696"/>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F3D58" w14:paraId="15879715" w14:textId="77777777" w:rsidTr="006D5201">
        <w:trPr>
          <w:trHeight w:val="163"/>
        </w:trPr>
        <w:tc>
          <w:tcPr>
            <w:tcW w:w="2500" w:type="pct"/>
          </w:tcPr>
          <w:p w14:paraId="6ACFC142" w14:textId="77777777" w:rsidR="00FF3D58" w:rsidRDefault="004703C2" w:rsidP="004703C2">
            <w:pPr>
              <w:pStyle w:val="Figure"/>
              <w:keepLines/>
              <w:framePr w:w="9921" w:hSpace="181" w:wrap="notBeside" w:vAnchor="text" w:hAnchor="text" w:x="-2550" w:y="1"/>
            </w:pPr>
            <w:r>
              <w:rPr>
                <w:rStyle w:val="CaptionLabel"/>
              </w:rPr>
              <w:t>Mixed mode delivery take up, as a proportion of all clients</w:t>
            </w:r>
          </w:p>
        </w:tc>
        <w:tc>
          <w:tcPr>
            <w:tcW w:w="2500" w:type="pct"/>
          </w:tcPr>
          <w:p w14:paraId="3F35FF15" w14:textId="77777777" w:rsidR="00FF3D58" w:rsidRDefault="006E24A9" w:rsidP="006E24A9">
            <w:pPr>
              <w:pStyle w:val="Figure"/>
              <w:keepLines/>
              <w:framePr w:w="9921" w:hSpace="181" w:wrap="notBeside" w:vAnchor="text" w:hAnchor="text" w:x="-2550" w:y="1"/>
            </w:pPr>
            <w:r>
              <w:rPr>
                <w:b/>
              </w:rPr>
              <w:t>Mixed mode hours used, as a proportion of mixed mode clients</w:t>
            </w:r>
          </w:p>
        </w:tc>
      </w:tr>
      <w:tr w:rsidR="00FF3D58" w14:paraId="4C59891F" w14:textId="77777777" w:rsidTr="009A550E">
        <w:tblPrEx>
          <w:tblCellMar>
            <w:left w:w="108" w:type="dxa"/>
            <w:right w:w="108" w:type="dxa"/>
          </w:tblCellMar>
        </w:tblPrEx>
        <w:trPr>
          <w:trHeight w:val="163"/>
        </w:trPr>
        <w:tc>
          <w:tcPr>
            <w:tcW w:w="2500" w:type="pct"/>
          </w:tcPr>
          <w:p w14:paraId="0DBBBAED" w14:textId="77777777" w:rsidR="00FF3D58" w:rsidRDefault="009A550E" w:rsidP="006D5201">
            <w:pPr>
              <w:pStyle w:val="Figure"/>
              <w:keepLines/>
              <w:framePr w:w="9921" w:hSpace="181" w:wrap="notBeside" w:vAnchor="text" w:hAnchor="text" w:x="-2550" w:y="1"/>
            </w:pPr>
            <w:r>
              <w:rPr>
                <w:noProof/>
                <w:lang w:eastAsia="en-AU"/>
              </w:rPr>
              <w:drawing>
                <wp:inline distT="0" distB="0" distL="0" distR="0" wp14:anchorId="1BD209A5" wp14:editId="1ED114C6">
                  <wp:extent cx="3140710" cy="2425148"/>
                  <wp:effectExtent l="0" t="0" r="2540" b="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2500" w:type="pct"/>
          </w:tcPr>
          <w:p w14:paraId="75FED5B5" w14:textId="77777777" w:rsidR="00FF3D58" w:rsidRDefault="009A550E" w:rsidP="006D5201">
            <w:pPr>
              <w:pStyle w:val="Figure"/>
              <w:keepLines/>
              <w:framePr w:w="9921" w:hSpace="181" w:wrap="notBeside" w:vAnchor="text" w:hAnchor="text" w:x="-2550" w:y="1"/>
            </w:pPr>
            <w:r>
              <w:rPr>
                <w:noProof/>
                <w:lang w:eastAsia="en-AU"/>
              </w:rPr>
              <w:drawing>
                <wp:inline distT="0" distB="0" distL="0" distR="0" wp14:anchorId="2917BA84" wp14:editId="5616A8B9">
                  <wp:extent cx="3012440" cy="2425065"/>
                  <wp:effectExtent l="0" t="0" r="0" b="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bl>
    <w:p w14:paraId="21EE5A95" w14:textId="77777777" w:rsidR="00FF3D58" w:rsidRDefault="00FF3D58" w:rsidP="00FF3D58">
      <w:pPr>
        <w:pStyle w:val="Note"/>
        <w:framePr w:w="9921" w:hSpace="181" w:wrap="notBeside" w:vAnchor="text" w:hAnchor="text" w:x="-2550" w:y="1"/>
      </w:pPr>
      <w:r>
        <w:rPr>
          <w:i/>
        </w:rPr>
        <w:t>Note:</w:t>
      </w:r>
      <w:r>
        <w:t xml:space="preserve"> Hours used for clients commencing in 2010-11 to 2013-14</w:t>
      </w:r>
    </w:p>
    <w:p w14:paraId="5015C452" w14:textId="5C50120E" w:rsidR="00FF3D58" w:rsidRPr="00AE6C4B" w:rsidRDefault="00FF3D58" w:rsidP="00FF3D58">
      <w:pPr>
        <w:pStyle w:val="Source"/>
        <w:framePr w:w="9921" w:hSpace="181" w:wrap="notBeside" w:vAnchor="text" w:hAnchor="text" w:x="-2550" w:y="1"/>
      </w:pPr>
      <w:r w:rsidRPr="00B50A1B">
        <w:t>Source:</w:t>
      </w:r>
      <w:r w:rsidRPr="00954EED">
        <w:t xml:space="preserve"> </w:t>
      </w:r>
      <w:r w:rsidR="007A143E">
        <w:t>SEE programme</w:t>
      </w:r>
      <w:r w:rsidR="006A28F2">
        <w:t xml:space="preserve"> </w:t>
      </w:r>
      <w:r w:rsidR="007A143E">
        <w:t>dataset</w:t>
      </w:r>
    </w:p>
    <w:p w14:paraId="6E194E7C" w14:textId="032F01C4" w:rsidR="00CA028B" w:rsidRDefault="00CA028B" w:rsidP="00FF3D58">
      <w:pPr>
        <w:pStyle w:val="BodyText"/>
      </w:pPr>
      <w:r>
        <w:t xml:space="preserve">Many </w:t>
      </w:r>
      <w:r w:rsidR="00B91671">
        <w:t xml:space="preserve">SEE </w:t>
      </w:r>
      <w:r>
        <w:t xml:space="preserve">providers see mixed mode as providing a good balance between classroom training and the more flexible delivery method of distance training. </w:t>
      </w:r>
    </w:p>
    <w:p w14:paraId="5BE4DCF0" w14:textId="77777777" w:rsidR="00CA028B" w:rsidRDefault="00CA028B" w:rsidP="00CA028B">
      <w:pPr>
        <w:pStyle w:val="Quote"/>
      </w:pPr>
      <w:r>
        <w:t>Classroom based learning is the preferred method. Most SEE clients are not independent learners and need the support /guidance of classroom approach. Also they benefit from interacting with other students and developing communication and learning skills.</w:t>
      </w:r>
    </w:p>
    <w:p w14:paraId="75FCC09F" w14:textId="77777777" w:rsidR="00CA028B" w:rsidRDefault="00CA028B" w:rsidP="00CA028B">
      <w:pPr>
        <w:pStyle w:val="Quote"/>
      </w:pPr>
      <w:r>
        <w:t>…</w:t>
      </w:r>
    </w:p>
    <w:p w14:paraId="7C768101" w14:textId="77777777" w:rsidR="00CA028B" w:rsidRDefault="00CA028B" w:rsidP="00CA028B">
      <w:pPr>
        <w:pStyle w:val="Quote"/>
      </w:pPr>
      <w:r>
        <w:t>Distance learning via Mixed Mode is a workable option during vacations periods when most students cannot get to classes either because of child care and/or lack of bus services. This short term change of delivery mode suits regional providers.</w:t>
      </w:r>
    </w:p>
    <w:p w14:paraId="693FFD45" w14:textId="77777777" w:rsidR="00CA028B" w:rsidRPr="00CA028B" w:rsidRDefault="008C774B" w:rsidP="00CA028B">
      <w:pPr>
        <w:pStyle w:val="QuoteSource"/>
      </w:pPr>
      <w:r w:rsidRPr="00C94F0C">
        <w:rPr>
          <w:i w:val="0"/>
        </w:rPr>
        <w:t xml:space="preserve">– </w:t>
      </w:r>
      <w:r w:rsidR="00CA028B">
        <w:t>Confidential submission</w:t>
      </w:r>
    </w:p>
    <w:p w14:paraId="56E42E49" w14:textId="3D637FF0" w:rsidR="003F5094" w:rsidRDefault="00CA028B" w:rsidP="00BE1DB4">
      <w:pPr>
        <w:pStyle w:val="BodyText"/>
      </w:pPr>
      <w:r>
        <w:t xml:space="preserve">Some </w:t>
      </w:r>
      <w:r w:rsidR="00B91671">
        <w:t xml:space="preserve">SEE </w:t>
      </w:r>
      <w:r>
        <w:t xml:space="preserve">providers argue that mixed mode take up should be expanded to help address barriers some clients face in attending the </w:t>
      </w:r>
      <w:r w:rsidR="00147674">
        <w:t>SEE programme</w:t>
      </w:r>
      <w:r>
        <w:t>. For example, mixed mode could be offered to ‘</w:t>
      </w:r>
      <w:r w:rsidRPr="00CA028B">
        <w:t>clients with school age children who find it difficult to access holiday care</w:t>
      </w:r>
      <w:r>
        <w:t>’ (survey response)</w:t>
      </w:r>
      <w:r w:rsidR="00BE1DB4">
        <w:t>,</w:t>
      </w:r>
      <w:r>
        <w:t xml:space="preserve"> </w:t>
      </w:r>
      <w:r w:rsidR="00BE1DB4">
        <w:t xml:space="preserve">or to address barriers clients face with transport. </w:t>
      </w:r>
    </w:p>
    <w:p w14:paraId="7CF5AE49" w14:textId="06D19CD9" w:rsidR="00554ED7" w:rsidRDefault="00554ED7" w:rsidP="00FF3D58">
      <w:pPr>
        <w:pStyle w:val="BodyText"/>
      </w:pPr>
      <w:r>
        <w:t xml:space="preserve">This discussion around mixed mode of delivery in the </w:t>
      </w:r>
      <w:r w:rsidR="00147674">
        <w:t>SEE programme</w:t>
      </w:r>
      <w:r w:rsidR="006A28F2">
        <w:t xml:space="preserve"> </w:t>
      </w:r>
      <w:r>
        <w:t xml:space="preserve">emphasises the position of the </w:t>
      </w:r>
      <w:r w:rsidR="00147674">
        <w:t>SEE programme</w:t>
      </w:r>
      <w:r w:rsidR="006A28F2">
        <w:t xml:space="preserve"> </w:t>
      </w:r>
      <w:r>
        <w:t xml:space="preserve">as part of both the training system and the social services system. As SEE </w:t>
      </w:r>
      <w:r w:rsidR="00B91671">
        <w:t xml:space="preserve">programme </w:t>
      </w:r>
      <w:r>
        <w:t>clients face no fees and</w:t>
      </w:r>
      <w:r w:rsidR="00B91671">
        <w:t>,</w:t>
      </w:r>
      <w:r>
        <w:t xml:space="preserve"> in most cases</w:t>
      </w:r>
      <w:r w:rsidR="00B91671">
        <w:t>,</w:t>
      </w:r>
      <w:r>
        <w:t xml:space="preserve"> meet clients’ Centrelink obligations</w:t>
      </w:r>
      <w:r w:rsidR="00B91671">
        <w:t>,</w:t>
      </w:r>
      <w:r>
        <w:t xml:space="preserve"> there is a need to ensure that clients are engaged with the training</w:t>
      </w:r>
      <w:r w:rsidR="008B12C2">
        <w:t xml:space="preserve"> and not using the programme to avoid looking for work. As a result, the programme is designed so that the majority of training takes place face-to-face in a classroom. </w:t>
      </w:r>
    </w:p>
    <w:p w14:paraId="782C3448" w14:textId="771C3421" w:rsidR="003F5094" w:rsidRDefault="008B12C2" w:rsidP="008B12C2">
      <w:pPr>
        <w:pStyle w:val="BodyText"/>
      </w:pPr>
      <w:r>
        <w:t>As some providers argue, this face-to-face instruction is also suitable and important for the high</w:t>
      </w:r>
      <w:r w:rsidR="005345A6">
        <w:t>er</w:t>
      </w:r>
      <w:r>
        <w:t xml:space="preserve"> LLN needs clients the </w:t>
      </w:r>
      <w:r w:rsidR="00147674">
        <w:t>SEE programme</w:t>
      </w:r>
      <w:r w:rsidR="006A28F2">
        <w:t xml:space="preserve"> </w:t>
      </w:r>
      <w:r>
        <w:t xml:space="preserve">works with. Yet </w:t>
      </w:r>
      <w:r w:rsidR="005345A6">
        <w:t>some clients with considerable</w:t>
      </w:r>
      <w:r w:rsidR="005345A6" w:rsidDel="005345A6">
        <w:t xml:space="preserve"> </w:t>
      </w:r>
      <w:r w:rsidR="005345A6">
        <w:t xml:space="preserve">LLN needs also </w:t>
      </w:r>
      <w:r>
        <w:t xml:space="preserve">face additional barriers to attending classes, including health problems, transport difficulties and family responsibilities. Flexibility in the modes of </w:t>
      </w:r>
      <w:r w:rsidR="00147674">
        <w:t>SEE programme</w:t>
      </w:r>
      <w:r w:rsidR="006A28F2">
        <w:t xml:space="preserve"> </w:t>
      </w:r>
      <w:r>
        <w:t xml:space="preserve">training delivery can assist in addressing these barriers.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537697" w14:paraId="41E5676A" w14:textId="77777777" w:rsidTr="006D5201">
        <w:tc>
          <w:tcPr>
            <w:tcW w:w="5000" w:type="pct"/>
            <w:shd w:val="pct12" w:color="auto" w:fill="auto"/>
          </w:tcPr>
          <w:p w14:paraId="52DEA178" w14:textId="77777777" w:rsidR="00537697" w:rsidRDefault="00537697" w:rsidP="006D5201">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w:instrText>
            </w:r>
            <w:r w:rsidR="006A2396">
              <w:instrText xml:space="preserve">ng \* ARABIC </w:instrText>
            </w:r>
            <w:r w:rsidR="006A2396">
              <w:fldChar w:fldCharType="separate"/>
            </w:r>
            <w:r w:rsidR="00294A5A">
              <w:rPr>
                <w:noProof/>
              </w:rPr>
              <w:t>10</w:t>
            </w:r>
            <w:r w:rsidR="006A2396">
              <w:rPr>
                <w:noProof/>
              </w:rPr>
              <w:fldChar w:fldCharType="end"/>
            </w:r>
          </w:p>
        </w:tc>
      </w:tr>
      <w:tr w:rsidR="00537697" w14:paraId="5E02D3A3" w14:textId="77777777" w:rsidTr="006D5201">
        <w:tc>
          <w:tcPr>
            <w:tcW w:w="5000" w:type="pct"/>
            <w:shd w:val="pct12" w:color="auto" w:fill="auto"/>
          </w:tcPr>
          <w:p w14:paraId="18BD19CA" w14:textId="77777777" w:rsidR="00537697" w:rsidRDefault="008B12C2" w:rsidP="008B12C2">
            <w:pPr>
              <w:pStyle w:val="BoxText"/>
            </w:pPr>
            <w:r>
              <w:t>Take up of mixed mode has averaged 7 per cent over the last four years; take up is higher among CALD clients, and low in the Indigenous cohort. Participating clients complete an average of 50 hours of mixed mode training.</w:t>
            </w:r>
          </w:p>
          <w:p w14:paraId="29930A6A" w14:textId="3CF7142B" w:rsidR="008B12C2" w:rsidRDefault="00A57D00" w:rsidP="008B12C2">
            <w:pPr>
              <w:pStyle w:val="BoxText"/>
            </w:pPr>
            <w:r>
              <w:t xml:space="preserve">SEE </w:t>
            </w:r>
            <w:r w:rsidR="00701AB4">
              <w:t xml:space="preserve">providers value mixed mode training but contend </w:t>
            </w:r>
            <w:r w:rsidR="00BF6842">
              <w:t xml:space="preserve">that </w:t>
            </w:r>
            <w:r w:rsidR="00701AB4">
              <w:t xml:space="preserve">compliance associated with delivering mixed mode training reduces take up. Some providers argue that mixed mode take up should be expanded to help address barriers some clients face in attending the </w:t>
            </w:r>
            <w:r w:rsidR="00147674">
              <w:t>SEE programme</w:t>
            </w:r>
            <w:r w:rsidR="00701AB4">
              <w:t>.</w:t>
            </w:r>
          </w:p>
          <w:p w14:paraId="0903488C" w14:textId="77777777" w:rsidR="00537697" w:rsidRPr="00090BC6" w:rsidRDefault="00537697" w:rsidP="006D5201">
            <w:pPr>
              <w:pStyle w:val="SmallDeltasRightAligned"/>
            </w:pPr>
            <w:r w:rsidRPr="00090BC6">
              <w:rPr>
                <w:noProof/>
                <w:lang w:eastAsia="en-AU"/>
              </w:rPr>
              <w:drawing>
                <wp:inline distT="0" distB="0" distL="0" distR="0" wp14:anchorId="568F2197" wp14:editId="4C086FFA">
                  <wp:extent cx="481585" cy="234696"/>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537697" w14:paraId="548F7055" w14:textId="77777777" w:rsidTr="006D5201">
        <w:trPr>
          <w:trHeight w:hRule="exact" w:val="80"/>
        </w:trPr>
        <w:tc>
          <w:tcPr>
            <w:tcW w:w="5000" w:type="pct"/>
            <w:shd w:val="pct12" w:color="auto" w:fill="auto"/>
          </w:tcPr>
          <w:p w14:paraId="2D7DF792" w14:textId="77777777" w:rsidR="00537697" w:rsidRDefault="00537697" w:rsidP="006D5201">
            <w:pPr>
              <w:spacing w:before="160"/>
            </w:pPr>
            <w:r>
              <w:t xml:space="preserve"> </w:t>
            </w:r>
          </w:p>
        </w:tc>
      </w:tr>
    </w:tbl>
    <w:p w14:paraId="1DD553FC" w14:textId="77777777" w:rsidR="00FF3D58" w:rsidRDefault="00E50CD8" w:rsidP="00E50CD8">
      <w:pPr>
        <w:pStyle w:val="Heading3"/>
      </w:pPr>
      <w:bookmarkStart w:id="119" w:name="_Ref408678540"/>
      <w:r>
        <w:t>Work experience</w:t>
      </w:r>
      <w:bookmarkEnd w:id="119"/>
      <w:r>
        <w:t xml:space="preserve"> </w:t>
      </w:r>
    </w:p>
    <w:p w14:paraId="1C039BA1" w14:textId="00B522AD" w:rsidR="00E50CD8" w:rsidRDefault="00BA2305" w:rsidP="00E50CD8">
      <w:pPr>
        <w:pStyle w:val="BodyText"/>
      </w:pPr>
      <w:r>
        <w:t xml:space="preserve">This sub-element provides clients a chance to undertake work experience as part of the </w:t>
      </w:r>
      <w:r w:rsidR="00147674">
        <w:t>SEE programme</w:t>
      </w:r>
      <w:r>
        <w:t xml:space="preserve">. </w:t>
      </w:r>
      <w:r w:rsidR="00A57D00">
        <w:t xml:space="preserve">SEE providers </w:t>
      </w:r>
      <w:r w:rsidR="00320CB3">
        <w:t xml:space="preserve">integrate </w:t>
      </w:r>
      <w:r w:rsidR="00320CB3" w:rsidRPr="00752DBB">
        <w:t xml:space="preserve">appropriate LLN preparation </w:t>
      </w:r>
      <w:r w:rsidR="00320CB3">
        <w:t xml:space="preserve">prior to </w:t>
      </w:r>
      <w:r w:rsidR="00320CB3" w:rsidRPr="00752DBB">
        <w:t>work experience and consolidat</w:t>
      </w:r>
      <w:r w:rsidR="00320CB3">
        <w:t>e</w:t>
      </w:r>
      <w:r w:rsidR="00320CB3" w:rsidRPr="00752DBB">
        <w:t xml:space="preserve"> learning </w:t>
      </w:r>
      <w:r w:rsidR="00320CB3">
        <w:t>on completion</w:t>
      </w:r>
      <w:r>
        <w:t xml:space="preserve">. </w:t>
      </w:r>
      <w:r w:rsidR="00E50CD8">
        <w:t>Clients must complete 30 hours of Face to Face Delivery before commencing work experience and must not exceed 12 weeks of work experience within 800 hours of training.</w:t>
      </w:r>
    </w:p>
    <w:p w14:paraId="517621FD" w14:textId="099EF973" w:rsidR="00BA2305" w:rsidRPr="00E50CD8" w:rsidRDefault="00BA2305" w:rsidP="00E50CD8">
      <w:pPr>
        <w:pStyle w:val="BodyText"/>
      </w:pPr>
      <w:r>
        <w:t xml:space="preserve">Take up of work experience has averaged </w:t>
      </w:r>
      <w:r w:rsidR="005177FB">
        <w:t xml:space="preserve">4 per cent </w:t>
      </w:r>
      <w:r w:rsidR="005177FB" w:rsidRPr="00896BBD">
        <w:t>over the last four years</w:t>
      </w:r>
      <w:r w:rsidR="005177FB">
        <w:t xml:space="preserve"> (</w:t>
      </w:r>
      <w:r w:rsidR="005177FB">
        <w:fldChar w:fldCharType="begin"/>
      </w:r>
      <w:r w:rsidR="005177FB">
        <w:instrText xml:space="preserve"> REF _Ref408601297 \h </w:instrText>
      </w:r>
      <w:r w:rsidR="005177FB">
        <w:fldChar w:fldCharType="separate"/>
      </w:r>
      <w:r w:rsidR="00294A5A">
        <w:t xml:space="preserve">Figure </w:t>
      </w:r>
      <w:r w:rsidR="00294A5A">
        <w:rPr>
          <w:noProof/>
        </w:rPr>
        <w:t>24</w:t>
      </w:r>
      <w:r w:rsidR="005177FB">
        <w:fldChar w:fldCharType="end"/>
      </w:r>
      <w:r w:rsidR="005177FB">
        <w:t xml:space="preserve">). Each cohort group has around the same level of work experience take up. </w:t>
      </w:r>
    </w:p>
    <w:p w14:paraId="3C02D116" w14:textId="140655C5" w:rsidR="009A550E" w:rsidRDefault="008E4886" w:rsidP="009A550E">
      <w:pPr>
        <w:pStyle w:val="BodyText"/>
      </w:pPr>
      <w:r>
        <w:t>Participating non-CALD, non</w:t>
      </w:r>
      <w:r>
        <w:noBreakHyphen/>
        <w:t xml:space="preserve">Indigenous </w:t>
      </w:r>
      <w:r w:rsidR="00D279C4">
        <w:t xml:space="preserve">clients </w:t>
      </w:r>
      <w:r>
        <w:t xml:space="preserve">complete an average of 48 hours of work experience compared to 30 hours for CALD clients and 31 hours for Indigenous clients. </w:t>
      </w:r>
      <w:r w:rsidR="00626FF8">
        <w:t>The all cohort average is 36 hours.</w:t>
      </w:r>
      <w:r w:rsidR="00402B15">
        <w:t xml:space="preserve"> Around</w:t>
      </w:r>
      <w:r w:rsidR="00BA2305">
        <w:t xml:space="preserve"> 20 per cent of clients use more than 70 hours of work experience training (</w:t>
      </w:r>
      <w:r w:rsidR="00BA2305">
        <w:fldChar w:fldCharType="begin"/>
      </w:r>
      <w:r w:rsidR="00BA2305">
        <w:instrText xml:space="preserve"> REF _Ref408601297 \h </w:instrText>
      </w:r>
      <w:r w:rsidR="00BA2305">
        <w:fldChar w:fldCharType="separate"/>
      </w:r>
      <w:r w:rsidR="00294A5A">
        <w:t xml:space="preserve">Figure </w:t>
      </w:r>
      <w:r w:rsidR="00294A5A">
        <w:rPr>
          <w:noProof/>
        </w:rPr>
        <w:t>24</w:t>
      </w:r>
      <w:r w:rsidR="00BA2305">
        <w:fldChar w:fldCharType="end"/>
      </w:r>
      <w:r w:rsidR="00BA2305">
        <w:t>)</w:t>
      </w:r>
      <w:r w:rsidR="00B82A84">
        <w:t>.</w:t>
      </w:r>
    </w:p>
    <w:p w14:paraId="531BFB3A" w14:textId="77777777" w:rsidR="009A550E" w:rsidRDefault="009A550E" w:rsidP="009A550E">
      <w:pPr>
        <w:pStyle w:val="Caption"/>
        <w:framePr w:w="9921" w:hSpace="181" w:wrap="notBeside" w:vAnchor="text" w:hAnchor="text" w:x="-2550" w:y="1"/>
      </w:pPr>
      <w:bookmarkStart w:id="120" w:name="_Ref408601297"/>
      <w:bookmarkStart w:id="121" w:name="_Toc420065484"/>
      <w:r>
        <w:t xml:space="preserve">Figure </w:t>
      </w:r>
      <w:r w:rsidR="006A2396">
        <w:fldChar w:fldCharType="begin"/>
      </w:r>
      <w:r w:rsidR="006A2396">
        <w:instrText xml:space="preserve"> SEQ Figure \* ARABIC </w:instrText>
      </w:r>
      <w:r w:rsidR="006A2396">
        <w:fldChar w:fldCharType="separate"/>
      </w:r>
      <w:r w:rsidR="00294A5A">
        <w:rPr>
          <w:noProof/>
        </w:rPr>
        <w:t>24</w:t>
      </w:r>
      <w:r w:rsidR="006A2396">
        <w:rPr>
          <w:noProof/>
        </w:rPr>
        <w:fldChar w:fldCharType="end"/>
      </w:r>
      <w:bookmarkEnd w:id="120"/>
      <w:r w:rsidRPr="004E0C91">
        <w:rPr>
          <w:b/>
          <w:color w:val="000080"/>
        </w:rPr>
        <w:tab/>
      </w:r>
      <w:r>
        <w:rPr>
          <w:rStyle w:val="CaptionLabel"/>
        </w:rPr>
        <w:t>Work experience take up and hours used</w:t>
      </w:r>
      <w:bookmarkEnd w:id="121"/>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959"/>
        <w:gridCol w:w="4960"/>
      </w:tblGrid>
      <w:tr w:rsidR="009A550E" w14:paraId="560D4B8D" w14:textId="77777777" w:rsidTr="006D5201">
        <w:tc>
          <w:tcPr>
            <w:tcW w:w="5000" w:type="pct"/>
            <w:gridSpan w:val="2"/>
          </w:tcPr>
          <w:p w14:paraId="7381CFC9" w14:textId="77777777" w:rsidR="009A550E" w:rsidRDefault="009A550E" w:rsidP="006D5201">
            <w:pPr>
              <w:pStyle w:val="SmallDeltasRightAligned"/>
              <w:keepNext/>
              <w:keepLines/>
              <w:framePr w:w="9921" w:hSpace="181" w:wrap="notBeside" w:vAnchor="text" w:hAnchor="text" w:x="-2550" w:y="1"/>
            </w:pPr>
            <w:r>
              <w:rPr>
                <w:noProof/>
                <w:lang w:eastAsia="en-AU"/>
              </w:rPr>
              <w:drawing>
                <wp:inline distT="0" distB="0" distL="0" distR="0" wp14:anchorId="7ABCA6A7" wp14:editId="325256E5">
                  <wp:extent cx="481585" cy="234696"/>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A550E" w14:paraId="14AC5074" w14:textId="77777777" w:rsidTr="006D5201">
        <w:trPr>
          <w:trHeight w:val="163"/>
        </w:trPr>
        <w:tc>
          <w:tcPr>
            <w:tcW w:w="2500" w:type="pct"/>
          </w:tcPr>
          <w:p w14:paraId="5718520A" w14:textId="77777777" w:rsidR="009A550E" w:rsidRDefault="009A550E" w:rsidP="009A550E">
            <w:pPr>
              <w:pStyle w:val="Figure"/>
              <w:keepLines/>
              <w:framePr w:w="9921" w:hSpace="181" w:wrap="notBeside" w:vAnchor="text" w:hAnchor="text" w:x="-2550" w:y="1"/>
            </w:pPr>
            <w:r>
              <w:rPr>
                <w:rStyle w:val="CaptionLabel"/>
              </w:rPr>
              <w:t>Work experience take up, as a proportion of all clients</w:t>
            </w:r>
          </w:p>
        </w:tc>
        <w:tc>
          <w:tcPr>
            <w:tcW w:w="2500" w:type="pct"/>
          </w:tcPr>
          <w:p w14:paraId="5B102019" w14:textId="77777777" w:rsidR="009A550E" w:rsidRDefault="006E24A9" w:rsidP="006E24A9">
            <w:pPr>
              <w:pStyle w:val="Figure"/>
              <w:keepLines/>
              <w:framePr w:w="9921" w:hSpace="181" w:wrap="notBeside" w:vAnchor="text" w:hAnchor="text" w:x="-2550" w:y="1"/>
            </w:pPr>
            <w:r>
              <w:rPr>
                <w:b/>
              </w:rPr>
              <w:t>Work experience hours, as a proportion of work experience clients</w:t>
            </w:r>
          </w:p>
        </w:tc>
      </w:tr>
      <w:tr w:rsidR="009A550E" w14:paraId="502117E1" w14:textId="77777777" w:rsidTr="004B22B9">
        <w:tblPrEx>
          <w:tblCellMar>
            <w:left w:w="108" w:type="dxa"/>
            <w:right w:w="108" w:type="dxa"/>
          </w:tblCellMar>
        </w:tblPrEx>
        <w:trPr>
          <w:trHeight w:val="163"/>
        </w:trPr>
        <w:tc>
          <w:tcPr>
            <w:tcW w:w="2500" w:type="pct"/>
          </w:tcPr>
          <w:p w14:paraId="31971ECD" w14:textId="77777777" w:rsidR="009A550E" w:rsidRDefault="009A550E" w:rsidP="006D5201">
            <w:pPr>
              <w:pStyle w:val="Figure"/>
              <w:keepLines/>
              <w:framePr w:w="9921" w:hSpace="181" w:wrap="notBeside" w:vAnchor="text" w:hAnchor="text" w:x="-2550" w:y="1"/>
            </w:pPr>
            <w:r>
              <w:rPr>
                <w:noProof/>
                <w:lang w:eastAsia="en-AU"/>
              </w:rPr>
              <w:drawing>
                <wp:inline distT="0" distB="0" distL="0" distR="0" wp14:anchorId="1BDC5D58" wp14:editId="3E53B545">
                  <wp:extent cx="3180080" cy="2409245"/>
                  <wp:effectExtent l="0" t="0" r="1270" b="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2500" w:type="pct"/>
          </w:tcPr>
          <w:p w14:paraId="0D855BD8" w14:textId="77777777" w:rsidR="009A550E" w:rsidRDefault="004B22B9" w:rsidP="006D5201">
            <w:pPr>
              <w:pStyle w:val="Figure"/>
              <w:keepLines/>
              <w:framePr w:w="9921" w:hSpace="181" w:wrap="notBeside" w:vAnchor="text" w:hAnchor="text" w:x="-2550" w:y="1"/>
            </w:pPr>
            <w:r>
              <w:rPr>
                <w:noProof/>
                <w:lang w:eastAsia="en-AU"/>
              </w:rPr>
              <w:drawing>
                <wp:inline distT="0" distB="0" distL="0" distR="0" wp14:anchorId="417D6536" wp14:editId="2C5DFFC5">
                  <wp:extent cx="3012440" cy="2409190"/>
                  <wp:effectExtent l="0" t="0" r="0" b="0"/>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bl>
    <w:p w14:paraId="209DE53D" w14:textId="77777777" w:rsidR="009A550E" w:rsidRDefault="009A550E" w:rsidP="009A550E">
      <w:pPr>
        <w:pStyle w:val="Note"/>
        <w:framePr w:w="9921" w:hSpace="181" w:wrap="notBeside" w:vAnchor="text" w:hAnchor="text" w:x="-2550" w:y="1"/>
      </w:pPr>
      <w:r>
        <w:rPr>
          <w:i/>
        </w:rPr>
        <w:t>Note:</w:t>
      </w:r>
      <w:r>
        <w:t xml:space="preserve"> Hours used for clients commencing in 2010-11 to 2013-14</w:t>
      </w:r>
    </w:p>
    <w:p w14:paraId="6470081C" w14:textId="3089D161" w:rsidR="009A550E" w:rsidRPr="00AE6C4B" w:rsidRDefault="009A550E" w:rsidP="009A550E">
      <w:pPr>
        <w:pStyle w:val="Source"/>
        <w:framePr w:w="9921" w:hSpace="181" w:wrap="notBeside" w:vAnchor="text" w:hAnchor="text" w:x="-2550" w:y="1"/>
      </w:pPr>
      <w:r w:rsidRPr="00B50A1B">
        <w:t>Source:</w:t>
      </w:r>
      <w:r w:rsidRPr="00954EED">
        <w:t xml:space="preserve"> </w:t>
      </w:r>
      <w:r w:rsidR="007A143E">
        <w:t>SEE programme</w:t>
      </w:r>
      <w:r w:rsidR="006A28F2">
        <w:t xml:space="preserve"> </w:t>
      </w:r>
      <w:r w:rsidR="007A143E">
        <w:t>dataset</w:t>
      </w:r>
    </w:p>
    <w:p w14:paraId="38F407CB" w14:textId="0F1EE377" w:rsidR="004E298C" w:rsidRDefault="004E298C" w:rsidP="004E298C">
      <w:pPr>
        <w:pStyle w:val="BodyText"/>
      </w:pPr>
      <w:r>
        <w:t xml:space="preserve">The work experience component of </w:t>
      </w:r>
      <w:r w:rsidR="00D279C4">
        <w:t xml:space="preserve">the </w:t>
      </w:r>
      <w:r>
        <w:t xml:space="preserve">SEE </w:t>
      </w:r>
      <w:r w:rsidR="00D279C4">
        <w:t xml:space="preserve">programme </w:t>
      </w:r>
      <w:r>
        <w:t xml:space="preserve">is being used by some providers to provide an introduction or reintroduction to the workplace, an experience that is difficult to simulate in the classroom. This is particularly important for migrant clients who have not worked in Australia before and young clients with little work experience. </w:t>
      </w:r>
    </w:p>
    <w:p w14:paraId="04DBC6A0" w14:textId="77777777" w:rsidR="004E298C" w:rsidRDefault="004E298C" w:rsidP="004E298C">
      <w:pPr>
        <w:pStyle w:val="Quote"/>
      </w:pPr>
      <w:r w:rsidRPr="00DC0D10">
        <w:t>SEE promotes the use of work ob</w:t>
      </w:r>
      <w:r>
        <w:t xml:space="preserve">servation and Work Experience. </w:t>
      </w:r>
      <w:r w:rsidRPr="00DC0D10">
        <w:t>As some of our job seekers have not worked in Australia these provide an important introduction to the actual workplace rather than the simulated workplace of the classroom.</w:t>
      </w:r>
    </w:p>
    <w:p w14:paraId="7E5F8D5C" w14:textId="77777777" w:rsidR="004E298C" w:rsidRDefault="008C774B" w:rsidP="004E298C">
      <w:pPr>
        <w:pStyle w:val="QuoteSource"/>
      </w:pPr>
      <w:r w:rsidRPr="00C94F0C">
        <w:rPr>
          <w:i w:val="0"/>
        </w:rPr>
        <w:t xml:space="preserve">– </w:t>
      </w:r>
      <w:r w:rsidR="002E34CE">
        <w:t>Foundation College Chisholm submission</w:t>
      </w:r>
    </w:p>
    <w:p w14:paraId="32BF0D31" w14:textId="77777777" w:rsidR="006736B2" w:rsidRDefault="004E298C" w:rsidP="0019780E">
      <w:pPr>
        <w:pStyle w:val="BodyText"/>
      </w:pPr>
      <w:r>
        <w:t xml:space="preserve">SEE providers with strong relationships with industry are well placed to source and support work experience placements. Familiarity with local businesses also allows providers to tailor training before and after work placements to ensure LLN tuition is integrated with work experience. </w:t>
      </w:r>
    </w:p>
    <w:p w14:paraId="6669D38F" w14:textId="4E650A61" w:rsidR="004E298C" w:rsidRDefault="004E298C" w:rsidP="004E298C">
      <w:pPr>
        <w:pStyle w:val="BodyText"/>
      </w:pPr>
      <w:r>
        <w:t xml:space="preserve">The removal in the most recent SEE </w:t>
      </w:r>
      <w:r w:rsidR="00D279C4">
        <w:t xml:space="preserve">programme </w:t>
      </w:r>
      <w:r>
        <w:t xml:space="preserve">contract of the need to seek prior approval for work experience is welcomed by providers and is likely to support greater take up of work experience. </w:t>
      </w:r>
    </w:p>
    <w:p w14:paraId="04E60F16" w14:textId="4F8A6382" w:rsidR="00D9456E" w:rsidRDefault="004E298C" w:rsidP="006736B2">
      <w:pPr>
        <w:pStyle w:val="BodyText"/>
      </w:pPr>
      <w:r>
        <w:t xml:space="preserve">Many </w:t>
      </w:r>
      <w:r w:rsidR="005525D2">
        <w:t xml:space="preserve">SEE </w:t>
      </w:r>
      <w:r>
        <w:t xml:space="preserve">providers note that significant resources are needed to source and support the work experience component of </w:t>
      </w:r>
      <w:r w:rsidR="00D279C4">
        <w:t xml:space="preserve">the </w:t>
      </w:r>
      <w:r>
        <w:t>SEE</w:t>
      </w:r>
      <w:r w:rsidR="00D279C4">
        <w:t xml:space="preserve"> programme</w:t>
      </w:r>
      <w:r>
        <w:t xml:space="preserve">. This includes developing relationships with industry, identifying specific work experience opportunities, mapping work placement to ACSF outcomes, </w:t>
      </w:r>
      <w:r w:rsidR="002E34CE">
        <w:t>reporting on placement outcomes and</w:t>
      </w:r>
      <w:r>
        <w:t xml:space="preserve"> placement visits</w:t>
      </w:r>
      <w:r w:rsidR="002E34CE">
        <w:t>.</w:t>
      </w:r>
    </w:p>
    <w:p w14:paraId="08DD7552" w14:textId="77777777" w:rsidR="00D9456E" w:rsidRDefault="00D9456E" w:rsidP="00D9456E">
      <w:pPr>
        <w:pStyle w:val="Quote"/>
      </w:pPr>
      <w:r>
        <w:t>For work experience to be a meaningful and beneficial experience for both the employer and client, clear linkages need to be made between the client’s employment pathway and the business needs of the host employer. This requires dedicated focus on individual placements, which in turn requires additional resourcing and therefore additional investment for work experience programs to be delivered within SEE.</w:t>
      </w:r>
    </w:p>
    <w:p w14:paraId="32EA725A" w14:textId="77777777" w:rsidR="002E34CE" w:rsidRDefault="008C774B" w:rsidP="002E34CE">
      <w:pPr>
        <w:pStyle w:val="QuoteSource"/>
      </w:pPr>
      <w:r w:rsidRPr="00C94F0C">
        <w:rPr>
          <w:i w:val="0"/>
        </w:rPr>
        <w:t xml:space="preserve">– </w:t>
      </w:r>
      <w:r w:rsidR="002E34CE">
        <w:t>MTC submission</w:t>
      </w:r>
    </w:p>
    <w:p w14:paraId="6731BCF0" w14:textId="77777777" w:rsidR="00E50DDC" w:rsidRDefault="00E50DDC" w:rsidP="00E50DDC">
      <w:pPr>
        <w:pStyle w:val="Quote"/>
      </w:pPr>
      <w:r w:rsidRPr="008A389C">
        <w:t xml:space="preserve">Similarly, to manage work experience programs efficiently, the SEE training provider needs extra time/ personnel to complete the necessary SEE paperwork so that everything is compliant with the SEE contract. It is also very time-consuming to find work placements for the students. </w:t>
      </w:r>
    </w:p>
    <w:p w14:paraId="7A2A1FA5" w14:textId="77777777" w:rsidR="00E50DDC" w:rsidRDefault="008C774B" w:rsidP="00E50DDC">
      <w:pPr>
        <w:pStyle w:val="QuoteSource"/>
      </w:pPr>
      <w:r w:rsidRPr="00C94F0C">
        <w:rPr>
          <w:i w:val="0"/>
        </w:rPr>
        <w:t xml:space="preserve">– </w:t>
      </w:r>
      <w:r w:rsidR="00E50DDC">
        <w:t>Swinburne submission</w:t>
      </w:r>
    </w:p>
    <w:p w14:paraId="3D0D02B0" w14:textId="3F786AD9" w:rsidR="00E50DDC" w:rsidRDefault="002E34CE" w:rsidP="002E34CE">
      <w:pPr>
        <w:pStyle w:val="BodyText"/>
      </w:pPr>
      <w:r>
        <w:t xml:space="preserve">Stakeholders suggest </w:t>
      </w:r>
      <w:r w:rsidR="00E50DDC">
        <w:t xml:space="preserve">three options to increase the amount of work experience offered under </w:t>
      </w:r>
      <w:r w:rsidR="00D279C4">
        <w:t xml:space="preserve">the </w:t>
      </w:r>
      <w:r w:rsidR="00E50DDC">
        <w:t>SEE</w:t>
      </w:r>
      <w:r w:rsidR="00D279C4">
        <w:t xml:space="preserve"> programme</w:t>
      </w:r>
      <w:r w:rsidR="00E50DDC">
        <w:t>:</w:t>
      </w:r>
    </w:p>
    <w:p w14:paraId="372CFC9E" w14:textId="77777777" w:rsidR="00E50DDC" w:rsidRDefault="00E50DDC" w:rsidP="00E50DDC">
      <w:pPr>
        <w:pStyle w:val="ListDash"/>
      </w:pPr>
      <w:r>
        <w:t>A higher funding rate for work experience hours to recognise the additional resources needed to deliver the sub-element</w:t>
      </w:r>
    </w:p>
    <w:p w14:paraId="53E41BB4" w14:textId="77777777" w:rsidR="00E50DDC" w:rsidRDefault="00E50DDC" w:rsidP="00E50DDC">
      <w:pPr>
        <w:pStyle w:val="ListDash"/>
      </w:pPr>
      <w:r>
        <w:t>Funding for dedicated employment pathway advisors, similar to the education pathway advisors (or counsellors) funded under AMEP.</w:t>
      </w:r>
    </w:p>
    <w:p w14:paraId="7107AE37" w14:textId="77777777" w:rsidR="00E50DDC" w:rsidRDefault="00E50DDC" w:rsidP="00E50DDC">
      <w:pPr>
        <w:pStyle w:val="Quote"/>
      </w:pPr>
      <w:r w:rsidRPr="00636E16">
        <w:t>To deliver these courses effectively, it would be useful to consider a different funding model for the SEE programme. This could include funding for a “Pathway to Work Advisor”, to work with clients on specific pathways and to liaise with JSA/DES provider case managers. This role could also engage with employers, source work experience placements and give assistance to clients and employers during work placements</w:t>
      </w:r>
    </w:p>
    <w:p w14:paraId="4EB36E6A" w14:textId="77777777" w:rsidR="00E50DDC" w:rsidRPr="00636E16" w:rsidRDefault="008C774B" w:rsidP="00E50DDC">
      <w:pPr>
        <w:pStyle w:val="QuoteSource"/>
      </w:pPr>
      <w:r w:rsidRPr="00C94F0C">
        <w:rPr>
          <w:i w:val="0"/>
        </w:rPr>
        <w:t xml:space="preserve">– </w:t>
      </w:r>
      <w:r w:rsidR="00E50DDC">
        <w:t>Confidential submission</w:t>
      </w:r>
    </w:p>
    <w:p w14:paraId="549FAADA" w14:textId="77777777" w:rsidR="00E50DDC" w:rsidRDefault="00E50DDC" w:rsidP="00E50DDC">
      <w:pPr>
        <w:pStyle w:val="ListDash"/>
      </w:pPr>
      <w:r>
        <w:t>Financial support for organisations which host work experience clients.</w:t>
      </w:r>
    </w:p>
    <w:p w14:paraId="0C6A5EF1" w14:textId="09A7CE8B" w:rsidR="00DB5953" w:rsidRDefault="00DB5953" w:rsidP="006736B2">
      <w:pPr>
        <w:pStyle w:val="BodyText"/>
      </w:pPr>
      <w:r>
        <w:t xml:space="preserve">It should be noted that </w:t>
      </w:r>
      <w:r w:rsidR="005525D2">
        <w:t xml:space="preserve">SEE </w:t>
      </w:r>
      <w:r>
        <w:t>providers, through the competitive tendering process, are able to set the per student contact hour price at which they deliver SEE</w:t>
      </w:r>
      <w:r w:rsidR="00D279C4">
        <w:t xml:space="preserve"> programme training</w:t>
      </w:r>
      <w:r>
        <w:t xml:space="preserve"> (as discussed in Sections </w:t>
      </w:r>
      <w:r>
        <w:fldChar w:fldCharType="begin"/>
      </w:r>
      <w:r>
        <w:instrText xml:space="preserve"> REF _Ref408663278 \r \h </w:instrText>
      </w:r>
      <w:r>
        <w:fldChar w:fldCharType="separate"/>
      </w:r>
      <w:r w:rsidR="00294A5A">
        <w:t>2.5</w:t>
      </w:r>
      <w:r>
        <w:fldChar w:fldCharType="end"/>
      </w:r>
      <w:r w:rsidR="00402B15">
        <w:t xml:space="preserve">, </w:t>
      </w:r>
      <w:r w:rsidR="00402B15">
        <w:fldChar w:fldCharType="begin"/>
      </w:r>
      <w:r w:rsidR="00402B15">
        <w:instrText xml:space="preserve"> REF _Ref408663286 \r \h </w:instrText>
      </w:r>
      <w:r w:rsidR="00402B15">
        <w:fldChar w:fldCharType="separate"/>
      </w:r>
      <w:r w:rsidR="00294A5A">
        <w:t>6.1</w:t>
      </w:r>
      <w:r w:rsidR="00402B15">
        <w:fldChar w:fldCharType="end"/>
      </w:r>
      <w:r w:rsidR="00402B15">
        <w:t xml:space="preserve"> and </w:t>
      </w:r>
      <w:r w:rsidR="00402B15">
        <w:fldChar w:fldCharType="begin"/>
      </w:r>
      <w:r w:rsidR="00402B15">
        <w:instrText xml:space="preserve"> REF _Ref408663324 \r \h </w:instrText>
      </w:r>
      <w:r w:rsidR="00402B15">
        <w:fldChar w:fldCharType="separate"/>
      </w:r>
      <w:r w:rsidR="00294A5A">
        <w:t>7.2</w:t>
      </w:r>
      <w:r w:rsidR="00402B15">
        <w:fldChar w:fldCharType="end"/>
      </w:r>
      <w:r w:rsidR="00402B15">
        <w:t>)</w:t>
      </w:r>
      <w:r w:rsidR="00BF6842">
        <w:t xml:space="preserve"> and this rate is paid for each work experience hour clients undertake.</w:t>
      </w:r>
      <w:r w:rsidR="006B54C3">
        <w:t xml:space="preserve"> The fact providers are paid for the hours clients spend on work experience is intended to compensate providers for the costs of setting up the work experience placements.</w:t>
      </w:r>
    </w:p>
    <w:p w14:paraId="67C8ECAF" w14:textId="154BFE90" w:rsidR="00DB5953" w:rsidRDefault="00DB5953" w:rsidP="006736B2">
      <w:pPr>
        <w:pStyle w:val="BodyText"/>
      </w:pPr>
      <w:r>
        <w:t xml:space="preserve">The </w:t>
      </w:r>
      <w:r w:rsidR="00147674">
        <w:t>SEE programme</w:t>
      </w:r>
      <w:r w:rsidR="006A28F2">
        <w:t xml:space="preserve"> </w:t>
      </w:r>
      <w:r>
        <w:t xml:space="preserve">attempts to </w:t>
      </w:r>
      <w:r w:rsidR="004F3C71">
        <w:t>b</w:t>
      </w:r>
      <w:r w:rsidR="008A389C">
        <w:t xml:space="preserve">alance </w:t>
      </w:r>
      <w:r>
        <w:t xml:space="preserve">a </w:t>
      </w:r>
      <w:r w:rsidR="008A389C">
        <w:t xml:space="preserve">training </w:t>
      </w:r>
      <w:r>
        <w:t xml:space="preserve">focus with an optional work experience component. While </w:t>
      </w:r>
      <w:r w:rsidR="00D279C4">
        <w:t xml:space="preserve">it </w:t>
      </w:r>
      <w:r>
        <w:t xml:space="preserve">has clear employment-focused goals, it is primarily a LLN training programme. The broader context in which SEE </w:t>
      </w:r>
      <w:r w:rsidR="00D279C4">
        <w:t xml:space="preserve">programme training </w:t>
      </w:r>
      <w:r>
        <w:t xml:space="preserve">is delivered is also important – the programme is delivered to clients who, as registered job seekers, can access other work experience programmes through Centrelink or their JSA. </w:t>
      </w:r>
    </w:p>
    <w:p w14:paraId="222CEB10" w14:textId="3A14DAF1" w:rsidR="008A389C" w:rsidRDefault="00DB5953" w:rsidP="006736B2">
      <w:pPr>
        <w:pStyle w:val="BodyText"/>
      </w:pPr>
      <w:r>
        <w:t xml:space="preserve">As noted above, only around 4 per cent of clients undertake work experience. </w:t>
      </w:r>
      <w:r w:rsidR="00402B15">
        <w:t xml:space="preserve">The </w:t>
      </w:r>
      <w:r w:rsidR="00147674">
        <w:t>SEE programme</w:t>
      </w:r>
      <w:r w:rsidR="00402B15">
        <w:t xml:space="preserve">’s objectives </w:t>
      </w:r>
      <w:r w:rsidR="006353FD">
        <w:t>do not specify</w:t>
      </w:r>
      <w:r w:rsidR="00402B15">
        <w:t xml:space="preserve"> whether this is policy administrators’ intended level of work experience participation. The above policy changes could assist with increase</w:t>
      </w:r>
      <w:r w:rsidR="006353FD">
        <w:t>d</w:t>
      </w:r>
      <w:r w:rsidR="00402B15">
        <w:t xml:space="preserve"> take up but it is important that </w:t>
      </w:r>
      <w:r w:rsidR="00D279C4">
        <w:t xml:space="preserve">the </w:t>
      </w:r>
      <w:r w:rsidR="00402B15">
        <w:t xml:space="preserve">SEE </w:t>
      </w:r>
      <w:r w:rsidR="00D279C4">
        <w:t xml:space="preserve">programme </w:t>
      </w:r>
      <w:r w:rsidR="00402B15">
        <w:t xml:space="preserve">does not lose its </w:t>
      </w:r>
      <w:r>
        <w:t xml:space="preserve">emphasis </w:t>
      </w:r>
      <w:r w:rsidR="00402B15">
        <w:t>on LLN tuition</w:t>
      </w:r>
      <w:r w:rsidR="00D279C4">
        <w:t>,</w:t>
      </w:r>
      <w:r w:rsidR="00402B15">
        <w:t xml:space="preserve"> considering LLN improvement is the programmes’ objective and there are other complementary services for job seekers which provide work experience.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537697" w14:paraId="05B94AC2" w14:textId="77777777" w:rsidTr="006D5201">
        <w:tc>
          <w:tcPr>
            <w:tcW w:w="5000" w:type="pct"/>
            <w:shd w:val="pct12" w:color="auto" w:fill="auto"/>
          </w:tcPr>
          <w:p w14:paraId="30429776" w14:textId="77777777" w:rsidR="00537697" w:rsidRDefault="00537697" w:rsidP="006D5201">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11</w:t>
            </w:r>
            <w:r w:rsidR="006A2396">
              <w:rPr>
                <w:noProof/>
              </w:rPr>
              <w:fldChar w:fldCharType="end"/>
            </w:r>
          </w:p>
        </w:tc>
      </w:tr>
      <w:tr w:rsidR="00537697" w14:paraId="5C3727BA" w14:textId="77777777" w:rsidTr="006D5201">
        <w:tc>
          <w:tcPr>
            <w:tcW w:w="5000" w:type="pct"/>
            <w:shd w:val="pct12" w:color="auto" w:fill="auto"/>
          </w:tcPr>
          <w:p w14:paraId="3075B37E" w14:textId="2D8316E2" w:rsidR="00537697" w:rsidRDefault="00402B15" w:rsidP="00402B15">
            <w:pPr>
              <w:pStyle w:val="BoxText"/>
            </w:pPr>
            <w:r>
              <w:t>Take up of work experience has averaged 4 per cent of over the last four years. Participating non</w:t>
            </w:r>
            <w:r w:rsidR="00BF6842">
              <w:noBreakHyphen/>
            </w:r>
            <w:r>
              <w:t xml:space="preserve">CALD, non-Indigenous </w:t>
            </w:r>
            <w:r w:rsidR="006353FD">
              <w:t xml:space="preserve">clients </w:t>
            </w:r>
            <w:r>
              <w:t>complete an average of 48 hours of work experience compared to 30 hours for CALD clients and 31 hours for Indigenous clients. The all cohort average is 36 hours.</w:t>
            </w:r>
          </w:p>
          <w:p w14:paraId="2E73B966" w14:textId="77777777" w:rsidR="00402B15" w:rsidRDefault="00402B15" w:rsidP="00402B15">
            <w:pPr>
              <w:pStyle w:val="BoxText"/>
            </w:pPr>
            <w:r w:rsidRPr="00402B15">
              <w:t>The work experience component provide</w:t>
            </w:r>
            <w:r>
              <w:t>s</w:t>
            </w:r>
            <w:r w:rsidRPr="00402B15">
              <w:t xml:space="preserve"> an introduction or reintroduction to the workplace, an experience that is difficult to simulate in the classroom. This is particularly important for migrant clients who have not worked in Australia before and young clients with little work experience.</w:t>
            </w:r>
          </w:p>
          <w:p w14:paraId="289C429E" w14:textId="252DB35A" w:rsidR="00402B15" w:rsidRDefault="00A44A8F" w:rsidP="00402B15">
            <w:pPr>
              <w:pStyle w:val="BoxText"/>
            </w:pPr>
            <w:r>
              <w:t>SEE p</w:t>
            </w:r>
            <w:r w:rsidR="00402B15">
              <w:t xml:space="preserve">roviders </w:t>
            </w:r>
            <w:r>
              <w:t>view</w:t>
            </w:r>
            <w:r w:rsidR="00402B15">
              <w:t xml:space="preserve"> work experience as resource intensive and contend that greater funding for the SEE sub-component through a different hourly rate or a dedicated </w:t>
            </w:r>
            <w:r w:rsidR="00402B15" w:rsidRPr="00896BBD">
              <w:t>employment path</w:t>
            </w:r>
            <w:r w:rsidR="00896BBD" w:rsidRPr="00896BBD">
              <w:t>way</w:t>
            </w:r>
            <w:r w:rsidR="00402B15" w:rsidRPr="00896BBD">
              <w:t xml:space="preserve"> advisor</w:t>
            </w:r>
            <w:r w:rsidR="00402B15">
              <w:t xml:space="preserve"> is needed.</w:t>
            </w:r>
          </w:p>
          <w:p w14:paraId="0DB46298" w14:textId="77777777" w:rsidR="00537697" w:rsidRPr="00090BC6" w:rsidRDefault="00537697" w:rsidP="006D5201">
            <w:pPr>
              <w:pStyle w:val="SmallDeltasRightAligned"/>
            </w:pPr>
            <w:r w:rsidRPr="00090BC6">
              <w:rPr>
                <w:noProof/>
                <w:lang w:eastAsia="en-AU"/>
              </w:rPr>
              <w:drawing>
                <wp:inline distT="0" distB="0" distL="0" distR="0" wp14:anchorId="6887E889" wp14:editId="40F0B5E6">
                  <wp:extent cx="481585" cy="234696"/>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537697" w14:paraId="3C0646DC" w14:textId="77777777" w:rsidTr="006D5201">
        <w:trPr>
          <w:trHeight w:hRule="exact" w:val="80"/>
        </w:trPr>
        <w:tc>
          <w:tcPr>
            <w:tcW w:w="5000" w:type="pct"/>
            <w:shd w:val="pct12" w:color="auto" w:fill="auto"/>
          </w:tcPr>
          <w:p w14:paraId="4AFBE17D" w14:textId="77777777" w:rsidR="00537697" w:rsidRDefault="00537697" w:rsidP="006D5201">
            <w:pPr>
              <w:spacing w:before="160"/>
            </w:pPr>
            <w:r>
              <w:t xml:space="preserve"> </w:t>
            </w:r>
          </w:p>
        </w:tc>
      </w:tr>
    </w:tbl>
    <w:p w14:paraId="57D94694" w14:textId="77777777" w:rsidR="008A11E6" w:rsidRDefault="00B44697" w:rsidP="008A11E6">
      <w:pPr>
        <w:pStyle w:val="Heading2"/>
      </w:pPr>
      <w:bookmarkStart w:id="122" w:name="_Ref408321409"/>
      <w:bookmarkStart w:id="123" w:name="_Toc420065453"/>
      <w:r>
        <w:t>Training outcomes</w:t>
      </w:r>
      <w:bookmarkEnd w:id="122"/>
      <w:bookmarkEnd w:id="123"/>
    </w:p>
    <w:p w14:paraId="457581BE" w14:textId="77777777" w:rsidR="00B82A84" w:rsidRDefault="006C0980" w:rsidP="006C0980">
      <w:pPr>
        <w:pStyle w:val="Heading3"/>
      </w:pPr>
      <w:bookmarkStart w:id="124" w:name="_Ref408677673"/>
      <w:r>
        <w:t>Programme completions</w:t>
      </w:r>
      <w:bookmarkEnd w:id="124"/>
    </w:p>
    <w:p w14:paraId="47FF3808" w14:textId="738C723E" w:rsidR="006C0980" w:rsidRDefault="006C0980" w:rsidP="006C0980">
      <w:pPr>
        <w:pStyle w:val="BodyText"/>
      </w:pPr>
      <w:r>
        <w:t xml:space="preserve">In the </w:t>
      </w:r>
      <w:r w:rsidR="00147674">
        <w:t>SEE programme</w:t>
      </w:r>
      <w:r w:rsidR="006A28F2">
        <w:t xml:space="preserve"> </w:t>
      </w:r>
      <w:r>
        <w:t>a completion of the programme is considered to be ‘</w:t>
      </w:r>
      <w:r w:rsidRPr="00ED7C32">
        <w:t xml:space="preserve">where a client that has commenced has either completed the </w:t>
      </w:r>
      <w:r w:rsidR="00007C78">
        <w:t>programme,</w:t>
      </w:r>
      <w:r w:rsidRPr="00ED7C32">
        <w:t xml:space="preserve"> or has exited the </w:t>
      </w:r>
      <w:r w:rsidR="006A28F2">
        <w:t xml:space="preserve">programme </w:t>
      </w:r>
      <w:r w:rsidRPr="00ED7C32">
        <w:t>due to gaining employment or moving into further education</w:t>
      </w:r>
      <w:r>
        <w:t>’</w:t>
      </w:r>
      <w:r w:rsidR="00FF0527">
        <w:t xml:space="preserve"> </w:t>
      </w:r>
      <w:sdt>
        <w:sdtPr>
          <w:id w:val="1355849555"/>
          <w:citation/>
        </w:sdtPr>
        <w:sdtEndPr/>
        <w:sdtContent>
          <w:r w:rsidR="00FF0527">
            <w:fldChar w:fldCharType="begin"/>
          </w:r>
          <w:r w:rsidR="00FF0527">
            <w:instrText xml:space="preserve"> CITATION Dep1415 \l 3081 </w:instrText>
          </w:r>
          <w:r w:rsidR="00FF0527">
            <w:fldChar w:fldCharType="separate"/>
          </w:r>
          <w:r w:rsidR="00B66B50">
            <w:rPr>
              <w:noProof/>
            </w:rPr>
            <w:t>(Department of Industry, 2014)</w:t>
          </w:r>
          <w:r w:rsidR="00FF0527">
            <w:fldChar w:fldCharType="end"/>
          </w:r>
        </w:sdtContent>
      </w:sdt>
      <w:r w:rsidR="00FF0527">
        <w:t>.</w:t>
      </w:r>
      <w:r>
        <w:t xml:space="preserve"> </w:t>
      </w:r>
    </w:p>
    <w:p w14:paraId="251554DD" w14:textId="4D2027E4" w:rsidR="00B82A84" w:rsidRDefault="006D5201" w:rsidP="00904657">
      <w:pPr>
        <w:pStyle w:val="BodyText"/>
      </w:pPr>
      <w:r>
        <w:t xml:space="preserve">Over the past four years, 42 per cent of clients have completed the programme. The majority of these clients have done so by completing 800 hours. 12 per cent of SEE </w:t>
      </w:r>
      <w:r w:rsidR="00D279C4">
        <w:t xml:space="preserve">programme </w:t>
      </w:r>
      <w:r>
        <w:t xml:space="preserve">clients complete the programme by moving on to employment, while 11 per cent complete by progressing to other training. </w:t>
      </w:r>
    </w:p>
    <w:p w14:paraId="3E65607A" w14:textId="2AB3385C" w:rsidR="006D5201" w:rsidRDefault="006D5201" w:rsidP="00904657">
      <w:pPr>
        <w:pStyle w:val="BodyText"/>
      </w:pPr>
      <w:r>
        <w:t xml:space="preserve">CALD clients (47 per cent) are more likely to complete </w:t>
      </w:r>
      <w:r w:rsidR="00D279C4">
        <w:t xml:space="preserve">the </w:t>
      </w:r>
      <w:r>
        <w:t>SEE</w:t>
      </w:r>
      <w:r w:rsidR="00D279C4">
        <w:t xml:space="preserve"> programme</w:t>
      </w:r>
      <w:r>
        <w:t xml:space="preserve">, while Indigenous clients have a lower completion rate </w:t>
      </w:r>
      <w:r w:rsidR="008E41A1">
        <w:t>(</w:t>
      </w:r>
      <w:r>
        <w:t xml:space="preserve">16 per cent). Most CALD clients that complete do so by using their training allocation. Conversely, the most common way for </w:t>
      </w:r>
      <w:r w:rsidRPr="006D5201">
        <w:t>non-CALD, non-Indigenous clients</w:t>
      </w:r>
      <w:r>
        <w:t xml:space="preserve"> and Indigenous </w:t>
      </w:r>
      <w:r w:rsidR="007D1730">
        <w:t xml:space="preserve">clients </w:t>
      </w:r>
      <w:r>
        <w:t xml:space="preserve">to complete </w:t>
      </w:r>
      <w:r w:rsidR="00D279C4">
        <w:t xml:space="preserve">the </w:t>
      </w:r>
      <w:r>
        <w:t>SEE</w:t>
      </w:r>
      <w:r w:rsidR="00D279C4">
        <w:t xml:space="preserve"> programme</w:t>
      </w:r>
      <w:r>
        <w:t xml:space="preserve"> is by moving on to other training</w:t>
      </w:r>
      <w:r w:rsidR="008E41A1">
        <w:t xml:space="preserve">. </w:t>
      </w:r>
    </w:p>
    <w:p w14:paraId="5232F904" w14:textId="6E07A42A" w:rsidR="006C0980" w:rsidRDefault="006C0980">
      <w:pPr>
        <w:pStyle w:val="Caption"/>
      </w:pPr>
      <w:bookmarkStart w:id="125" w:name="_Toc420065485"/>
      <w:r>
        <w:t xml:space="preserve">Figure </w:t>
      </w:r>
      <w:r w:rsidR="006A2396">
        <w:fldChar w:fldCharType="begin"/>
      </w:r>
      <w:r w:rsidR="006A2396">
        <w:instrText xml:space="preserve"> SEQ Figure \* ARABIC </w:instrText>
      </w:r>
      <w:r w:rsidR="006A2396">
        <w:fldChar w:fldCharType="separate"/>
      </w:r>
      <w:r w:rsidR="00294A5A">
        <w:rPr>
          <w:noProof/>
        </w:rPr>
        <w:t>25</w:t>
      </w:r>
      <w:r w:rsidR="006A2396">
        <w:rPr>
          <w:noProof/>
        </w:rPr>
        <w:fldChar w:fldCharType="end"/>
      </w:r>
      <w:r w:rsidRPr="004E0C91">
        <w:rPr>
          <w:b/>
          <w:color w:val="000080"/>
        </w:rPr>
        <w:tab/>
      </w:r>
      <w:r w:rsidR="00147674">
        <w:rPr>
          <w:rStyle w:val="CaptionLabel"/>
        </w:rPr>
        <w:t>SEE programme</w:t>
      </w:r>
      <w:r w:rsidR="006A28F2">
        <w:rPr>
          <w:rStyle w:val="CaptionLabel"/>
        </w:rPr>
        <w:t xml:space="preserve"> </w:t>
      </w:r>
      <w:r w:rsidR="00DA5223">
        <w:rPr>
          <w:rStyle w:val="CaptionLabel"/>
        </w:rPr>
        <w:t>comp</w:t>
      </w:r>
      <w:r w:rsidR="00405A83">
        <w:rPr>
          <w:rStyle w:val="CaptionLabel"/>
        </w:rPr>
        <w:t>l</w:t>
      </w:r>
      <w:r w:rsidR="00DA5223">
        <w:rPr>
          <w:rStyle w:val="CaptionLabel"/>
        </w:rPr>
        <w:t>etions</w:t>
      </w:r>
      <w:bookmarkEnd w:id="125"/>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6C0980" w14:paraId="64820D67" w14:textId="77777777" w:rsidTr="006D5201">
        <w:trPr>
          <w:cantSplit/>
        </w:trPr>
        <w:tc>
          <w:tcPr>
            <w:tcW w:w="5000" w:type="pct"/>
          </w:tcPr>
          <w:p w14:paraId="08880059" w14:textId="77777777" w:rsidR="006C0980" w:rsidRDefault="006C0980" w:rsidP="006D5201">
            <w:pPr>
              <w:pStyle w:val="SmallDeltasRightAligned"/>
              <w:keepNext/>
            </w:pPr>
            <w:r>
              <w:rPr>
                <w:noProof/>
                <w:lang w:eastAsia="en-AU"/>
              </w:rPr>
              <w:drawing>
                <wp:inline distT="0" distB="0" distL="0" distR="0" wp14:anchorId="6D7F1923" wp14:editId="3FF432B9">
                  <wp:extent cx="481585" cy="234696"/>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6C0980" w14:paraId="4AD0EE27" w14:textId="77777777" w:rsidTr="006C0980">
        <w:tblPrEx>
          <w:tblCellMar>
            <w:left w:w="108" w:type="dxa"/>
            <w:right w:w="108" w:type="dxa"/>
          </w:tblCellMar>
        </w:tblPrEx>
        <w:trPr>
          <w:cantSplit/>
        </w:trPr>
        <w:tc>
          <w:tcPr>
            <w:tcW w:w="5000" w:type="pct"/>
          </w:tcPr>
          <w:p w14:paraId="6C4915A9" w14:textId="77777777" w:rsidR="006C0980" w:rsidRDefault="006C0980" w:rsidP="006D5201">
            <w:pPr>
              <w:pStyle w:val="Figure"/>
            </w:pPr>
            <w:r>
              <w:rPr>
                <w:noProof/>
                <w:lang w:eastAsia="en-AU"/>
              </w:rPr>
              <w:drawing>
                <wp:inline distT="0" distB="0" distL="0" distR="0" wp14:anchorId="164AC956" wp14:editId="2D29EB07">
                  <wp:extent cx="4572000" cy="2743200"/>
                  <wp:effectExtent l="0" t="0" r="0" b="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r>
    </w:tbl>
    <w:p w14:paraId="4C4D2E73" w14:textId="3631D1F9" w:rsidR="006C0980" w:rsidRDefault="006C0980">
      <w:pPr>
        <w:pStyle w:val="Note"/>
      </w:pPr>
      <w:r>
        <w:rPr>
          <w:i/>
        </w:rPr>
        <w:t>Note:</w:t>
      </w:r>
      <w:r>
        <w:t xml:space="preserve"> </w:t>
      </w:r>
      <w:r w:rsidR="00DA5223">
        <w:t xml:space="preserve">Data are for commencements in 2010-11 to 2013-14, excluding clients who are still attending </w:t>
      </w:r>
      <w:r w:rsidR="00147674">
        <w:t>SEE programme</w:t>
      </w:r>
      <w:r w:rsidR="006A28F2">
        <w:t xml:space="preserve"> </w:t>
      </w:r>
      <w:r w:rsidR="00DA5223">
        <w:t>training.</w:t>
      </w:r>
    </w:p>
    <w:p w14:paraId="47FBDB47" w14:textId="554E9BA9" w:rsidR="006C0980" w:rsidRDefault="006C0980" w:rsidP="006D5201">
      <w:pPr>
        <w:pStyle w:val="Source"/>
      </w:pPr>
      <w:r>
        <w:t>S</w:t>
      </w:r>
      <w:r w:rsidRPr="00B50A1B">
        <w:t>ource:</w:t>
      </w:r>
      <w:r w:rsidRPr="00954EED">
        <w:t xml:space="preserve"> </w:t>
      </w:r>
      <w:r w:rsidR="007A143E">
        <w:t>SEE programme</w:t>
      </w:r>
      <w:r w:rsidR="006A28F2">
        <w:t xml:space="preserve"> </w:t>
      </w:r>
      <w:r w:rsidR="007A143E">
        <w:t>dataset</w:t>
      </w:r>
    </w:p>
    <w:p w14:paraId="2418030B" w14:textId="5F84BD97" w:rsidR="00DF3416" w:rsidRDefault="00DF3416" w:rsidP="00DF3416">
      <w:pPr>
        <w:pStyle w:val="BodyText"/>
      </w:pPr>
      <w:r>
        <w:fldChar w:fldCharType="begin"/>
      </w:r>
      <w:r>
        <w:instrText xml:space="preserve"> REF _Ref408482042 \h </w:instrText>
      </w:r>
      <w:r>
        <w:fldChar w:fldCharType="separate"/>
      </w:r>
      <w:r w:rsidR="00294A5A">
        <w:t xml:space="preserve">Figure </w:t>
      </w:r>
      <w:r w:rsidR="00294A5A">
        <w:rPr>
          <w:noProof/>
        </w:rPr>
        <w:t>26</w:t>
      </w:r>
      <w:r>
        <w:fldChar w:fldCharType="end"/>
      </w:r>
      <w:r>
        <w:t xml:space="preserve"> shows all </w:t>
      </w:r>
      <w:r w:rsidR="00BD3E24">
        <w:t xml:space="preserve">possible outcomes for SEE </w:t>
      </w:r>
      <w:r w:rsidR="00D279C4">
        <w:t xml:space="preserve">programme </w:t>
      </w:r>
      <w:r w:rsidR="00BD3E24">
        <w:t xml:space="preserve">clients as recorded in the </w:t>
      </w:r>
      <w:r w:rsidR="007A143E">
        <w:t>SEE programme</w:t>
      </w:r>
      <w:r w:rsidR="006A28F2">
        <w:t xml:space="preserve"> </w:t>
      </w:r>
      <w:r w:rsidR="007A143E">
        <w:t>dataset</w:t>
      </w:r>
      <w:r w:rsidR="00BD3E24">
        <w:t xml:space="preserve">. CALD clients are more likely to withdraw for personal or health reasons while other clients are more likely to </w:t>
      </w:r>
      <w:r w:rsidR="006329E0">
        <w:t xml:space="preserve">be </w:t>
      </w:r>
      <w:r w:rsidR="00BD3E24">
        <w:t>withdraw</w:t>
      </w:r>
      <w:r w:rsidR="006329E0">
        <w:t>n from the programme</w:t>
      </w:r>
      <w:r w:rsidR="00BD3E24">
        <w:t xml:space="preserve"> after failing to attend class. </w:t>
      </w:r>
      <w:r w:rsidR="006329E0">
        <w:t>Failure to attend is a significant reason for non-completion for all groups, but especially Indigenous participants with over 55 per cent of participants failing to complete the programme for this reason.</w:t>
      </w:r>
    </w:p>
    <w:p w14:paraId="48398514" w14:textId="30511AE5" w:rsidR="00DF3416" w:rsidRDefault="00DF3416" w:rsidP="00DF3416">
      <w:pPr>
        <w:pStyle w:val="Caption"/>
      </w:pPr>
      <w:bookmarkStart w:id="126" w:name="_Ref408482042"/>
      <w:bookmarkStart w:id="127" w:name="_Toc420065486"/>
      <w:r>
        <w:t xml:space="preserve">Figure </w:t>
      </w:r>
      <w:r w:rsidR="006A2396">
        <w:fldChar w:fldCharType="begin"/>
      </w:r>
      <w:r w:rsidR="006A2396">
        <w:instrText xml:space="preserve"> SEQ Figur</w:instrText>
      </w:r>
      <w:r w:rsidR="006A2396">
        <w:instrText xml:space="preserve">e \* ARABIC </w:instrText>
      </w:r>
      <w:r w:rsidR="006A2396">
        <w:fldChar w:fldCharType="separate"/>
      </w:r>
      <w:r w:rsidR="00294A5A">
        <w:rPr>
          <w:noProof/>
        </w:rPr>
        <w:t>26</w:t>
      </w:r>
      <w:r w:rsidR="006A2396">
        <w:rPr>
          <w:noProof/>
        </w:rPr>
        <w:fldChar w:fldCharType="end"/>
      </w:r>
      <w:bookmarkEnd w:id="126"/>
      <w:r w:rsidRPr="004E0C91">
        <w:rPr>
          <w:b/>
          <w:color w:val="000080"/>
        </w:rPr>
        <w:tab/>
      </w:r>
      <w:r w:rsidR="00147674">
        <w:rPr>
          <w:rStyle w:val="CaptionLabel"/>
        </w:rPr>
        <w:t>SEE programme</w:t>
      </w:r>
      <w:r w:rsidR="006A28F2">
        <w:rPr>
          <w:rStyle w:val="CaptionLabel"/>
        </w:rPr>
        <w:t xml:space="preserve"> </w:t>
      </w:r>
      <w:r>
        <w:rPr>
          <w:rStyle w:val="CaptionLabel"/>
        </w:rPr>
        <w:t>client outcomes by cohort</w:t>
      </w:r>
      <w:bookmarkEnd w:id="127"/>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DF3416" w14:paraId="2FE1F0D0" w14:textId="77777777" w:rsidTr="00783980">
        <w:trPr>
          <w:cantSplit/>
        </w:trPr>
        <w:tc>
          <w:tcPr>
            <w:tcW w:w="5000" w:type="pct"/>
          </w:tcPr>
          <w:p w14:paraId="61B32010" w14:textId="77777777" w:rsidR="00DF3416" w:rsidRDefault="00DF3416" w:rsidP="00783980">
            <w:pPr>
              <w:pStyle w:val="SmallDeltasRightAligned"/>
              <w:keepNext/>
            </w:pPr>
            <w:r>
              <w:rPr>
                <w:noProof/>
                <w:lang w:eastAsia="en-AU"/>
              </w:rPr>
              <w:drawing>
                <wp:inline distT="0" distB="0" distL="0" distR="0" wp14:anchorId="7124AD5D" wp14:editId="271BAE17">
                  <wp:extent cx="481585" cy="23469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DF3416" w14:paraId="75E12AF4" w14:textId="77777777" w:rsidTr="00BD3E24">
        <w:tblPrEx>
          <w:tblCellMar>
            <w:left w:w="108" w:type="dxa"/>
            <w:right w:w="108" w:type="dxa"/>
          </w:tblCellMar>
        </w:tblPrEx>
        <w:trPr>
          <w:cantSplit/>
        </w:trPr>
        <w:tc>
          <w:tcPr>
            <w:tcW w:w="5000" w:type="pct"/>
          </w:tcPr>
          <w:p w14:paraId="09E01DBA" w14:textId="77777777" w:rsidR="00DF3416" w:rsidRDefault="00BD3E24" w:rsidP="00783980">
            <w:pPr>
              <w:pStyle w:val="Figure"/>
            </w:pPr>
            <w:r>
              <w:rPr>
                <w:noProof/>
                <w:lang w:eastAsia="en-AU"/>
              </w:rPr>
              <w:drawing>
                <wp:inline distT="0" distB="0" distL="0" distR="0" wp14:anchorId="6BF27202" wp14:editId="3C2A49CE">
                  <wp:extent cx="4543425" cy="2726055"/>
                  <wp:effectExtent l="0" t="0" r="0" b="0"/>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bl>
    <w:p w14:paraId="5A39D04B" w14:textId="32818A13" w:rsidR="00DF3416" w:rsidRDefault="00DF3416" w:rsidP="00DF3416">
      <w:pPr>
        <w:pStyle w:val="Note"/>
      </w:pPr>
      <w:r>
        <w:rPr>
          <w:i/>
        </w:rPr>
        <w:t>Note:</w:t>
      </w:r>
      <w:r>
        <w:t xml:space="preserve"> </w:t>
      </w:r>
      <w:r w:rsidR="00147674">
        <w:t>SEE programme</w:t>
      </w:r>
      <w:r w:rsidR="006A28F2">
        <w:t xml:space="preserve"> </w:t>
      </w:r>
      <w:r>
        <w:t xml:space="preserve">clients that commenced training in 2010-11 – 2013-14 and are no longer in the </w:t>
      </w:r>
      <w:r w:rsidR="00C27D87">
        <w:t>p</w:t>
      </w:r>
      <w:r>
        <w:t>rogramme.</w:t>
      </w:r>
    </w:p>
    <w:p w14:paraId="76F8BE9C" w14:textId="3F101C81" w:rsidR="00DF3416" w:rsidRDefault="00DF3416" w:rsidP="00DF3416">
      <w:pPr>
        <w:pStyle w:val="Source"/>
      </w:pPr>
      <w:r>
        <w:t>S</w:t>
      </w:r>
      <w:r w:rsidRPr="00B50A1B">
        <w:t>ource:</w:t>
      </w:r>
      <w:r w:rsidRPr="00954EED">
        <w:t xml:space="preserve"> </w:t>
      </w:r>
      <w:r w:rsidR="007A143E">
        <w:t>SEE programme</w:t>
      </w:r>
      <w:r w:rsidR="006A28F2">
        <w:t xml:space="preserve"> </w:t>
      </w:r>
      <w:r w:rsidR="007A143E">
        <w:t>dataset</w:t>
      </w:r>
    </w:p>
    <w:p w14:paraId="3FB5600E" w14:textId="77777777" w:rsidR="0049538F" w:rsidRPr="0049538F" w:rsidRDefault="0049538F" w:rsidP="0049538F">
      <w:pPr>
        <w:pStyle w:val="BodyText"/>
      </w:pP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8E41A1" w14:paraId="364E0EB3" w14:textId="77777777" w:rsidTr="00783980">
        <w:tc>
          <w:tcPr>
            <w:tcW w:w="5000" w:type="pct"/>
            <w:shd w:val="pct12" w:color="auto" w:fill="auto"/>
          </w:tcPr>
          <w:p w14:paraId="2C32DCD1" w14:textId="77777777" w:rsidR="008E41A1" w:rsidRDefault="008E41A1" w:rsidP="00783980">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12</w:t>
            </w:r>
            <w:r w:rsidR="006A2396">
              <w:rPr>
                <w:noProof/>
              </w:rPr>
              <w:fldChar w:fldCharType="end"/>
            </w:r>
          </w:p>
        </w:tc>
      </w:tr>
      <w:tr w:rsidR="008E41A1" w14:paraId="2FFE45C8" w14:textId="77777777" w:rsidTr="00783980">
        <w:tc>
          <w:tcPr>
            <w:tcW w:w="5000" w:type="pct"/>
            <w:shd w:val="pct12" w:color="auto" w:fill="auto"/>
          </w:tcPr>
          <w:p w14:paraId="6B96BB85" w14:textId="682268A4" w:rsidR="008E41A1" w:rsidRDefault="001E0B61" w:rsidP="00783980">
            <w:pPr>
              <w:pStyle w:val="BoxText"/>
            </w:pPr>
            <w:r>
              <w:t xml:space="preserve">Around </w:t>
            </w:r>
            <w:r w:rsidR="008E41A1">
              <w:t xml:space="preserve">42 per cent of clients </w:t>
            </w:r>
            <w:r>
              <w:t xml:space="preserve">complete </w:t>
            </w:r>
            <w:r w:rsidR="008E41A1">
              <w:t xml:space="preserve">the programme. 18 per cent of clients complete </w:t>
            </w:r>
            <w:r w:rsidR="008967AB">
              <w:t xml:space="preserve">the programme </w:t>
            </w:r>
            <w:r w:rsidR="008E41A1">
              <w:t xml:space="preserve">by completing 800 hours of </w:t>
            </w:r>
            <w:r w:rsidR="00276A03">
              <w:t>SEE programme training</w:t>
            </w:r>
            <w:r w:rsidR="008967AB">
              <w:t>,</w:t>
            </w:r>
            <w:r w:rsidR="008E41A1">
              <w:t xml:space="preserve"> 12 per cent of SEE </w:t>
            </w:r>
            <w:r w:rsidR="00F553E3">
              <w:t xml:space="preserve">programme </w:t>
            </w:r>
            <w:r w:rsidR="008E41A1">
              <w:t>clients complete by moving on to employment, while 11 per cent complete by progressing to other training.</w:t>
            </w:r>
          </w:p>
          <w:p w14:paraId="10A4DCFF" w14:textId="0753CD1D" w:rsidR="006329E0" w:rsidRDefault="008E41A1" w:rsidP="00783980">
            <w:pPr>
              <w:pStyle w:val="BoxText"/>
            </w:pPr>
            <w:r w:rsidRPr="008E41A1">
              <w:t xml:space="preserve">CALD clients are more likely to complete </w:t>
            </w:r>
            <w:r w:rsidR="00F553E3">
              <w:t xml:space="preserve">the </w:t>
            </w:r>
            <w:r w:rsidRPr="008E41A1">
              <w:t>SEE</w:t>
            </w:r>
            <w:r w:rsidR="00F553E3">
              <w:t xml:space="preserve"> programme</w:t>
            </w:r>
            <w:r w:rsidRPr="008E41A1">
              <w:t>, while Indigenous client</w:t>
            </w:r>
            <w:r>
              <w:t>s have a lower completion rate</w:t>
            </w:r>
            <w:r w:rsidRPr="008E41A1">
              <w:t xml:space="preserve">. </w:t>
            </w:r>
          </w:p>
          <w:p w14:paraId="1FBEE9E5" w14:textId="1C958503" w:rsidR="008E41A1" w:rsidRDefault="008E41A1" w:rsidP="00783980">
            <w:pPr>
              <w:pStyle w:val="BoxText"/>
            </w:pPr>
            <w:r w:rsidRPr="008E41A1">
              <w:t xml:space="preserve">Most CALD clients complete by using their training allocation. Conversely, the most common way for non-CALD, non-Indigenous clients and Indigenous </w:t>
            </w:r>
            <w:r w:rsidR="007D1730">
              <w:t xml:space="preserve">clients </w:t>
            </w:r>
            <w:r w:rsidRPr="008E41A1">
              <w:t xml:space="preserve">to complete </w:t>
            </w:r>
            <w:r w:rsidR="00F553E3">
              <w:t xml:space="preserve">the </w:t>
            </w:r>
            <w:r w:rsidRPr="008E41A1">
              <w:t xml:space="preserve">SEE </w:t>
            </w:r>
            <w:r w:rsidR="00F553E3">
              <w:t xml:space="preserve">programme </w:t>
            </w:r>
            <w:r w:rsidRPr="008E41A1">
              <w:t>is by moving on to other training.</w:t>
            </w:r>
          </w:p>
          <w:p w14:paraId="7A1FC610" w14:textId="77777777" w:rsidR="008E41A1" w:rsidRPr="00090BC6" w:rsidRDefault="008E41A1" w:rsidP="00783980">
            <w:pPr>
              <w:pStyle w:val="SmallDeltasRightAligned"/>
            </w:pPr>
            <w:r w:rsidRPr="00090BC6">
              <w:rPr>
                <w:noProof/>
                <w:lang w:eastAsia="en-AU"/>
              </w:rPr>
              <w:drawing>
                <wp:inline distT="0" distB="0" distL="0" distR="0" wp14:anchorId="334057E6" wp14:editId="4678EA85">
                  <wp:extent cx="481585" cy="234696"/>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8E41A1" w14:paraId="3347C0A9" w14:textId="77777777" w:rsidTr="00783980">
        <w:trPr>
          <w:trHeight w:hRule="exact" w:val="80"/>
        </w:trPr>
        <w:tc>
          <w:tcPr>
            <w:tcW w:w="5000" w:type="pct"/>
            <w:shd w:val="pct12" w:color="auto" w:fill="auto"/>
          </w:tcPr>
          <w:p w14:paraId="48C7C7C6" w14:textId="77777777" w:rsidR="008E41A1" w:rsidRDefault="008E41A1" w:rsidP="00783980">
            <w:pPr>
              <w:spacing w:before="160"/>
            </w:pPr>
            <w:r>
              <w:t xml:space="preserve"> </w:t>
            </w:r>
          </w:p>
        </w:tc>
      </w:tr>
    </w:tbl>
    <w:p w14:paraId="62B6E30B" w14:textId="77777777" w:rsidR="00AF144C" w:rsidRDefault="00AF144C" w:rsidP="00AF144C">
      <w:pPr>
        <w:pStyle w:val="Heading5"/>
      </w:pPr>
      <w:r>
        <w:t xml:space="preserve">Employment outcomes </w:t>
      </w:r>
    </w:p>
    <w:p w14:paraId="1D30FA0F" w14:textId="656D0DB3" w:rsidR="0049538F" w:rsidRDefault="00044468" w:rsidP="00AF144C">
      <w:pPr>
        <w:pStyle w:val="BodyText"/>
      </w:pPr>
      <w:r>
        <w:t xml:space="preserve">The programme contributes to client employment outcomes in numerous ways. </w:t>
      </w:r>
      <w:r w:rsidR="006353FD">
        <w:t>Clearly, improved</w:t>
      </w:r>
      <w:r>
        <w:t xml:space="preserve"> LLN skill</w:t>
      </w:r>
      <w:r w:rsidR="006353FD">
        <w:t>s</w:t>
      </w:r>
      <w:r>
        <w:t xml:space="preserve"> make clients more attractive to prospective employers. </w:t>
      </w:r>
    </w:p>
    <w:p w14:paraId="7AF5DBDA" w14:textId="77777777" w:rsidR="00044468" w:rsidRDefault="00044468" w:rsidP="00044468">
      <w:pPr>
        <w:pStyle w:val="Quote"/>
      </w:pPr>
      <w:r w:rsidRPr="002E1EF3">
        <w:t>Employers are looking for employees who have the LLN skills to undertake on-the-job training. They have highlighted the need for workplace health and safety (WH&amp;S) awareness training and awareness of workplace expectations and language specific to their industry.</w:t>
      </w:r>
    </w:p>
    <w:p w14:paraId="45002232" w14:textId="77777777" w:rsidR="00044468" w:rsidRPr="00044468" w:rsidRDefault="008C774B" w:rsidP="00044468">
      <w:pPr>
        <w:pStyle w:val="QuoteSource"/>
      </w:pPr>
      <w:r w:rsidRPr="00C94F0C">
        <w:rPr>
          <w:i w:val="0"/>
        </w:rPr>
        <w:t xml:space="preserve">– </w:t>
      </w:r>
      <w:r w:rsidR="00044468">
        <w:t>Confidential submission</w:t>
      </w:r>
    </w:p>
    <w:p w14:paraId="312CB680" w14:textId="2E9ACE4D" w:rsidR="00894FA2" w:rsidRDefault="00647C29" w:rsidP="00AF144C">
      <w:pPr>
        <w:pStyle w:val="BodyText"/>
      </w:pPr>
      <w:r>
        <w:t>But the</w:t>
      </w:r>
      <w:r w:rsidR="00894FA2">
        <w:t xml:space="preserve"> </w:t>
      </w:r>
      <w:r w:rsidR="00147674">
        <w:t>SEE programme</w:t>
      </w:r>
      <w:r w:rsidR="006A28F2">
        <w:t xml:space="preserve"> </w:t>
      </w:r>
      <w:r>
        <w:t xml:space="preserve">also </w:t>
      </w:r>
      <w:r w:rsidR="00894FA2">
        <w:t xml:space="preserve">allows </w:t>
      </w:r>
      <w:r>
        <w:t>clients</w:t>
      </w:r>
      <w:r w:rsidR="00894FA2">
        <w:t xml:space="preserve"> to </w:t>
      </w:r>
      <w:r w:rsidR="00165BC1">
        <w:t xml:space="preserve">acquire </w:t>
      </w:r>
      <w:r w:rsidR="00894FA2">
        <w:t xml:space="preserve">LLN skills </w:t>
      </w:r>
      <w:r>
        <w:t>with an employment focus. This can take many forms, depending on client and provider preference and ability:</w:t>
      </w:r>
    </w:p>
    <w:p w14:paraId="1B621A47" w14:textId="77777777" w:rsidR="00647C29" w:rsidRDefault="00647C29" w:rsidP="00044468">
      <w:pPr>
        <w:pStyle w:val="ListDash"/>
      </w:pPr>
      <w:r>
        <w:t xml:space="preserve">LLN tuition focused on </w:t>
      </w:r>
      <w:r w:rsidR="00E402E1">
        <w:t xml:space="preserve">the </w:t>
      </w:r>
      <w:r>
        <w:t xml:space="preserve">local </w:t>
      </w:r>
      <w:r w:rsidR="00E402E1">
        <w:t>labour market</w:t>
      </w:r>
      <w:r>
        <w:t xml:space="preserve"> </w:t>
      </w:r>
    </w:p>
    <w:p w14:paraId="1D96DE1A" w14:textId="3B6E4C52" w:rsidR="00044468" w:rsidRDefault="00647C29" w:rsidP="00044468">
      <w:pPr>
        <w:pStyle w:val="ListDash"/>
      </w:pPr>
      <w:r>
        <w:t>V</w:t>
      </w:r>
      <w:r w:rsidR="00044468">
        <w:t>ocational skill sets such as WH&amp;S</w:t>
      </w:r>
      <w:r>
        <w:t xml:space="preserve"> included in SEE </w:t>
      </w:r>
      <w:r w:rsidR="00F553E3">
        <w:t xml:space="preserve">programme </w:t>
      </w:r>
      <w:r>
        <w:t>tuition</w:t>
      </w:r>
    </w:p>
    <w:p w14:paraId="3FD349C9" w14:textId="77777777" w:rsidR="00647C29" w:rsidRDefault="00647C29" w:rsidP="00044468">
      <w:pPr>
        <w:pStyle w:val="ListDash"/>
      </w:pPr>
      <w:r>
        <w:t xml:space="preserve">Work experience and work observation </w:t>
      </w:r>
      <w:r w:rsidR="008C774B">
        <w:t xml:space="preserve">(as discussed in Section </w:t>
      </w:r>
      <w:r w:rsidR="008C774B">
        <w:fldChar w:fldCharType="begin"/>
      </w:r>
      <w:r w:rsidR="008C774B">
        <w:instrText xml:space="preserve"> REF _Ref408678540 \r \h </w:instrText>
      </w:r>
      <w:r w:rsidR="008C774B">
        <w:fldChar w:fldCharType="separate"/>
      </w:r>
      <w:r w:rsidR="00294A5A">
        <w:t>5.1.3</w:t>
      </w:r>
      <w:r w:rsidR="008C774B">
        <w:fldChar w:fldCharType="end"/>
      </w:r>
      <w:r w:rsidR="008C774B">
        <w:t>)</w:t>
      </w:r>
    </w:p>
    <w:p w14:paraId="27C282A8" w14:textId="77777777" w:rsidR="00044468" w:rsidRDefault="00647C29" w:rsidP="00044468">
      <w:pPr>
        <w:pStyle w:val="ListDash"/>
      </w:pPr>
      <w:r>
        <w:t>Information literacy and IT skills development</w:t>
      </w:r>
    </w:p>
    <w:p w14:paraId="6C1B2A51" w14:textId="77777777" w:rsidR="00044468" w:rsidRDefault="00647C29" w:rsidP="00044468">
      <w:pPr>
        <w:pStyle w:val="ListDash"/>
      </w:pPr>
      <w:r>
        <w:t>T</w:t>
      </w:r>
      <w:r w:rsidR="00044468">
        <w:t>eam-based learning and developing communication skills</w:t>
      </w:r>
    </w:p>
    <w:p w14:paraId="6933439C" w14:textId="77777777" w:rsidR="00044468" w:rsidRDefault="00647C29" w:rsidP="00044468">
      <w:pPr>
        <w:pStyle w:val="ListDash"/>
      </w:pPr>
      <w:r>
        <w:t>J</w:t>
      </w:r>
      <w:r w:rsidR="00044468">
        <w:t xml:space="preserve">ob search training including </w:t>
      </w:r>
      <w:r>
        <w:t xml:space="preserve">application letter and </w:t>
      </w:r>
      <w:r w:rsidR="00044468">
        <w:t>resume writing</w:t>
      </w:r>
      <w:r>
        <w:t>,</w:t>
      </w:r>
      <w:r w:rsidR="00044468">
        <w:t xml:space="preserve"> interview skills</w:t>
      </w:r>
      <w:r>
        <w:t xml:space="preserve"> and personal presentation.</w:t>
      </w:r>
    </w:p>
    <w:p w14:paraId="6EB59DF2" w14:textId="1172AE8C" w:rsidR="000A1F5C" w:rsidRDefault="00E402E1" w:rsidP="00AF144C">
      <w:pPr>
        <w:pStyle w:val="BodyText"/>
      </w:pPr>
      <w:r>
        <w:t xml:space="preserve">The use of these techniques by </w:t>
      </w:r>
      <w:r w:rsidR="00F553E3">
        <w:t xml:space="preserve">SEE </w:t>
      </w:r>
      <w:r>
        <w:t xml:space="preserve">providers </w:t>
      </w:r>
      <w:r w:rsidR="000A1F5C">
        <w:t>is often contingent on two important factors recognised by most stakeholders:</w:t>
      </w:r>
    </w:p>
    <w:p w14:paraId="48794ACB" w14:textId="77777777" w:rsidR="00AF144C" w:rsidRDefault="000A1F5C" w:rsidP="000A1F5C">
      <w:pPr>
        <w:pStyle w:val="ListDash"/>
      </w:pPr>
      <w:r>
        <w:t>the quality, skillset and effectiveness of teachers</w:t>
      </w:r>
    </w:p>
    <w:p w14:paraId="70372D94" w14:textId="77777777" w:rsidR="000A1F5C" w:rsidRDefault="000A1F5C" w:rsidP="000A1F5C">
      <w:pPr>
        <w:pStyle w:val="ListDash"/>
      </w:pPr>
      <w:r>
        <w:t>the relationship of providers to industry.</w:t>
      </w:r>
    </w:p>
    <w:p w14:paraId="0FDC6CD2" w14:textId="77777777" w:rsidR="000A1F5C" w:rsidRDefault="000A1F5C" w:rsidP="000A1F5C">
      <w:pPr>
        <w:pStyle w:val="BodyText"/>
      </w:pPr>
      <w:r>
        <w:t xml:space="preserve">These issues are discussed further in Section </w:t>
      </w:r>
      <w:r>
        <w:fldChar w:fldCharType="begin"/>
      </w:r>
      <w:r>
        <w:instrText xml:space="preserve"> REF _Ref408675106 \r \h </w:instrText>
      </w:r>
      <w:r>
        <w:fldChar w:fldCharType="separate"/>
      </w:r>
      <w:r w:rsidR="00294A5A">
        <w:t>7.1.6</w:t>
      </w:r>
      <w:r>
        <w:fldChar w:fldCharType="end"/>
      </w:r>
      <w:r>
        <w:t xml:space="preserve">. </w:t>
      </w:r>
    </w:p>
    <w:p w14:paraId="1647770E" w14:textId="779EF2A5" w:rsidR="00AF144C" w:rsidRDefault="000A1F5C" w:rsidP="008705AC">
      <w:pPr>
        <w:pStyle w:val="BodyText"/>
      </w:pPr>
      <w:r>
        <w:t xml:space="preserve">Many providers work to develop linkages with businesses and the local labour market but recognise more could be done to build these relationships. Strong relationships would allow greater integration of relevant employment-related concepts into SEE </w:t>
      </w:r>
      <w:r w:rsidR="00F553E3">
        <w:t xml:space="preserve">programme </w:t>
      </w:r>
      <w:r>
        <w:t xml:space="preserve">training. </w:t>
      </w:r>
    </w:p>
    <w:p w14:paraId="4EAF017E" w14:textId="77777777" w:rsidR="000A1F5C" w:rsidRDefault="000A1F5C" w:rsidP="008705AC">
      <w:pPr>
        <w:pStyle w:val="Quote"/>
      </w:pPr>
      <w:r>
        <w:t xml:space="preserve">It would be beneficial if employers and SEE providers were part of a forum to update on regional issues, along with JSA/DES providers. This could guide SEE delivery and would encourage a current, responsive approach to identified local/industry skills gaps. </w:t>
      </w:r>
    </w:p>
    <w:p w14:paraId="2AD91B76" w14:textId="77777777" w:rsidR="008705AC" w:rsidRPr="008705AC" w:rsidRDefault="008C774B" w:rsidP="008705AC">
      <w:pPr>
        <w:pStyle w:val="QuoteSource"/>
      </w:pPr>
      <w:r w:rsidRPr="00C94F0C">
        <w:rPr>
          <w:i w:val="0"/>
        </w:rPr>
        <w:t xml:space="preserve">– </w:t>
      </w:r>
      <w:r w:rsidR="008705AC">
        <w:t>Confidential submission</w:t>
      </w:r>
    </w:p>
    <w:p w14:paraId="65FF4BCA" w14:textId="77777777" w:rsidR="00E50DDC" w:rsidRDefault="00AF144C" w:rsidP="00AF144C">
      <w:pPr>
        <w:pStyle w:val="Heading5"/>
      </w:pPr>
      <w:r>
        <w:t>Training outcomes</w:t>
      </w:r>
    </w:p>
    <w:p w14:paraId="0E0B80FE" w14:textId="03E919D2" w:rsidR="00AF144C" w:rsidRDefault="00DE4DAC" w:rsidP="00AF144C">
      <w:pPr>
        <w:pStyle w:val="BodyText"/>
      </w:pPr>
      <w:r>
        <w:t xml:space="preserve">While the </w:t>
      </w:r>
      <w:r w:rsidR="00147674">
        <w:t>SEE programme</w:t>
      </w:r>
      <w:r>
        <w:t>’s primary focus is on employment outcomes, the programme also aims to progress clients into further education and training.</w:t>
      </w:r>
    </w:p>
    <w:p w14:paraId="6A60465F" w14:textId="27CF9037" w:rsidR="00E50DDC" w:rsidRDefault="0055014B" w:rsidP="00E50DDC">
      <w:pPr>
        <w:pStyle w:val="BodyText"/>
      </w:pPr>
      <w:r>
        <w:t xml:space="preserve">The provision of LLN training is central to this as on entry many SEE </w:t>
      </w:r>
      <w:r w:rsidR="00F553E3">
        <w:t xml:space="preserve">programme </w:t>
      </w:r>
      <w:r>
        <w:t xml:space="preserve">clients do not have the LLN skills to undertake further education and training. In addition to LLN training, providers identify </w:t>
      </w:r>
      <w:r w:rsidR="00EC79F5">
        <w:t xml:space="preserve">other ways in which the </w:t>
      </w:r>
      <w:r w:rsidR="00147674">
        <w:t>SEE programme</w:t>
      </w:r>
      <w:r w:rsidR="006A28F2">
        <w:t xml:space="preserve"> </w:t>
      </w:r>
      <w:r w:rsidR="00EC79F5">
        <w:t>can prepare clients for further training: by helping clients become more comfortable with a formal training environment and by offering LLN training through vocational training units.</w:t>
      </w:r>
    </w:p>
    <w:p w14:paraId="0A7889E6" w14:textId="77777777" w:rsidR="00E50DDC" w:rsidRDefault="001909A8" w:rsidP="001909A8">
      <w:pPr>
        <w:pStyle w:val="Quote"/>
      </w:pPr>
      <w:r w:rsidRPr="001909A8">
        <w:t>As well as improving LLN skills the SEE Program is effective in empowering students to engage with a learning environment, improving general attitudes to learning and the provision of pathways to further study.</w:t>
      </w:r>
    </w:p>
    <w:p w14:paraId="4D4EF8CC" w14:textId="77777777" w:rsidR="001909A8" w:rsidRPr="001909A8" w:rsidRDefault="008C774B" w:rsidP="001909A8">
      <w:pPr>
        <w:pStyle w:val="QuoteSource"/>
      </w:pPr>
      <w:r w:rsidRPr="00C94F0C">
        <w:rPr>
          <w:i w:val="0"/>
        </w:rPr>
        <w:t xml:space="preserve">– </w:t>
      </w:r>
      <w:r w:rsidR="001909A8">
        <w:t>Confidential submission</w:t>
      </w:r>
    </w:p>
    <w:p w14:paraId="69AB8572" w14:textId="77777777" w:rsidR="00E402E1" w:rsidRDefault="00E402E1" w:rsidP="00E402E1">
      <w:pPr>
        <w:pStyle w:val="Quote"/>
      </w:pPr>
      <w:r w:rsidRPr="00E402E1">
        <w:t xml:space="preserve">‘Taster’ programs organised at Swinburne give students a sample of some vocations (while still improving their LLN). This means they have an idea of what an industry entails, and can gauge their suitability for it, before fully committing. </w:t>
      </w:r>
    </w:p>
    <w:p w14:paraId="742B505C" w14:textId="77777777" w:rsidR="00E402E1" w:rsidRPr="00E402E1" w:rsidRDefault="008C774B" w:rsidP="00E402E1">
      <w:pPr>
        <w:pStyle w:val="QuoteSource"/>
      </w:pPr>
      <w:r w:rsidRPr="00C94F0C">
        <w:rPr>
          <w:i w:val="0"/>
        </w:rPr>
        <w:t xml:space="preserve">– </w:t>
      </w:r>
      <w:r w:rsidR="00E402E1">
        <w:t>Swinburne</w:t>
      </w:r>
      <w:r>
        <w:t xml:space="preserve"> submission</w:t>
      </w:r>
    </w:p>
    <w:p w14:paraId="3CB6D37B" w14:textId="7F7F97E0" w:rsidR="00AF144C" w:rsidRDefault="00EC79F5" w:rsidP="00E50DDC">
      <w:pPr>
        <w:pStyle w:val="BodyText"/>
      </w:pPr>
      <w:r>
        <w:t xml:space="preserve">Some stakeholders argue that </w:t>
      </w:r>
      <w:r w:rsidRPr="00EC79F5">
        <w:t xml:space="preserve">it is not immediately clear whether pathways from the </w:t>
      </w:r>
      <w:r w:rsidR="00147674">
        <w:t>SEE programme</w:t>
      </w:r>
      <w:r w:rsidR="006A28F2">
        <w:t xml:space="preserve"> </w:t>
      </w:r>
      <w:r w:rsidRPr="00EC79F5">
        <w:t xml:space="preserve">into further study are an explicit part of the </w:t>
      </w:r>
      <w:r w:rsidR="006A28F2">
        <w:t xml:space="preserve">programme </w:t>
      </w:r>
      <w:r w:rsidRPr="00EC79F5">
        <w:t>design.</w:t>
      </w:r>
      <w:r>
        <w:t xml:space="preserve"> Furthermore, </w:t>
      </w:r>
      <w:r w:rsidR="00AF144C" w:rsidRPr="00A9564A">
        <w:t xml:space="preserve">it </w:t>
      </w:r>
      <w:r w:rsidRPr="00A9564A">
        <w:t xml:space="preserve">does not appear to be common practice or </w:t>
      </w:r>
      <w:r>
        <w:t xml:space="preserve">a </w:t>
      </w:r>
      <w:r w:rsidRPr="00A9564A">
        <w:t>par</w:t>
      </w:r>
      <w:r>
        <w:t xml:space="preserve">t of the formal referral system for referring agencies to </w:t>
      </w:r>
      <w:r w:rsidRPr="00A9564A">
        <w:t xml:space="preserve">recommend </w:t>
      </w:r>
      <w:r w:rsidR="00F553E3">
        <w:t xml:space="preserve">the </w:t>
      </w:r>
      <w:r w:rsidRPr="00A9564A">
        <w:t xml:space="preserve">SEE </w:t>
      </w:r>
      <w:r w:rsidR="00F553E3">
        <w:t xml:space="preserve">programme </w:t>
      </w:r>
      <w:r w:rsidRPr="00A9564A">
        <w:t>to job seekers who want to engage in further study but lack the LLN skills necessary</w:t>
      </w:r>
      <w:r>
        <w:t>. For these reasons, s</w:t>
      </w:r>
      <w:r w:rsidR="00AF144C" w:rsidRPr="00A9564A">
        <w:t xml:space="preserve">ome stakeholders consider </w:t>
      </w:r>
      <w:r w:rsidR="00875CE1">
        <w:t xml:space="preserve">that pathways to further training are </w:t>
      </w:r>
      <w:r w:rsidR="00AF144C" w:rsidRPr="00A9564A">
        <w:t xml:space="preserve">an area where the </w:t>
      </w:r>
      <w:r w:rsidR="006A28F2">
        <w:t xml:space="preserve">programme </w:t>
      </w:r>
      <w:r w:rsidR="00AF144C" w:rsidRPr="00A9564A">
        <w:t>is currently underutilised</w:t>
      </w:r>
      <w:r w:rsidR="00CE3318">
        <w:t xml:space="preserve"> (see Section </w:t>
      </w:r>
      <w:r w:rsidR="00CE3318">
        <w:fldChar w:fldCharType="begin"/>
      </w:r>
      <w:r w:rsidR="00CE3318">
        <w:instrText xml:space="preserve"> REF _Ref408675106 \r \h </w:instrText>
      </w:r>
      <w:r w:rsidR="00CE3318">
        <w:fldChar w:fldCharType="separate"/>
      </w:r>
      <w:r w:rsidR="00294A5A">
        <w:t>7.1.6</w:t>
      </w:r>
      <w:r w:rsidR="00CE3318">
        <w:fldChar w:fldCharType="end"/>
      </w:r>
      <w:r w:rsidR="00CE3318">
        <w:t xml:space="preserve"> for further discussion).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8705AC" w14:paraId="2BE58056" w14:textId="77777777" w:rsidTr="001228F7">
        <w:tc>
          <w:tcPr>
            <w:tcW w:w="5000" w:type="pct"/>
            <w:shd w:val="pct12" w:color="auto" w:fill="auto"/>
          </w:tcPr>
          <w:p w14:paraId="4CDBEB7A" w14:textId="77777777" w:rsidR="008705AC" w:rsidRDefault="008705AC" w:rsidP="001228F7">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13</w:t>
            </w:r>
            <w:r w:rsidR="006A2396">
              <w:rPr>
                <w:noProof/>
              </w:rPr>
              <w:fldChar w:fldCharType="end"/>
            </w:r>
          </w:p>
        </w:tc>
      </w:tr>
      <w:tr w:rsidR="008705AC" w14:paraId="1660FF1D" w14:textId="77777777" w:rsidTr="001228F7">
        <w:tc>
          <w:tcPr>
            <w:tcW w:w="5000" w:type="pct"/>
            <w:shd w:val="pct12" w:color="auto" w:fill="auto"/>
          </w:tcPr>
          <w:p w14:paraId="1E7934FE" w14:textId="0B153C04" w:rsidR="008705AC" w:rsidRDefault="008705AC" w:rsidP="00CE3318">
            <w:pPr>
              <w:pStyle w:val="BoxText"/>
            </w:pPr>
            <w:r>
              <w:t xml:space="preserve">The </w:t>
            </w:r>
            <w:r w:rsidR="00147674">
              <w:t>SEE programme</w:t>
            </w:r>
            <w:r w:rsidR="006A28F2">
              <w:t xml:space="preserve"> </w:t>
            </w:r>
            <w:r>
              <w:t xml:space="preserve">is designed to align training content with local labour market needs where possible. </w:t>
            </w:r>
            <w:r w:rsidR="00A44A8F">
              <w:t>SEE providers</w:t>
            </w:r>
            <w:r>
              <w:t xml:space="preserve"> are using multiple techniques to deliver employment-related </w:t>
            </w:r>
            <w:r w:rsidR="00875CE1">
              <w:t>LLN training</w:t>
            </w:r>
            <w:r w:rsidR="00CE3318">
              <w:t xml:space="preserve"> including LLN tuition focused on the local labour market, vocational skill sets</w:t>
            </w:r>
            <w:r w:rsidR="006329E0">
              <w:t>,</w:t>
            </w:r>
            <w:r w:rsidR="00CE3318">
              <w:t xml:space="preserve"> work experience and work observation</w:t>
            </w:r>
            <w:r w:rsidR="006329E0">
              <w:t>,</w:t>
            </w:r>
            <w:r w:rsidR="00CE3318">
              <w:t xml:space="preserve"> and job search training</w:t>
            </w:r>
            <w:r w:rsidR="00875CE1">
              <w:t>.</w:t>
            </w:r>
          </w:p>
          <w:p w14:paraId="2AF2AE45" w14:textId="5CF26C47" w:rsidR="00875CE1" w:rsidRDefault="00875CE1" w:rsidP="00875CE1">
            <w:pPr>
              <w:pStyle w:val="BoxText"/>
            </w:pPr>
            <w:r>
              <w:t xml:space="preserve">The provision of LLN training is central to this as on entry many SEE </w:t>
            </w:r>
            <w:r w:rsidR="00F553E3">
              <w:t xml:space="preserve">programme </w:t>
            </w:r>
            <w:r>
              <w:t xml:space="preserve">clients do not have the LLN skills to undertake further education and training. In addition to LLN training, providers identify other ways in which the </w:t>
            </w:r>
            <w:r w:rsidR="00147674">
              <w:t>SEE programme</w:t>
            </w:r>
            <w:r w:rsidR="006A28F2">
              <w:t xml:space="preserve"> </w:t>
            </w:r>
            <w:r>
              <w:t>can prepare clients for further training</w:t>
            </w:r>
            <w:r w:rsidR="00CE3318">
              <w:t xml:space="preserve"> including </w:t>
            </w:r>
            <w:r>
              <w:t xml:space="preserve"> by helping clients become more comfortable with a formal training environment</w:t>
            </w:r>
            <w:r w:rsidR="006329E0">
              <w:t>, by building good work habits,</w:t>
            </w:r>
            <w:r>
              <w:t xml:space="preserve"> and by offering LLN training through vocational training units.</w:t>
            </w:r>
          </w:p>
          <w:p w14:paraId="3B14572C" w14:textId="77777777" w:rsidR="008705AC" w:rsidRPr="00090BC6" w:rsidRDefault="008705AC" w:rsidP="001228F7">
            <w:pPr>
              <w:pStyle w:val="SmallDeltasRightAligned"/>
            </w:pPr>
            <w:r w:rsidRPr="00090BC6">
              <w:rPr>
                <w:noProof/>
                <w:lang w:eastAsia="en-AU"/>
              </w:rPr>
              <w:drawing>
                <wp:inline distT="0" distB="0" distL="0" distR="0" wp14:anchorId="27C9D399" wp14:editId="04C761E9">
                  <wp:extent cx="481585" cy="234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8705AC" w14:paraId="6A96B38C" w14:textId="77777777" w:rsidTr="001228F7">
        <w:trPr>
          <w:trHeight w:hRule="exact" w:val="80"/>
        </w:trPr>
        <w:tc>
          <w:tcPr>
            <w:tcW w:w="5000" w:type="pct"/>
            <w:shd w:val="pct12" w:color="auto" w:fill="auto"/>
          </w:tcPr>
          <w:p w14:paraId="2227C3FE" w14:textId="77777777" w:rsidR="008705AC" w:rsidRDefault="008705AC" w:rsidP="001228F7">
            <w:pPr>
              <w:spacing w:before="160"/>
            </w:pPr>
            <w:r>
              <w:t xml:space="preserve"> </w:t>
            </w:r>
          </w:p>
        </w:tc>
      </w:tr>
    </w:tbl>
    <w:p w14:paraId="3272FE9E" w14:textId="77777777" w:rsidR="00B44697" w:rsidRDefault="00B82A84" w:rsidP="00B44697">
      <w:pPr>
        <w:keepNext/>
        <w:numPr>
          <w:ilvl w:val="2"/>
          <w:numId w:val="29"/>
        </w:numPr>
        <w:spacing w:before="300" w:after="0" w:line="270" w:lineRule="exact"/>
        <w:outlineLvl w:val="2"/>
        <w:rPr>
          <w:rFonts w:asciiTheme="majorHAnsi" w:hAnsiTheme="majorHAnsi"/>
          <w:b/>
          <w:color w:val="9757A6" w:themeColor="text2"/>
          <w:sz w:val="22"/>
          <w:lang w:eastAsia="en-AU"/>
        </w:rPr>
      </w:pPr>
      <w:r>
        <w:rPr>
          <w:rFonts w:asciiTheme="majorHAnsi" w:hAnsiTheme="majorHAnsi"/>
          <w:b/>
          <w:color w:val="9757A6" w:themeColor="text2"/>
          <w:sz w:val="22"/>
          <w:lang w:eastAsia="en-AU"/>
        </w:rPr>
        <w:t xml:space="preserve">Hours </w:t>
      </w:r>
      <w:r w:rsidR="008967AB">
        <w:rPr>
          <w:rFonts w:asciiTheme="majorHAnsi" w:hAnsiTheme="majorHAnsi"/>
          <w:b/>
          <w:color w:val="9757A6" w:themeColor="text2"/>
          <w:sz w:val="22"/>
          <w:lang w:eastAsia="en-AU"/>
        </w:rPr>
        <w:t xml:space="preserve">of training undertaken </w:t>
      </w:r>
    </w:p>
    <w:p w14:paraId="009EB770" w14:textId="77AA4962" w:rsidR="008967AB" w:rsidRDefault="00BE6FFD">
      <w:pPr>
        <w:pStyle w:val="BodyText"/>
      </w:pPr>
      <w:r>
        <w:t xml:space="preserve">This section examines the </w:t>
      </w:r>
      <w:r w:rsidR="008967AB">
        <w:t xml:space="preserve">number of hours clients undertake as part of the </w:t>
      </w:r>
      <w:r w:rsidR="00147674">
        <w:t>SEE programme</w:t>
      </w:r>
      <w:r w:rsidR="008967AB">
        <w:t xml:space="preserve">. </w:t>
      </w:r>
      <w:r w:rsidR="004F3054">
        <w:t xml:space="preserve">The analysis of hours spent in the programme is restricted to commencements from 2010-11 to 2012-13 as it allows the tracking of 2012-13 (and all earlier) commencements to 2013-14, by which time the majority of these clients are estimated to have ceased attending </w:t>
      </w:r>
      <w:r w:rsidR="00F553E3">
        <w:t xml:space="preserve">the </w:t>
      </w:r>
      <w:r w:rsidR="004F3054">
        <w:t>SEE</w:t>
      </w:r>
      <w:r w:rsidR="00F553E3">
        <w:t xml:space="preserve"> programme</w:t>
      </w:r>
      <w:r w:rsidR="004F3054">
        <w:t xml:space="preserve">. </w:t>
      </w:r>
    </w:p>
    <w:p w14:paraId="63EFF477" w14:textId="5AF58EE0" w:rsidR="006625DF" w:rsidRDefault="00BD48FF" w:rsidP="00A37C8D">
      <w:pPr>
        <w:pStyle w:val="BodyText"/>
      </w:pPr>
      <w:r>
        <w:fldChar w:fldCharType="begin"/>
      </w:r>
      <w:r>
        <w:instrText xml:space="preserve"> REF _Ref408481978 \h </w:instrText>
      </w:r>
      <w:r>
        <w:fldChar w:fldCharType="separate"/>
      </w:r>
      <w:r w:rsidR="00294A5A">
        <w:t xml:space="preserve">Figure </w:t>
      </w:r>
      <w:r w:rsidR="00294A5A">
        <w:rPr>
          <w:noProof/>
        </w:rPr>
        <w:t>27</w:t>
      </w:r>
      <w:r>
        <w:fldChar w:fldCharType="end"/>
      </w:r>
      <w:r w:rsidR="008967AB">
        <w:t xml:space="preserve"> shows the number of hours undertaken by </w:t>
      </w:r>
      <w:r w:rsidR="00147674">
        <w:t>SEE programme</w:t>
      </w:r>
      <w:r w:rsidR="006A28F2">
        <w:t xml:space="preserve"> </w:t>
      </w:r>
      <w:r w:rsidR="008967AB">
        <w:t xml:space="preserve">clients. One third participate in </w:t>
      </w:r>
      <w:r w:rsidR="00F553E3">
        <w:t xml:space="preserve">the </w:t>
      </w:r>
      <w:r w:rsidR="008967AB">
        <w:t xml:space="preserve">SEE </w:t>
      </w:r>
      <w:r w:rsidR="00F553E3">
        <w:t xml:space="preserve">programme </w:t>
      </w:r>
      <w:r w:rsidR="008967AB">
        <w:t xml:space="preserve">for less than 100 hours, with around 30 per cent completing more than 500 hours. There is also a group of clients (around </w:t>
      </w:r>
      <w:r w:rsidR="00367592">
        <w:t>5</w:t>
      </w:r>
      <w:r w:rsidR="008967AB">
        <w:t xml:space="preserve"> per cent) that complete more </w:t>
      </w:r>
      <w:r w:rsidR="00893901">
        <w:t xml:space="preserve">than </w:t>
      </w:r>
      <w:r w:rsidR="00367592">
        <w:t xml:space="preserve">800 hours, indicating that they re-entered the </w:t>
      </w:r>
      <w:r w:rsidR="00147674">
        <w:t>SEE programme</w:t>
      </w:r>
      <w:r w:rsidR="006A28F2">
        <w:t xml:space="preserve"> </w:t>
      </w:r>
      <w:r w:rsidR="00367592">
        <w:t>(at least six months) after completing their initial 800 hours</w:t>
      </w:r>
      <w:r w:rsidR="006B54C3">
        <w:t xml:space="preserve"> in two years or more, or received a waiver for this waiting period</w:t>
      </w:r>
      <w:r w:rsidR="00367592">
        <w:t>.</w:t>
      </w:r>
    </w:p>
    <w:p w14:paraId="07825C97" w14:textId="52DC5490" w:rsidR="006625DF" w:rsidRDefault="006625DF">
      <w:pPr>
        <w:pStyle w:val="Caption"/>
      </w:pPr>
      <w:bookmarkStart w:id="128" w:name="_Ref408481978"/>
      <w:bookmarkStart w:id="129" w:name="_Toc420065487"/>
      <w:r>
        <w:t xml:space="preserve">Figure </w:t>
      </w:r>
      <w:r w:rsidR="006A2396">
        <w:fldChar w:fldCharType="begin"/>
      </w:r>
      <w:r w:rsidR="006A2396">
        <w:instrText xml:space="preserve"> SEQ Figure \* ARABIC </w:instrText>
      </w:r>
      <w:r w:rsidR="006A2396">
        <w:fldChar w:fldCharType="separate"/>
      </w:r>
      <w:r w:rsidR="00294A5A">
        <w:rPr>
          <w:noProof/>
        </w:rPr>
        <w:t>27</w:t>
      </w:r>
      <w:r w:rsidR="006A2396">
        <w:rPr>
          <w:noProof/>
        </w:rPr>
        <w:fldChar w:fldCharType="end"/>
      </w:r>
      <w:bookmarkEnd w:id="128"/>
      <w:r w:rsidRPr="004E0C91">
        <w:rPr>
          <w:b/>
          <w:color w:val="000080"/>
        </w:rPr>
        <w:tab/>
      </w:r>
      <w:r w:rsidR="00147674">
        <w:rPr>
          <w:rStyle w:val="CaptionLabel"/>
        </w:rPr>
        <w:t>SEE programme</w:t>
      </w:r>
      <w:r w:rsidR="006A28F2">
        <w:rPr>
          <w:rStyle w:val="CaptionLabel"/>
        </w:rPr>
        <w:t xml:space="preserve"> </w:t>
      </w:r>
      <w:r w:rsidR="004325A9">
        <w:rPr>
          <w:rStyle w:val="CaptionLabel"/>
        </w:rPr>
        <w:t>hours undertaken by clients</w:t>
      </w:r>
      <w:bookmarkEnd w:id="129"/>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6625DF" w14:paraId="7D906455" w14:textId="77777777" w:rsidTr="003745F5">
        <w:trPr>
          <w:cantSplit/>
        </w:trPr>
        <w:tc>
          <w:tcPr>
            <w:tcW w:w="5000" w:type="pct"/>
          </w:tcPr>
          <w:p w14:paraId="2F26C640" w14:textId="77777777" w:rsidR="006625DF" w:rsidRDefault="006625DF" w:rsidP="003745F5">
            <w:pPr>
              <w:pStyle w:val="SmallDeltasRightAligned"/>
              <w:keepNext/>
            </w:pPr>
            <w:r>
              <w:rPr>
                <w:noProof/>
                <w:lang w:eastAsia="en-AU"/>
              </w:rPr>
              <w:drawing>
                <wp:inline distT="0" distB="0" distL="0" distR="0" wp14:anchorId="7003EC80" wp14:editId="6194E7EE">
                  <wp:extent cx="481585" cy="23469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6625DF" w14:paraId="0ECD2548" w14:textId="77777777" w:rsidTr="006625DF">
        <w:tblPrEx>
          <w:tblCellMar>
            <w:left w:w="108" w:type="dxa"/>
            <w:right w:w="108" w:type="dxa"/>
          </w:tblCellMar>
        </w:tblPrEx>
        <w:trPr>
          <w:cantSplit/>
        </w:trPr>
        <w:tc>
          <w:tcPr>
            <w:tcW w:w="5000" w:type="pct"/>
          </w:tcPr>
          <w:p w14:paraId="2765FDFA" w14:textId="77777777" w:rsidR="006625DF" w:rsidRDefault="006625DF" w:rsidP="003745F5">
            <w:pPr>
              <w:pStyle w:val="Figure"/>
            </w:pPr>
            <w:r>
              <w:rPr>
                <w:noProof/>
                <w:lang w:eastAsia="en-AU"/>
              </w:rPr>
              <w:drawing>
                <wp:inline distT="0" distB="0" distL="0" distR="0" wp14:anchorId="28927200" wp14:editId="3D5E2AA5">
                  <wp:extent cx="4572000" cy="27432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r>
    </w:tbl>
    <w:p w14:paraId="6F1BFD3E" w14:textId="69A5003C" w:rsidR="00257104" w:rsidRDefault="006625DF" w:rsidP="00257104">
      <w:pPr>
        <w:pStyle w:val="Note"/>
      </w:pPr>
      <w:r>
        <w:rPr>
          <w:i/>
        </w:rPr>
        <w:t>Note:</w:t>
      </w:r>
      <w:r>
        <w:t xml:space="preserve"> </w:t>
      </w:r>
      <w:r w:rsidR="00147674">
        <w:t>SEE programme</w:t>
      </w:r>
      <w:r w:rsidR="006A28F2">
        <w:t xml:space="preserve"> </w:t>
      </w:r>
      <w:r w:rsidR="00257104">
        <w:t xml:space="preserve">clients that commenced </w:t>
      </w:r>
      <w:r w:rsidR="00257104" w:rsidRPr="00257104">
        <w:t>in 2010-11 to 2012-13</w:t>
      </w:r>
      <w:r w:rsidR="00257104">
        <w:t>.</w:t>
      </w:r>
    </w:p>
    <w:p w14:paraId="1FCF154F" w14:textId="4C659A13" w:rsidR="004B5A93" w:rsidRPr="00B50A1B" w:rsidRDefault="006625DF" w:rsidP="004B5A93">
      <w:pPr>
        <w:pStyle w:val="Source"/>
        <w:rPr>
          <w:i/>
        </w:rPr>
      </w:pPr>
      <w:r>
        <w:t>S</w:t>
      </w:r>
      <w:r w:rsidRPr="00B50A1B">
        <w:t>ource:</w:t>
      </w:r>
      <w:r w:rsidRPr="00954EED">
        <w:t xml:space="preserve"> </w:t>
      </w:r>
      <w:r w:rsidR="007A143E">
        <w:t>SEE programme</w:t>
      </w:r>
      <w:r w:rsidR="006A28F2">
        <w:t xml:space="preserve"> </w:t>
      </w:r>
      <w:r w:rsidR="007A143E">
        <w:t>dataset</w:t>
      </w:r>
    </w:p>
    <w:p w14:paraId="66712CD2" w14:textId="5FA52FBE" w:rsidR="005A1C87" w:rsidRDefault="00BD48FF" w:rsidP="00062699">
      <w:pPr>
        <w:pStyle w:val="BodyText"/>
      </w:pPr>
      <w:r>
        <w:fldChar w:fldCharType="begin"/>
      </w:r>
      <w:r>
        <w:instrText xml:space="preserve"> REF _Ref408481987 \h </w:instrText>
      </w:r>
      <w:r>
        <w:fldChar w:fldCharType="separate"/>
      </w:r>
      <w:r w:rsidR="00294A5A">
        <w:t xml:space="preserve">Figure </w:t>
      </w:r>
      <w:r w:rsidR="00294A5A">
        <w:rPr>
          <w:noProof/>
        </w:rPr>
        <w:t>28</w:t>
      </w:r>
      <w:r>
        <w:fldChar w:fldCharType="end"/>
      </w:r>
      <w:r w:rsidR="00367592">
        <w:t xml:space="preserve"> disaggregates the hours undertaken data by </w:t>
      </w:r>
      <w:r w:rsidR="002058C9">
        <w:t>n</w:t>
      </w:r>
      <w:r w:rsidR="00062699">
        <w:t xml:space="preserve">on-CALD, non-Indigenous, </w:t>
      </w:r>
      <w:r w:rsidR="00062699" w:rsidRPr="00062699">
        <w:t>CALD</w:t>
      </w:r>
      <w:r w:rsidR="00062699">
        <w:t xml:space="preserve"> and </w:t>
      </w:r>
      <w:r w:rsidR="00062699" w:rsidRPr="00062699">
        <w:t>Indigenous</w:t>
      </w:r>
      <w:r w:rsidR="00F553E3">
        <w:t xml:space="preserve"> clients</w:t>
      </w:r>
      <w:r w:rsidR="00062699">
        <w:t xml:space="preserve">. It shows that most Indigenous clients complete </w:t>
      </w:r>
      <w:r w:rsidR="002058C9">
        <w:t>less than 100 hours of SEE</w:t>
      </w:r>
      <w:r w:rsidR="00F553E3">
        <w:t xml:space="preserve"> programme</w:t>
      </w:r>
      <w:r w:rsidR="002058C9">
        <w:t xml:space="preserve"> training and 67 per cent undertake less than 200 hours.</w:t>
      </w:r>
    </w:p>
    <w:p w14:paraId="1ED16C2D" w14:textId="30AAEF0E" w:rsidR="00062699" w:rsidRPr="00801B0A" w:rsidRDefault="002058C9" w:rsidP="00062699">
      <w:pPr>
        <w:pStyle w:val="BodyText"/>
      </w:pPr>
      <w:r>
        <w:t xml:space="preserve">Half of </w:t>
      </w:r>
      <w:r w:rsidR="00893901">
        <w:t xml:space="preserve">all </w:t>
      </w:r>
      <w:r>
        <w:t>non-CALD, non-Indigenous clients complete less than 200 hours, with a quarter undertaking more than 300 hours.</w:t>
      </w:r>
      <w:r w:rsidR="001D1074">
        <w:t xml:space="preserve"> </w:t>
      </w:r>
      <w:r>
        <w:t xml:space="preserve">CALD clients are more likely to complete more hours and make up 91 per cent of </w:t>
      </w:r>
      <w:r w:rsidR="00062699" w:rsidRPr="00062699">
        <w:t xml:space="preserve">the clients </w:t>
      </w:r>
      <w:r w:rsidR="00062699">
        <w:t xml:space="preserve">undertaking </w:t>
      </w:r>
      <w:r w:rsidR="00062699" w:rsidRPr="00062699">
        <w:t>more than 700 hours</w:t>
      </w:r>
      <w:r w:rsidR="00062699">
        <w:t>.</w:t>
      </w:r>
    </w:p>
    <w:p w14:paraId="632FC5CC" w14:textId="70D498AD" w:rsidR="006625DF" w:rsidRDefault="006625DF">
      <w:pPr>
        <w:pStyle w:val="Caption"/>
      </w:pPr>
      <w:bookmarkStart w:id="130" w:name="_Ref408481987"/>
      <w:bookmarkStart w:id="131" w:name="_Toc420065488"/>
      <w:r>
        <w:t xml:space="preserve">Figure </w:t>
      </w:r>
      <w:r w:rsidR="006A2396">
        <w:fldChar w:fldCharType="begin"/>
      </w:r>
      <w:r w:rsidR="006A2396">
        <w:instrText xml:space="preserve"> SEQ Figure \* ARABIC </w:instrText>
      </w:r>
      <w:r w:rsidR="006A2396">
        <w:fldChar w:fldCharType="separate"/>
      </w:r>
      <w:r w:rsidR="00294A5A">
        <w:rPr>
          <w:noProof/>
        </w:rPr>
        <w:t>28</w:t>
      </w:r>
      <w:r w:rsidR="006A2396">
        <w:rPr>
          <w:noProof/>
        </w:rPr>
        <w:fldChar w:fldCharType="end"/>
      </w:r>
      <w:bookmarkEnd w:id="130"/>
      <w:r w:rsidRPr="004E0C91">
        <w:rPr>
          <w:b/>
          <w:color w:val="000080"/>
        </w:rPr>
        <w:tab/>
      </w:r>
      <w:r w:rsidR="007A143E">
        <w:rPr>
          <w:rStyle w:val="CaptionLabel"/>
        </w:rPr>
        <w:t>SEE programme</w:t>
      </w:r>
      <w:r w:rsidR="006A28F2">
        <w:rPr>
          <w:rStyle w:val="CaptionLabel"/>
        </w:rPr>
        <w:t xml:space="preserve"> </w:t>
      </w:r>
      <w:r w:rsidR="005A1C87">
        <w:rPr>
          <w:rStyle w:val="CaptionLabel"/>
        </w:rPr>
        <w:t>hours by cohort</w:t>
      </w:r>
      <w:bookmarkEnd w:id="131"/>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6625DF" w14:paraId="110A2B8F" w14:textId="77777777" w:rsidTr="003745F5">
        <w:trPr>
          <w:cantSplit/>
        </w:trPr>
        <w:tc>
          <w:tcPr>
            <w:tcW w:w="5000" w:type="pct"/>
          </w:tcPr>
          <w:p w14:paraId="3AC41FF1" w14:textId="77777777" w:rsidR="006625DF" w:rsidRDefault="006625DF" w:rsidP="003745F5">
            <w:pPr>
              <w:pStyle w:val="SmallDeltasRightAligned"/>
              <w:keepNext/>
            </w:pPr>
            <w:r>
              <w:rPr>
                <w:noProof/>
                <w:lang w:eastAsia="en-AU"/>
              </w:rPr>
              <w:drawing>
                <wp:inline distT="0" distB="0" distL="0" distR="0" wp14:anchorId="5A53AD65" wp14:editId="572FD767">
                  <wp:extent cx="481585" cy="23469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6625DF" w14:paraId="7E1E5309" w14:textId="77777777" w:rsidTr="008967AB">
        <w:tblPrEx>
          <w:tblCellMar>
            <w:left w:w="108" w:type="dxa"/>
            <w:right w:w="108" w:type="dxa"/>
          </w:tblCellMar>
        </w:tblPrEx>
        <w:trPr>
          <w:cantSplit/>
        </w:trPr>
        <w:tc>
          <w:tcPr>
            <w:tcW w:w="5000" w:type="pct"/>
          </w:tcPr>
          <w:p w14:paraId="4E35B99B" w14:textId="77777777" w:rsidR="006625DF" w:rsidRDefault="008967AB" w:rsidP="003745F5">
            <w:pPr>
              <w:pStyle w:val="Figure"/>
            </w:pPr>
            <w:r>
              <w:rPr>
                <w:noProof/>
                <w:lang w:eastAsia="en-AU"/>
              </w:rPr>
              <w:drawing>
                <wp:inline distT="0" distB="0" distL="0" distR="0" wp14:anchorId="616770D8" wp14:editId="6096C85E">
                  <wp:extent cx="4543425" cy="2726055"/>
                  <wp:effectExtent l="0" t="0" r="0" b="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bl>
    <w:p w14:paraId="6C647767" w14:textId="7A06FB86" w:rsidR="006625DF" w:rsidRDefault="006625DF">
      <w:pPr>
        <w:pStyle w:val="Note"/>
      </w:pPr>
      <w:r>
        <w:rPr>
          <w:i/>
        </w:rPr>
        <w:t>Note:</w:t>
      </w:r>
      <w:r>
        <w:t xml:space="preserve"> </w:t>
      </w:r>
      <w:r w:rsidR="00147674">
        <w:t>SEE programme</w:t>
      </w:r>
      <w:r w:rsidR="006A28F2">
        <w:t xml:space="preserve"> </w:t>
      </w:r>
      <w:r w:rsidR="00257104">
        <w:t xml:space="preserve">clients that commenced </w:t>
      </w:r>
      <w:r w:rsidR="00257104" w:rsidRPr="00257104">
        <w:t>in 2010-11 to 2012-13</w:t>
      </w:r>
      <w:r w:rsidR="00257104">
        <w:t>.</w:t>
      </w:r>
    </w:p>
    <w:p w14:paraId="6545A36D" w14:textId="2FE393BC" w:rsidR="006625DF" w:rsidRPr="00B50A1B" w:rsidRDefault="006625DF" w:rsidP="003745F5">
      <w:pPr>
        <w:pStyle w:val="Source"/>
        <w:rPr>
          <w:i/>
        </w:rPr>
      </w:pPr>
      <w:r>
        <w:t>S</w:t>
      </w:r>
      <w:r w:rsidRPr="00B50A1B">
        <w:t>ource:</w:t>
      </w:r>
      <w:r w:rsidRPr="00954EED">
        <w:t xml:space="preserve"> </w:t>
      </w:r>
      <w:r w:rsidR="007A143E">
        <w:t>SEE programme</w:t>
      </w:r>
      <w:r w:rsidR="006A28F2">
        <w:t xml:space="preserve"> </w:t>
      </w:r>
      <w:r w:rsidR="007A143E">
        <w:t>dataset</w:t>
      </w:r>
    </w:p>
    <w:p w14:paraId="3B9B73ED" w14:textId="1DE85CEB" w:rsidR="00A37C8D" w:rsidRDefault="001D1074" w:rsidP="00A37C8D">
      <w:pPr>
        <w:pStyle w:val="BodyText"/>
      </w:pPr>
      <w:r>
        <w:t>Given this, it is no</w:t>
      </w:r>
      <w:r w:rsidR="00893901">
        <w:t>t</w:t>
      </w:r>
      <w:r>
        <w:t xml:space="preserve"> surprising that CALD clients average a relatively high 427 hours completed, compared to 217 hours for non-CALD, non-Indigenous clients and 117 hours for the Indigenous cohort (</w:t>
      </w:r>
      <w:r w:rsidR="00BD48FF">
        <w:fldChar w:fldCharType="begin"/>
      </w:r>
      <w:r w:rsidR="00BD48FF">
        <w:instrText xml:space="preserve"> REF _Ref408481993 \h </w:instrText>
      </w:r>
      <w:r w:rsidR="00BD48FF">
        <w:fldChar w:fldCharType="separate"/>
      </w:r>
      <w:r w:rsidR="00294A5A">
        <w:t xml:space="preserve">Figure </w:t>
      </w:r>
      <w:r w:rsidR="00294A5A">
        <w:rPr>
          <w:noProof/>
        </w:rPr>
        <w:t>29</w:t>
      </w:r>
      <w:r w:rsidR="00BD48FF">
        <w:fldChar w:fldCharType="end"/>
      </w:r>
      <w:r>
        <w:t>)</w:t>
      </w:r>
      <w:r w:rsidR="00165BC1">
        <w:t>.</w:t>
      </w:r>
    </w:p>
    <w:p w14:paraId="55BB1114" w14:textId="78EC3BF0" w:rsidR="00430265" w:rsidRDefault="00430265">
      <w:pPr>
        <w:pStyle w:val="Caption"/>
      </w:pPr>
      <w:bookmarkStart w:id="132" w:name="_Ref408481993"/>
      <w:bookmarkStart w:id="133" w:name="_Toc420065489"/>
      <w:r>
        <w:t xml:space="preserve">Figure </w:t>
      </w:r>
      <w:r w:rsidR="006A2396">
        <w:fldChar w:fldCharType="begin"/>
      </w:r>
      <w:r w:rsidR="006A2396">
        <w:instrText xml:space="preserve"> SEQ Figure \* ARABIC </w:instrText>
      </w:r>
      <w:r w:rsidR="006A2396">
        <w:fldChar w:fldCharType="separate"/>
      </w:r>
      <w:r w:rsidR="00294A5A">
        <w:rPr>
          <w:noProof/>
        </w:rPr>
        <w:t>29</w:t>
      </w:r>
      <w:r w:rsidR="006A2396">
        <w:rPr>
          <w:noProof/>
        </w:rPr>
        <w:fldChar w:fldCharType="end"/>
      </w:r>
      <w:bookmarkEnd w:id="132"/>
      <w:r w:rsidRPr="004E0C91">
        <w:rPr>
          <w:b/>
          <w:color w:val="000080"/>
        </w:rPr>
        <w:tab/>
      </w:r>
      <w:r w:rsidR="00A201B3">
        <w:rPr>
          <w:rStyle w:val="CaptionLabel"/>
        </w:rPr>
        <w:t xml:space="preserve">Average hours completed by </w:t>
      </w:r>
      <w:r w:rsidR="00147674">
        <w:rPr>
          <w:rStyle w:val="CaptionLabel"/>
        </w:rPr>
        <w:t>SEE programme</w:t>
      </w:r>
      <w:r w:rsidR="006A28F2">
        <w:rPr>
          <w:rStyle w:val="CaptionLabel"/>
        </w:rPr>
        <w:t xml:space="preserve"> </w:t>
      </w:r>
      <w:r w:rsidR="00A201B3">
        <w:rPr>
          <w:rStyle w:val="CaptionLabel"/>
        </w:rPr>
        <w:t>clients</w:t>
      </w:r>
      <w:bookmarkEnd w:id="133"/>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430265" w14:paraId="68362049" w14:textId="77777777" w:rsidTr="003745F5">
        <w:trPr>
          <w:cantSplit/>
        </w:trPr>
        <w:tc>
          <w:tcPr>
            <w:tcW w:w="5000" w:type="pct"/>
          </w:tcPr>
          <w:p w14:paraId="048B1F22" w14:textId="77777777" w:rsidR="00430265" w:rsidRDefault="00430265" w:rsidP="003745F5">
            <w:pPr>
              <w:pStyle w:val="SmallDeltasRightAligned"/>
              <w:keepNext/>
            </w:pPr>
            <w:r>
              <w:rPr>
                <w:noProof/>
                <w:lang w:eastAsia="en-AU"/>
              </w:rPr>
              <w:drawing>
                <wp:inline distT="0" distB="0" distL="0" distR="0" wp14:anchorId="1A7A7C54" wp14:editId="680062F4">
                  <wp:extent cx="481585" cy="23469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430265" w14:paraId="237B15DB" w14:textId="77777777" w:rsidTr="00430265">
        <w:tblPrEx>
          <w:tblCellMar>
            <w:left w:w="108" w:type="dxa"/>
            <w:right w:w="108" w:type="dxa"/>
          </w:tblCellMar>
        </w:tblPrEx>
        <w:trPr>
          <w:cantSplit/>
        </w:trPr>
        <w:tc>
          <w:tcPr>
            <w:tcW w:w="5000" w:type="pct"/>
          </w:tcPr>
          <w:p w14:paraId="7F816E8D" w14:textId="77777777" w:rsidR="00430265" w:rsidRDefault="00430265" w:rsidP="003745F5">
            <w:pPr>
              <w:pStyle w:val="Figure"/>
            </w:pPr>
            <w:r>
              <w:rPr>
                <w:noProof/>
                <w:lang w:eastAsia="en-AU"/>
              </w:rPr>
              <w:drawing>
                <wp:inline distT="0" distB="0" distL="0" distR="0" wp14:anchorId="71E10C92" wp14:editId="1391A27B">
                  <wp:extent cx="4572000" cy="2743200"/>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bl>
    <w:p w14:paraId="44022523" w14:textId="48A75289" w:rsidR="00430265" w:rsidRDefault="00430265">
      <w:pPr>
        <w:pStyle w:val="Note"/>
      </w:pPr>
      <w:r>
        <w:rPr>
          <w:i/>
        </w:rPr>
        <w:t>Note:</w:t>
      </w:r>
      <w:r>
        <w:t xml:space="preserve"> </w:t>
      </w:r>
      <w:r w:rsidR="007A143E">
        <w:t>SEE programme</w:t>
      </w:r>
      <w:r w:rsidR="006A28F2">
        <w:t xml:space="preserve"> </w:t>
      </w:r>
      <w:r w:rsidR="00257104">
        <w:t xml:space="preserve">clients that commenced </w:t>
      </w:r>
      <w:r w:rsidR="00257104" w:rsidRPr="00257104">
        <w:t>in 2010-11 to 2012-13</w:t>
      </w:r>
      <w:r w:rsidR="00257104">
        <w:t>.</w:t>
      </w:r>
    </w:p>
    <w:p w14:paraId="21577A7F" w14:textId="2D543D2C" w:rsidR="00430265" w:rsidRPr="00B50A1B" w:rsidRDefault="00430265" w:rsidP="003745F5">
      <w:pPr>
        <w:pStyle w:val="Source"/>
        <w:rPr>
          <w:i/>
        </w:rPr>
      </w:pPr>
      <w:r>
        <w:t>S</w:t>
      </w:r>
      <w:r w:rsidRPr="00B50A1B">
        <w:t>ource:</w:t>
      </w:r>
      <w:r w:rsidRPr="00954EED">
        <w:t xml:space="preserve"> </w:t>
      </w:r>
      <w:r w:rsidR="007A143E">
        <w:t>SEE programme</w:t>
      </w:r>
      <w:r w:rsidR="006A28F2">
        <w:t xml:space="preserve"> </w:t>
      </w:r>
      <w:r w:rsidR="007A143E">
        <w:t>dataset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DF3416" w14:paraId="75C63F57" w14:textId="77777777" w:rsidTr="00783980">
        <w:tc>
          <w:tcPr>
            <w:tcW w:w="5000" w:type="pct"/>
            <w:shd w:val="pct12" w:color="auto" w:fill="auto"/>
          </w:tcPr>
          <w:p w14:paraId="34031841" w14:textId="77777777" w:rsidR="00DF3416" w:rsidRDefault="00DF3416" w:rsidP="00783980">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14</w:t>
            </w:r>
            <w:r w:rsidR="006A2396">
              <w:rPr>
                <w:noProof/>
              </w:rPr>
              <w:fldChar w:fldCharType="end"/>
            </w:r>
          </w:p>
        </w:tc>
      </w:tr>
      <w:tr w:rsidR="00DF3416" w14:paraId="328ED2B7" w14:textId="77777777" w:rsidTr="00783980">
        <w:tc>
          <w:tcPr>
            <w:tcW w:w="5000" w:type="pct"/>
            <w:shd w:val="pct12" w:color="auto" w:fill="auto"/>
          </w:tcPr>
          <w:p w14:paraId="5178E29E" w14:textId="57978A4B" w:rsidR="00DF3416" w:rsidRDefault="00DF3416" w:rsidP="00783980">
            <w:pPr>
              <w:pStyle w:val="BoxText"/>
            </w:pPr>
            <w:r>
              <w:t>CALD clients average a relatively high 427 hours completed, compared to 217 hours for non</w:t>
            </w:r>
            <w:r w:rsidR="00165BC1">
              <w:noBreakHyphen/>
            </w:r>
            <w:r>
              <w:t>CALD, non-Indigenous clients and 117 hours for the Indigenous cohort.</w:t>
            </w:r>
          </w:p>
          <w:p w14:paraId="259AA489" w14:textId="3B7F0167" w:rsidR="005D245A" w:rsidRDefault="00DF3416" w:rsidP="00783980">
            <w:pPr>
              <w:pStyle w:val="BoxText"/>
            </w:pPr>
            <w:r>
              <w:t xml:space="preserve">One third of clients participate in </w:t>
            </w:r>
            <w:r w:rsidR="00F553E3">
              <w:t xml:space="preserve">the </w:t>
            </w:r>
            <w:r>
              <w:t xml:space="preserve">SEE </w:t>
            </w:r>
            <w:r w:rsidR="00F553E3">
              <w:t xml:space="preserve">programme </w:t>
            </w:r>
            <w:r>
              <w:t xml:space="preserve">for </w:t>
            </w:r>
            <w:r w:rsidR="006329E0">
              <w:t xml:space="preserve">only a short amount of time and complete </w:t>
            </w:r>
            <w:r>
              <w:t>less than 100 hours</w:t>
            </w:r>
            <w:r w:rsidR="006329E0">
              <w:t>. At the other end of the spectrum a fair proportion of participants</w:t>
            </w:r>
            <w:r w:rsidR="00F34C0B">
              <w:t xml:space="preserve"> </w:t>
            </w:r>
            <w:r w:rsidR="005D245A">
              <w:t>(</w:t>
            </w:r>
            <w:r>
              <w:t>around 30 per cent</w:t>
            </w:r>
            <w:r w:rsidR="005D245A">
              <w:t>)</w:t>
            </w:r>
            <w:r>
              <w:t xml:space="preserve"> </w:t>
            </w:r>
            <w:r w:rsidR="005D245A">
              <w:t xml:space="preserve">remain in the programme long enough to </w:t>
            </w:r>
            <w:r>
              <w:t>complet</w:t>
            </w:r>
            <w:r w:rsidR="005D245A">
              <w:t>e</w:t>
            </w:r>
            <w:r>
              <w:t xml:space="preserve"> more than 500 hours. </w:t>
            </w:r>
          </w:p>
          <w:p w14:paraId="38A6ED24" w14:textId="19C4548F" w:rsidR="00DF3416" w:rsidRDefault="00DF3416" w:rsidP="00783980">
            <w:pPr>
              <w:pStyle w:val="BoxText"/>
            </w:pPr>
            <w:r>
              <w:t xml:space="preserve">5 per cent complete more 800 hours, indicating they </w:t>
            </w:r>
            <w:r w:rsidR="005D245A">
              <w:t xml:space="preserve">are repeat participants that </w:t>
            </w:r>
            <w:r>
              <w:t xml:space="preserve">have re-entered the </w:t>
            </w:r>
            <w:r w:rsidR="00147674">
              <w:t>SEE programme</w:t>
            </w:r>
            <w:r w:rsidR="006A28F2">
              <w:t xml:space="preserve"> </w:t>
            </w:r>
            <w:r>
              <w:t xml:space="preserve">after completing </w:t>
            </w:r>
            <w:r w:rsidR="005D245A">
              <w:t>a previous allocation of</w:t>
            </w:r>
            <w:r>
              <w:t xml:space="preserve"> 800 hours.</w:t>
            </w:r>
          </w:p>
          <w:p w14:paraId="76E461F4" w14:textId="77777777" w:rsidR="00DF3416" w:rsidRPr="00090BC6" w:rsidRDefault="00DF3416" w:rsidP="00783980">
            <w:pPr>
              <w:pStyle w:val="SmallDeltasRightAligned"/>
            </w:pPr>
            <w:r w:rsidRPr="00090BC6">
              <w:rPr>
                <w:noProof/>
                <w:lang w:eastAsia="en-AU"/>
              </w:rPr>
              <w:drawing>
                <wp:inline distT="0" distB="0" distL="0" distR="0" wp14:anchorId="24498CCB" wp14:editId="34AAFFA5">
                  <wp:extent cx="481585" cy="234696"/>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DF3416" w14:paraId="41F5865C" w14:textId="77777777" w:rsidTr="00783980">
        <w:trPr>
          <w:trHeight w:hRule="exact" w:val="80"/>
        </w:trPr>
        <w:tc>
          <w:tcPr>
            <w:tcW w:w="5000" w:type="pct"/>
            <w:shd w:val="pct12" w:color="auto" w:fill="auto"/>
          </w:tcPr>
          <w:p w14:paraId="2C3680BC" w14:textId="77777777" w:rsidR="00DF3416" w:rsidRDefault="00DF3416" w:rsidP="00783980">
            <w:pPr>
              <w:spacing w:before="160"/>
            </w:pPr>
            <w:r>
              <w:t xml:space="preserve"> </w:t>
            </w:r>
          </w:p>
        </w:tc>
      </w:tr>
    </w:tbl>
    <w:p w14:paraId="03305E01" w14:textId="13BB7D4E" w:rsidR="008C774B" w:rsidRDefault="00CE3318" w:rsidP="00A37C8D">
      <w:pPr>
        <w:pStyle w:val="BodyText"/>
      </w:pPr>
      <w:r>
        <w:t xml:space="preserve">Consultations for this evaluation indicate a number of issues which may be leading to clients completing fewer hours </w:t>
      </w:r>
      <w:r w:rsidR="003B56D9">
        <w:t xml:space="preserve">of SEE </w:t>
      </w:r>
      <w:r w:rsidR="00F553E3">
        <w:t xml:space="preserve">programme </w:t>
      </w:r>
      <w:r w:rsidR="003B56D9">
        <w:t>training than their LLN needs are likely to require</w:t>
      </w:r>
      <w:r>
        <w:t xml:space="preserve">. As discussed in </w:t>
      </w:r>
      <w:r w:rsidR="003B56D9">
        <w:t>Section</w:t>
      </w:r>
      <w:r>
        <w:t xml:space="preserve"> </w:t>
      </w:r>
      <w:r>
        <w:fldChar w:fldCharType="begin"/>
      </w:r>
      <w:r>
        <w:instrText xml:space="preserve"> REF _Ref408677091 \r \h </w:instrText>
      </w:r>
      <w:r>
        <w:fldChar w:fldCharType="separate"/>
      </w:r>
      <w:r w:rsidR="00294A5A">
        <w:t>5.1.2</w:t>
      </w:r>
      <w:r>
        <w:fldChar w:fldCharType="end"/>
      </w:r>
      <w:r>
        <w:t xml:space="preserve"> and below in Section </w:t>
      </w:r>
      <w:r w:rsidR="003B56D9">
        <w:fldChar w:fldCharType="begin"/>
      </w:r>
      <w:r w:rsidR="003B56D9">
        <w:instrText xml:space="preserve"> REF _Ref408675106 \r \h </w:instrText>
      </w:r>
      <w:r w:rsidR="003B56D9">
        <w:fldChar w:fldCharType="separate"/>
      </w:r>
      <w:r w:rsidR="00294A5A">
        <w:t>7.1.6</w:t>
      </w:r>
      <w:r w:rsidR="003B56D9">
        <w:fldChar w:fldCharType="end"/>
      </w:r>
      <w:r w:rsidR="003B56D9">
        <w:t>,</w:t>
      </w:r>
      <w:r>
        <w:t xml:space="preserve"> some </w:t>
      </w:r>
      <w:r w:rsidR="00F553E3">
        <w:t xml:space="preserve">SEE </w:t>
      </w:r>
      <w:r>
        <w:t xml:space="preserve">providers </w:t>
      </w:r>
      <w:r w:rsidR="00F553E3">
        <w:t xml:space="preserve">view </w:t>
      </w:r>
      <w:r>
        <w:t xml:space="preserve">a lack of other training modes as hampering the programme’s ability to meet the needs of clients who struggle to attend </w:t>
      </w:r>
      <w:r w:rsidR="003B56D9">
        <w:t>class.</w:t>
      </w:r>
      <w:r w:rsidR="00E3793D">
        <w:t xml:space="preserve"> </w:t>
      </w:r>
    </w:p>
    <w:p w14:paraId="7192F306" w14:textId="37CA3F9E" w:rsidR="00CE3318" w:rsidRDefault="00E3793D" w:rsidP="00A37C8D">
      <w:pPr>
        <w:pStyle w:val="BodyText"/>
      </w:pPr>
      <w:r>
        <w:t xml:space="preserve">Personal or health issues outside of the programme can also lead to clients withdrawing from the </w:t>
      </w:r>
      <w:r w:rsidR="00893901">
        <w:t>p</w:t>
      </w:r>
      <w:r>
        <w:t xml:space="preserve">rogramme before exhausting their 800 hours (see Section </w:t>
      </w:r>
      <w:r>
        <w:fldChar w:fldCharType="begin"/>
      </w:r>
      <w:r>
        <w:instrText xml:space="preserve"> REF _Ref408677673 \r \h </w:instrText>
      </w:r>
      <w:r>
        <w:fldChar w:fldCharType="separate"/>
      </w:r>
      <w:r w:rsidR="00294A5A">
        <w:t>5.2.1</w:t>
      </w:r>
      <w:r>
        <w:fldChar w:fldCharType="end"/>
      </w:r>
      <w:r>
        <w:t>).</w:t>
      </w:r>
      <w:r w:rsidR="008C774B">
        <w:t xml:space="preserve"> Further, consultations indicate that in remote areas 800 hours of training is often seen by clients as an insurmountable task.</w:t>
      </w:r>
    </w:p>
    <w:p w14:paraId="2D8222E5" w14:textId="030A7EC8" w:rsidR="00CE3318" w:rsidRDefault="003B56D9" w:rsidP="00A37C8D">
      <w:pPr>
        <w:pStyle w:val="BodyText"/>
      </w:pPr>
      <w:r>
        <w:t xml:space="preserve">A number of other </w:t>
      </w:r>
      <w:r w:rsidR="00F553E3">
        <w:t xml:space="preserve">SEE </w:t>
      </w:r>
      <w:r>
        <w:t>providers, particular</w:t>
      </w:r>
      <w:r w:rsidR="00F553E3">
        <w:t>ly</w:t>
      </w:r>
      <w:r>
        <w:t xml:space="preserve"> </w:t>
      </w:r>
      <w:r w:rsidR="00F553E3">
        <w:t xml:space="preserve">those who are </w:t>
      </w:r>
      <w:r>
        <w:t>AMEP</w:t>
      </w:r>
      <w:r w:rsidR="00F553E3">
        <w:t xml:space="preserve"> providers as well</w:t>
      </w:r>
      <w:r>
        <w:t xml:space="preserve">, </w:t>
      </w:r>
      <w:r w:rsidR="005525D2">
        <w:t xml:space="preserve">contend </w:t>
      </w:r>
      <w:r>
        <w:t xml:space="preserve">that </w:t>
      </w:r>
      <w:r w:rsidR="00E3793D">
        <w:t xml:space="preserve">the lack of fee-free childcare in the </w:t>
      </w:r>
      <w:r w:rsidR="007A143E">
        <w:t>SEE programme</w:t>
      </w:r>
      <w:r w:rsidR="006A28F2">
        <w:t xml:space="preserve"> </w:t>
      </w:r>
      <w:r w:rsidR="00E3793D">
        <w:t>reduces the number of training hours some clients are able to undertake.</w:t>
      </w:r>
    </w:p>
    <w:p w14:paraId="74818361" w14:textId="147487A5" w:rsidR="00E3793D" w:rsidRDefault="00E3793D" w:rsidP="00A37C8D">
      <w:pPr>
        <w:pStyle w:val="BodyText"/>
      </w:pPr>
      <w:r>
        <w:t xml:space="preserve">As discussed above in Section </w:t>
      </w:r>
      <w:r>
        <w:fldChar w:fldCharType="begin"/>
      </w:r>
      <w:r>
        <w:instrText xml:space="preserve"> REF _Ref408677673 \r \h </w:instrText>
      </w:r>
      <w:r>
        <w:fldChar w:fldCharType="separate"/>
      </w:r>
      <w:r w:rsidR="00294A5A">
        <w:t>5.2.1</w:t>
      </w:r>
      <w:r>
        <w:fldChar w:fldCharType="end"/>
      </w:r>
      <w:r>
        <w:t xml:space="preserve">, some clients exit the </w:t>
      </w:r>
      <w:r w:rsidR="00147674">
        <w:t>SEE programme</w:t>
      </w:r>
      <w:r w:rsidR="006A28F2">
        <w:t xml:space="preserve"> </w:t>
      </w:r>
      <w:r>
        <w:t xml:space="preserve">to move into employment. While normally a positive, stakeholders argued some clients are withdrawing from </w:t>
      </w:r>
      <w:r w:rsidR="00F553E3">
        <w:t xml:space="preserve">the </w:t>
      </w:r>
      <w:r>
        <w:t xml:space="preserve">SEE </w:t>
      </w:r>
      <w:r w:rsidR="00F553E3">
        <w:t xml:space="preserve">programme </w:t>
      </w:r>
      <w:r>
        <w:t xml:space="preserve">at the encouragement of their JSA to the detriment of their long-term employability. These clients may have been better served completing 800 hours of SEE </w:t>
      </w:r>
      <w:r w:rsidR="00F553E3">
        <w:t xml:space="preserve">programme </w:t>
      </w:r>
      <w:r>
        <w:t xml:space="preserve">training before entering the workforce; the additional LLN training may have allowed them to progress further in their career. </w:t>
      </w:r>
    </w:p>
    <w:p w14:paraId="279A186D" w14:textId="55847E69" w:rsidR="00CE3318" w:rsidRDefault="00E3793D" w:rsidP="00A37C8D">
      <w:pPr>
        <w:pStyle w:val="BodyText"/>
      </w:pPr>
      <w:r>
        <w:t xml:space="preserve">At the other end of the spectrum, some clients may benefit from more than 800 hours of SEE </w:t>
      </w:r>
      <w:r w:rsidR="00F553E3">
        <w:t xml:space="preserve">programme </w:t>
      </w:r>
      <w:r>
        <w:t xml:space="preserve">training. </w:t>
      </w:r>
    </w:p>
    <w:p w14:paraId="5DA7CE8F" w14:textId="77777777" w:rsidR="00BF549D" w:rsidRPr="00C94F0C" w:rsidRDefault="00BF549D" w:rsidP="00BF549D">
      <w:pPr>
        <w:spacing w:before="60" w:after="60" w:line="220" w:lineRule="exact"/>
        <w:ind w:left="567" w:right="567"/>
        <w:rPr>
          <w:sz w:val="18"/>
          <w:szCs w:val="22"/>
          <w:lang w:eastAsia="en-AU"/>
        </w:rPr>
      </w:pPr>
      <w:r w:rsidRPr="00C94F0C">
        <w:rPr>
          <w:sz w:val="18"/>
          <w:szCs w:val="22"/>
          <w:lang w:eastAsia="en-AU"/>
        </w:rPr>
        <w:t>MTC has found that the allocation of 800 hours for each client may or may not be sufficient depending on individual client backgrounds, education history, LLN proficiency etc. For example, a pre-literate client who commences in the SEE Program may often need more than the allotted 800 hours to be sufficiently prepared for employment or further education.</w:t>
      </w:r>
    </w:p>
    <w:p w14:paraId="09AC304D" w14:textId="77777777" w:rsidR="00BF549D" w:rsidRDefault="00BF549D" w:rsidP="00BF549D">
      <w:pPr>
        <w:spacing w:before="60" w:after="60" w:line="220" w:lineRule="exact"/>
        <w:ind w:left="567" w:right="567"/>
        <w:jc w:val="right"/>
        <w:rPr>
          <w:i/>
          <w:sz w:val="18"/>
          <w:szCs w:val="22"/>
          <w:lang w:eastAsia="en-AU"/>
        </w:rPr>
      </w:pPr>
      <w:r w:rsidRPr="00C94F0C">
        <w:rPr>
          <w:i/>
          <w:sz w:val="18"/>
          <w:szCs w:val="22"/>
          <w:lang w:eastAsia="en-AU"/>
        </w:rPr>
        <w:t>– MTC submission</w:t>
      </w:r>
    </w:p>
    <w:p w14:paraId="2DC5A01D" w14:textId="77777777" w:rsidR="00E3793D" w:rsidRDefault="00E3793D" w:rsidP="00E3793D">
      <w:pPr>
        <w:pStyle w:val="Quote"/>
      </w:pPr>
      <w:r w:rsidRPr="00AF144C">
        <w:t>Many low level students with severely disrupted or no formal education need at least 2 x 800 hours SEE training (or even more).</w:t>
      </w:r>
      <w:r>
        <w:t xml:space="preserve"> </w:t>
      </w:r>
    </w:p>
    <w:p w14:paraId="119C3D79" w14:textId="77777777" w:rsidR="00E3793D" w:rsidRDefault="008C774B" w:rsidP="00E3793D">
      <w:pPr>
        <w:pStyle w:val="QuoteSource"/>
      </w:pPr>
      <w:r w:rsidRPr="00C94F0C">
        <w:rPr>
          <w:i w:val="0"/>
        </w:rPr>
        <w:t xml:space="preserve">– </w:t>
      </w:r>
      <w:r w:rsidR="00E3793D">
        <w:t>Swinburne submission</w:t>
      </w:r>
    </w:p>
    <w:p w14:paraId="31EF02A1" w14:textId="77777777" w:rsidR="00764CCD" w:rsidRDefault="00764CCD" w:rsidP="00764CCD">
      <w:pPr>
        <w:pStyle w:val="Quote"/>
      </w:pPr>
      <w:r>
        <w:t>Some… clients will need more than 800 hours of participation to gain employment and/or proceed to further study. They would benefit most from general LLN skills development training before moving on to a specific vocational area focus.</w:t>
      </w:r>
    </w:p>
    <w:p w14:paraId="3944B2C1" w14:textId="77777777" w:rsidR="00764CCD" w:rsidRPr="00764CCD" w:rsidRDefault="00764CCD" w:rsidP="00764CCD">
      <w:pPr>
        <w:pStyle w:val="QuoteSource"/>
      </w:pPr>
      <w:r w:rsidRPr="00C94F0C">
        <w:rPr>
          <w:i w:val="0"/>
        </w:rPr>
        <w:t xml:space="preserve">– </w:t>
      </w:r>
      <w:r>
        <w:t>Confidential submission</w:t>
      </w:r>
    </w:p>
    <w:p w14:paraId="1B8A6EE8" w14:textId="38C13530" w:rsidR="00E3793D" w:rsidRPr="00C94F0C" w:rsidRDefault="00E3793D" w:rsidP="00E3793D">
      <w:pPr>
        <w:pStyle w:val="BodyText"/>
      </w:pPr>
      <w:r>
        <w:t xml:space="preserve">While clients who complete 800 hours of training may return to the </w:t>
      </w:r>
      <w:r w:rsidR="00147674">
        <w:t>SEE programme</w:t>
      </w:r>
      <w:r w:rsidR="006A28F2">
        <w:t xml:space="preserve"> </w:t>
      </w:r>
      <w:r>
        <w:t xml:space="preserve">after a six month waiting period, some stakeholders argue this </w:t>
      </w:r>
      <w:r w:rsidR="008C774B">
        <w:t xml:space="preserve">break </w:t>
      </w:r>
      <w:r>
        <w:t xml:space="preserve">should be waived for high needs clients. </w:t>
      </w:r>
    </w:p>
    <w:p w14:paraId="28CD7720" w14:textId="77777777" w:rsidR="00BF549D" w:rsidRPr="00C94F0C" w:rsidRDefault="00BF549D" w:rsidP="00BF549D">
      <w:pPr>
        <w:spacing w:before="60" w:after="60" w:line="220" w:lineRule="exact"/>
        <w:ind w:left="567" w:right="567"/>
        <w:rPr>
          <w:sz w:val="18"/>
          <w:szCs w:val="22"/>
          <w:lang w:eastAsia="en-AU"/>
        </w:rPr>
      </w:pPr>
      <w:r w:rsidRPr="00C94F0C">
        <w:rPr>
          <w:sz w:val="18"/>
          <w:szCs w:val="22"/>
          <w:lang w:eastAsia="en-AU"/>
        </w:rPr>
        <w:t>A six month hiatus for someone whose LLN skills are still embryonic can result in the loss of much of this crucial foundational knowledge. Consideration should be given to waiving the six-month wait on a case-by-case basis where it is assessed that the learner has the capacity and motivation to continue with SEE as a pathway to employment.</w:t>
      </w:r>
    </w:p>
    <w:p w14:paraId="6D5FCCFB" w14:textId="0B6B2041" w:rsidR="00BF549D" w:rsidRPr="00C94F0C" w:rsidRDefault="00BF549D" w:rsidP="00BF549D">
      <w:pPr>
        <w:spacing w:before="60" w:after="60" w:line="220" w:lineRule="exact"/>
        <w:ind w:left="567" w:right="567"/>
        <w:rPr>
          <w:sz w:val="18"/>
          <w:szCs w:val="22"/>
          <w:lang w:eastAsia="en-AU"/>
        </w:rPr>
      </w:pPr>
      <w:r w:rsidRPr="00C94F0C">
        <w:rPr>
          <w:sz w:val="18"/>
          <w:szCs w:val="22"/>
          <w:lang w:eastAsia="en-AU"/>
        </w:rPr>
        <w:t>A more flexible approach is warranted to enable students in this group, who have a demonstrated commitment to improving their skills, and an assessed capacity to benefit, to transition to a further period in SEE without the 6-month break. Checks could be built in at the half-way point of an additional 400 hundred hours to ensure that the learner is benefiting from the additional instruction and progressing a</w:t>
      </w:r>
      <w:r w:rsidR="00165BC1">
        <w:rPr>
          <w:sz w:val="18"/>
          <w:szCs w:val="22"/>
          <w:lang w:eastAsia="en-AU"/>
        </w:rPr>
        <w:t>t</w:t>
      </w:r>
      <w:r w:rsidRPr="00C94F0C">
        <w:rPr>
          <w:sz w:val="18"/>
          <w:szCs w:val="22"/>
          <w:lang w:eastAsia="en-AU"/>
        </w:rPr>
        <w:t xml:space="preserve"> an appropriate rate.</w:t>
      </w:r>
    </w:p>
    <w:p w14:paraId="0F47A888" w14:textId="77777777" w:rsidR="00DF3416" w:rsidRDefault="00BF549D" w:rsidP="00BF549D">
      <w:pPr>
        <w:spacing w:before="60" w:after="60" w:line="220" w:lineRule="exact"/>
        <w:ind w:left="567" w:right="567"/>
        <w:jc w:val="right"/>
        <w:rPr>
          <w:i/>
          <w:sz w:val="18"/>
          <w:szCs w:val="22"/>
          <w:lang w:eastAsia="en-AU"/>
        </w:rPr>
      </w:pPr>
      <w:r w:rsidRPr="00C94F0C">
        <w:rPr>
          <w:i/>
          <w:sz w:val="18"/>
          <w:szCs w:val="22"/>
          <w:lang w:eastAsia="en-AU"/>
        </w:rPr>
        <w:t>– Jobs Australia submission</w:t>
      </w:r>
    </w:p>
    <w:p w14:paraId="4B1919E2" w14:textId="672238B8" w:rsidR="00CE3318" w:rsidRDefault="00E3793D" w:rsidP="00DF3416">
      <w:pPr>
        <w:pStyle w:val="BodyText"/>
      </w:pPr>
      <w:r>
        <w:t>The a</w:t>
      </w:r>
      <w:r w:rsidR="00CE3318">
        <w:t xml:space="preserve">dequacy of </w:t>
      </w:r>
      <w:r>
        <w:t xml:space="preserve">the </w:t>
      </w:r>
      <w:r w:rsidR="00147674">
        <w:t>SEE programme</w:t>
      </w:r>
      <w:r w:rsidR="006A28F2">
        <w:t xml:space="preserve"> </w:t>
      </w:r>
      <w:r w:rsidR="00CE3318">
        <w:t xml:space="preserve">training allocation </w:t>
      </w:r>
      <w:r>
        <w:t xml:space="preserve">is discussed further in </w:t>
      </w:r>
      <w:r w:rsidR="00CE3318">
        <w:t xml:space="preserve">Section </w:t>
      </w:r>
      <w:r w:rsidR="00CE3318">
        <w:fldChar w:fldCharType="begin"/>
      </w:r>
      <w:r w:rsidR="00CE3318">
        <w:instrText xml:space="preserve"> REF _Ref408676856 \r \h </w:instrText>
      </w:r>
      <w:r w:rsidR="00CE3318">
        <w:fldChar w:fldCharType="separate"/>
      </w:r>
      <w:r w:rsidR="00294A5A">
        <w:t>7.1.7</w:t>
      </w:r>
      <w:r w:rsidR="00CE3318">
        <w:fldChar w:fldCharType="end"/>
      </w:r>
      <w:r>
        <w:t xml:space="preserve"> below</w:t>
      </w:r>
      <w:r w:rsidR="00CE3318" w:rsidRPr="00A9564A">
        <w: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DF3416" w14:paraId="127C88B2" w14:textId="77777777" w:rsidTr="00783980">
        <w:tc>
          <w:tcPr>
            <w:tcW w:w="5000" w:type="pct"/>
            <w:shd w:val="pct12" w:color="auto" w:fill="auto"/>
          </w:tcPr>
          <w:p w14:paraId="1D02E0F3" w14:textId="77777777" w:rsidR="00DF3416" w:rsidRDefault="00DF3416" w:rsidP="00783980">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15</w:t>
            </w:r>
            <w:r w:rsidR="006A2396">
              <w:rPr>
                <w:noProof/>
              </w:rPr>
              <w:fldChar w:fldCharType="end"/>
            </w:r>
          </w:p>
        </w:tc>
      </w:tr>
      <w:tr w:rsidR="00DF3416" w14:paraId="46EA7423" w14:textId="77777777" w:rsidTr="00783980">
        <w:tc>
          <w:tcPr>
            <w:tcW w:w="5000" w:type="pct"/>
            <w:shd w:val="pct12" w:color="auto" w:fill="auto"/>
          </w:tcPr>
          <w:p w14:paraId="4E94D3E7" w14:textId="44AE8264" w:rsidR="00DF3416" w:rsidRDefault="00E3793D" w:rsidP="00783980">
            <w:pPr>
              <w:pStyle w:val="BoxText"/>
            </w:pPr>
            <w:r>
              <w:t xml:space="preserve">There </w:t>
            </w:r>
            <w:r w:rsidR="00F85A70">
              <w:t xml:space="preserve">is a </w:t>
            </w:r>
            <w:r>
              <w:t xml:space="preserve">variety of reasons why </w:t>
            </w:r>
            <w:r w:rsidR="008C774B">
              <w:t xml:space="preserve">clients may not complete the 800 hours of </w:t>
            </w:r>
            <w:r w:rsidR="00276A03">
              <w:t>SEE programme training</w:t>
            </w:r>
            <w:r w:rsidR="00764CCD">
              <w:t xml:space="preserve">, including clients that withdraw having achieved their LLN goals. </w:t>
            </w:r>
            <w:r w:rsidR="008C774B">
              <w:t>Stakeholders argue that more flexib</w:t>
            </w:r>
            <w:r w:rsidR="00DB10E1">
              <w:t>le</w:t>
            </w:r>
            <w:r w:rsidR="008C774B">
              <w:t xml:space="preserve"> training delivery, childcare provision and </w:t>
            </w:r>
            <w:r w:rsidR="00764CCD">
              <w:t xml:space="preserve">more supportive JSAs would improve the chances of clients completing SEE </w:t>
            </w:r>
            <w:r w:rsidR="00F553E3">
              <w:t xml:space="preserve">programme </w:t>
            </w:r>
            <w:r w:rsidR="00764CCD">
              <w:t>training.</w:t>
            </w:r>
          </w:p>
          <w:p w14:paraId="3E922A72" w14:textId="6A198A17" w:rsidR="00764CCD" w:rsidRDefault="00764CCD" w:rsidP="00783980">
            <w:pPr>
              <w:pStyle w:val="BoxText"/>
            </w:pPr>
            <w:r>
              <w:t xml:space="preserve">While many clients do not complete 800 hours, those that do may </w:t>
            </w:r>
            <w:r w:rsidR="005D245A">
              <w:t xml:space="preserve">in fact </w:t>
            </w:r>
            <w:r>
              <w:t>require more training. Currently a six month hiatus is enforced for completing clients, which may hamper LLN acquisition</w:t>
            </w:r>
            <w:r w:rsidR="005D245A">
              <w:t>, especially for</w:t>
            </w:r>
            <w:r>
              <w:t xml:space="preserve"> clients</w:t>
            </w:r>
            <w:r w:rsidR="005D245A">
              <w:t xml:space="preserve"> that still have not achieved basic levels of English language proficiency</w:t>
            </w:r>
            <w:r>
              <w:t xml:space="preserve">. </w:t>
            </w:r>
          </w:p>
          <w:p w14:paraId="087335FA" w14:textId="77777777" w:rsidR="00DF3416" w:rsidRPr="00090BC6" w:rsidRDefault="00DF3416" w:rsidP="00783980">
            <w:pPr>
              <w:pStyle w:val="SmallDeltasRightAligned"/>
            </w:pPr>
            <w:r w:rsidRPr="00090BC6">
              <w:rPr>
                <w:noProof/>
                <w:lang w:eastAsia="en-AU"/>
              </w:rPr>
              <w:drawing>
                <wp:inline distT="0" distB="0" distL="0" distR="0" wp14:anchorId="1F1E23C0" wp14:editId="624E492D">
                  <wp:extent cx="481585" cy="234696"/>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DF3416" w14:paraId="7342B6A4" w14:textId="77777777" w:rsidTr="00783980">
        <w:trPr>
          <w:trHeight w:hRule="exact" w:val="80"/>
        </w:trPr>
        <w:tc>
          <w:tcPr>
            <w:tcW w:w="5000" w:type="pct"/>
            <w:shd w:val="pct12" w:color="auto" w:fill="auto"/>
          </w:tcPr>
          <w:p w14:paraId="2B764506" w14:textId="77777777" w:rsidR="00DF3416" w:rsidRDefault="00DF3416" w:rsidP="00783980">
            <w:pPr>
              <w:spacing w:before="160"/>
            </w:pPr>
            <w:r>
              <w:t xml:space="preserve"> </w:t>
            </w:r>
          </w:p>
        </w:tc>
      </w:tr>
    </w:tbl>
    <w:p w14:paraId="6165AC02" w14:textId="77777777" w:rsidR="00D977D4" w:rsidRDefault="00D977D4" w:rsidP="00D977D4">
      <w:pPr>
        <w:pStyle w:val="Heading2"/>
      </w:pPr>
      <w:bookmarkStart w:id="134" w:name="_Toc420065454"/>
      <w:r>
        <w:t>LLN outcomes</w:t>
      </w:r>
      <w:bookmarkEnd w:id="134"/>
    </w:p>
    <w:p w14:paraId="1484C170" w14:textId="581D1CD8" w:rsidR="00F52A62" w:rsidRDefault="00F52A62" w:rsidP="00F52A62">
      <w:pPr>
        <w:pStyle w:val="BodyText"/>
      </w:pPr>
      <w:r>
        <w:t xml:space="preserve">As set out in the </w:t>
      </w:r>
      <w:r w:rsidR="006A28F2">
        <w:t xml:space="preserve">SEE </w:t>
      </w:r>
      <w:r w:rsidR="007A143E">
        <w:t>p</w:t>
      </w:r>
      <w:r w:rsidR="006A28F2">
        <w:t xml:space="preserve">rogramme </w:t>
      </w:r>
      <w:r w:rsidR="007A143E">
        <w:t>g</w:t>
      </w:r>
      <w:r>
        <w:t>uidelines</w:t>
      </w:r>
      <w:r w:rsidR="003F5361">
        <w:t xml:space="preserve"> (2013)</w:t>
      </w:r>
      <w:r>
        <w:t>: ‘Finding employment after undertaking the program</w:t>
      </w:r>
      <w:r w:rsidR="00940361">
        <w:t>me</w:t>
      </w:r>
      <w:r>
        <w:t>’s training is the ultimate measure of success, however, attainment is also important. Attainment is measured by comparing the client’s LLN improvements in ACSF indicators from their PTA to the later assessments during and at the end of their training.’</w:t>
      </w:r>
    </w:p>
    <w:p w14:paraId="43FDB111" w14:textId="26E6D339" w:rsidR="003F5361" w:rsidRDefault="003F5361" w:rsidP="003F5361">
      <w:pPr>
        <w:pStyle w:val="BodyText"/>
      </w:pPr>
      <w:r>
        <w:fldChar w:fldCharType="begin"/>
      </w:r>
      <w:r>
        <w:instrText xml:space="preserve"> REF _Ref408482030 \h </w:instrText>
      </w:r>
      <w:r>
        <w:fldChar w:fldCharType="separate"/>
      </w:r>
      <w:r w:rsidR="00294A5A">
        <w:t xml:space="preserve">Figure </w:t>
      </w:r>
      <w:r w:rsidR="00294A5A">
        <w:rPr>
          <w:noProof/>
        </w:rPr>
        <w:t>30</w:t>
      </w:r>
      <w:r>
        <w:fldChar w:fldCharType="end"/>
      </w:r>
      <w:r>
        <w:t xml:space="preserve"> shows a clear correlation between the hours clients spend in the </w:t>
      </w:r>
      <w:r w:rsidR="00147674">
        <w:t>SEE programme</w:t>
      </w:r>
      <w:r w:rsidR="006A28F2">
        <w:t xml:space="preserve"> </w:t>
      </w:r>
      <w:r>
        <w:t>and the average improvement they achieve in the five ACSF</w:t>
      </w:r>
      <w:r w:rsidR="00FB4CC0">
        <w:t xml:space="preserve"> core areas.</w:t>
      </w:r>
      <w:r w:rsidR="001E5E82">
        <w:t xml:space="preserve"> For example, clients who spend 800-900 hours in the programme achieve on average a 0.8 greater increase in their average reading ASCF level than clients who spend less than 100 hours in the programme. </w:t>
      </w:r>
    </w:p>
    <w:p w14:paraId="767EA8AC" w14:textId="77777777" w:rsidR="003F5361" w:rsidRDefault="003F5361" w:rsidP="003F5361">
      <w:pPr>
        <w:pStyle w:val="Caption"/>
      </w:pPr>
      <w:bookmarkStart w:id="135" w:name="_Ref408482030"/>
      <w:bookmarkStart w:id="136" w:name="_Toc420065490"/>
      <w:r>
        <w:t xml:space="preserve">Figure </w:t>
      </w:r>
      <w:r w:rsidR="006A2396">
        <w:fldChar w:fldCharType="begin"/>
      </w:r>
      <w:r w:rsidR="006A2396">
        <w:instrText xml:space="preserve"> SEQ Figure \* ARABIC </w:instrText>
      </w:r>
      <w:r w:rsidR="006A2396">
        <w:fldChar w:fldCharType="separate"/>
      </w:r>
      <w:r w:rsidR="00294A5A">
        <w:rPr>
          <w:noProof/>
        </w:rPr>
        <w:t>30</w:t>
      </w:r>
      <w:r w:rsidR="006A2396">
        <w:rPr>
          <w:noProof/>
        </w:rPr>
        <w:fldChar w:fldCharType="end"/>
      </w:r>
      <w:bookmarkEnd w:id="135"/>
      <w:r w:rsidRPr="004E0C91">
        <w:rPr>
          <w:b/>
          <w:color w:val="000080"/>
        </w:rPr>
        <w:tab/>
      </w:r>
      <w:r w:rsidRPr="004F4A92">
        <w:rPr>
          <w:rStyle w:val="CaptionLabel"/>
        </w:rPr>
        <w:t>Average improvement by learning area</w:t>
      </w:r>
      <w:bookmarkEnd w:id="136"/>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3F5361" w14:paraId="1B7FFA1B" w14:textId="77777777" w:rsidTr="00783980">
        <w:trPr>
          <w:cantSplit/>
        </w:trPr>
        <w:tc>
          <w:tcPr>
            <w:tcW w:w="5000" w:type="pct"/>
          </w:tcPr>
          <w:p w14:paraId="7419C3F8" w14:textId="77777777" w:rsidR="003F5361" w:rsidRDefault="003F5361" w:rsidP="00783980">
            <w:pPr>
              <w:pStyle w:val="SmallDeltasRightAligned"/>
              <w:keepNext/>
            </w:pPr>
            <w:r>
              <w:rPr>
                <w:noProof/>
                <w:lang w:eastAsia="en-AU"/>
              </w:rPr>
              <w:drawing>
                <wp:inline distT="0" distB="0" distL="0" distR="0" wp14:anchorId="705A27AD" wp14:editId="4DB0FA01">
                  <wp:extent cx="481585" cy="23469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3F5361" w14:paraId="0799D7EB" w14:textId="77777777" w:rsidTr="00783980">
        <w:tblPrEx>
          <w:tblCellMar>
            <w:left w:w="108" w:type="dxa"/>
            <w:right w:w="108" w:type="dxa"/>
          </w:tblCellMar>
        </w:tblPrEx>
        <w:trPr>
          <w:cantSplit/>
        </w:trPr>
        <w:tc>
          <w:tcPr>
            <w:tcW w:w="5000" w:type="pct"/>
          </w:tcPr>
          <w:p w14:paraId="17AA9EC6" w14:textId="77777777" w:rsidR="003F5361" w:rsidRDefault="003F5361" w:rsidP="00783980">
            <w:pPr>
              <w:pStyle w:val="Figure"/>
            </w:pPr>
            <w:r>
              <w:rPr>
                <w:noProof/>
                <w:lang w:eastAsia="en-AU"/>
              </w:rPr>
              <w:drawing>
                <wp:inline distT="0" distB="0" distL="0" distR="0" wp14:anchorId="1973D068" wp14:editId="5513047A">
                  <wp:extent cx="4543425" cy="2726055"/>
                  <wp:effectExtent l="0" t="0" r="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bl>
    <w:p w14:paraId="33FCF883" w14:textId="0041E629" w:rsidR="003F5361" w:rsidRDefault="003F5361" w:rsidP="003F5361">
      <w:pPr>
        <w:pStyle w:val="Note"/>
      </w:pPr>
      <w:r>
        <w:rPr>
          <w:i/>
        </w:rPr>
        <w:t>Note:</w:t>
      </w:r>
      <w:r>
        <w:t xml:space="preserve"> </w:t>
      </w:r>
      <w:r w:rsidR="00147674">
        <w:t>SEE programme</w:t>
      </w:r>
      <w:r w:rsidR="006A28F2">
        <w:t xml:space="preserve"> </w:t>
      </w:r>
      <w:r w:rsidRPr="00E56342">
        <w:t>clients that commence</w:t>
      </w:r>
      <w:r>
        <w:t xml:space="preserve">d training in 2010-11 – 2013-14. </w:t>
      </w:r>
      <w:r w:rsidR="00FB4CC0">
        <w:t xml:space="preserve">Improvements are averaged across each ASCF core skill area. </w:t>
      </w:r>
      <w:r>
        <w:t xml:space="preserve">The sample of clients with more than 900 hours is </w:t>
      </w:r>
      <w:r w:rsidR="008F089E">
        <w:t xml:space="preserve">too </w:t>
      </w:r>
      <w:r>
        <w:t xml:space="preserve">small </w:t>
      </w:r>
      <w:r w:rsidR="008F089E">
        <w:t xml:space="preserve">to take a reliable average of and so </w:t>
      </w:r>
      <w:r>
        <w:t xml:space="preserve">is not </w:t>
      </w:r>
      <w:r w:rsidR="008F089E">
        <w:t>included in the chart</w:t>
      </w:r>
      <w:r>
        <w:t xml:space="preserve">. </w:t>
      </w:r>
    </w:p>
    <w:p w14:paraId="0AD67E87" w14:textId="03DBE7F2" w:rsidR="003F5361" w:rsidRPr="00B50A1B" w:rsidRDefault="003F5361" w:rsidP="003F5361">
      <w:pPr>
        <w:pStyle w:val="Source"/>
        <w:rPr>
          <w:i/>
        </w:rPr>
      </w:pPr>
      <w:r>
        <w:t>S</w:t>
      </w:r>
      <w:r w:rsidRPr="00B50A1B">
        <w:t>ource:</w:t>
      </w:r>
      <w:r w:rsidRPr="00954EED">
        <w:t xml:space="preserve"> </w:t>
      </w:r>
      <w:r w:rsidR="007A143E">
        <w:t>SEE programme</w:t>
      </w:r>
      <w:r w:rsidR="006A28F2">
        <w:t xml:space="preserve"> </w:t>
      </w:r>
      <w:r w:rsidR="007A143E">
        <w:t>dataset</w:t>
      </w:r>
    </w:p>
    <w:p w14:paraId="61C0B8B7" w14:textId="6EC93110" w:rsidR="007246A1" w:rsidRDefault="007246A1" w:rsidP="007246A1">
      <w:pPr>
        <w:pStyle w:val="BodyText"/>
      </w:pPr>
      <w:r>
        <w:t>The following analysis of ACSF level improvement is restricted to clients who have completed more than 500 hours</w:t>
      </w:r>
      <w:r w:rsidR="00DC2391">
        <w:t xml:space="preserve">. </w:t>
      </w:r>
      <w:r w:rsidR="00013881">
        <w:t xml:space="preserve">The 500 hours cut off is used as it is a </w:t>
      </w:r>
      <w:r>
        <w:t xml:space="preserve">reasonable time </w:t>
      </w:r>
      <w:r w:rsidR="00013881">
        <w:t xml:space="preserve">in which </w:t>
      </w:r>
      <w:r>
        <w:t xml:space="preserve">to expect to see LLN outcomes associated with the programme. </w:t>
      </w:r>
      <w:r w:rsidR="00896C85">
        <w:t xml:space="preserve">It is also consistent with analysis undertaken in the AMEP Evaluation Report. 31 </w:t>
      </w:r>
      <w:r>
        <w:t>per cent</w:t>
      </w:r>
      <w:r w:rsidR="00896C85">
        <w:t xml:space="preserve"> of SEE </w:t>
      </w:r>
      <w:r w:rsidR="00955A06">
        <w:t xml:space="preserve">programme </w:t>
      </w:r>
      <w:r w:rsidR="00896C85">
        <w:t xml:space="preserve">clients complete more than 500 hours. </w:t>
      </w:r>
    </w:p>
    <w:p w14:paraId="397B1CBF" w14:textId="265DD235" w:rsidR="000617BE" w:rsidRDefault="00BD48FF" w:rsidP="00CE0F96">
      <w:pPr>
        <w:pStyle w:val="BodyText"/>
      </w:pPr>
      <w:r>
        <w:fldChar w:fldCharType="begin"/>
      </w:r>
      <w:r>
        <w:instrText xml:space="preserve"> REF _Ref408482020 \h </w:instrText>
      </w:r>
      <w:r>
        <w:fldChar w:fldCharType="separate"/>
      </w:r>
      <w:r w:rsidR="00294A5A">
        <w:t xml:space="preserve">Figure </w:t>
      </w:r>
      <w:r w:rsidR="00294A5A">
        <w:rPr>
          <w:noProof/>
        </w:rPr>
        <w:t>31</w:t>
      </w:r>
      <w:r>
        <w:fldChar w:fldCharType="end"/>
      </w:r>
      <w:r w:rsidR="004B5A93">
        <w:t xml:space="preserve"> shows the average ACSF level </w:t>
      </w:r>
      <w:r w:rsidR="004B5A93" w:rsidRPr="004B5A93">
        <w:t xml:space="preserve">improvement </w:t>
      </w:r>
      <w:r w:rsidR="004B5A93">
        <w:t xml:space="preserve">on the 11 performance indicators </w:t>
      </w:r>
      <w:r w:rsidR="004B5A93" w:rsidRPr="004B5A93">
        <w:t xml:space="preserve">for </w:t>
      </w:r>
      <w:r w:rsidR="00147674">
        <w:t>SEE programme</w:t>
      </w:r>
      <w:r w:rsidR="006A28F2">
        <w:t xml:space="preserve"> </w:t>
      </w:r>
      <w:r w:rsidR="004B5A93" w:rsidRPr="004B5A93">
        <w:t>clients completing at least 500 hours</w:t>
      </w:r>
      <w:r w:rsidR="004B5A93">
        <w:t xml:space="preserve">. </w:t>
      </w:r>
      <w:r w:rsidR="007F75AE">
        <w:t>Average i</w:t>
      </w:r>
      <w:r w:rsidR="00226D20">
        <w:t xml:space="preserve">mprovement is highest in </w:t>
      </w:r>
      <w:r w:rsidR="007F75AE">
        <w:t>the reading, writing and numeracy areas. Improvement is lowest in oral communication</w:t>
      </w:r>
      <w:r w:rsidR="003F5361">
        <w:t xml:space="preserve">; this area also </w:t>
      </w:r>
      <w:r w:rsidR="00955A06">
        <w:t xml:space="preserve">exhibits </w:t>
      </w:r>
      <w:r w:rsidR="003F5361">
        <w:t>the most significant difference between the cohort groups</w:t>
      </w:r>
      <w:r w:rsidR="00165BC1">
        <w:t>,</w:t>
      </w:r>
      <w:r w:rsidR="003F5361">
        <w:t xml:space="preserve"> with CALD clients making significantly greater improvements than other clients, likely due to their low entry oral communication assessment scores. </w:t>
      </w:r>
    </w:p>
    <w:p w14:paraId="430AA42D" w14:textId="3269925B" w:rsidR="00190A20" w:rsidRDefault="00190A20" w:rsidP="00190A20">
      <w:pPr>
        <w:pStyle w:val="Caption"/>
        <w:framePr w:w="9921" w:hSpace="181" w:wrap="notBeside" w:vAnchor="text" w:hAnchor="text" w:x="-2550" w:y="1"/>
      </w:pPr>
      <w:bookmarkStart w:id="137" w:name="_Ref408482020"/>
      <w:bookmarkStart w:id="138" w:name="_Toc420065491"/>
      <w:r>
        <w:t xml:space="preserve">Figure </w:t>
      </w:r>
      <w:r w:rsidR="006A2396">
        <w:fldChar w:fldCharType="begin"/>
      </w:r>
      <w:r w:rsidR="006A2396">
        <w:instrText xml:space="preserve"> SEQ Figure \* ARABIC </w:instrText>
      </w:r>
      <w:r w:rsidR="006A2396">
        <w:fldChar w:fldCharType="separate"/>
      </w:r>
      <w:r w:rsidR="00294A5A">
        <w:rPr>
          <w:noProof/>
        </w:rPr>
        <w:t>31</w:t>
      </w:r>
      <w:r w:rsidR="006A2396">
        <w:rPr>
          <w:noProof/>
        </w:rPr>
        <w:fldChar w:fldCharType="end"/>
      </w:r>
      <w:bookmarkEnd w:id="137"/>
      <w:r w:rsidRPr="004E0C91">
        <w:rPr>
          <w:b/>
          <w:color w:val="000080"/>
        </w:rPr>
        <w:tab/>
      </w:r>
      <w:r w:rsidR="001F2DE3">
        <w:rPr>
          <w:rStyle w:val="CaptionLabel"/>
        </w:rPr>
        <w:t xml:space="preserve">Average ACSF level improvement for </w:t>
      </w:r>
      <w:r w:rsidR="00147674">
        <w:rPr>
          <w:rStyle w:val="CaptionLabel"/>
        </w:rPr>
        <w:t>SEE programme</w:t>
      </w:r>
      <w:r w:rsidR="006A28F2">
        <w:rPr>
          <w:rStyle w:val="CaptionLabel"/>
        </w:rPr>
        <w:t xml:space="preserve"> </w:t>
      </w:r>
      <w:r w:rsidR="001F2DE3">
        <w:rPr>
          <w:rStyle w:val="CaptionLabel"/>
        </w:rPr>
        <w:t>clients completing at least 500 hours</w:t>
      </w:r>
      <w:bookmarkEnd w:id="138"/>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19"/>
      </w:tblGrid>
      <w:tr w:rsidR="00190A20" w14:paraId="35984EF2" w14:textId="77777777" w:rsidTr="00C527D8">
        <w:tc>
          <w:tcPr>
            <w:tcW w:w="5000" w:type="pct"/>
          </w:tcPr>
          <w:p w14:paraId="0A49358E" w14:textId="77777777" w:rsidR="00190A20" w:rsidRDefault="00190A20" w:rsidP="00190A20">
            <w:pPr>
              <w:pStyle w:val="SmallDeltasRightAligned"/>
              <w:keepNext/>
              <w:keepLines/>
              <w:framePr w:w="9921" w:hSpace="181" w:wrap="notBeside" w:vAnchor="text" w:hAnchor="text" w:x="-2550" w:y="1"/>
            </w:pPr>
            <w:r>
              <w:rPr>
                <w:noProof/>
                <w:lang w:eastAsia="en-AU"/>
              </w:rPr>
              <w:drawing>
                <wp:inline distT="0" distB="0" distL="0" distR="0" wp14:anchorId="56270E53" wp14:editId="335D71C0">
                  <wp:extent cx="481585" cy="23469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190A20" w14:paraId="7BF3C1E1" w14:textId="77777777" w:rsidTr="009F6241">
        <w:tblPrEx>
          <w:tblCellMar>
            <w:left w:w="108" w:type="dxa"/>
            <w:right w:w="108" w:type="dxa"/>
          </w:tblCellMar>
        </w:tblPrEx>
        <w:tc>
          <w:tcPr>
            <w:tcW w:w="5000" w:type="pct"/>
          </w:tcPr>
          <w:p w14:paraId="2F1962E5" w14:textId="77777777" w:rsidR="00190A20" w:rsidRDefault="009F6241" w:rsidP="00190A20">
            <w:pPr>
              <w:pStyle w:val="Figure"/>
              <w:keepLines/>
              <w:framePr w:w="9921" w:hSpace="181" w:wrap="notBeside" w:vAnchor="text" w:hAnchor="text" w:x="-2550" w:y="1"/>
            </w:pPr>
            <w:r>
              <w:rPr>
                <w:noProof/>
                <w:lang w:eastAsia="en-AU"/>
              </w:rPr>
              <w:drawing>
                <wp:inline distT="0" distB="0" distL="0" distR="0" wp14:anchorId="22E1A64C" wp14:editId="559F9436">
                  <wp:extent cx="5886026" cy="2606893"/>
                  <wp:effectExtent l="0" t="0" r="635" b="31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r>
    </w:tbl>
    <w:p w14:paraId="5161DB02" w14:textId="17208E8B" w:rsidR="00190A20" w:rsidRDefault="00190A20" w:rsidP="00190A20">
      <w:pPr>
        <w:pStyle w:val="Note"/>
        <w:framePr w:w="9921" w:hSpace="181" w:wrap="notBeside" w:vAnchor="text" w:hAnchor="text" w:x="-2550" w:y="1"/>
      </w:pPr>
      <w:r>
        <w:rPr>
          <w:i/>
        </w:rPr>
        <w:t>Note:</w:t>
      </w:r>
      <w:r>
        <w:t xml:space="preserve"> </w:t>
      </w:r>
      <w:r w:rsidR="00147674">
        <w:t>SEE programme</w:t>
      </w:r>
      <w:r w:rsidR="006A28F2">
        <w:t xml:space="preserve"> </w:t>
      </w:r>
      <w:r w:rsidR="00EF251B">
        <w:t>clients that commenced training in 2010-11 – 2013-14 and have completed at least 500 hours.</w:t>
      </w:r>
    </w:p>
    <w:p w14:paraId="321BC8C0" w14:textId="16E1C902" w:rsidR="00190A20" w:rsidRPr="00AE6C4B" w:rsidRDefault="00190A20" w:rsidP="00190A20">
      <w:pPr>
        <w:pStyle w:val="Source"/>
        <w:framePr w:w="9921" w:hSpace="181" w:wrap="notBeside" w:vAnchor="text" w:hAnchor="text" w:x="-2550" w:y="1"/>
      </w:pPr>
      <w:r w:rsidRPr="00B50A1B">
        <w:t>Source:</w:t>
      </w:r>
      <w:r w:rsidRPr="00954EED">
        <w:t xml:space="preserve"> </w:t>
      </w:r>
      <w:r w:rsidR="007A143E">
        <w:t>SEE programme</w:t>
      </w:r>
      <w:r w:rsidR="006A28F2">
        <w:t xml:space="preserve"> </w:t>
      </w:r>
      <w:r w:rsidR="007A143E">
        <w:t>dataset</w:t>
      </w:r>
    </w:p>
    <w:p w14:paraId="6EF12C3D" w14:textId="6EE91BD4" w:rsidR="003C24D2" w:rsidRDefault="003C24D2" w:rsidP="009658C1">
      <w:pPr>
        <w:pStyle w:val="BodyText"/>
      </w:pPr>
      <w:r>
        <w:fldChar w:fldCharType="begin"/>
      </w:r>
      <w:r>
        <w:instrText xml:space="preserve"> REF _Ref408610461 \h </w:instrText>
      </w:r>
      <w:r>
        <w:fldChar w:fldCharType="separate"/>
      </w:r>
      <w:r w:rsidR="00294A5A">
        <w:t xml:space="preserve">Figure </w:t>
      </w:r>
      <w:r w:rsidR="00294A5A">
        <w:rPr>
          <w:noProof/>
        </w:rPr>
        <w:t>32</w:t>
      </w:r>
      <w:r>
        <w:fldChar w:fldCharType="end"/>
      </w:r>
      <w:r>
        <w:t xml:space="preserve"> sets out entry and latest ACSF assessment levels for the cohort of SEE </w:t>
      </w:r>
      <w:r w:rsidR="00955A06">
        <w:t xml:space="preserve">programme </w:t>
      </w:r>
      <w:r>
        <w:t>clients who have completed at least 500 hours of training over the last four years. It shows a significant reduction of the proportion of clients assessed as pre-level 1 across all 11 performance indicators, and an increase in the proportion at level 1 and level</w:t>
      </w:r>
      <w:r w:rsidR="00955A06">
        <w:t> </w:t>
      </w:r>
      <w:r>
        <w:t xml:space="preserve">2. </w:t>
      </w:r>
    </w:p>
    <w:p w14:paraId="353B0CBB" w14:textId="77777777" w:rsidR="006F1DAC" w:rsidRDefault="006F1DAC" w:rsidP="006F1DAC">
      <w:pPr>
        <w:pStyle w:val="Caption"/>
        <w:framePr w:w="9921" w:hSpace="181" w:wrap="notBeside" w:vAnchor="text" w:hAnchor="text" w:x="-2550" w:y="1"/>
      </w:pPr>
      <w:bookmarkStart w:id="139" w:name="_Ref408610461"/>
      <w:bookmarkStart w:id="140" w:name="_Toc420065492"/>
      <w:r>
        <w:t xml:space="preserve">Figure </w:t>
      </w:r>
      <w:r w:rsidR="006A2396">
        <w:fldChar w:fldCharType="begin"/>
      </w:r>
      <w:r w:rsidR="006A2396">
        <w:instrText xml:space="preserve"> SEQ Figure \* ARABIC </w:instrText>
      </w:r>
      <w:r w:rsidR="006A2396">
        <w:fldChar w:fldCharType="separate"/>
      </w:r>
      <w:r w:rsidR="00294A5A">
        <w:rPr>
          <w:noProof/>
        </w:rPr>
        <w:t>32</w:t>
      </w:r>
      <w:r w:rsidR="006A2396">
        <w:rPr>
          <w:noProof/>
        </w:rPr>
        <w:fldChar w:fldCharType="end"/>
      </w:r>
      <w:bookmarkEnd w:id="139"/>
      <w:r w:rsidRPr="004E0C91">
        <w:rPr>
          <w:b/>
          <w:color w:val="000080"/>
        </w:rPr>
        <w:tab/>
      </w:r>
      <w:r w:rsidR="00E04C33">
        <w:rPr>
          <w:rStyle w:val="CaptionLabel"/>
        </w:rPr>
        <w:t>Entry</w:t>
      </w:r>
      <w:r w:rsidR="007F4EE9">
        <w:rPr>
          <w:rStyle w:val="CaptionLabel"/>
        </w:rPr>
        <w:t xml:space="preserve"> ACSF levels and levels after at least 500 hours</w:t>
      </w:r>
      <w:bookmarkEnd w:id="140"/>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19"/>
      </w:tblGrid>
      <w:tr w:rsidR="006F1DAC" w14:paraId="627B1F69" w14:textId="77777777" w:rsidTr="006D5201">
        <w:tc>
          <w:tcPr>
            <w:tcW w:w="5000" w:type="pct"/>
          </w:tcPr>
          <w:p w14:paraId="3564436B" w14:textId="77777777" w:rsidR="006F1DAC" w:rsidRDefault="006F1DAC" w:rsidP="006F1DAC">
            <w:pPr>
              <w:pStyle w:val="SmallDeltasRightAligned"/>
              <w:keepNext/>
              <w:keepLines/>
              <w:framePr w:w="9921" w:hSpace="181" w:wrap="notBeside" w:vAnchor="text" w:hAnchor="text" w:x="-2550" w:y="1"/>
            </w:pPr>
            <w:r>
              <w:rPr>
                <w:noProof/>
                <w:lang w:eastAsia="en-AU"/>
              </w:rPr>
              <w:drawing>
                <wp:inline distT="0" distB="0" distL="0" distR="0" wp14:anchorId="5DFECB9D" wp14:editId="12D64185">
                  <wp:extent cx="481585" cy="234696"/>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6F1DAC" w14:paraId="0C6F0B27" w14:textId="77777777" w:rsidTr="00036A58">
        <w:tblPrEx>
          <w:tblCellMar>
            <w:left w:w="108" w:type="dxa"/>
            <w:right w:w="108" w:type="dxa"/>
          </w:tblCellMar>
        </w:tblPrEx>
        <w:tc>
          <w:tcPr>
            <w:tcW w:w="5000" w:type="pct"/>
          </w:tcPr>
          <w:p w14:paraId="2870DA2F" w14:textId="77777777" w:rsidR="006F1DAC" w:rsidRDefault="00036A58" w:rsidP="006F1DAC">
            <w:pPr>
              <w:pStyle w:val="Figure"/>
              <w:keepLines/>
              <w:framePr w:w="9921" w:hSpace="181" w:wrap="notBeside" w:vAnchor="text" w:hAnchor="text" w:x="-2550" w:y="1"/>
            </w:pPr>
            <w:r>
              <w:rPr>
                <w:noProof/>
                <w:lang w:eastAsia="en-AU"/>
              </w:rPr>
              <w:drawing>
                <wp:inline distT="0" distB="0" distL="0" distR="0" wp14:anchorId="409C4BFB" wp14:editId="6605B7ED">
                  <wp:extent cx="6098016" cy="3124200"/>
                  <wp:effectExtent l="0" t="0" r="0" b="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bl>
    <w:p w14:paraId="1B0B94FD" w14:textId="57092A09" w:rsidR="006F1DAC" w:rsidRDefault="006F1DAC" w:rsidP="006F1DAC">
      <w:pPr>
        <w:pStyle w:val="Note"/>
        <w:framePr w:w="9921" w:hSpace="181" w:wrap="notBeside" w:vAnchor="text" w:hAnchor="text" w:x="-2550" w:y="1"/>
      </w:pPr>
      <w:r>
        <w:rPr>
          <w:i/>
        </w:rPr>
        <w:t>Note:</w:t>
      </w:r>
      <w:r>
        <w:t xml:space="preserve"> </w:t>
      </w:r>
      <w:r w:rsidR="00147674">
        <w:t>SEE programme</w:t>
      </w:r>
      <w:r w:rsidR="006A28F2">
        <w:t xml:space="preserve"> </w:t>
      </w:r>
      <w:r w:rsidR="00931E3D">
        <w:t>clients that commenced training in 2010-11 – 2013-14 and have completed at least 500 hours.</w:t>
      </w:r>
    </w:p>
    <w:p w14:paraId="265F5BC5" w14:textId="707DF1AE" w:rsidR="006F1DAC" w:rsidRPr="00AE6C4B" w:rsidRDefault="006F1DAC" w:rsidP="006F1DAC">
      <w:pPr>
        <w:pStyle w:val="Source"/>
        <w:framePr w:w="9921" w:hSpace="181" w:wrap="notBeside" w:vAnchor="text" w:hAnchor="text" w:x="-2550" w:y="1"/>
      </w:pPr>
      <w:r w:rsidRPr="00B50A1B">
        <w:t>Source:</w:t>
      </w:r>
      <w:r w:rsidRPr="00954EED">
        <w:t xml:space="preserve"> </w:t>
      </w:r>
      <w:r w:rsidR="007A143E">
        <w:t>SEE programme</w:t>
      </w:r>
      <w:r w:rsidR="006A28F2">
        <w:t xml:space="preserve"> </w:t>
      </w:r>
      <w:r w:rsidR="007A143E">
        <w:t>dataset</w:t>
      </w:r>
    </w:p>
    <w:p w14:paraId="33504E56" w14:textId="159E764F" w:rsidR="00D977D4" w:rsidRDefault="00C60EF1" w:rsidP="00D977D4">
      <w:pPr>
        <w:pStyle w:val="BodyText"/>
      </w:pPr>
      <w:r>
        <w:t xml:space="preserve">The proportion of clients </w:t>
      </w:r>
      <w:r w:rsidRPr="00C60EF1">
        <w:t>pre-level 1 or level 1 on the 11 ACSF indicators</w:t>
      </w:r>
      <w:r>
        <w:t xml:space="preserve"> at entry into the </w:t>
      </w:r>
      <w:r w:rsidR="00147674">
        <w:t>SEE programme</w:t>
      </w:r>
      <w:r w:rsidR="006A28F2">
        <w:t xml:space="preserve"> </w:t>
      </w:r>
      <w:r>
        <w:t>is around 70 per cent. After more than 500 hours of training this share has fallen to 40 per cent (</w:t>
      </w:r>
      <w:r>
        <w:fldChar w:fldCharType="begin"/>
      </w:r>
      <w:r>
        <w:instrText xml:space="preserve"> REF _Ref408612539 \h </w:instrText>
      </w:r>
      <w:r>
        <w:fldChar w:fldCharType="separate"/>
      </w:r>
      <w:r w:rsidR="00294A5A">
        <w:t xml:space="preserve">Figure </w:t>
      </w:r>
      <w:r w:rsidR="00294A5A">
        <w:rPr>
          <w:noProof/>
        </w:rPr>
        <w:t>33</w:t>
      </w:r>
      <w:r>
        <w:fldChar w:fldCharType="end"/>
      </w:r>
      <w:r>
        <w:t xml:space="preserve">). </w:t>
      </w:r>
    </w:p>
    <w:p w14:paraId="2ADA14CE" w14:textId="77777777" w:rsidR="007838BF" w:rsidRDefault="007838BF">
      <w:pPr>
        <w:pStyle w:val="Caption"/>
      </w:pPr>
      <w:bookmarkStart w:id="141" w:name="_Ref408612539"/>
      <w:bookmarkStart w:id="142" w:name="_Toc420065493"/>
      <w:r>
        <w:t xml:space="preserve">Figure </w:t>
      </w:r>
      <w:r w:rsidR="006A2396">
        <w:fldChar w:fldCharType="begin"/>
      </w:r>
      <w:r w:rsidR="006A2396">
        <w:instrText xml:space="preserve"> SEQ Figure \* ARABIC </w:instrText>
      </w:r>
      <w:r w:rsidR="006A2396">
        <w:fldChar w:fldCharType="separate"/>
      </w:r>
      <w:r w:rsidR="00294A5A">
        <w:rPr>
          <w:noProof/>
        </w:rPr>
        <w:t>33</w:t>
      </w:r>
      <w:r w:rsidR="006A2396">
        <w:rPr>
          <w:noProof/>
        </w:rPr>
        <w:fldChar w:fldCharType="end"/>
      </w:r>
      <w:bookmarkEnd w:id="141"/>
      <w:r w:rsidRPr="004E0C91">
        <w:rPr>
          <w:b/>
          <w:color w:val="000080"/>
        </w:rPr>
        <w:tab/>
      </w:r>
      <w:r w:rsidR="005E7EBF" w:rsidRPr="005E7EBF">
        <w:rPr>
          <w:rStyle w:val="CaptionLabel"/>
        </w:rPr>
        <w:t>Proportion of clients pre-level 1 or level 1 on</w:t>
      </w:r>
      <w:r w:rsidR="005E7EBF">
        <w:rPr>
          <w:rStyle w:val="CaptionLabel"/>
        </w:rPr>
        <w:t xml:space="preserve"> the </w:t>
      </w:r>
      <w:r w:rsidR="005E7EBF" w:rsidRPr="005E7EBF">
        <w:rPr>
          <w:rStyle w:val="CaptionLabel"/>
        </w:rPr>
        <w:t xml:space="preserve">11 </w:t>
      </w:r>
      <w:r w:rsidR="005E7EBF">
        <w:rPr>
          <w:rStyle w:val="CaptionLabel"/>
        </w:rPr>
        <w:t xml:space="preserve">ACSF </w:t>
      </w:r>
      <w:r w:rsidR="005E7EBF" w:rsidRPr="005E7EBF">
        <w:rPr>
          <w:rStyle w:val="CaptionLabel"/>
        </w:rPr>
        <w:t>indicators</w:t>
      </w:r>
      <w:r w:rsidR="00C60EF1">
        <w:rPr>
          <w:rStyle w:val="CaptionLabel"/>
        </w:rPr>
        <w:t>, before and after more than 500 hours of training</w:t>
      </w:r>
      <w:bookmarkEnd w:id="142"/>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7838BF" w14:paraId="09228CDA" w14:textId="77777777" w:rsidTr="006D5201">
        <w:trPr>
          <w:cantSplit/>
        </w:trPr>
        <w:tc>
          <w:tcPr>
            <w:tcW w:w="5000" w:type="pct"/>
          </w:tcPr>
          <w:p w14:paraId="0B5CFB54" w14:textId="77777777" w:rsidR="007838BF" w:rsidRDefault="007838BF" w:rsidP="006D5201">
            <w:pPr>
              <w:pStyle w:val="SmallDeltasRightAligned"/>
              <w:keepNext/>
            </w:pPr>
            <w:r>
              <w:rPr>
                <w:noProof/>
                <w:lang w:eastAsia="en-AU"/>
              </w:rPr>
              <w:drawing>
                <wp:inline distT="0" distB="0" distL="0" distR="0" wp14:anchorId="0BBB8605" wp14:editId="34113141">
                  <wp:extent cx="481585" cy="234696"/>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838BF" w14:paraId="579EAF54" w14:textId="77777777" w:rsidTr="00DB28F5">
        <w:tblPrEx>
          <w:tblCellMar>
            <w:left w:w="108" w:type="dxa"/>
            <w:right w:w="108" w:type="dxa"/>
          </w:tblCellMar>
        </w:tblPrEx>
        <w:trPr>
          <w:cantSplit/>
        </w:trPr>
        <w:tc>
          <w:tcPr>
            <w:tcW w:w="5000" w:type="pct"/>
          </w:tcPr>
          <w:p w14:paraId="0D8237AD" w14:textId="77777777" w:rsidR="007838BF" w:rsidRDefault="00DB28F5" w:rsidP="006D5201">
            <w:pPr>
              <w:pStyle w:val="Figure"/>
            </w:pPr>
            <w:r>
              <w:rPr>
                <w:noProof/>
                <w:lang w:eastAsia="en-AU"/>
              </w:rPr>
              <w:drawing>
                <wp:inline distT="0" distB="0" distL="0" distR="0" wp14:anchorId="129B5060" wp14:editId="046DF6E9">
                  <wp:extent cx="3955627" cy="2372788"/>
                  <wp:effectExtent l="0" t="0" r="6985" b="889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bl>
    <w:p w14:paraId="7DB90E4A" w14:textId="7B2D82C5" w:rsidR="007838BF" w:rsidRDefault="007838BF">
      <w:pPr>
        <w:pStyle w:val="Note"/>
      </w:pPr>
      <w:r>
        <w:rPr>
          <w:i/>
        </w:rPr>
        <w:t>Note:</w:t>
      </w:r>
      <w:r>
        <w:t xml:space="preserve"> </w:t>
      </w:r>
      <w:r w:rsidR="00147674">
        <w:t>SEE programme</w:t>
      </w:r>
      <w:r w:rsidR="006A28F2">
        <w:t xml:space="preserve"> </w:t>
      </w:r>
      <w:r w:rsidR="00C60EF1">
        <w:t>clients that commenced training in 2010-11 – 2013-14 and have completed at least 500 hours.</w:t>
      </w:r>
    </w:p>
    <w:p w14:paraId="3F6638D9" w14:textId="5FEA6B88" w:rsidR="007838BF" w:rsidRPr="00B50A1B" w:rsidRDefault="007838BF" w:rsidP="006D5201">
      <w:pPr>
        <w:pStyle w:val="Source"/>
        <w:rPr>
          <w:i/>
        </w:rPr>
      </w:pPr>
      <w:r>
        <w:t>S</w:t>
      </w:r>
      <w:r w:rsidRPr="00B50A1B">
        <w:t>ource:</w:t>
      </w:r>
      <w:r w:rsidRPr="00954EED">
        <w:t xml:space="preserve"> </w:t>
      </w:r>
      <w:r w:rsidR="007A143E">
        <w:t>SEE programme</w:t>
      </w:r>
      <w:r w:rsidR="006A28F2">
        <w:t xml:space="preserve"> </w:t>
      </w:r>
      <w:r w:rsidR="007A143E">
        <w:t>dataset</w:t>
      </w:r>
    </w:p>
    <w:p w14:paraId="4F9FC25C" w14:textId="77777777" w:rsidR="007838BF" w:rsidRDefault="00F37359" w:rsidP="00D977D4">
      <w:pPr>
        <w:pStyle w:val="BodyText"/>
      </w:pPr>
      <w:r>
        <w:t xml:space="preserve">As discussed in Section </w:t>
      </w:r>
      <w:r>
        <w:fldChar w:fldCharType="begin"/>
      </w:r>
      <w:r>
        <w:instrText xml:space="preserve"> REF _Ref408509927 \r \h </w:instrText>
      </w:r>
      <w:r>
        <w:fldChar w:fldCharType="separate"/>
      </w:r>
      <w:r w:rsidR="00294A5A">
        <w:t>4.3</w:t>
      </w:r>
      <w:r>
        <w:fldChar w:fldCharType="end"/>
      </w:r>
      <w:r>
        <w:t xml:space="preserve">, most of the non-CALD cohort </w:t>
      </w:r>
      <w:r w:rsidR="0068485D">
        <w:t xml:space="preserve">are assessed above pre-level 1 on the oral communication indicators </w:t>
      </w:r>
      <w:r>
        <w:t xml:space="preserve">due to growing up in an English </w:t>
      </w:r>
      <w:r w:rsidR="0068485D">
        <w:t xml:space="preserve">speaking country. To control for this, </w:t>
      </w:r>
      <w:r>
        <w:fldChar w:fldCharType="begin"/>
      </w:r>
      <w:r>
        <w:instrText xml:space="preserve"> REF _Ref408612647 \h </w:instrText>
      </w:r>
      <w:r>
        <w:fldChar w:fldCharType="separate"/>
      </w:r>
      <w:r w:rsidR="00294A5A">
        <w:t xml:space="preserve">Figure </w:t>
      </w:r>
      <w:r w:rsidR="00294A5A">
        <w:rPr>
          <w:noProof/>
        </w:rPr>
        <w:t>34</w:t>
      </w:r>
      <w:r>
        <w:fldChar w:fldCharType="end"/>
      </w:r>
      <w:r w:rsidR="0068485D">
        <w:t xml:space="preserve"> shows the p</w:t>
      </w:r>
      <w:r w:rsidR="0068485D" w:rsidRPr="0068485D">
        <w:t xml:space="preserve">roportion of clients pre-level 1 or level 1 on </w:t>
      </w:r>
      <w:r w:rsidR="00DF3416">
        <w:t>the non</w:t>
      </w:r>
      <w:r w:rsidR="00DF3416">
        <w:noBreakHyphen/>
        <w:t xml:space="preserve">oral communication </w:t>
      </w:r>
      <w:r w:rsidR="0068485D" w:rsidRPr="0068485D">
        <w:t>ACSF indicators</w:t>
      </w:r>
      <w:r w:rsidR="00DF3416">
        <w:t xml:space="preserve">, </w:t>
      </w:r>
      <w:r w:rsidR="0068485D" w:rsidRPr="0068485D">
        <w:t>before and after more than 500 hours of training</w:t>
      </w:r>
      <w:r w:rsidR="00DF3416">
        <w:t xml:space="preserve">. </w:t>
      </w:r>
    </w:p>
    <w:p w14:paraId="3EF021FB" w14:textId="77777777" w:rsidR="007838BF" w:rsidRDefault="007838BF">
      <w:pPr>
        <w:pStyle w:val="Caption"/>
      </w:pPr>
      <w:bookmarkStart w:id="143" w:name="_Ref408612647"/>
      <w:bookmarkStart w:id="144" w:name="_Toc420065494"/>
      <w:r>
        <w:t xml:space="preserve">Figure </w:t>
      </w:r>
      <w:r w:rsidR="006A2396">
        <w:fldChar w:fldCharType="begin"/>
      </w:r>
      <w:r w:rsidR="006A2396">
        <w:instrText xml:space="preserve"> SEQ Figure \* ARABIC </w:instrText>
      </w:r>
      <w:r w:rsidR="006A2396">
        <w:fldChar w:fldCharType="separate"/>
      </w:r>
      <w:r w:rsidR="00294A5A">
        <w:rPr>
          <w:noProof/>
        </w:rPr>
        <w:t>34</w:t>
      </w:r>
      <w:r w:rsidR="006A2396">
        <w:rPr>
          <w:noProof/>
        </w:rPr>
        <w:fldChar w:fldCharType="end"/>
      </w:r>
      <w:bookmarkEnd w:id="143"/>
      <w:r w:rsidRPr="004E0C91">
        <w:rPr>
          <w:b/>
          <w:color w:val="000080"/>
        </w:rPr>
        <w:tab/>
      </w:r>
      <w:r w:rsidR="005E7EBF" w:rsidRPr="005E7EBF">
        <w:rPr>
          <w:rStyle w:val="CaptionLabel"/>
        </w:rPr>
        <w:t>Proportion of clients pre-level 1 or level 1 on</w:t>
      </w:r>
      <w:r w:rsidR="005E7EBF">
        <w:rPr>
          <w:rStyle w:val="CaptionLabel"/>
        </w:rPr>
        <w:t xml:space="preserve"> nine ACSF </w:t>
      </w:r>
      <w:r w:rsidR="005E7EBF" w:rsidRPr="005E7EBF">
        <w:rPr>
          <w:rStyle w:val="CaptionLabel"/>
        </w:rPr>
        <w:t>indicator</w:t>
      </w:r>
      <w:r w:rsidR="005E7EBF">
        <w:rPr>
          <w:rStyle w:val="CaptionLabel"/>
        </w:rPr>
        <w:t>s, not including oral communication</w:t>
      </w:r>
      <w:r w:rsidR="00C60EF1">
        <w:rPr>
          <w:rStyle w:val="CaptionLabel"/>
        </w:rPr>
        <w:t>, before and after more than 500 hours of training</w:t>
      </w:r>
      <w:bookmarkEnd w:id="144"/>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7838BF" w14:paraId="4D470C97" w14:textId="77777777" w:rsidTr="006D5201">
        <w:trPr>
          <w:cantSplit/>
        </w:trPr>
        <w:tc>
          <w:tcPr>
            <w:tcW w:w="5000" w:type="pct"/>
          </w:tcPr>
          <w:p w14:paraId="1D547CDE" w14:textId="77777777" w:rsidR="007838BF" w:rsidRDefault="007838BF" w:rsidP="006D5201">
            <w:pPr>
              <w:pStyle w:val="SmallDeltasRightAligned"/>
              <w:keepNext/>
            </w:pPr>
            <w:r>
              <w:rPr>
                <w:noProof/>
                <w:lang w:eastAsia="en-AU"/>
              </w:rPr>
              <w:drawing>
                <wp:inline distT="0" distB="0" distL="0" distR="0" wp14:anchorId="6FD53540" wp14:editId="6168DB99">
                  <wp:extent cx="481585" cy="234696"/>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838BF" w14:paraId="519727A5" w14:textId="77777777" w:rsidTr="005E7EBF">
        <w:tblPrEx>
          <w:tblCellMar>
            <w:left w:w="108" w:type="dxa"/>
            <w:right w:w="108" w:type="dxa"/>
          </w:tblCellMar>
        </w:tblPrEx>
        <w:trPr>
          <w:cantSplit/>
        </w:trPr>
        <w:tc>
          <w:tcPr>
            <w:tcW w:w="5000" w:type="pct"/>
          </w:tcPr>
          <w:p w14:paraId="39BAE2AF" w14:textId="77777777" w:rsidR="007838BF" w:rsidRDefault="005E7EBF" w:rsidP="006D5201">
            <w:pPr>
              <w:pStyle w:val="Figure"/>
            </w:pPr>
            <w:r>
              <w:rPr>
                <w:noProof/>
                <w:lang w:eastAsia="en-AU"/>
              </w:rPr>
              <w:drawing>
                <wp:inline distT="0" distB="0" distL="0" distR="0" wp14:anchorId="0EBD6676" wp14:editId="09A60D22">
                  <wp:extent cx="3874346" cy="2324359"/>
                  <wp:effectExtent l="0" t="0" r="0" b="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bl>
    <w:p w14:paraId="2ED8B724" w14:textId="1BFECA1D" w:rsidR="007838BF" w:rsidRDefault="007838BF">
      <w:pPr>
        <w:pStyle w:val="Note"/>
      </w:pPr>
      <w:r>
        <w:rPr>
          <w:i/>
        </w:rPr>
        <w:t>Note:</w:t>
      </w:r>
      <w:r>
        <w:t xml:space="preserve"> </w:t>
      </w:r>
      <w:r w:rsidR="00147674">
        <w:t>SEE programme</w:t>
      </w:r>
      <w:r w:rsidR="006A28F2">
        <w:t xml:space="preserve"> </w:t>
      </w:r>
      <w:r w:rsidR="00C60EF1">
        <w:t>clients that commenced training in 2010-11 – 2013-14 and have completed at least 500 hours.</w:t>
      </w:r>
    </w:p>
    <w:p w14:paraId="4AF69D85" w14:textId="1CE03311" w:rsidR="007838BF" w:rsidRPr="00B50A1B" w:rsidRDefault="007838BF" w:rsidP="006D5201">
      <w:pPr>
        <w:pStyle w:val="Source"/>
        <w:rPr>
          <w:i/>
        </w:rPr>
      </w:pPr>
      <w:r>
        <w:t>S</w:t>
      </w:r>
      <w:r w:rsidRPr="00B50A1B">
        <w:t>ource:</w:t>
      </w:r>
      <w:r w:rsidRPr="00954EED">
        <w:t xml:space="preserve"> </w:t>
      </w:r>
      <w:r w:rsidR="007A143E">
        <w:t>SEE programme</w:t>
      </w:r>
      <w:r w:rsidR="006A28F2">
        <w:t xml:space="preserve"> </w:t>
      </w:r>
      <w:r w:rsidR="007A143E">
        <w:t>dataset</w:t>
      </w:r>
    </w:p>
    <w:p w14:paraId="7205CF0E" w14:textId="420E9995" w:rsidR="00764CCD" w:rsidRDefault="001228F7" w:rsidP="00D977D4">
      <w:pPr>
        <w:pStyle w:val="BodyText"/>
      </w:pPr>
      <w:r>
        <w:t>LLN programme effectiveness is driven by a number of factors as discussed</w:t>
      </w:r>
      <w:r w:rsidR="005F2DE5">
        <w:t>,</w:t>
      </w:r>
      <w:r>
        <w:t xml:space="preserve"> in </w:t>
      </w:r>
      <w:r w:rsidR="00165BC1">
        <w:t xml:space="preserve">Sections </w:t>
      </w:r>
      <w:r>
        <w:fldChar w:fldCharType="begin"/>
      </w:r>
      <w:r>
        <w:instrText xml:space="preserve"> REF _Ref408680507 \r \h </w:instrText>
      </w:r>
      <w:r>
        <w:fldChar w:fldCharType="separate"/>
      </w:r>
      <w:r w:rsidR="00294A5A">
        <w:t>3.3</w:t>
      </w:r>
      <w:r>
        <w:fldChar w:fldCharType="end"/>
      </w:r>
      <w:r>
        <w:t xml:space="preserve"> and </w:t>
      </w:r>
      <w:r>
        <w:fldChar w:fldCharType="begin"/>
      </w:r>
      <w:r>
        <w:instrText xml:space="preserve"> REF _Ref408680513 \r \h </w:instrText>
      </w:r>
      <w:r>
        <w:fldChar w:fldCharType="separate"/>
      </w:r>
      <w:r w:rsidR="00294A5A">
        <w:t>3.4</w:t>
      </w:r>
      <w:r>
        <w:fldChar w:fldCharType="end"/>
      </w:r>
      <w:r w:rsidR="005F2DE5">
        <w:t xml:space="preserve">. </w:t>
      </w:r>
    </w:p>
    <w:p w14:paraId="63E540D3" w14:textId="6013CD05" w:rsidR="005F2DE5" w:rsidRDefault="00A44A8F" w:rsidP="00D977D4">
      <w:pPr>
        <w:pStyle w:val="BodyText"/>
      </w:pPr>
      <w:r>
        <w:t>SEE providers</w:t>
      </w:r>
      <w:r w:rsidR="005F2DE5">
        <w:t xml:space="preserve"> note the importance of classroom based learning for LLN outcomes. </w:t>
      </w:r>
    </w:p>
    <w:p w14:paraId="6CF4B87D" w14:textId="77777777" w:rsidR="00764CCD" w:rsidRDefault="00764CCD" w:rsidP="005F2DE5">
      <w:pPr>
        <w:pStyle w:val="Quote"/>
      </w:pPr>
      <w:r w:rsidRPr="00764CCD">
        <w:t>Classroom based learning is the preferred method. Most SEE clients are not independent learners and need the support /guidance of classroom approach. Also they benefit from interacting with other students and developing communication and learning skills.</w:t>
      </w:r>
    </w:p>
    <w:p w14:paraId="03568B73" w14:textId="77777777" w:rsidR="005F2DE5" w:rsidRPr="005F2DE5" w:rsidRDefault="005F2DE5" w:rsidP="005F2DE5">
      <w:pPr>
        <w:pStyle w:val="QuoteSource"/>
      </w:pPr>
      <w:r>
        <w:t>– Confidential submission</w:t>
      </w:r>
    </w:p>
    <w:p w14:paraId="2A306DF4" w14:textId="24D70632" w:rsidR="00764CCD" w:rsidRDefault="00165BC1" w:rsidP="00D977D4">
      <w:pPr>
        <w:pStyle w:val="BodyText"/>
      </w:pPr>
      <w:r>
        <w:t xml:space="preserve">Other providers noted </w:t>
      </w:r>
      <w:r w:rsidR="005F2DE5">
        <w:t xml:space="preserve">the importance </w:t>
      </w:r>
      <w:r>
        <w:t xml:space="preserve">of clients feeling </w:t>
      </w:r>
      <w:r w:rsidR="005F2DE5">
        <w:t xml:space="preserve">comfortable, engaged and having their needs met. </w:t>
      </w:r>
    </w:p>
    <w:p w14:paraId="1EF705CE" w14:textId="77777777" w:rsidR="001909A8" w:rsidRDefault="005F2DE5" w:rsidP="005F2DE5">
      <w:pPr>
        <w:pStyle w:val="Quote"/>
      </w:pPr>
      <w:r>
        <w:t xml:space="preserve">... LLN </w:t>
      </w:r>
      <w:r w:rsidR="001909A8">
        <w:t>effectiveness is also reliant upon:</w:t>
      </w:r>
    </w:p>
    <w:p w14:paraId="05A6735A" w14:textId="77777777" w:rsidR="001909A8" w:rsidRDefault="005F2DE5" w:rsidP="005F2DE5">
      <w:pPr>
        <w:pStyle w:val="Quote"/>
        <w:ind w:firstLine="335"/>
      </w:pPr>
      <w:r>
        <w:t xml:space="preserve">- </w:t>
      </w:r>
      <w:r w:rsidR="001909A8">
        <w:t>clients settling quickly into the learning environments;</w:t>
      </w:r>
    </w:p>
    <w:p w14:paraId="5DA3EA0F" w14:textId="77777777" w:rsidR="001909A8" w:rsidRDefault="005F2DE5" w:rsidP="005F2DE5">
      <w:pPr>
        <w:pStyle w:val="Quote"/>
        <w:ind w:firstLine="335"/>
      </w:pPr>
      <w:r>
        <w:t xml:space="preserve">- </w:t>
      </w:r>
      <w:r w:rsidR="001909A8">
        <w:t>clients being offered a training load which matches their needs; and</w:t>
      </w:r>
    </w:p>
    <w:p w14:paraId="74571B49" w14:textId="77777777" w:rsidR="001909A8" w:rsidRDefault="005F2DE5" w:rsidP="005F2DE5">
      <w:pPr>
        <w:pStyle w:val="Quote"/>
        <w:ind w:firstLine="335"/>
      </w:pPr>
      <w:r>
        <w:t xml:space="preserve">- </w:t>
      </w:r>
      <w:r w:rsidR="001909A8">
        <w:t>clients being offered training which is contextualised and engaging.</w:t>
      </w:r>
    </w:p>
    <w:p w14:paraId="4CBEB78E" w14:textId="77777777" w:rsidR="005F2DE5" w:rsidRDefault="005F2DE5" w:rsidP="005F2DE5">
      <w:pPr>
        <w:pStyle w:val="QuoteSource"/>
      </w:pPr>
      <w:r>
        <w:t>– Confidential submission</w:t>
      </w:r>
    </w:p>
    <w:p w14:paraId="4B949C20" w14:textId="77777777" w:rsidR="005F2DE5" w:rsidRPr="005F2DE5" w:rsidRDefault="005F2DE5" w:rsidP="005F2DE5">
      <w:pPr>
        <w:pStyle w:val="BodyText"/>
      </w:pPr>
      <w:r>
        <w:t xml:space="preserve">Meeting clients LLN needs and improving the programme’s outcomes are further discussed in Section </w:t>
      </w:r>
      <w:r>
        <w:fldChar w:fldCharType="begin"/>
      </w:r>
      <w:r>
        <w:instrText xml:space="preserve"> REF _Ref408675106 \r \h </w:instrText>
      </w:r>
      <w:r>
        <w:fldChar w:fldCharType="separate"/>
      </w:r>
      <w:r w:rsidR="00294A5A">
        <w:t>7.1.6</w:t>
      </w:r>
      <w:r>
        <w:fldChar w:fldCharType="end"/>
      </w:r>
      <w:r>
        <w: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830CDD" w14:paraId="02392FE6" w14:textId="77777777" w:rsidTr="00783980">
        <w:tc>
          <w:tcPr>
            <w:tcW w:w="5000" w:type="pct"/>
            <w:shd w:val="pct12" w:color="auto" w:fill="auto"/>
          </w:tcPr>
          <w:p w14:paraId="1F3653CA" w14:textId="77777777" w:rsidR="00830CDD" w:rsidRDefault="00830CDD" w:rsidP="00783980">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16</w:t>
            </w:r>
            <w:r w:rsidR="006A2396">
              <w:rPr>
                <w:noProof/>
              </w:rPr>
              <w:fldChar w:fldCharType="end"/>
            </w:r>
          </w:p>
        </w:tc>
      </w:tr>
      <w:tr w:rsidR="00830CDD" w14:paraId="6D86CB8C" w14:textId="77777777" w:rsidTr="00783980">
        <w:tc>
          <w:tcPr>
            <w:tcW w:w="5000" w:type="pct"/>
            <w:shd w:val="pct12" w:color="auto" w:fill="auto"/>
          </w:tcPr>
          <w:p w14:paraId="66EF30EA" w14:textId="189C6878" w:rsidR="00830CDD" w:rsidRDefault="00B91553" w:rsidP="00783980">
            <w:pPr>
              <w:pStyle w:val="BoxText"/>
            </w:pPr>
            <w:r>
              <w:t xml:space="preserve">There is a </w:t>
            </w:r>
            <w:r w:rsidR="005F2DE5">
              <w:t xml:space="preserve">clear correlation between the hours clients spend in the </w:t>
            </w:r>
            <w:r w:rsidR="00147674">
              <w:t>SEE programme</w:t>
            </w:r>
            <w:r w:rsidR="006A28F2">
              <w:t xml:space="preserve"> </w:t>
            </w:r>
            <w:r w:rsidR="005F2DE5">
              <w:t>and average improvement they achieve in the five ACSF core areas.</w:t>
            </w:r>
          </w:p>
          <w:p w14:paraId="01348137" w14:textId="5A09F652" w:rsidR="005D245A" w:rsidRDefault="00B91553" w:rsidP="00783980">
            <w:pPr>
              <w:pStyle w:val="BoxText"/>
            </w:pPr>
            <w:r>
              <w:t xml:space="preserve">For the cohort of SEE </w:t>
            </w:r>
            <w:r w:rsidR="006A2FF1">
              <w:t xml:space="preserve">programme </w:t>
            </w:r>
            <w:r>
              <w:t>clients who have completed at least 500 hours of training over the last four years there is</w:t>
            </w:r>
            <w:r w:rsidR="005D245A">
              <w:t>:</w:t>
            </w:r>
          </w:p>
          <w:p w14:paraId="564DDD4A" w14:textId="70D38D70" w:rsidR="005D245A" w:rsidRDefault="00B91553" w:rsidP="00163BA3">
            <w:pPr>
              <w:pStyle w:val="BoxListBullet"/>
            </w:pPr>
            <w:r>
              <w:t xml:space="preserve">a significant reduction of the proportion of clients assessed as pre-level 1 across all 11 performance indicators, and </w:t>
            </w:r>
          </w:p>
          <w:p w14:paraId="042F5693" w14:textId="77777777" w:rsidR="00B91553" w:rsidRDefault="00B91553" w:rsidP="00163BA3">
            <w:pPr>
              <w:pStyle w:val="BoxListBullet"/>
            </w:pPr>
            <w:r>
              <w:t>an increase in the proportion at level 1 and level 2.</w:t>
            </w:r>
          </w:p>
          <w:p w14:paraId="2718F98E" w14:textId="77777777" w:rsidR="00B91553" w:rsidRDefault="00B91553" w:rsidP="00B91553">
            <w:pPr>
              <w:pStyle w:val="BoxText"/>
            </w:pPr>
            <w:r>
              <w:t xml:space="preserve">The proportion of clients </w:t>
            </w:r>
            <w:r w:rsidRPr="00C60EF1">
              <w:t>pre-level 1 or level 1 on the 11 ACSF indicators</w:t>
            </w:r>
            <w:r>
              <w:t xml:space="preserve"> falls from 70 per cent to 40 per cent after more than 500 hours of training.</w:t>
            </w:r>
          </w:p>
          <w:p w14:paraId="042A8040" w14:textId="77777777" w:rsidR="00830CDD" w:rsidRPr="00090BC6" w:rsidRDefault="00830CDD" w:rsidP="00783980">
            <w:pPr>
              <w:pStyle w:val="SmallDeltasRightAligned"/>
            </w:pPr>
            <w:r w:rsidRPr="00090BC6">
              <w:rPr>
                <w:noProof/>
                <w:lang w:eastAsia="en-AU"/>
              </w:rPr>
              <w:drawing>
                <wp:inline distT="0" distB="0" distL="0" distR="0" wp14:anchorId="76BBA845" wp14:editId="1833571B">
                  <wp:extent cx="481585" cy="234696"/>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830CDD" w14:paraId="782197C8" w14:textId="77777777" w:rsidTr="00783980">
        <w:trPr>
          <w:trHeight w:hRule="exact" w:val="80"/>
        </w:trPr>
        <w:tc>
          <w:tcPr>
            <w:tcW w:w="5000" w:type="pct"/>
            <w:shd w:val="pct12" w:color="auto" w:fill="auto"/>
          </w:tcPr>
          <w:p w14:paraId="673BB1D1" w14:textId="77777777" w:rsidR="00830CDD" w:rsidRDefault="00830CDD" w:rsidP="00783980">
            <w:pPr>
              <w:spacing w:before="160"/>
            </w:pPr>
            <w:r>
              <w:t xml:space="preserve"> </w:t>
            </w:r>
          </w:p>
        </w:tc>
      </w:tr>
    </w:tbl>
    <w:p w14:paraId="64236B5F" w14:textId="77777777" w:rsidR="006977E0" w:rsidRDefault="006977E0" w:rsidP="008418C2">
      <w:pPr>
        <w:pStyle w:val="Heading1"/>
      </w:pPr>
      <w:bookmarkStart w:id="145" w:name="_Toc420065455"/>
      <w:r>
        <w:t>Efficiency</w:t>
      </w:r>
      <w:r w:rsidR="008418C2">
        <w:t xml:space="preserve"> and performance management</w:t>
      </w:r>
      <w:bookmarkEnd w:id="145"/>
    </w:p>
    <w:p w14:paraId="3DDB0D7A" w14:textId="72AD1B58" w:rsidR="009B282F" w:rsidRDefault="009B282F" w:rsidP="009B282F">
      <w:pPr>
        <w:pStyle w:val="BodyText"/>
        <w:rPr>
          <w:b/>
          <w:i/>
          <w:color w:val="7F7F7F" w:themeColor="text1" w:themeTint="80"/>
        </w:rPr>
      </w:pPr>
      <w:r w:rsidRPr="00076300">
        <w:rPr>
          <w:b/>
          <w:i/>
          <w:color w:val="7F7F7F" w:themeColor="text1" w:themeTint="80"/>
        </w:rPr>
        <w:t>This chapter</w:t>
      </w:r>
      <w:r>
        <w:rPr>
          <w:b/>
          <w:i/>
          <w:color w:val="7F7F7F" w:themeColor="text1" w:themeTint="80"/>
        </w:rPr>
        <w:t xml:space="preserve"> examines the efficiency of the </w:t>
      </w:r>
      <w:r w:rsidR="00147674">
        <w:rPr>
          <w:b/>
          <w:i/>
          <w:color w:val="7F7F7F" w:themeColor="text1" w:themeTint="80"/>
        </w:rPr>
        <w:t>SEE programme</w:t>
      </w:r>
      <w:r>
        <w:rPr>
          <w:b/>
          <w:i/>
          <w:color w:val="7F7F7F" w:themeColor="text1" w:themeTint="80"/>
        </w:rPr>
        <w:t xml:space="preserve">, including trends in expenditure over time and the prices paid to providers. The second half of the chapter focusses on the performance assessment and management aspects of the programme. </w:t>
      </w:r>
    </w:p>
    <w:p w14:paraId="17A0E5BA" w14:textId="77777777" w:rsidR="009B282F" w:rsidRDefault="009B282F" w:rsidP="009B282F">
      <w:pPr>
        <w:pStyle w:val="Heading2"/>
        <w:numPr>
          <w:ilvl w:val="1"/>
          <w:numId w:val="20"/>
        </w:numPr>
      </w:pPr>
      <w:bookmarkStart w:id="146" w:name="_Toc408083816"/>
      <w:bookmarkStart w:id="147" w:name="_Ref408663286"/>
      <w:bookmarkStart w:id="148" w:name="_Toc420065456"/>
      <w:r>
        <w:t>Efficiency</w:t>
      </w:r>
      <w:bookmarkEnd w:id="146"/>
      <w:bookmarkEnd w:id="147"/>
      <w:bookmarkEnd w:id="148"/>
    </w:p>
    <w:p w14:paraId="1299D356" w14:textId="0933F039" w:rsidR="009B282F" w:rsidRDefault="009B282F" w:rsidP="009B282F">
      <w:pPr>
        <w:pStyle w:val="BodyText"/>
      </w:pPr>
      <w:r>
        <w:t xml:space="preserve">Efficiency refers to the cost of </w:t>
      </w:r>
      <w:r w:rsidR="00434E52">
        <w:t xml:space="preserve">the </w:t>
      </w:r>
      <w:r>
        <w:t>programme producing outputs and outcomes. This section examine</w:t>
      </w:r>
      <w:r w:rsidR="005757F4">
        <w:t>s</w:t>
      </w:r>
      <w:r>
        <w:t xml:space="preserve"> the efficiency of </w:t>
      </w:r>
      <w:r w:rsidR="005757F4">
        <w:t xml:space="preserve">the </w:t>
      </w:r>
      <w:r w:rsidR="003C5E54">
        <w:t>SEE</w:t>
      </w:r>
      <w:r w:rsidR="005757F4">
        <w:t xml:space="preserve"> programme</w:t>
      </w:r>
      <w:r>
        <w:t xml:space="preserve">, beginning </w:t>
      </w:r>
      <w:r w:rsidR="005757F4">
        <w:t>with</w:t>
      </w:r>
      <w:r>
        <w:t xml:space="preserve"> expenditure over time.</w:t>
      </w:r>
    </w:p>
    <w:p w14:paraId="324D37A6" w14:textId="63978AA7" w:rsidR="009B282F" w:rsidRDefault="00147674" w:rsidP="009B282F">
      <w:pPr>
        <w:pStyle w:val="Heading3"/>
        <w:numPr>
          <w:ilvl w:val="2"/>
          <w:numId w:val="20"/>
        </w:numPr>
      </w:pPr>
      <w:bookmarkStart w:id="149" w:name="_Ref408440457"/>
      <w:r>
        <w:t>SEE programme</w:t>
      </w:r>
      <w:r w:rsidR="006A28F2">
        <w:t xml:space="preserve"> </w:t>
      </w:r>
      <w:r w:rsidR="009B282F">
        <w:t>expenditure</w:t>
      </w:r>
      <w:bookmarkEnd w:id="149"/>
      <w:r w:rsidR="009B282F">
        <w:t xml:space="preserve"> </w:t>
      </w:r>
    </w:p>
    <w:p w14:paraId="575CB7FD" w14:textId="47AF12D7" w:rsidR="00783980" w:rsidRDefault="00BD48FF" w:rsidP="00C205D2">
      <w:pPr>
        <w:pStyle w:val="BodyText"/>
      </w:pPr>
      <w:r>
        <w:fldChar w:fldCharType="begin"/>
      </w:r>
      <w:r>
        <w:instrText xml:space="preserve"> REF _Ref408482057 \h </w:instrText>
      </w:r>
      <w:r>
        <w:fldChar w:fldCharType="separate"/>
      </w:r>
      <w:r w:rsidR="00294A5A">
        <w:t xml:space="preserve">Figure </w:t>
      </w:r>
      <w:r w:rsidR="00294A5A">
        <w:rPr>
          <w:noProof/>
        </w:rPr>
        <w:t>35</w:t>
      </w:r>
      <w:r>
        <w:fldChar w:fldCharType="end"/>
      </w:r>
      <w:r w:rsidR="003C5E54">
        <w:t xml:space="preserve"> </w:t>
      </w:r>
      <w:r w:rsidR="00783980">
        <w:t xml:space="preserve">sets out </w:t>
      </w:r>
      <w:r w:rsidR="00147674">
        <w:t>SEE programme</w:t>
      </w:r>
      <w:r w:rsidR="006A28F2">
        <w:t xml:space="preserve"> </w:t>
      </w:r>
      <w:r w:rsidR="00783980">
        <w:t>expenditure and commencements for the last three years. It also includes the budget appropriation fo</w:t>
      </w:r>
      <w:r w:rsidR="0052048F">
        <w:t xml:space="preserve">r the programme’s </w:t>
      </w:r>
      <w:r w:rsidR="00165BC1">
        <w:t xml:space="preserve">and its </w:t>
      </w:r>
      <w:r w:rsidR="0052048F">
        <w:t>commence</w:t>
      </w:r>
      <w:r w:rsidR="00783980">
        <w:t xml:space="preserve">ment target. </w:t>
      </w:r>
    </w:p>
    <w:p w14:paraId="1B0B5934" w14:textId="4A6A2147" w:rsidR="00C205D2" w:rsidRDefault="00783980" w:rsidP="00C205D2">
      <w:pPr>
        <w:pStyle w:val="BodyText"/>
      </w:pPr>
      <w:r>
        <w:t xml:space="preserve">It shows that the </w:t>
      </w:r>
      <w:r w:rsidR="00147674">
        <w:t>SEE programme</w:t>
      </w:r>
      <w:r w:rsidR="006A28F2">
        <w:t xml:space="preserve"> </w:t>
      </w:r>
      <w:r>
        <w:t xml:space="preserve">exceeded its commencement target in 2011-12 and 2012-13, before falling 3.5 per cent short in 2013-14. Despite </w:t>
      </w:r>
      <w:r w:rsidR="005D245A">
        <w:t xml:space="preserve">typically meeting the programme’s </w:t>
      </w:r>
      <w:r>
        <w:t xml:space="preserve">commencement </w:t>
      </w:r>
      <w:r w:rsidR="005D245A">
        <w:t xml:space="preserve">targets, </w:t>
      </w:r>
      <w:r w:rsidR="0052048F">
        <w:t xml:space="preserve">SEE </w:t>
      </w:r>
      <w:r w:rsidR="005757F4">
        <w:t xml:space="preserve">programme </w:t>
      </w:r>
      <w:r w:rsidR="0052048F">
        <w:t xml:space="preserve">expenditure has averaged 11 per cent below appropriations for the last three years. </w:t>
      </w:r>
    </w:p>
    <w:p w14:paraId="1D69CFC6" w14:textId="77777777" w:rsidR="002D01FF" w:rsidRDefault="002D01FF">
      <w:pPr>
        <w:pStyle w:val="Caption"/>
      </w:pPr>
      <w:bookmarkStart w:id="150" w:name="_Ref408482057"/>
      <w:bookmarkStart w:id="151" w:name="_Toc420065495"/>
      <w:r>
        <w:t xml:space="preserve">Figure </w:t>
      </w:r>
      <w:r w:rsidR="006A2396">
        <w:fldChar w:fldCharType="begin"/>
      </w:r>
      <w:r w:rsidR="006A2396">
        <w:instrText xml:space="preserve"> SEQ Figure \* ARABIC </w:instrText>
      </w:r>
      <w:r w:rsidR="006A2396">
        <w:fldChar w:fldCharType="separate"/>
      </w:r>
      <w:r w:rsidR="00294A5A">
        <w:rPr>
          <w:noProof/>
        </w:rPr>
        <w:t>35</w:t>
      </w:r>
      <w:r w:rsidR="006A2396">
        <w:rPr>
          <w:noProof/>
        </w:rPr>
        <w:fldChar w:fldCharType="end"/>
      </w:r>
      <w:bookmarkEnd w:id="150"/>
      <w:r w:rsidRPr="004E0C91">
        <w:rPr>
          <w:b/>
          <w:color w:val="000080"/>
        </w:rPr>
        <w:tab/>
      </w:r>
      <w:r>
        <w:rPr>
          <w:rStyle w:val="CaptionLabel"/>
        </w:rPr>
        <w:t>Expenditure and budget appropriations</w:t>
      </w:r>
      <w:r w:rsidR="00C9564E">
        <w:rPr>
          <w:rStyle w:val="CaptionLabel"/>
        </w:rPr>
        <w:t xml:space="preserve">, </w:t>
      </w:r>
      <w:r w:rsidR="0052048F">
        <w:rPr>
          <w:b/>
          <w:color w:val="000000"/>
        </w:rPr>
        <w:t>201</w:t>
      </w:r>
      <w:r w:rsidR="00C9564E" w:rsidRPr="003E3657">
        <w:rPr>
          <w:b/>
          <w:color w:val="000000"/>
        </w:rPr>
        <w:t>3</w:t>
      </w:r>
      <w:r w:rsidR="0052048F">
        <w:rPr>
          <w:b/>
          <w:color w:val="000000"/>
        </w:rPr>
        <w:t>-14</w:t>
      </w:r>
      <w:r w:rsidR="00C9564E">
        <w:rPr>
          <w:b/>
          <w:color w:val="000000"/>
        </w:rPr>
        <w:t xml:space="preserve"> dollars</w:t>
      </w:r>
      <w:bookmarkEnd w:id="151"/>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2D01FF" w14:paraId="6AE60CED" w14:textId="77777777" w:rsidTr="00F861EE">
        <w:trPr>
          <w:cantSplit/>
        </w:trPr>
        <w:tc>
          <w:tcPr>
            <w:tcW w:w="5000" w:type="pct"/>
          </w:tcPr>
          <w:p w14:paraId="7F549506" w14:textId="77777777" w:rsidR="002D01FF" w:rsidRDefault="002D01FF" w:rsidP="00F861EE">
            <w:pPr>
              <w:pStyle w:val="SmallDeltasRightAligned"/>
              <w:keepNext/>
            </w:pPr>
            <w:r>
              <w:rPr>
                <w:noProof/>
                <w:lang w:eastAsia="en-AU"/>
              </w:rPr>
              <w:drawing>
                <wp:inline distT="0" distB="0" distL="0" distR="0" wp14:anchorId="04A159FD" wp14:editId="3D05F4B6">
                  <wp:extent cx="481585" cy="23469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2D01FF" w14:paraId="645F2EAC" w14:textId="77777777" w:rsidTr="00783980">
        <w:tblPrEx>
          <w:tblCellMar>
            <w:left w:w="108" w:type="dxa"/>
            <w:right w:w="108" w:type="dxa"/>
          </w:tblCellMar>
        </w:tblPrEx>
        <w:trPr>
          <w:cantSplit/>
        </w:trPr>
        <w:tc>
          <w:tcPr>
            <w:tcW w:w="5000" w:type="pct"/>
          </w:tcPr>
          <w:p w14:paraId="168AC2C8" w14:textId="77777777" w:rsidR="002D01FF" w:rsidRDefault="00783980" w:rsidP="00F861EE">
            <w:pPr>
              <w:pStyle w:val="Figure"/>
            </w:pPr>
            <w:r>
              <w:rPr>
                <w:noProof/>
                <w:lang w:eastAsia="en-AU"/>
              </w:rPr>
              <w:drawing>
                <wp:inline distT="0" distB="0" distL="0" distR="0" wp14:anchorId="2889ADA1" wp14:editId="42528594">
                  <wp:extent cx="4543425" cy="2726055"/>
                  <wp:effectExtent l="0" t="0" r="0" b="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bl>
    <w:p w14:paraId="328E6948" w14:textId="77777777" w:rsidR="002D01FF" w:rsidRDefault="002D01FF">
      <w:pPr>
        <w:pStyle w:val="Note"/>
      </w:pPr>
      <w:r>
        <w:rPr>
          <w:i/>
        </w:rPr>
        <w:t>Note:</w:t>
      </w:r>
      <w:r>
        <w:t xml:space="preserve"> </w:t>
      </w:r>
      <w:r w:rsidR="0052048F">
        <w:t>In 2013-14 dollars. Real data generated using the ABS Ge</w:t>
      </w:r>
      <w:r w:rsidR="0052048F" w:rsidRPr="0069443D">
        <w:t>neral</w:t>
      </w:r>
      <w:r w:rsidR="0052048F">
        <w:t xml:space="preserve"> </w:t>
      </w:r>
      <w:r w:rsidR="0052048F" w:rsidRPr="0069443D">
        <w:t>Government</w:t>
      </w:r>
      <w:r w:rsidR="0052048F">
        <w:t xml:space="preserve"> </w:t>
      </w:r>
      <w:r w:rsidR="0052048F" w:rsidRPr="0069443D">
        <w:t>Final</w:t>
      </w:r>
      <w:r w:rsidR="0052048F">
        <w:t xml:space="preserve"> </w:t>
      </w:r>
      <w:r w:rsidR="0052048F" w:rsidRPr="0069443D">
        <w:t>Consumption</w:t>
      </w:r>
      <w:r w:rsidR="0052048F">
        <w:t xml:space="preserve"> Expenditure </w:t>
      </w:r>
      <w:r w:rsidR="0052048F" w:rsidRPr="0069443D">
        <w:t>Chain</w:t>
      </w:r>
      <w:r w:rsidR="0052048F">
        <w:t xml:space="preserve"> P</w:t>
      </w:r>
      <w:r w:rsidR="0052048F" w:rsidRPr="0069443D">
        <w:t>rice</w:t>
      </w:r>
      <w:r w:rsidR="0052048F">
        <w:t xml:space="preserve"> </w:t>
      </w:r>
      <w:r w:rsidR="0052048F" w:rsidRPr="0069443D">
        <w:t>Index</w:t>
      </w:r>
      <w:r w:rsidR="0052048F">
        <w:t xml:space="preserve"> (ABS </w:t>
      </w:r>
      <w:r w:rsidR="0052048F" w:rsidRPr="00A462D3">
        <w:t>5204.0</w:t>
      </w:r>
      <w:r w:rsidR="0052048F">
        <w:t xml:space="preserve">, </w:t>
      </w:r>
      <w:r w:rsidR="0052048F" w:rsidRPr="00A462D3">
        <w:t>Series ID</w:t>
      </w:r>
      <w:r w:rsidR="0052048F">
        <w:t xml:space="preserve"> </w:t>
      </w:r>
      <w:r w:rsidR="0052048F" w:rsidRPr="00A462D3">
        <w:t>A2420885A</w:t>
      </w:r>
      <w:r w:rsidR="0052048F">
        <w:t>) and 2014-15 MYEFO CPI forecasts.</w:t>
      </w:r>
    </w:p>
    <w:p w14:paraId="1C69BF1B" w14:textId="651F6B82" w:rsidR="002D01FF" w:rsidRPr="00B50A1B" w:rsidRDefault="002D01FF" w:rsidP="00F861EE">
      <w:pPr>
        <w:pStyle w:val="Source"/>
        <w:rPr>
          <w:i/>
        </w:rPr>
      </w:pPr>
      <w:r>
        <w:t>S</w:t>
      </w:r>
      <w:r w:rsidRPr="00B50A1B">
        <w:t>ource:</w:t>
      </w:r>
      <w:r w:rsidRPr="00954EED">
        <w:t xml:space="preserve"> </w:t>
      </w:r>
      <w:r w:rsidR="007A143E">
        <w:t>SEE programme</w:t>
      </w:r>
      <w:r w:rsidR="006A28F2">
        <w:t xml:space="preserve"> </w:t>
      </w:r>
      <w:r w:rsidR="007A143E">
        <w:t>e</w:t>
      </w:r>
      <w:r w:rsidR="0052048F">
        <w:t xml:space="preserve">xpenditure </w:t>
      </w:r>
      <w:r w:rsidR="007A143E">
        <w:t>d</w:t>
      </w:r>
      <w:r w:rsidR="0052048F">
        <w:t>ataset</w:t>
      </w:r>
    </w:p>
    <w:p w14:paraId="082121E0" w14:textId="240BAB1C" w:rsidR="005C56A0" w:rsidRDefault="00147674" w:rsidP="00387B26">
      <w:pPr>
        <w:pStyle w:val="BodyText"/>
      </w:pPr>
      <w:r>
        <w:t>SEE programme</w:t>
      </w:r>
      <w:r w:rsidR="006A28F2">
        <w:t xml:space="preserve"> </w:t>
      </w:r>
      <w:r w:rsidR="0052048F">
        <w:t xml:space="preserve">expenditure per commencement has averaged </w:t>
      </w:r>
      <w:r w:rsidR="0052048F" w:rsidRPr="0052048F">
        <w:t>$4,206</w:t>
      </w:r>
      <w:r w:rsidR="005D245A">
        <w:t xml:space="preserve"> and remained steady</w:t>
      </w:r>
      <w:r w:rsidR="0052048F">
        <w:t xml:space="preserve"> over the last three years. </w:t>
      </w:r>
      <w:r w:rsidR="00BD48FF">
        <w:fldChar w:fldCharType="begin"/>
      </w:r>
      <w:r w:rsidR="00BD48FF">
        <w:instrText xml:space="preserve"> REF _Ref408482061 \h </w:instrText>
      </w:r>
      <w:r w:rsidR="00BD48FF">
        <w:fldChar w:fldCharType="separate"/>
      </w:r>
      <w:r w:rsidR="00294A5A">
        <w:t xml:space="preserve">Figure </w:t>
      </w:r>
      <w:r w:rsidR="00294A5A">
        <w:rPr>
          <w:noProof/>
        </w:rPr>
        <w:t>36</w:t>
      </w:r>
      <w:r w:rsidR="00BD48FF">
        <w:fldChar w:fldCharType="end"/>
      </w:r>
      <w:r w:rsidR="0052048F">
        <w:t xml:space="preserve"> shows expenditure </w:t>
      </w:r>
      <w:r w:rsidR="0052048F" w:rsidRPr="0052048F">
        <w:t>per commencement by state/territory</w:t>
      </w:r>
      <w:r w:rsidR="0052048F">
        <w:t xml:space="preserve">. Expenditure per commencement is highest in NT and Tasmania, and lowest in Victoria and SA. </w:t>
      </w:r>
    </w:p>
    <w:p w14:paraId="1FD54162" w14:textId="308369AE" w:rsidR="00C9296C" w:rsidRDefault="005C56A0" w:rsidP="00E8274A">
      <w:pPr>
        <w:pStyle w:val="ListDash"/>
      </w:pPr>
      <w:r>
        <w:t xml:space="preserve">Differences </w:t>
      </w:r>
      <w:r w:rsidRPr="00E8274A">
        <w:rPr>
          <w:i/>
        </w:rPr>
        <w:t>between states</w:t>
      </w:r>
      <w:r>
        <w:t xml:space="preserve"> are likely due to </w:t>
      </w:r>
      <w:r w:rsidR="00505B12">
        <w:t xml:space="preserve">the contracted cost of delivery within each state which is in turn driven by the combined effects of local costs of delivery, the population dispersion of the state, the level of price competition, and the effects of </w:t>
      </w:r>
      <w:r w:rsidR="0067668A">
        <w:t xml:space="preserve">economies of scale. </w:t>
      </w:r>
    </w:p>
    <w:p w14:paraId="59CDB056" w14:textId="517D1437" w:rsidR="00505B12" w:rsidRDefault="00505B12" w:rsidP="00E8274A">
      <w:pPr>
        <w:pStyle w:val="ListDash"/>
      </w:pPr>
      <w:r>
        <w:t xml:space="preserve">Differences from year-to-year </w:t>
      </w:r>
      <w:r w:rsidRPr="00E8274A">
        <w:rPr>
          <w:i/>
        </w:rPr>
        <w:t>within states</w:t>
      </w:r>
      <w:r>
        <w:t xml:space="preserve"> can only be attributed to either changes in the retention rate (i.e. the number of hours per commencement) or shifts in market share between providers that may be contracted at a higher or lower rate per hour.</w:t>
      </w:r>
    </w:p>
    <w:p w14:paraId="533A0685" w14:textId="77777777" w:rsidR="002D01FF" w:rsidRDefault="002D01FF">
      <w:pPr>
        <w:pStyle w:val="Caption"/>
      </w:pPr>
      <w:bookmarkStart w:id="152" w:name="_Ref408482061"/>
      <w:bookmarkStart w:id="153" w:name="_Toc420065496"/>
      <w:r>
        <w:t xml:space="preserve">Figure </w:t>
      </w:r>
      <w:r w:rsidR="006A2396">
        <w:fldChar w:fldCharType="begin"/>
      </w:r>
      <w:r w:rsidR="006A2396">
        <w:instrText xml:space="preserve"> SEQ Figure \* ARABIC </w:instrText>
      </w:r>
      <w:r w:rsidR="006A2396">
        <w:fldChar w:fldCharType="separate"/>
      </w:r>
      <w:r w:rsidR="00294A5A">
        <w:rPr>
          <w:noProof/>
        </w:rPr>
        <w:t>36</w:t>
      </w:r>
      <w:r w:rsidR="006A2396">
        <w:rPr>
          <w:noProof/>
        </w:rPr>
        <w:fldChar w:fldCharType="end"/>
      </w:r>
      <w:bookmarkEnd w:id="152"/>
      <w:r w:rsidRPr="004E0C91">
        <w:rPr>
          <w:b/>
          <w:color w:val="000080"/>
        </w:rPr>
        <w:tab/>
      </w:r>
      <w:r>
        <w:rPr>
          <w:rStyle w:val="CaptionLabel"/>
        </w:rPr>
        <w:t xml:space="preserve">Expenditure </w:t>
      </w:r>
      <w:r w:rsidR="00F045A6">
        <w:rPr>
          <w:rStyle w:val="CaptionLabel"/>
        </w:rPr>
        <w:t xml:space="preserve">per commencement </w:t>
      </w:r>
      <w:r>
        <w:rPr>
          <w:rStyle w:val="CaptionLabel"/>
        </w:rPr>
        <w:t>by state</w:t>
      </w:r>
      <w:r w:rsidR="0052048F">
        <w:rPr>
          <w:rStyle w:val="CaptionLabel"/>
        </w:rPr>
        <w:t>/territory</w:t>
      </w:r>
      <w:r w:rsidR="00C9564E">
        <w:rPr>
          <w:rStyle w:val="CaptionLabel"/>
        </w:rPr>
        <w:t xml:space="preserve">, </w:t>
      </w:r>
      <w:r w:rsidR="00C9564E" w:rsidRPr="003E3657">
        <w:rPr>
          <w:b/>
          <w:color w:val="000000"/>
        </w:rPr>
        <w:t>2012-13</w:t>
      </w:r>
      <w:r w:rsidR="00C9564E">
        <w:rPr>
          <w:b/>
          <w:color w:val="000000"/>
        </w:rPr>
        <w:t xml:space="preserve"> dollars</w:t>
      </w:r>
      <w:bookmarkEnd w:id="153"/>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2D01FF" w14:paraId="7F00F32C" w14:textId="77777777" w:rsidTr="00F861EE">
        <w:trPr>
          <w:cantSplit/>
        </w:trPr>
        <w:tc>
          <w:tcPr>
            <w:tcW w:w="5000" w:type="pct"/>
          </w:tcPr>
          <w:p w14:paraId="741905D0" w14:textId="77777777" w:rsidR="002D01FF" w:rsidRDefault="002D01FF" w:rsidP="00F861EE">
            <w:pPr>
              <w:pStyle w:val="SmallDeltasRightAligned"/>
              <w:keepNext/>
            </w:pPr>
            <w:r>
              <w:rPr>
                <w:noProof/>
                <w:lang w:eastAsia="en-AU"/>
              </w:rPr>
              <w:drawing>
                <wp:inline distT="0" distB="0" distL="0" distR="0" wp14:anchorId="7E7F05D1" wp14:editId="6A0F1AF5">
                  <wp:extent cx="481585" cy="2346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2D01FF" w14:paraId="0F41A4B5" w14:textId="77777777" w:rsidTr="009160AD">
        <w:tblPrEx>
          <w:tblCellMar>
            <w:left w:w="108" w:type="dxa"/>
            <w:right w:w="108" w:type="dxa"/>
          </w:tblCellMar>
        </w:tblPrEx>
        <w:trPr>
          <w:cantSplit/>
        </w:trPr>
        <w:tc>
          <w:tcPr>
            <w:tcW w:w="5000" w:type="pct"/>
          </w:tcPr>
          <w:p w14:paraId="627DCD80" w14:textId="77777777" w:rsidR="002D01FF" w:rsidRDefault="009160AD" w:rsidP="00F861EE">
            <w:pPr>
              <w:pStyle w:val="Figure"/>
            </w:pPr>
            <w:r>
              <w:rPr>
                <w:noProof/>
                <w:lang w:eastAsia="en-AU"/>
              </w:rPr>
              <w:drawing>
                <wp:inline distT="0" distB="0" distL="0" distR="0" wp14:anchorId="608A28E8" wp14:editId="72DB4964">
                  <wp:extent cx="4543425" cy="2726055"/>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r>
    </w:tbl>
    <w:p w14:paraId="64587B3C" w14:textId="77777777" w:rsidR="002D01FF" w:rsidRDefault="002D01FF">
      <w:pPr>
        <w:pStyle w:val="Note"/>
      </w:pPr>
      <w:r>
        <w:rPr>
          <w:i/>
        </w:rPr>
        <w:t>Note:</w:t>
      </w:r>
      <w:r>
        <w:t xml:space="preserve"> </w:t>
      </w:r>
      <w:r w:rsidR="00CC3161">
        <w:t>In 2012-13 dollars. Real data generated using the ABS Ge</w:t>
      </w:r>
      <w:r w:rsidR="00CC3161" w:rsidRPr="0069443D">
        <w:t>neral</w:t>
      </w:r>
      <w:r w:rsidR="00CC3161">
        <w:t xml:space="preserve"> </w:t>
      </w:r>
      <w:r w:rsidR="00CC3161" w:rsidRPr="0069443D">
        <w:t>Government</w:t>
      </w:r>
      <w:r w:rsidR="00CC3161">
        <w:t xml:space="preserve"> </w:t>
      </w:r>
      <w:r w:rsidR="00CC3161" w:rsidRPr="0069443D">
        <w:t>Final</w:t>
      </w:r>
      <w:r w:rsidR="00CC3161">
        <w:t xml:space="preserve"> </w:t>
      </w:r>
      <w:r w:rsidR="00CC3161" w:rsidRPr="0069443D">
        <w:t>Consumption</w:t>
      </w:r>
      <w:r w:rsidR="00CC3161">
        <w:t xml:space="preserve"> Expenditure </w:t>
      </w:r>
      <w:r w:rsidR="00CC3161" w:rsidRPr="0069443D">
        <w:t>Chain</w:t>
      </w:r>
      <w:r w:rsidR="00CC3161">
        <w:t xml:space="preserve"> P</w:t>
      </w:r>
      <w:r w:rsidR="00CC3161" w:rsidRPr="0069443D">
        <w:t>rice</w:t>
      </w:r>
      <w:r w:rsidR="00CC3161">
        <w:t xml:space="preserve"> </w:t>
      </w:r>
      <w:r w:rsidR="00CC3161" w:rsidRPr="0069443D">
        <w:t>Index</w:t>
      </w:r>
      <w:r w:rsidR="00CC3161">
        <w:t xml:space="preserve"> (ABS </w:t>
      </w:r>
      <w:r w:rsidR="00CC3161" w:rsidRPr="00A462D3">
        <w:t>5204.0</w:t>
      </w:r>
      <w:r w:rsidR="00CC3161">
        <w:t xml:space="preserve">, </w:t>
      </w:r>
      <w:r w:rsidR="00CC3161" w:rsidRPr="00A462D3">
        <w:t>Series ID</w:t>
      </w:r>
      <w:r w:rsidR="00CC3161">
        <w:t xml:space="preserve"> </w:t>
      </w:r>
      <w:r w:rsidR="00CC3161" w:rsidRPr="00A462D3">
        <w:t>A2420885A</w:t>
      </w:r>
      <w:r w:rsidR="00CC3161">
        <w:t>).</w:t>
      </w:r>
    </w:p>
    <w:p w14:paraId="317C9194" w14:textId="73B8F1DB" w:rsidR="002D01FF" w:rsidRPr="00B50A1B" w:rsidRDefault="002D01FF" w:rsidP="00F861EE">
      <w:pPr>
        <w:pStyle w:val="Source"/>
        <w:rPr>
          <w:i/>
        </w:rPr>
      </w:pPr>
      <w:r>
        <w:t>S</w:t>
      </w:r>
      <w:r w:rsidRPr="00B50A1B">
        <w:t>ource:</w:t>
      </w:r>
      <w:r w:rsidRPr="00954EED">
        <w:t xml:space="preserve"> </w:t>
      </w:r>
      <w:r w:rsidR="006A28F2">
        <w:t xml:space="preserve">SEE </w:t>
      </w:r>
      <w:r w:rsidR="007A143E">
        <w:t>p</w:t>
      </w:r>
      <w:r w:rsidR="006A28F2">
        <w:t xml:space="preserve">rogramme </w:t>
      </w:r>
      <w:r w:rsidR="007A143E">
        <w:t>e</w:t>
      </w:r>
      <w:r w:rsidR="00CC3161">
        <w:t xml:space="preserve">xpenditure </w:t>
      </w:r>
      <w:r w:rsidR="007A143E">
        <w:t>d</w:t>
      </w:r>
      <w:r w:rsidR="00CC3161">
        <w:t>ataset</w:t>
      </w:r>
    </w:p>
    <w:p w14:paraId="67EBBBFE" w14:textId="77777777" w:rsidR="009B282F" w:rsidRPr="009B282F" w:rsidRDefault="009B282F" w:rsidP="009B282F">
      <w:pPr>
        <w:pStyle w:val="BodyText"/>
      </w:pP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9B282F" w14:paraId="343F9EE0" w14:textId="77777777" w:rsidTr="00F842C5">
        <w:tc>
          <w:tcPr>
            <w:tcW w:w="5000" w:type="pct"/>
            <w:shd w:val="pct12" w:color="auto" w:fill="auto"/>
          </w:tcPr>
          <w:p w14:paraId="5997EBD8" w14:textId="77777777" w:rsidR="009B282F" w:rsidRDefault="009B282F" w:rsidP="00F842C5">
            <w:pPr>
              <w:pStyle w:val="Caption"/>
              <w:spacing w:before="120" w:after="60"/>
              <w:ind w:left="1112" w:hanging="1112"/>
              <w:rPr>
                <w:rFonts w:ascii="Arial Bold" w:hAnsi="Arial Bold"/>
                <w:color w:val="000080"/>
              </w:rPr>
            </w:pPr>
            <w:r>
              <w:t xml:space="preserve">Key Finding </w:t>
            </w:r>
            <w:r w:rsidR="006A2396">
              <w:fldChar w:fldCharType="begin"/>
            </w:r>
            <w:r w:rsidR="006A2396">
              <w:instrText xml:space="preserve"> SEQ Key_Finding \* ARABIC </w:instrText>
            </w:r>
            <w:r w:rsidR="006A2396">
              <w:fldChar w:fldCharType="separate"/>
            </w:r>
            <w:r w:rsidR="00294A5A">
              <w:rPr>
                <w:noProof/>
              </w:rPr>
              <w:t>17</w:t>
            </w:r>
            <w:r w:rsidR="006A2396">
              <w:rPr>
                <w:noProof/>
              </w:rPr>
              <w:fldChar w:fldCharType="end"/>
            </w:r>
          </w:p>
        </w:tc>
      </w:tr>
      <w:tr w:rsidR="009B282F" w14:paraId="40D98C9F" w14:textId="77777777" w:rsidTr="00F842C5">
        <w:tc>
          <w:tcPr>
            <w:tcW w:w="5000" w:type="pct"/>
            <w:shd w:val="pct12" w:color="auto" w:fill="auto"/>
          </w:tcPr>
          <w:p w14:paraId="07BED650" w14:textId="648B6F8A" w:rsidR="009B282F" w:rsidRDefault="009B282F" w:rsidP="00F842C5">
            <w:pPr>
              <w:pStyle w:val="BoxText"/>
            </w:pPr>
            <w:r>
              <w:t xml:space="preserve">The real Government cost per </w:t>
            </w:r>
            <w:r w:rsidR="00CC3161">
              <w:t>SEE</w:t>
            </w:r>
            <w:r w:rsidR="005757F4">
              <w:t xml:space="preserve"> programme</w:t>
            </w:r>
            <w:r w:rsidR="00CC3161">
              <w:t xml:space="preserve"> commencement</w:t>
            </w:r>
            <w:r>
              <w:t xml:space="preserve"> is </w:t>
            </w:r>
            <w:r w:rsidR="00CC3161" w:rsidRPr="0052048F">
              <w:t>$4,206</w:t>
            </w:r>
            <w:r w:rsidR="00CC3161">
              <w:t xml:space="preserve"> </w:t>
            </w:r>
            <w:r>
              <w:t xml:space="preserve">in 2013-14. Expenditure per </w:t>
            </w:r>
            <w:r w:rsidR="00CC3161">
              <w:t xml:space="preserve">commencement </w:t>
            </w:r>
            <w:r>
              <w:t xml:space="preserve">has </w:t>
            </w:r>
            <w:r w:rsidR="005D245A">
              <w:t xml:space="preserve">remained </w:t>
            </w:r>
            <w:r>
              <w:t xml:space="preserve">steady over the last </w:t>
            </w:r>
            <w:r w:rsidR="00CC3161">
              <w:t xml:space="preserve">three </w:t>
            </w:r>
            <w:r>
              <w:t>years</w:t>
            </w:r>
            <w:r w:rsidR="005D245A">
              <w:t>, but there is considerable variation between states</w:t>
            </w:r>
            <w:r w:rsidR="008D0896">
              <w:t xml:space="preserve"> and territories</w:t>
            </w:r>
            <w:r>
              <w:t xml:space="preserve">. </w:t>
            </w:r>
          </w:p>
          <w:p w14:paraId="3F3073DC" w14:textId="77777777" w:rsidR="009B282F" w:rsidRPr="00090BC6" w:rsidRDefault="009B282F" w:rsidP="00F842C5">
            <w:pPr>
              <w:pStyle w:val="SmallDeltasRightAligned"/>
            </w:pPr>
            <w:r w:rsidRPr="00090BC6">
              <w:rPr>
                <w:noProof/>
                <w:lang w:eastAsia="en-AU"/>
              </w:rPr>
              <w:drawing>
                <wp:inline distT="0" distB="0" distL="0" distR="0" wp14:anchorId="312C60ED" wp14:editId="0E8F30D4">
                  <wp:extent cx="481585" cy="23469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B282F" w14:paraId="666372B1" w14:textId="77777777" w:rsidTr="00F842C5">
        <w:trPr>
          <w:trHeight w:hRule="exact" w:val="80"/>
        </w:trPr>
        <w:tc>
          <w:tcPr>
            <w:tcW w:w="5000" w:type="pct"/>
            <w:shd w:val="pct12" w:color="auto" w:fill="auto"/>
          </w:tcPr>
          <w:p w14:paraId="74F49776" w14:textId="77777777" w:rsidR="009B282F" w:rsidRDefault="009B282F" w:rsidP="00F842C5">
            <w:pPr>
              <w:spacing w:before="160"/>
            </w:pPr>
            <w:r>
              <w:t xml:space="preserve"> </w:t>
            </w:r>
          </w:p>
        </w:tc>
      </w:tr>
    </w:tbl>
    <w:p w14:paraId="5D3296DC" w14:textId="6A47E9A0" w:rsidR="00FD667F" w:rsidRDefault="00FD667F" w:rsidP="00FD667F">
      <w:pPr>
        <w:pStyle w:val="Heading2"/>
        <w:numPr>
          <w:ilvl w:val="1"/>
          <w:numId w:val="20"/>
        </w:numPr>
      </w:pPr>
      <w:bookmarkStart w:id="154" w:name="_Toc407380318"/>
      <w:bookmarkStart w:id="155" w:name="_Toc420065457"/>
      <w:r>
        <w:t>Performance assessment and management</w:t>
      </w:r>
      <w:bookmarkEnd w:id="154"/>
      <w:bookmarkEnd w:id="155"/>
    </w:p>
    <w:p w14:paraId="78D255FB" w14:textId="6EB02457" w:rsidR="00FD667F" w:rsidRDefault="00FD667F" w:rsidP="00FD667F">
      <w:pPr>
        <w:pStyle w:val="BodyText"/>
      </w:pPr>
      <w:r>
        <w:t xml:space="preserve">The </w:t>
      </w:r>
      <w:r w:rsidR="00147674">
        <w:t>SEE programme</w:t>
      </w:r>
      <w:r w:rsidR="006A28F2">
        <w:t xml:space="preserve"> </w:t>
      </w:r>
      <w:r>
        <w:t>performance assessment and management framework has five major components:</w:t>
      </w:r>
    </w:p>
    <w:p w14:paraId="383969C8" w14:textId="7F83560F" w:rsidR="00FD667F" w:rsidRDefault="00ED7910" w:rsidP="00FD667F">
      <w:pPr>
        <w:pStyle w:val="ListDash"/>
      </w:pPr>
      <w:r>
        <w:t>a</w:t>
      </w:r>
      <w:r w:rsidR="00FD667F">
        <w:t xml:space="preserve">ssessment </w:t>
      </w:r>
    </w:p>
    <w:p w14:paraId="0D9BF134" w14:textId="77777777" w:rsidR="00FD667F" w:rsidRDefault="00FD667F" w:rsidP="00FD667F">
      <w:pPr>
        <w:pStyle w:val="ListDash"/>
      </w:pPr>
      <w:r>
        <w:t>SEE Online</w:t>
      </w:r>
    </w:p>
    <w:p w14:paraId="32811FAC" w14:textId="766F0F45" w:rsidR="00FD667F" w:rsidRDefault="005525D2" w:rsidP="00FD667F">
      <w:pPr>
        <w:pStyle w:val="ListDash"/>
      </w:pPr>
      <w:r>
        <w:t>SEE</w:t>
      </w:r>
      <w:r w:rsidRPr="007628A8">
        <w:t xml:space="preserve"> </w:t>
      </w:r>
      <w:r w:rsidR="00ED7910" w:rsidRPr="007628A8">
        <w:t>provider reporting</w:t>
      </w:r>
    </w:p>
    <w:p w14:paraId="1EA8E3C6" w14:textId="6497D39B" w:rsidR="00FD667F" w:rsidRPr="007628A8" w:rsidRDefault="00ED7910" w:rsidP="00FD667F">
      <w:pPr>
        <w:pStyle w:val="ListDash"/>
      </w:pPr>
      <w:r>
        <w:t xml:space="preserve">key performance indicators </w:t>
      </w:r>
      <w:r w:rsidR="00FD667F">
        <w:t>(KPIs)</w:t>
      </w:r>
    </w:p>
    <w:p w14:paraId="5036F80C" w14:textId="0FAEEFF2" w:rsidR="00FD667F" w:rsidRPr="007628A8" w:rsidRDefault="00ED7910" w:rsidP="00FD667F">
      <w:pPr>
        <w:pStyle w:val="ListDash"/>
      </w:pPr>
      <w:r>
        <w:t>a</w:t>
      </w:r>
      <w:r w:rsidR="00FD667F" w:rsidRPr="007628A8">
        <w:t>uditing and quality assurance</w:t>
      </w:r>
    </w:p>
    <w:p w14:paraId="67D6CB62" w14:textId="77777777" w:rsidR="00FD667F" w:rsidRDefault="00FD667F" w:rsidP="00FD667F">
      <w:pPr>
        <w:keepNext/>
        <w:numPr>
          <w:ilvl w:val="2"/>
          <w:numId w:val="20"/>
        </w:numPr>
        <w:spacing w:before="300" w:after="0" w:line="270" w:lineRule="exact"/>
        <w:outlineLvl w:val="2"/>
        <w:rPr>
          <w:rFonts w:asciiTheme="majorHAnsi" w:hAnsiTheme="majorHAnsi"/>
          <w:b/>
          <w:color w:val="9757A6" w:themeColor="text2"/>
          <w:sz w:val="22"/>
          <w:lang w:eastAsia="en-AU"/>
        </w:rPr>
      </w:pPr>
      <w:bookmarkStart w:id="156" w:name="_Ref408695340"/>
      <w:r w:rsidRPr="00EB2205">
        <w:rPr>
          <w:rFonts w:asciiTheme="majorHAnsi" w:hAnsiTheme="majorHAnsi"/>
          <w:b/>
          <w:color w:val="9757A6" w:themeColor="text2"/>
          <w:sz w:val="22"/>
          <w:lang w:eastAsia="en-AU"/>
        </w:rPr>
        <w:t>Assessment</w:t>
      </w:r>
      <w:bookmarkEnd w:id="156"/>
    </w:p>
    <w:p w14:paraId="36456570" w14:textId="7B197233" w:rsidR="00FD667F" w:rsidRPr="00EB2205" w:rsidRDefault="00FD667F" w:rsidP="00FD667F">
      <w:pPr>
        <w:pStyle w:val="BodyText"/>
      </w:pPr>
      <w:r>
        <w:t xml:space="preserve">The </w:t>
      </w:r>
      <w:r w:rsidR="00147674">
        <w:t>SEE programme</w:t>
      </w:r>
      <w:r w:rsidR="006A28F2">
        <w:t xml:space="preserve"> </w:t>
      </w:r>
      <w:r>
        <w:t xml:space="preserve">uses two types of assessments – the </w:t>
      </w:r>
      <w:r w:rsidRPr="008712A9">
        <w:t>Pre-Training Assessments (PTA)</w:t>
      </w:r>
      <w:r>
        <w:t xml:space="preserve"> and the Interval </w:t>
      </w:r>
      <w:r w:rsidR="00ED7910">
        <w:t xml:space="preserve">Progress Assessment </w:t>
      </w:r>
      <w:r>
        <w:t xml:space="preserve">(IPA). The PTA </w:t>
      </w:r>
      <w:r w:rsidR="00BB218E">
        <w:t>and the</w:t>
      </w:r>
      <w:r>
        <w:t xml:space="preserve"> IPAs are developed by </w:t>
      </w:r>
      <w:r w:rsidR="005525D2">
        <w:t xml:space="preserve">SEE </w:t>
      </w:r>
      <w:r>
        <w:t xml:space="preserve">providers. Both assessments are part of the process that allows the Department to assess the performance of </w:t>
      </w:r>
      <w:r w:rsidR="005525D2">
        <w:t xml:space="preserve">SEE </w:t>
      </w:r>
      <w:r>
        <w:t xml:space="preserve">providers and the </w:t>
      </w:r>
      <w:r w:rsidR="00147674">
        <w:t>SEE programme</w:t>
      </w:r>
      <w:r w:rsidR="006A28F2">
        <w:t xml:space="preserve"> </w:t>
      </w:r>
      <w:r>
        <w:t xml:space="preserve">more generally. </w:t>
      </w:r>
    </w:p>
    <w:p w14:paraId="1F5156AD" w14:textId="77777777" w:rsidR="00FD667F" w:rsidRPr="00D1593E" w:rsidRDefault="00FD667F" w:rsidP="00FD667F">
      <w:pPr>
        <w:pStyle w:val="Heading5"/>
        <w:numPr>
          <w:ilvl w:val="4"/>
          <w:numId w:val="20"/>
        </w:numPr>
      </w:pPr>
      <w:r w:rsidRPr="00D1593E">
        <w:t>Pre-Training Assessments (PTA)</w:t>
      </w:r>
    </w:p>
    <w:p w14:paraId="0E76EE49" w14:textId="48CDD407" w:rsidR="00FD667F" w:rsidRDefault="00FD667F" w:rsidP="00FD667F">
      <w:pPr>
        <w:pStyle w:val="BodyText"/>
      </w:pPr>
      <w:r>
        <w:t>A PTA is an assessment conducted by a qualified Training Assessor, to determine the appropriate skill level of the client (job seeker) at the time of referral. A PTA is required in order to assess the LLN skills of the client and thus determine their most appropriate training stream. Applying the ACSF, the Training Assessor is required to grade the client against the five core skills and develop an Individual Training Plan (ITP).</w:t>
      </w:r>
      <w:r w:rsidRPr="00967747">
        <w:t xml:space="preserve"> </w:t>
      </w:r>
      <w:r>
        <w:t>The</w:t>
      </w:r>
      <w:r w:rsidRPr="00967747">
        <w:t xml:space="preserve"> PTA </w:t>
      </w:r>
      <w:r>
        <w:t xml:space="preserve">is </w:t>
      </w:r>
      <w:r w:rsidRPr="00967747">
        <w:t>undertaken at the initial job seeker appointment and prior to commencement of training.</w:t>
      </w:r>
    </w:p>
    <w:p w14:paraId="03A02C48" w14:textId="1A5F6FE7" w:rsidR="00FD667F" w:rsidRDefault="00FD667F" w:rsidP="00FD667F">
      <w:pPr>
        <w:pStyle w:val="Heading5"/>
        <w:numPr>
          <w:ilvl w:val="4"/>
          <w:numId w:val="20"/>
        </w:numPr>
      </w:pPr>
      <w:r>
        <w:t xml:space="preserve">Interval </w:t>
      </w:r>
      <w:r w:rsidR="00ED7910">
        <w:t xml:space="preserve">Progress Assessment </w:t>
      </w:r>
      <w:r>
        <w:t>(IPA)</w:t>
      </w:r>
    </w:p>
    <w:p w14:paraId="32CF7DC1" w14:textId="7EBD9DEB" w:rsidR="00FD667F" w:rsidRDefault="00FD667F" w:rsidP="00FD667F">
      <w:pPr>
        <w:pStyle w:val="BodyText"/>
      </w:pPr>
      <w:r>
        <w:t xml:space="preserve">An IPA is an assessment that is undertaken to determine a client’s level of attainment against the ACSF, across all five core skills. IPAs are developed by </w:t>
      </w:r>
      <w:r w:rsidR="005525D2">
        <w:t xml:space="preserve">SEE </w:t>
      </w:r>
      <w:r>
        <w:t xml:space="preserve">providers and can be undertaken at any time during a client’s training, but must be completed at least once in every 200 hours of training. Satisfactory client progress is demonstrated by the client achieving at least eight full ACSF indicators within 800 hours of training or proportionate to the hours of training completed. </w:t>
      </w:r>
      <w:r w:rsidR="005525D2">
        <w:t xml:space="preserve">SEE </w:t>
      </w:r>
      <w:r>
        <w:t>providers must record attainment of a minimum of two ACSF indicators to permit satisfactory progress to be attained.</w:t>
      </w:r>
    </w:p>
    <w:p w14:paraId="5D182669" w14:textId="1923427A" w:rsidR="00FD667F" w:rsidRDefault="00FD667F" w:rsidP="00FD667F">
      <w:pPr>
        <w:spacing w:line="280" w:lineRule="exact"/>
        <w:rPr>
          <w:sz w:val="22"/>
          <w:szCs w:val="22"/>
          <w:lang w:eastAsia="en-AU"/>
        </w:rPr>
      </w:pPr>
      <w:r>
        <w:rPr>
          <w:sz w:val="22"/>
          <w:szCs w:val="22"/>
          <w:lang w:eastAsia="en-AU"/>
        </w:rPr>
        <w:t xml:space="preserve">Some </w:t>
      </w:r>
      <w:r w:rsidR="001212AF">
        <w:rPr>
          <w:sz w:val="22"/>
          <w:szCs w:val="22"/>
          <w:lang w:eastAsia="en-AU"/>
        </w:rPr>
        <w:t xml:space="preserve">SEE </w:t>
      </w:r>
      <w:r>
        <w:rPr>
          <w:sz w:val="22"/>
          <w:szCs w:val="22"/>
          <w:lang w:eastAsia="en-AU"/>
        </w:rPr>
        <w:t xml:space="preserve">providers consider the PTA a comprehensive assessment of clients’ LLN skills and needs while others see the </w:t>
      </w:r>
      <w:r w:rsidRPr="000B7B0A">
        <w:rPr>
          <w:sz w:val="22"/>
          <w:szCs w:val="22"/>
          <w:lang w:eastAsia="en-AU"/>
        </w:rPr>
        <w:t xml:space="preserve">PTA process </w:t>
      </w:r>
      <w:r>
        <w:rPr>
          <w:sz w:val="22"/>
          <w:szCs w:val="22"/>
          <w:lang w:eastAsia="en-AU"/>
        </w:rPr>
        <w:t xml:space="preserve">as </w:t>
      </w:r>
      <w:r w:rsidRPr="000B7B0A">
        <w:rPr>
          <w:sz w:val="22"/>
          <w:szCs w:val="22"/>
          <w:lang w:eastAsia="en-AU"/>
        </w:rPr>
        <w:t xml:space="preserve">too lengthy and cumbersome. </w:t>
      </w:r>
      <w:r w:rsidR="00A44A8F">
        <w:rPr>
          <w:sz w:val="22"/>
          <w:szCs w:val="22"/>
          <w:lang w:eastAsia="en-AU"/>
        </w:rPr>
        <w:t>SEE providers</w:t>
      </w:r>
      <w:r>
        <w:rPr>
          <w:sz w:val="22"/>
          <w:szCs w:val="22"/>
          <w:lang w:eastAsia="en-AU"/>
        </w:rPr>
        <w:t xml:space="preserve"> indicate there may be an opportunity for information sharing between the AMEP and </w:t>
      </w:r>
      <w:r w:rsidR="00147674">
        <w:rPr>
          <w:sz w:val="22"/>
          <w:szCs w:val="22"/>
          <w:lang w:eastAsia="en-AU"/>
        </w:rPr>
        <w:t>SEE programme</w:t>
      </w:r>
      <w:r w:rsidR="006A28F2">
        <w:rPr>
          <w:sz w:val="22"/>
          <w:szCs w:val="22"/>
          <w:lang w:eastAsia="en-AU"/>
        </w:rPr>
        <w:t xml:space="preserve"> </w:t>
      </w:r>
      <w:r>
        <w:rPr>
          <w:sz w:val="22"/>
          <w:szCs w:val="22"/>
          <w:lang w:eastAsia="en-AU"/>
        </w:rPr>
        <w:t>as clients transition from one to the other</w:t>
      </w:r>
      <w:r w:rsidR="001212AF">
        <w:rPr>
          <w:sz w:val="22"/>
          <w:szCs w:val="22"/>
          <w:lang w:eastAsia="en-AU"/>
        </w:rPr>
        <w:t>,</w:t>
      </w:r>
      <w:r>
        <w:rPr>
          <w:sz w:val="22"/>
          <w:szCs w:val="22"/>
          <w:lang w:eastAsia="en-AU"/>
        </w:rPr>
        <w:t xml:space="preserve"> which may reduce the time needed to undertake the PTA</w:t>
      </w:r>
      <w:r w:rsidR="00BB218E">
        <w:rPr>
          <w:sz w:val="22"/>
          <w:szCs w:val="22"/>
          <w:lang w:eastAsia="en-AU"/>
        </w:rPr>
        <w:t xml:space="preserve"> for former AMEP </w:t>
      </w:r>
      <w:r w:rsidR="009F420D">
        <w:rPr>
          <w:sz w:val="22"/>
          <w:szCs w:val="22"/>
          <w:lang w:eastAsia="en-AU"/>
        </w:rPr>
        <w:t>clients</w:t>
      </w:r>
      <w:r>
        <w:rPr>
          <w:sz w:val="22"/>
          <w:szCs w:val="22"/>
          <w:lang w:eastAsia="en-AU"/>
        </w:rPr>
        <w:t xml:space="preserve">. </w:t>
      </w:r>
    </w:p>
    <w:p w14:paraId="0286670F" w14:textId="455547D6" w:rsidR="00FD667F" w:rsidRDefault="00FD667F" w:rsidP="00FD667F">
      <w:pPr>
        <w:spacing w:line="280" w:lineRule="exact"/>
        <w:rPr>
          <w:sz w:val="22"/>
          <w:szCs w:val="22"/>
          <w:lang w:eastAsia="en-AU"/>
        </w:rPr>
      </w:pPr>
      <w:r>
        <w:rPr>
          <w:sz w:val="22"/>
          <w:szCs w:val="22"/>
          <w:lang w:eastAsia="en-AU"/>
        </w:rPr>
        <w:t xml:space="preserve">Many </w:t>
      </w:r>
      <w:r w:rsidR="005525D2">
        <w:rPr>
          <w:sz w:val="22"/>
          <w:szCs w:val="22"/>
          <w:lang w:eastAsia="en-AU"/>
        </w:rPr>
        <w:t xml:space="preserve">SEE </w:t>
      </w:r>
      <w:r>
        <w:rPr>
          <w:sz w:val="22"/>
          <w:szCs w:val="22"/>
          <w:lang w:eastAsia="en-AU"/>
        </w:rPr>
        <w:t xml:space="preserve">providers see the IPA process as unduly time consuming as teachers must develop ACSF-compliant and curriculum-compliant assessment tasks for each client. </w:t>
      </w:r>
    </w:p>
    <w:p w14:paraId="792C66EA" w14:textId="77777777" w:rsidR="00FD667F" w:rsidRDefault="00FD667F" w:rsidP="00FD667F">
      <w:pPr>
        <w:pStyle w:val="Quote"/>
      </w:pPr>
      <w:r w:rsidRPr="00376C6A">
        <w:t>The administrative burden is huge, time consuming and overwhelming. It could be streamlined much more - especially the amount of reporting required on the ACFS</w:t>
      </w:r>
      <w:r>
        <w:t>.</w:t>
      </w:r>
    </w:p>
    <w:p w14:paraId="37750F41" w14:textId="77777777" w:rsidR="00FD667F" w:rsidRDefault="00FD667F" w:rsidP="00FD667F">
      <w:pPr>
        <w:pStyle w:val="QuoteSource"/>
      </w:pPr>
      <w:r>
        <w:t>Survey respondent</w:t>
      </w:r>
    </w:p>
    <w:p w14:paraId="20D6FEEA" w14:textId="77777777" w:rsidR="00FD667F" w:rsidRDefault="00FD667F" w:rsidP="00FD667F">
      <w:pPr>
        <w:pStyle w:val="Quote"/>
      </w:pPr>
      <w:r w:rsidRPr="00376C6A">
        <w:t xml:space="preserve">Admin processes are important for accountability and ensuring excellence.  However most teachers say they are more than they have had to do in any other teaching position and the amount of admin impacts </w:t>
      </w:r>
      <w:r>
        <w:t xml:space="preserve">negatively on staff retention. </w:t>
      </w:r>
      <w:r w:rsidRPr="00376C6A">
        <w:t>Reduction or simplification of reporting processes would be welcomed!</w:t>
      </w:r>
    </w:p>
    <w:p w14:paraId="72FE29BA" w14:textId="77777777" w:rsidR="00FD667F" w:rsidRDefault="00FD667F" w:rsidP="00FD667F">
      <w:pPr>
        <w:pStyle w:val="QuoteSource"/>
      </w:pPr>
      <w:r>
        <w:t>Survey respondent</w:t>
      </w:r>
    </w:p>
    <w:p w14:paraId="1B93B2CB" w14:textId="77777777" w:rsidR="00FD667F" w:rsidRDefault="00FD667F" w:rsidP="00FD667F">
      <w:pPr>
        <w:pStyle w:val="Quote"/>
      </w:pPr>
      <w:r w:rsidRPr="00894EB9">
        <w:t>Our members report that the requirement to assess and report against both the ACSF and a curriculum framework such as the EAL Frameworks or the CGEA creates a double assessment workload for teachers in developing and implementing assessment tasks. While tasks can sometimes be mapped to cover both the ACSF and the relevant curriculum framework, the very specific criteria of each framework means that separate tasks are often required.</w:t>
      </w:r>
    </w:p>
    <w:p w14:paraId="0C3ED0B8" w14:textId="77777777" w:rsidR="00FD667F" w:rsidRPr="00894EB9" w:rsidRDefault="00FD667F" w:rsidP="00FD667F">
      <w:pPr>
        <w:pStyle w:val="QuoteSource"/>
      </w:pPr>
      <w:r>
        <w:t>AEU submission</w:t>
      </w:r>
    </w:p>
    <w:p w14:paraId="60D9D472" w14:textId="30513811" w:rsidR="00FD667F" w:rsidRDefault="00FD667F" w:rsidP="00FD667F">
      <w:pPr>
        <w:spacing w:line="280" w:lineRule="exact"/>
        <w:rPr>
          <w:sz w:val="22"/>
          <w:szCs w:val="22"/>
          <w:lang w:eastAsia="en-AU"/>
        </w:rPr>
      </w:pPr>
      <w:r>
        <w:rPr>
          <w:sz w:val="22"/>
          <w:szCs w:val="22"/>
          <w:lang w:eastAsia="en-AU"/>
        </w:rPr>
        <w:t>Some suggest a similar arrangement to the AMEP Assessment Task Bank (ATB) may assist with reducing this burden and would increase consistency in assessment across the programme, although others argue an ATB would reduce provider flexibility</w:t>
      </w:r>
      <w:r w:rsidR="00BB218E">
        <w:rPr>
          <w:sz w:val="22"/>
          <w:szCs w:val="22"/>
          <w:lang w:eastAsia="en-AU"/>
        </w:rPr>
        <w:t xml:space="preserve"> and result i</w:t>
      </w:r>
      <w:r w:rsidR="00ED7910">
        <w:rPr>
          <w:sz w:val="22"/>
          <w:szCs w:val="22"/>
          <w:lang w:eastAsia="en-AU"/>
        </w:rPr>
        <w:t>n</w:t>
      </w:r>
      <w:r w:rsidR="00BB218E">
        <w:rPr>
          <w:sz w:val="22"/>
          <w:szCs w:val="22"/>
          <w:lang w:eastAsia="en-AU"/>
        </w:rPr>
        <w:t xml:space="preserve"> training and assessment being less contextualised</w:t>
      </w:r>
      <w:r>
        <w:rPr>
          <w:sz w:val="22"/>
          <w:szCs w:val="22"/>
          <w:lang w:eastAsia="en-AU"/>
        </w:rPr>
        <w:t xml:space="preserve">. </w:t>
      </w:r>
    </w:p>
    <w:p w14:paraId="1FB7FCB2" w14:textId="7F4C5E73" w:rsidR="00FD667F" w:rsidRDefault="00FD667F" w:rsidP="00FD667F">
      <w:pPr>
        <w:spacing w:line="280" w:lineRule="exact"/>
        <w:rPr>
          <w:sz w:val="22"/>
          <w:szCs w:val="22"/>
          <w:lang w:eastAsia="en-AU"/>
        </w:rPr>
      </w:pPr>
      <w:r>
        <w:rPr>
          <w:sz w:val="22"/>
          <w:szCs w:val="22"/>
          <w:lang w:eastAsia="en-AU"/>
        </w:rPr>
        <w:t>Other providers argue that 200 hours of training is too regular an interval to be administering the IPA as LLN skills development is not linear. It may be the case that clients see no ACSF improvement for many hours of training before witnessing an increase in many performance indic</w:t>
      </w:r>
      <w:r w:rsidR="00935FAC">
        <w:rPr>
          <w:sz w:val="22"/>
          <w:szCs w:val="22"/>
          <w:lang w:eastAsia="en-AU"/>
        </w:rPr>
        <w:t>a</w:t>
      </w:r>
      <w:r>
        <w:rPr>
          <w:sz w:val="22"/>
          <w:szCs w:val="22"/>
          <w:lang w:eastAsia="en-AU"/>
        </w:rPr>
        <w:t xml:space="preserve">tors. </w:t>
      </w:r>
    </w:p>
    <w:p w14:paraId="706605FD" w14:textId="77777777" w:rsidR="00FD667F" w:rsidRDefault="00FD667F" w:rsidP="00FD667F">
      <w:pPr>
        <w:pStyle w:val="Quote"/>
      </w:pPr>
      <w:r w:rsidRPr="00970AEF">
        <w:t xml:space="preserve">Students do not improve in one ACSF indicator at a time as all skills are integrated both in teaching delivery and in learner development, nor do students improve skills at regular intervals.  </w:t>
      </w:r>
    </w:p>
    <w:p w14:paraId="1500A623" w14:textId="77777777" w:rsidR="00FD667F" w:rsidRPr="00970AEF" w:rsidRDefault="00FD667F" w:rsidP="00FD667F">
      <w:pPr>
        <w:pStyle w:val="QuoteSource"/>
      </w:pPr>
      <w:r>
        <w:t>Survey respondent</w:t>
      </w:r>
    </w:p>
    <w:p w14:paraId="54F23D7E" w14:textId="77777777" w:rsidR="00FD667F" w:rsidRPr="00EB2205" w:rsidRDefault="00FD667F" w:rsidP="00FD667F">
      <w:pPr>
        <w:spacing w:line="280" w:lineRule="exact"/>
        <w:rPr>
          <w:sz w:val="22"/>
          <w:szCs w:val="22"/>
          <w:lang w:eastAsia="en-AU"/>
        </w:rPr>
      </w:pPr>
      <w:r>
        <w:rPr>
          <w:sz w:val="22"/>
          <w:szCs w:val="22"/>
          <w:lang w:eastAsia="en-AU"/>
        </w:rPr>
        <w:t xml:space="preserve">As noted in </w:t>
      </w:r>
      <w:r>
        <w:rPr>
          <w:sz w:val="22"/>
          <w:szCs w:val="22"/>
          <w:lang w:eastAsia="en-AU"/>
        </w:rPr>
        <w:fldChar w:fldCharType="begin"/>
      </w:r>
      <w:r>
        <w:rPr>
          <w:sz w:val="22"/>
          <w:szCs w:val="22"/>
          <w:lang w:eastAsia="en-AU"/>
        </w:rPr>
        <w:instrText xml:space="preserve"> REF _Ref408691900 \r \h </w:instrText>
      </w:r>
      <w:r>
        <w:rPr>
          <w:sz w:val="22"/>
          <w:szCs w:val="22"/>
          <w:lang w:eastAsia="en-AU"/>
        </w:rPr>
      </w:r>
      <w:r>
        <w:rPr>
          <w:sz w:val="22"/>
          <w:szCs w:val="22"/>
          <w:lang w:eastAsia="en-AU"/>
        </w:rPr>
        <w:fldChar w:fldCharType="separate"/>
      </w:r>
      <w:r w:rsidR="00294A5A">
        <w:rPr>
          <w:sz w:val="22"/>
          <w:szCs w:val="22"/>
          <w:lang w:eastAsia="en-AU"/>
        </w:rPr>
        <w:t>6.2.4</w:t>
      </w:r>
      <w:r>
        <w:rPr>
          <w:sz w:val="22"/>
          <w:szCs w:val="22"/>
          <w:lang w:eastAsia="en-AU"/>
        </w:rPr>
        <w:fldChar w:fldCharType="end"/>
      </w:r>
      <w:r>
        <w:rPr>
          <w:sz w:val="22"/>
          <w:szCs w:val="22"/>
          <w:lang w:eastAsia="en-AU"/>
        </w:rPr>
        <w:t xml:space="preserve"> below, the change in KPI 2 has led to some providers administering IPAs every 100 hours.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FD667F" w:rsidRPr="00EB2205" w14:paraId="39153C49" w14:textId="77777777" w:rsidTr="006C1337">
        <w:tc>
          <w:tcPr>
            <w:tcW w:w="5000" w:type="pct"/>
            <w:shd w:val="pct12" w:color="auto" w:fill="auto"/>
          </w:tcPr>
          <w:p w14:paraId="6C2DEE20" w14:textId="55D44D70" w:rsidR="00FD667F" w:rsidRPr="00EB2205" w:rsidRDefault="00FD667F" w:rsidP="006C1337">
            <w:pPr>
              <w:keepNext/>
              <w:spacing w:after="60"/>
              <w:ind w:left="1112" w:hanging="1112"/>
              <w:outlineLvl w:val="8"/>
              <w:rPr>
                <w:rFonts w:ascii="Arial Bold" w:hAnsi="Arial Bold" w:cs="Arial"/>
                <w:color w:val="000080"/>
                <w:sz w:val="20"/>
              </w:rPr>
            </w:pPr>
            <w:r w:rsidRPr="00EB2205">
              <w:rPr>
                <w:rFonts w:asciiTheme="majorHAnsi" w:hAnsiTheme="majorHAnsi" w:cs="Arial"/>
                <w:sz w:val="20"/>
              </w:rPr>
              <w:t xml:space="preserve">Key Finding </w:t>
            </w:r>
            <w:r w:rsidRPr="00EB2205">
              <w:rPr>
                <w:rFonts w:asciiTheme="majorHAnsi" w:hAnsiTheme="majorHAnsi" w:cs="Arial"/>
                <w:sz w:val="20"/>
              </w:rPr>
              <w:fldChar w:fldCharType="begin"/>
            </w:r>
            <w:r w:rsidRPr="00EB2205">
              <w:rPr>
                <w:rFonts w:asciiTheme="majorHAnsi" w:hAnsiTheme="majorHAnsi" w:cs="Arial"/>
                <w:sz w:val="20"/>
              </w:rPr>
              <w:instrText xml:space="preserve"> SEQ Key_Finding \* ARABIC </w:instrText>
            </w:r>
            <w:r w:rsidRPr="00EB2205">
              <w:rPr>
                <w:rFonts w:asciiTheme="majorHAnsi" w:hAnsiTheme="majorHAnsi" w:cs="Arial"/>
                <w:sz w:val="20"/>
              </w:rPr>
              <w:fldChar w:fldCharType="separate"/>
            </w:r>
            <w:r w:rsidR="00294A5A">
              <w:rPr>
                <w:rFonts w:asciiTheme="majorHAnsi" w:hAnsiTheme="majorHAnsi" w:cs="Arial"/>
                <w:noProof/>
                <w:sz w:val="20"/>
              </w:rPr>
              <w:t>18</w:t>
            </w:r>
            <w:r w:rsidRPr="00EB2205">
              <w:rPr>
                <w:rFonts w:asciiTheme="majorHAnsi" w:hAnsiTheme="majorHAnsi" w:cs="Arial"/>
                <w:noProof/>
                <w:sz w:val="20"/>
              </w:rPr>
              <w:fldChar w:fldCharType="end"/>
            </w:r>
          </w:p>
        </w:tc>
      </w:tr>
      <w:tr w:rsidR="00FD667F" w:rsidRPr="00EB2205" w14:paraId="657967AC" w14:textId="77777777" w:rsidTr="006C1337">
        <w:tc>
          <w:tcPr>
            <w:tcW w:w="5000" w:type="pct"/>
            <w:shd w:val="pct12" w:color="auto" w:fill="auto"/>
          </w:tcPr>
          <w:p w14:paraId="7EB67D54" w14:textId="1B4BFCF7" w:rsidR="00FD667F" w:rsidRDefault="00FD667F" w:rsidP="006C1337">
            <w:pPr>
              <w:keepNext/>
              <w:keepLines/>
              <w:spacing w:before="80" w:after="40" w:line="220" w:lineRule="exact"/>
              <w:rPr>
                <w:sz w:val="20"/>
                <w:szCs w:val="22"/>
                <w:lang w:eastAsia="en-AU"/>
              </w:rPr>
            </w:pPr>
            <w:r>
              <w:rPr>
                <w:sz w:val="20"/>
                <w:szCs w:val="22"/>
                <w:lang w:eastAsia="en-AU"/>
              </w:rPr>
              <w:t xml:space="preserve">The PTA is an important part of client orientation, initial assessment and training planning. Some providers argue the PTA can be too long and cumbersome. </w:t>
            </w:r>
          </w:p>
          <w:p w14:paraId="39F3044A" w14:textId="15393531" w:rsidR="00FD667F" w:rsidRPr="00EB2205" w:rsidRDefault="00FD667F" w:rsidP="006C1337">
            <w:pPr>
              <w:keepNext/>
              <w:keepLines/>
              <w:spacing w:before="80" w:after="40" w:line="220" w:lineRule="exact"/>
              <w:rPr>
                <w:sz w:val="20"/>
                <w:szCs w:val="22"/>
                <w:lang w:eastAsia="en-AU"/>
              </w:rPr>
            </w:pPr>
            <w:r>
              <w:rPr>
                <w:sz w:val="20"/>
                <w:szCs w:val="22"/>
                <w:lang w:eastAsia="en-AU"/>
              </w:rPr>
              <w:t xml:space="preserve">The IPAs allow the </w:t>
            </w:r>
            <w:r w:rsidR="00147674">
              <w:rPr>
                <w:sz w:val="20"/>
                <w:szCs w:val="22"/>
                <w:lang w:eastAsia="en-AU"/>
              </w:rPr>
              <w:t>SEE programme</w:t>
            </w:r>
            <w:r w:rsidR="006A28F2">
              <w:rPr>
                <w:sz w:val="20"/>
                <w:szCs w:val="22"/>
                <w:lang w:eastAsia="en-AU"/>
              </w:rPr>
              <w:t xml:space="preserve"> </w:t>
            </w:r>
            <w:r>
              <w:rPr>
                <w:sz w:val="20"/>
                <w:szCs w:val="22"/>
                <w:lang w:eastAsia="en-AU"/>
              </w:rPr>
              <w:t xml:space="preserve">to track client LLN improvement on ACSF performance indicators and are an important part of the programme’s KPIs. </w:t>
            </w:r>
            <w:r w:rsidR="00A44A8F">
              <w:rPr>
                <w:sz w:val="20"/>
                <w:szCs w:val="22"/>
                <w:lang w:eastAsia="en-AU"/>
              </w:rPr>
              <w:t>SEE p</w:t>
            </w:r>
            <w:r>
              <w:rPr>
                <w:sz w:val="20"/>
                <w:szCs w:val="22"/>
                <w:lang w:eastAsia="en-AU"/>
              </w:rPr>
              <w:t xml:space="preserve">roviders </w:t>
            </w:r>
            <w:r w:rsidR="00A44A8F">
              <w:rPr>
                <w:sz w:val="20"/>
                <w:szCs w:val="22"/>
                <w:lang w:eastAsia="en-AU"/>
              </w:rPr>
              <w:t xml:space="preserve">view </w:t>
            </w:r>
            <w:r>
              <w:rPr>
                <w:sz w:val="20"/>
                <w:szCs w:val="22"/>
                <w:lang w:eastAsia="en-AU"/>
              </w:rPr>
              <w:t>the regular assessments as</w:t>
            </w:r>
            <w:r w:rsidRPr="00EB2205">
              <w:rPr>
                <w:sz w:val="20"/>
                <w:szCs w:val="22"/>
                <w:lang w:eastAsia="en-AU"/>
              </w:rPr>
              <w:t xml:space="preserve"> </w:t>
            </w:r>
            <w:r>
              <w:rPr>
                <w:sz w:val="20"/>
                <w:szCs w:val="22"/>
                <w:lang w:eastAsia="en-AU"/>
              </w:rPr>
              <w:t xml:space="preserve">unduly time consuming and some argue an assessment task bank would reduce administration and increase consistency </w:t>
            </w:r>
            <w:r w:rsidRPr="000C2C56">
              <w:rPr>
                <w:sz w:val="20"/>
                <w:szCs w:val="22"/>
                <w:lang w:eastAsia="en-AU"/>
              </w:rPr>
              <w:t>in assessment across the programme</w:t>
            </w:r>
            <w:r>
              <w:rPr>
                <w:sz w:val="20"/>
                <w:szCs w:val="22"/>
                <w:lang w:eastAsia="en-AU"/>
              </w:rPr>
              <w:t>.</w:t>
            </w:r>
          </w:p>
          <w:p w14:paraId="3AF85FA1" w14:textId="77777777" w:rsidR="00FD667F" w:rsidRPr="00EB2205" w:rsidRDefault="00FD667F" w:rsidP="006C1337">
            <w:pPr>
              <w:spacing w:before="0" w:after="0" w:line="240" w:lineRule="auto"/>
              <w:jc w:val="right"/>
            </w:pPr>
            <w:r w:rsidRPr="00EB2205">
              <w:rPr>
                <w:noProof/>
                <w:lang w:eastAsia="en-AU"/>
              </w:rPr>
              <w:drawing>
                <wp:inline distT="0" distB="0" distL="0" distR="0" wp14:anchorId="0A19481F" wp14:editId="06F07A13">
                  <wp:extent cx="481585" cy="234696"/>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D667F" w:rsidRPr="00EB2205" w14:paraId="5BED6D6D" w14:textId="77777777" w:rsidTr="006C1337">
        <w:trPr>
          <w:trHeight w:hRule="exact" w:val="80"/>
        </w:trPr>
        <w:tc>
          <w:tcPr>
            <w:tcW w:w="5000" w:type="pct"/>
            <w:shd w:val="pct12" w:color="auto" w:fill="auto"/>
          </w:tcPr>
          <w:p w14:paraId="7D8B168F" w14:textId="77777777" w:rsidR="00FD667F" w:rsidRPr="00EB2205" w:rsidRDefault="00FD667F" w:rsidP="006C1337">
            <w:pPr>
              <w:spacing w:before="160"/>
            </w:pPr>
            <w:r w:rsidRPr="00EB2205">
              <w:t xml:space="preserve"> </w:t>
            </w:r>
          </w:p>
        </w:tc>
      </w:tr>
    </w:tbl>
    <w:p w14:paraId="3E8BC3A4" w14:textId="77777777" w:rsidR="00FD667F" w:rsidRPr="00EB2205" w:rsidRDefault="00FD667F" w:rsidP="00FD667F">
      <w:pPr>
        <w:keepNext/>
        <w:numPr>
          <w:ilvl w:val="2"/>
          <w:numId w:val="20"/>
        </w:numPr>
        <w:spacing w:before="300" w:after="0" w:line="270" w:lineRule="exact"/>
        <w:outlineLvl w:val="2"/>
        <w:rPr>
          <w:rFonts w:asciiTheme="majorHAnsi" w:hAnsiTheme="majorHAnsi"/>
          <w:b/>
          <w:color w:val="9757A6" w:themeColor="text2"/>
          <w:sz w:val="22"/>
          <w:lang w:eastAsia="en-AU"/>
        </w:rPr>
      </w:pPr>
      <w:r>
        <w:rPr>
          <w:rFonts w:asciiTheme="majorHAnsi" w:hAnsiTheme="majorHAnsi"/>
          <w:b/>
          <w:color w:val="9757A6" w:themeColor="text2"/>
          <w:sz w:val="22"/>
          <w:lang w:eastAsia="en-AU"/>
        </w:rPr>
        <w:t>SEE Online</w:t>
      </w:r>
    </w:p>
    <w:p w14:paraId="12DD4AA4" w14:textId="68CD52AA" w:rsidR="00FD667F" w:rsidRDefault="00FD667F" w:rsidP="00FD667F">
      <w:pPr>
        <w:pStyle w:val="BodyText"/>
      </w:pPr>
      <w:r>
        <w:t xml:space="preserve">SEE Online is the online database used by </w:t>
      </w:r>
      <w:r w:rsidR="00896BBD">
        <w:t xml:space="preserve">SEE </w:t>
      </w:r>
      <w:r>
        <w:t xml:space="preserve">providers to record service delivery details and training activities. It also provides payment for services delivered to providers </w:t>
      </w:r>
      <w:sdt>
        <w:sdtPr>
          <w:id w:val="898164776"/>
          <w:citation/>
        </w:sdtPr>
        <w:sdtEndPr/>
        <w:sdtContent>
          <w:r>
            <w:fldChar w:fldCharType="begin"/>
          </w:r>
          <w:r>
            <w:instrText xml:space="preserve"> CITATION Aus13 \l 3081 </w:instrText>
          </w:r>
          <w:r>
            <w:fldChar w:fldCharType="separate"/>
          </w:r>
          <w:r w:rsidR="00B66B50">
            <w:rPr>
              <w:noProof/>
            </w:rPr>
            <w:t>(Australian Government, 2013)</w:t>
          </w:r>
          <w:r>
            <w:fldChar w:fldCharType="end"/>
          </w:r>
        </w:sdtContent>
      </w:sdt>
      <w:r>
        <w:t>.</w:t>
      </w:r>
    </w:p>
    <w:p w14:paraId="4E8523CF" w14:textId="27E92AF0" w:rsidR="00FD667F" w:rsidRPr="00EB2205" w:rsidRDefault="00FD667F" w:rsidP="00207DA7">
      <w:pPr>
        <w:pStyle w:val="BodyText"/>
      </w:pPr>
      <w:r>
        <w:t xml:space="preserve">Unless otherwise specified in programme documentation, the contracted </w:t>
      </w:r>
      <w:r w:rsidR="003F533B">
        <w:t xml:space="preserve">SEE </w:t>
      </w:r>
      <w:r>
        <w:t xml:space="preserve">provider must regularly submit invoices payable to it via SEE Online. </w:t>
      </w:r>
      <w:r w:rsidRPr="00CF6612">
        <w:t>Data on provider performanc</w:t>
      </w:r>
      <w:r>
        <w:t xml:space="preserve">e is extracted from the SEE Online system, and is used in the generation of the annual and/or </w:t>
      </w:r>
      <w:r w:rsidRPr="0054144E">
        <w:rPr>
          <w:i/>
        </w:rPr>
        <w:t>ad hoc</w:t>
      </w:r>
      <w:r>
        <w:t xml:space="preserve"> reports prepared for the Department </w:t>
      </w:r>
      <w:sdt>
        <w:sdtPr>
          <w:id w:val="880516758"/>
          <w:citation/>
        </w:sdtPr>
        <w:sdtEndPr/>
        <w:sdtContent>
          <w:r>
            <w:fldChar w:fldCharType="begin"/>
          </w:r>
          <w:r>
            <w:instrText xml:space="preserve"> CITATION Dep134 \l 3081 </w:instrText>
          </w:r>
          <w:r>
            <w:fldChar w:fldCharType="separate"/>
          </w:r>
          <w:r w:rsidR="00B66B50">
            <w:rPr>
              <w:noProof/>
            </w:rPr>
            <w:t>(Department of Industry, 2013)</w:t>
          </w:r>
          <w:r>
            <w:fldChar w:fldCharType="end"/>
          </w:r>
        </w:sdtContent>
      </w:sdt>
      <w:r>
        <w:t>.</w:t>
      </w:r>
    </w:p>
    <w:p w14:paraId="64BB98CF" w14:textId="4EBA5DF6" w:rsidR="00FD667F" w:rsidRDefault="00FD667F" w:rsidP="00FD667F">
      <w:pPr>
        <w:spacing w:line="280" w:lineRule="exact"/>
        <w:rPr>
          <w:sz w:val="22"/>
          <w:szCs w:val="22"/>
          <w:lang w:eastAsia="en-AU"/>
        </w:rPr>
      </w:pPr>
      <w:r w:rsidRPr="00EB2205">
        <w:rPr>
          <w:sz w:val="22"/>
          <w:szCs w:val="22"/>
          <w:lang w:eastAsia="en-AU"/>
        </w:rPr>
        <w:t xml:space="preserve">Consultations for this evaluation revealed that stakeholder views on </w:t>
      </w:r>
      <w:r>
        <w:rPr>
          <w:sz w:val="22"/>
          <w:szCs w:val="22"/>
          <w:lang w:eastAsia="en-AU"/>
        </w:rPr>
        <w:t>SEE Online</w:t>
      </w:r>
      <w:r w:rsidRPr="00EB2205">
        <w:rPr>
          <w:sz w:val="22"/>
          <w:szCs w:val="22"/>
          <w:lang w:eastAsia="en-AU"/>
        </w:rPr>
        <w:t xml:space="preserve"> vary. Some consider </w:t>
      </w:r>
      <w:r>
        <w:rPr>
          <w:sz w:val="22"/>
          <w:szCs w:val="22"/>
          <w:lang w:eastAsia="en-AU"/>
        </w:rPr>
        <w:t xml:space="preserve">it to have </w:t>
      </w:r>
      <w:r w:rsidR="001212AF">
        <w:rPr>
          <w:sz w:val="22"/>
          <w:szCs w:val="22"/>
          <w:lang w:eastAsia="en-AU"/>
        </w:rPr>
        <w:t xml:space="preserve">reasonable </w:t>
      </w:r>
      <w:r>
        <w:rPr>
          <w:sz w:val="22"/>
          <w:szCs w:val="22"/>
          <w:lang w:eastAsia="en-AU"/>
        </w:rPr>
        <w:t xml:space="preserve">usability </w:t>
      </w:r>
      <w:r w:rsidRPr="00EB2205">
        <w:rPr>
          <w:sz w:val="22"/>
          <w:szCs w:val="22"/>
          <w:lang w:eastAsia="en-AU"/>
        </w:rPr>
        <w:t>while others argue there is significant scope to make it more user</w:t>
      </w:r>
      <w:r w:rsidR="00935FAC">
        <w:rPr>
          <w:sz w:val="22"/>
          <w:szCs w:val="22"/>
          <w:lang w:eastAsia="en-AU"/>
        </w:rPr>
        <w:t>-</w:t>
      </w:r>
      <w:r w:rsidRPr="00EB2205">
        <w:rPr>
          <w:sz w:val="22"/>
          <w:szCs w:val="22"/>
          <w:lang w:eastAsia="en-AU"/>
        </w:rPr>
        <w:t xml:space="preserve">friendly. </w:t>
      </w:r>
    </w:p>
    <w:p w14:paraId="0BE22A86" w14:textId="5EB372F1" w:rsidR="00FD667F" w:rsidRDefault="00FD667F" w:rsidP="00FD667F">
      <w:pPr>
        <w:spacing w:line="280" w:lineRule="exact"/>
        <w:rPr>
          <w:sz w:val="22"/>
          <w:szCs w:val="22"/>
          <w:lang w:eastAsia="en-AU"/>
        </w:rPr>
      </w:pPr>
      <w:r>
        <w:rPr>
          <w:sz w:val="22"/>
          <w:szCs w:val="22"/>
          <w:lang w:eastAsia="en-AU"/>
        </w:rPr>
        <w:t xml:space="preserve">SEE Online could be modified to allow it to interface with </w:t>
      </w:r>
      <w:r w:rsidRPr="00912209">
        <w:rPr>
          <w:sz w:val="22"/>
          <w:szCs w:val="22"/>
          <w:lang w:eastAsia="en-AU"/>
        </w:rPr>
        <w:t>AVETMISS-compliant system</w:t>
      </w:r>
      <w:r>
        <w:rPr>
          <w:sz w:val="22"/>
          <w:szCs w:val="22"/>
          <w:lang w:eastAsia="en-AU"/>
        </w:rPr>
        <w:t>s which all RTOs operate</w:t>
      </w:r>
      <w:r w:rsidR="00ED7910">
        <w:rPr>
          <w:sz w:val="22"/>
          <w:szCs w:val="22"/>
          <w:lang w:eastAsia="en-AU"/>
        </w:rPr>
        <w:t>,</w:t>
      </w:r>
      <w:r>
        <w:rPr>
          <w:sz w:val="22"/>
          <w:szCs w:val="22"/>
          <w:lang w:eastAsia="en-AU"/>
        </w:rPr>
        <w:t xml:space="preserve"> reduc</w:t>
      </w:r>
      <w:r w:rsidR="00ED7910">
        <w:rPr>
          <w:sz w:val="22"/>
          <w:szCs w:val="22"/>
          <w:lang w:eastAsia="en-AU"/>
        </w:rPr>
        <w:t>ing</w:t>
      </w:r>
      <w:r>
        <w:rPr>
          <w:sz w:val="22"/>
          <w:szCs w:val="22"/>
          <w:lang w:eastAsia="en-AU"/>
        </w:rPr>
        <w:t xml:space="preserve"> the need to </w:t>
      </w:r>
      <w:r w:rsidRPr="00912209">
        <w:rPr>
          <w:sz w:val="22"/>
          <w:szCs w:val="22"/>
          <w:lang w:eastAsia="en-AU"/>
        </w:rPr>
        <w:t xml:space="preserve">manually enter data both on </w:t>
      </w:r>
      <w:r>
        <w:rPr>
          <w:sz w:val="22"/>
          <w:szCs w:val="22"/>
          <w:lang w:eastAsia="en-AU"/>
        </w:rPr>
        <w:t>the AVETMISS compliant system</w:t>
      </w:r>
      <w:r w:rsidRPr="00912209">
        <w:rPr>
          <w:sz w:val="22"/>
          <w:szCs w:val="22"/>
          <w:lang w:eastAsia="en-AU"/>
        </w:rPr>
        <w:t xml:space="preserve"> and </w:t>
      </w:r>
      <w:r>
        <w:rPr>
          <w:sz w:val="22"/>
          <w:szCs w:val="22"/>
          <w:lang w:eastAsia="en-AU"/>
        </w:rPr>
        <w:t xml:space="preserve">on </w:t>
      </w:r>
      <w:r w:rsidRPr="00912209">
        <w:rPr>
          <w:sz w:val="22"/>
          <w:szCs w:val="22"/>
          <w:lang w:eastAsia="en-AU"/>
        </w:rPr>
        <w:t>SEE Online.</w:t>
      </w:r>
      <w:r>
        <w:rPr>
          <w:sz w:val="22"/>
          <w:szCs w:val="22"/>
          <w:lang w:eastAsia="en-AU"/>
        </w:rPr>
        <w:t xml:space="preserve"> </w:t>
      </w:r>
      <w:r w:rsidR="00A44A8F">
        <w:rPr>
          <w:sz w:val="22"/>
          <w:szCs w:val="22"/>
          <w:lang w:eastAsia="en-AU"/>
        </w:rPr>
        <w:t>SEE providers</w:t>
      </w:r>
      <w:r>
        <w:rPr>
          <w:sz w:val="22"/>
          <w:szCs w:val="22"/>
          <w:lang w:eastAsia="en-AU"/>
        </w:rPr>
        <w:t xml:space="preserve"> would also benefit from being able to run </w:t>
      </w:r>
      <w:r w:rsidR="00730E7F">
        <w:rPr>
          <w:sz w:val="22"/>
          <w:szCs w:val="22"/>
          <w:lang w:eastAsia="en-AU"/>
        </w:rPr>
        <w:t xml:space="preserve">customised </w:t>
      </w:r>
      <w:r>
        <w:rPr>
          <w:sz w:val="22"/>
          <w:szCs w:val="22"/>
          <w:lang w:eastAsia="en-AU"/>
        </w:rPr>
        <w:t xml:space="preserve">reports on SEE Online to gain insights into their own clients. </w:t>
      </w:r>
    </w:p>
    <w:p w14:paraId="7E860AAD" w14:textId="77777777" w:rsidR="00FD667F" w:rsidRDefault="00FD667F" w:rsidP="00FD667F">
      <w:pPr>
        <w:pStyle w:val="Quote"/>
      </w:pPr>
      <w:r w:rsidRPr="00912209">
        <w:t>There is currently limited reporting functionality in SEE Online</w:t>
      </w:r>
      <w:r>
        <w:t>…</w:t>
      </w:r>
      <w:r w:rsidRPr="00912209">
        <w:t xml:space="preserve"> so that providers are unable to extract potentially valuable student data, which, if available, would allow more refined analysis of client demographics and needs and, as a consequence, more effective targeti</w:t>
      </w:r>
      <w:r>
        <w:t>ng in the provision of services…</w:t>
      </w:r>
      <w:r w:rsidRPr="00912209">
        <w:t xml:space="preserve"> SEE Online currently has no capacity to extract customised reports.</w:t>
      </w:r>
    </w:p>
    <w:p w14:paraId="7754914B" w14:textId="77777777" w:rsidR="00FD667F" w:rsidRPr="00912209" w:rsidRDefault="00FD667F" w:rsidP="00FD667F">
      <w:pPr>
        <w:pStyle w:val="QuoteSource"/>
      </w:pPr>
      <w:r>
        <w:t>AMES Consortium submission</w:t>
      </w:r>
    </w:p>
    <w:p w14:paraId="0256F398" w14:textId="77777777" w:rsidR="00FD667F" w:rsidRDefault="00FD667F" w:rsidP="00FD667F">
      <w:pPr>
        <w:pStyle w:val="Quote"/>
      </w:pPr>
      <w:r w:rsidRPr="00894EB9">
        <w:t>Ability to produce a report of all clients in training and their current training hours would assist internal provider monitoring.</w:t>
      </w:r>
      <w:r w:rsidRPr="00894EB9" w:rsidDel="00912209">
        <w:t xml:space="preserve"> </w:t>
      </w:r>
    </w:p>
    <w:p w14:paraId="5CCBBFBF" w14:textId="77777777" w:rsidR="00FD667F" w:rsidRPr="00EB2205" w:rsidRDefault="00FD667F" w:rsidP="00FD667F">
      <w:pPr>
        <w:pStyle w:val="QuoteSource"/>
      </w:pPr>
      <w:r>
        <w:t>Survey respondent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FD667F" w:rsidRPr="00EB2205" w14:paraId="6A77617A" w14:textId="77777777" w:rsidTr="006C1337">
        <w:tc>
          <w:tcPr>
            <w:tcW w:w="5000" w:type="pct"/>
            <w:shd w:val="pct12" w:color="auto" w:fill="auto"/>
          </w:tcPr>
          <w:p w14:paraId="0F87DEB4" w14:textId="3A75BF25" w:rsidR="00FD667F" w:rsidRPr="00EB2205" w:rsidRDefault="00FD667F" w:rsidP="006C1337">
            <w:pPr>
              <w:keepNext/>
              <w:spacing w:after="60"/>
              <w:ind w:left="1112" w:hanging="1112"/>
              <w:outlineLvl w:val="8"/>
              <w:rPr>
                <w:rFonts w:ascii="Arial Bold" w:hAnsi="Arial Bold" w:cs="Arial"/>
                <w:color w:val="000080"/>
                <w:sz w:val="20"/>
              </w:rPr>
            </w:pPr>
            <w:r w:rsidRPr="00EB2205">
              <w:rPr>
                <w:rFonts w:asciiTheme="majorHAnsi" w:hAnsiTheme="majorHAnsi" w:cs="Arial"/>
                <w:sz w:val="20"/>
              </w:rPr>
              <w:t xml:space="preserve">Key Finding </w:t>
            </w:r>
            <w:r w:rsidRPr="00EB2205">
              <w:rPr>
                <w:rFonts w:asciiTheme="majorHAnsi" w:hAnsiTheme="majorHAnsi" w:cs="Arial"/>
                <w:sz w:val="20"/>
              </w:rPr>
              <w:fldChar w:fldCharType="begin"/>
            </w:r>
            <w:r w:rsidRPr="00EB2205">
              <w:rPr>
                <w:rFonts w:asciiTheme="majorHAnsi" w:hAnsiTheme="majorHAnsi" w:cs="Arial"/>
                <w:sz w:val="20"/>
              </w:rPr>
              <w:instrText xml:space="preserve"> SEQ Key_Finding \* ARABIC </w:instrText>
            </w:r>
            <w:r w:rsidRPr="00EB2205">
              <w:rPr>
                <w:rFonts w:asciiTheme="majorHAnsi" w:hAnsiTheme="majorHAnsi" w:cs="Arial"/>
                <w:sz w:val="20"/>
              </w:rPr>
              <w:fldChar w:fldCharType="separate"/>
            </w:r>
            <w:r w:rsidR="00294A5A">
              <w:rPr>
                <w:rFonts w:asciiTheme="majorHAnsi" w:hAnsiTheme="majorHAnsi" w:cs="Arial"/>
                <w:noProof/>
                <w:sz w:val="20"/>
              </w:rPr>
              <w:t>19</w:t>
            </w:r>
            <w:r w:rsidRPr="00EB2205">
              <w:rPr>
                <w:rFonts w:asciiTheme="majorHAnsi" w:hAnsiTheme="majorHAnsi" w:cs="Arial"/>
                <w:noProof/>
                <w:sz w:val="20"/>
              </w:rPr>
              <w:fldChar w:fldCharType="end"/>
            </w:r>
          </w:p>
        </w:tc>
      </w:tr>
      <w:tr w:rsidR="00FD667F" w:rsidRPr="00EB2205" w14:paraId="5B5A617A" w14:textId="77777777" w:rsidTr="006C1337">
        <w:tc>
          <w:tcPr>
            <w:tcW w:w="5000" w:type="pct"/>
            <w:shd w:val="pct12" w:color="auto" w:fill="auto"/>
          </w:tcPr>
          <w:p w14:paraId="00E3671B" w14:textId="335BECF9" w:rsidR="00FD667F" w:rsidRPr="00EB2205" w:rsidRDefault="00FD667F" w:rsidP="006C1337">
            <w:pPr>
              <w:keepNext/>
              <w:keepLines/>
              <w:spacing w:before="80" w:after="40" w:line="220" w:lineRule="exact"/>
              <w:rPr>
                <w:sz w:val="20"/>
                <w:szCs w:val="22"/>
                <w:lang w:eastAsia="en-AU"/>
              </w:rPr>
            </w:pPr>
            <w:r>
              <w:rPr>
                <w:sz w:val="20"/>
                <w:szCs w:val="22"/>
                <w:lang w:eastAsia="en-AU"/>
              </w:rPr>
              <w:t>SEE Online could be update</w:t>
            </w:r>
            <w:r w:rsidR="0045477B">
              <w:rPr>
                <w:sz w:val="20"/>
                <w:szCs w:val="22"/>
                <w:lang w:eastAsia="en-AU"/>
              </w:rPr>
              <w:t>d</w:t>
            </w:r>
            <w:r>
              <w:rPr>
                <w:sz w:val="20"/>
                <w:szCs w:val="22"/>
                <w:lang w:eastAsia="en-AU"/>
              </w:rPr>
              <w:t xml:space="preserve"> to improve usability. The ability to interface with other RTO compliance reporting systems would reduce duplication for </w:t>
            </w:r>
            <w:r w:rsidR="001212AF">
              <w:rPr>
                <w:sz w:val="20"/>
                <w:szCs w:val="22"/>
                <w:lang w:eastAsia="en-AU"/>
              </w:rPr>
              <w:t xml:space="preserve">SEE </w:t>
            </w:r>
            <w:r>
              <w:rPr>
                <w:sz w:val="20"/>
                <w:szCs w:val="22"/>
                <w:lang w:eastAsia="en-AU"/>
              </w:rPr>
              <w:t>providers. Allow</w:t>
            </w:r>
            <w:r w:rsidR="007D11BC">
              <w:rPr>
                <w:sz w:val="20"/>
                <w:szCs w:val="22"/>
                <w:lang w:eastAsia="en-AU"/>
              </w:rPr>
              <w:t>ing</w:t>
            </w:r>
            <w:r>
              <w:rPr>
                <w:sz w:val="20"/>
                <w:szCs w:val="22"/>
                <w:lang w:eastAsia="en-AU"/>
              </w:rPr>
              <w:t xml:space="preserve"> providers to generate </w:t>
            </w:r>
            <w:r w:rsidR="0045477B">
              <w:rPr>
                <w:sz w:val="20"/>
                <w:szCs w:val="22"/>
                <w:lang w:eastAsia="en-AU"/>
              </w:rPr>
              <w:t>customise</w:t>
            </w:r>
            <w:r w:rsidR="00730E7F">
              <w:rPr>
                <w:sz w:val="20"/>
                <w:szCs w:val="22"/>
                <w:lang w:eastAsia="en-AU"/>
              </w:rPr>
              <w:t>d</w:t>
            </w:r>
            <w:r w:rsidR="0045477B">
              <w:rPr>
                <w:sz w:val="20"/>
                <w:szCs w:val="22"/>
                <w:lang w:eastAsia="en-AU"/>
              </w:rPr>
              <w:t xml:space="preserve"> </w:t>
            </w:r>
            <w:r>
              <w:rPr>
                <w:sz w:val="20"/>
                <w:szCs w:val="22"/>
                <w:lang w:eastAsia="en-AU"/>
              </w:rPr>
              <w:t xml:space="preserve">reports from SEE Online could improve provider intelligence about their clients and thus decision making. </w:t>
            </w:r>
          </w:p>
          <w:p w14:paraId="2EF72BDC" w14:textId="77777777" w:rsidR="00FD667F" w:rsidRPr="00EB2205" w:rsidRDefault="00FD667F" w:rsidP="006C1337">
            <w:pPr>
              <w:spacing w:before="0" w:after="0" w:line="240" w:lineRule="auto"/>
              <w:jc w:val="right"/>
            </w:pPr>
            <w:r w:rsidRPr="00EB2205">
              <w:rPr>
                <w:noProof/>
                <w:lang w:eastAsia="en-AU"/>
              </w:rPr>
              <w:drawing>
                <wp:inline distT="0" distB="0" distL="0" distR="0" wp14:anchorId="5287CFD7" wp14:editId="3F3D5A00">
                  <wp:extent cx="481585" cy="234696"/>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D667F" w:rsidRPr="00EB2205" w14:paraId="6730E765" w14:textId="77777777" w:rsidTr="006C1337">
        <w:trPr>
          <w:trHeight w:hRule="exact" w:val="80"/>
        </w:trPr>
        <w:tc>
          <w:tcPr>
            <w:tcW w:w="5000" w:type="pct"/>
            <w:shd w:val="pct12" w:color="auto" w:fill="auto"/>
          </w:tcPr>
          <w:p w14:paraId="355A6066" w14:textId="77777777" w:rsidR="00FD667F" w:rsidRPr="00EB2205" w:rsidRDefault="00FD667F" w:rsidP="006C1337">
            <w:pPr>
              <w:spacing w:before="160"/>
            </w:pPr>
            <w:r w:rsidRPr="00EB2205">
              <w:t xml:space="preserve"> </w:t>
            </w:r>
          </w:p>
        </w:tc>
      </w:tr>
    </w:tbl>
    <w:p w14:paraId="5A29EC53" w14:textId="3720F13C" w:rsidR="00FD667F" w:rsidRPr="00EB2205" w:rsidRDefault="003F533B" w:rsidP="00FD667F">
      <w:pPr>
        <w:keepNext/>
        <w:numPr>
          <w:ilvl w:val="2"/>
          <w:numId w:val="20"/>
        </w:numPr>
        <w:spacing w:before="300" w:after="0" w:line="270" w:lineRule="exact"/>
        <w:outlineLvl w:val="2"/>
        <w:rPr>
          <w:rFonts w:asciiTheme="majorHAnsi" w:hAnsiTheme="majorHAnsi"/>
          <w:b/>
          <w:color w:val="9757A6" w:themeColor="text2"/>
          <w:sz w:val="22"/>
          <w:lang w:eastAsia="en-AU"/>
        </w:rPr>
      </w:pPr>
      <w:r>
        <w:rPr>
          <w:rFonts w:asciiTheme="majorHAnsi" w:hAnsiTheme="majorHAnsi"/>
          <w:b/>
          <w:color w:val="9757A6" w:themeColor="text2"/>
          <w:sz w:val="22"/>
          <w:lang w:eastAsia="en-AU"/>
        </w:rPr>
        <w:t>SEE</w:t>
      </w:r>
      <w:r w:rsidRPr="00EB2205">
        <w:rPr>
          <w:rFonts w:asciiTheme="majorHAnsi" w:hAnsiTheme="majorHAnsi"/>
          <w:b/>
          <w:color w:val="9757A6" w:themeColor="text2"/>
          <w:sz w:val="22"/>
          <w:lang w:eastAsia="en-AU"/>
        </w:rPr>
        <w:t xml:space="preserve"> </w:t>
      </w:r>
      <w:r w:rsidR="00FD667F" w:rsidRPr="00EB2205">
        <w:rPr>
          <w:rFonts w:asciiTheme="majorHAnsi" w:hAnsiTheme="majorHAnsi"/>
          <w:b/>
          <w:color w:val="9757A6" w:themeColor="text2"/>
          <w:sz w:val="22"/>
          <w:lang w:eastAsia="en-AU"/>
        </w:rPr>
        <w:t>provider reporting</w:t>
      </w:r>
    </w:p>
    <w:p w14:paraId="155C15CE" w14:textId="19051BAF" w:rsidR="00FD667F" w:rsidRDefault="00FD667F" w:rsidP="00FD667F">
      <w:pPr>
        <w:pStyle w:val="BodyText"/>
      </w:pPr>
      <w:r>
        <w:t xml:space="preserve">SEE providers are required to prepare and provide an annual report to the Department of Industry, as well as </w:t>
      </w:r>
      <w:r w:rsidRPr="0054144E">
        <w:rPr>
          <w:i/>
        </w:rPr>
        <w:t>ad hoc</w:t>
      </w:r>
      <w:r>
        <w:t xml:space="preserve"> reports within 7 days of a request from the Department </w:t>
      </w:r>
      <w:sdt>
        <w:sdtPr>
          <w:id w:val="-838919558"/>
          <w:citation/>
        </w:sdtPr>
        <w:sdtEndPr/>
        <w:sdtContent>
          <w:r>
            <w:fldChar w:fldCharType="begin"/>
          </w:r>
          <w:r>
            <w:instrText xml:space="preserve">CITATION Dep132 \t  \l 3081 </w:instrText>
          </w:r>
          <w:r>
            <w:fldChar w:fldCharType="separate"/>
          </w:r>
          <w:r w:rsidR="00B66B50">
            <w:rPr>
              <w:noProof/>
            </w:rPr>
            <w:t>(Department of Industry, 2013)</w:t>
          </w:r>
          <w:r>
            <w:fldChar w:fldCharType="end"/>
          </w:r>
        </w:sdtContent>
      </w:sdt>
      <w:r>
        <w:t>.</w:t>
      </w:r>
    </w:p>
    <w:p w14:paraId="08BD37A9" w14:textId="77777777" w:rsidR="00FD667F" w:rsidRPr="00D3309E" w:rsidRDefault="00FD667F" w:rsidP="00FD667F">
      <w:pPr>
        <w:pStyle w:val="Heading5"/>
        <w:numPr>
          <w:ilvl w:val="4"/>
          <w:numId w:val="20"/>
        </w:numPr>
      </w:pPr>
      <w:r w:rsidRPr="00D3309E">
        <w:t>Ad hoc reports</w:t>
      </w:r>
    </w:p>
    <w:p w14:paraId="5E0D0E3B" w14:textId="7403C749" w:rsidR="00FD667F" w:rsidRDefault="003F533B" w:rsidP="00FD667F">
      <w:pPr>
        <w:pStyle w:val="BodyText"/>
      </w:pPr>
      <w:r>
        <w:t xml:space="preserve">SEE </w:t>
      </w:r>
      <w:r w:rsidR="00FD667F">
        <w:t xml:space="preserve">providers are required to submit </w:t>
      </w:r>
      <w:r w:rsidR="00FD667F" w:rsidRPr="0054144E">
        <w:rPr>
          <w:i/>
        </w:rPr>
        <w:t>ad hoc</w:t>
      </w:r>
      <w:r w:rsidR="00FD667F">
        <w:t xml:space="preserve"> reports to the Department within 7 days from the initial request. </w:t>
      </w:r>
      <w:r w:rsidR="004C3C73">
        <w:t xml:space="preserve">These requests are rare. </w:t>
      </w:r>
      <w:r w:rsidR="00FD667F" w:rsidRPr="0054144E">
        <w:rPr>
          <w:i/>
        </w:rPr>
        <w:t>Ad hoc</w:t>
      </w:r>
      <w:r w:rsidR="00FD667F">
        <w:t xml:space="preserve"> reports detail the services each provider delivers, such as the duration of contracts, the contractor’s performance against relevant measures and the fees paid or payable by the Department for the relevant period.</w:t>
      </w:r>
    </w:p>
    <w:p w14:paraId="35E7E459" w14:textId="77777777" w:rsidR="00FD667F" w:rsidRPr="00D3309E" w:rsidRDefault="00FD667F" w:rsidP="00FD667F">
      <w:pPr>
        <w:pStyle w:val="Heading5"/>
        <w:numPr>
          <w:ilvl w:val="4"/>
          <w:numId w:val="20"/>
        </w:numPr>
      </w:pPr>
      <w:r w:rsidRPr="00D3309E">
        <w:t>Annual reports</w:t>
      </w:r>
    </w:p>
    <w:p w14:paraId="1C2FE7ED" w14:textId="50013CFF" w:rsidR="00FD667F" w:rsidRDefault="003F533B" w:rsidP="00FD667F">
      <w:pPr>
        <w:pStyle w:val="BodyText"/>
      </w:pPr>
      <w:r>
        <w:t xml:space="preserve">SEE </w:t>
      </w:r>
      <w:r w:rsidR="00FD667F">
        <w:t xml:space="preserve">providers are also required to submit annual reports to the Department within 2 weeks of the anniversary of the commencement date. Annual reports include information on provider programme operations, online delivery, work experience placements, </w:t>
      </w:r>
      <w:r w:rsidR="007647E4">
        <w:t>I</w:t>
      </w:r>
      <w:r w:rsidR="00FD667F">
        <w:t xml:space="preserve">ndigenous action plan, stakeholder relationships developed, sustainability of programme outcomes, staffing, financial viability and risk management </w:t>
      </w:r>
      <w:sdt>
        <w:sdtPr>
          <w:id w:val="1758166885"/>
          <w:citation/>
        </w:sdtPr>
        <w:sdtEndPr/>
        <w:sdtContent>
          <w:r w:rsidR="00FD667F">
            <w:fldChar w:fldCharType="begin"/>
          </w:r>
          <w:r w:rsidR="00FD667F">
            <w:instrText xml:space="preserve">CITATION Dep133 \t  \l 3081 </w:instrText>
          </w:r>
          <w:r w:rsidR="00FD667F">
            <w:fldChar w:fldCharType="separate"/>
          </w:r>
          <w:r w:rsidR="00B66B50">
            <w:rPr>
              <w:noProof/>
            </w:rPr>
            <w:t>(Department of Industry, 2013)</w:t>
          </w:r>
          <w:r w:rsidR="00FD667F">
            <w:fldChar w:fldCharType="end"/>
          </w:r>
        </w:sdtContent>
      </w:sdt>
      <w:r w:rsidR="00FD667F">
        <w:t>.</w:t>
      </w:r>
    </w:p>
    <w:p w14:paraId="74E12E69" w14:textId="254D79D2" w:rsidR="00FD667F" w:rsidRPr="00EB2205" w:rsidRDefault="00FD667F" w:rsidP="00FD667F">
      <w:pPr>
        <w:spacing w:line="280" w:lineRule="exact"/>
        <w:rPr>
          <w:sz w:val="22"/>
          <w:szCs w:val="22"/>
          <w:lang w:eastAsia="en-AU"/>
        </w:rPr>
      </w:pPr>
      <w:r>
        <w:rPr>
          <w:sz w:val="22"/>
          <w:szCs w:val="22"/>
          <w:lang w:eastAsia="en-AU"/>
        </w:rPr>
        <w:t xml:space="preserve">Consultations indicate </w:t>
      </w:r>
      <w:r w:rsidR="001212AF">
        <w:rPr>
          <w:sz w:val="22"/>
          <w:szCs w:val="22"/>
          <w:lang w:eastAsia="en-AU"/>
        </w:rPr>
        <w:t xml:space="preserve">SEE </w:t>
      </w:r>
      <w:r>
        <w:rPr>
          <w:sz w:val="22"/>
          <w:szCs w:val="22"/>
          <w:lang w:eastAsia="en-AU"/>
        </w:rPr>
        <w:t xml:space="preserve">providers </w:t>
      </w:r>
      <w:r w:rsidR="001212AF">
        <w:rPr>
          <w:sz w:val="22"/>
          <w:szCs w:val="22"/>
          <w:lang w:eastAsia="en-AU"/>
        </w:rPr>
        <w:t>view</w:t>
      </w:r>
      <w:r>
        <w:rPr>
          <w:sz w:val="22"/>
          <w:szCs w:val="22"/>
          <w:lang w:eastAsia="en-AU"/>
        </w:rPr>
        <w:t xml:space="preserve"> the current arrangements around </w:t>
      </w:r>
      <w:r w:rsidRPr="0054144E">
        <w:rPr>
          <w:i/>
          <w:sz w:val="22"/>
          <w:szCs w:val="22"/>
          <w:lang w:eastAsia="en-AU"/>
        </w:rPr>
        <w:t>ad hoc</w:t>
      </w:r>
      <w:r>
        <w:rPr>
          <w:sz w:val="22"/>
          <w:szCs w:val="22"/>
          <w:lang w:eastAsia="en-AU"/>
        </w:rPr>
        <w:t xml:space="preserve"> reports and annual reports to be appropriate.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FD667F" w:rsidRPr="00EB2205" w14:paraId="0B419405" w14:textId="77777777" w:rsidTr="006C1337">
        <w:tc>
          <w:tcPr>
            <w:tcW w:w="5000" w:type="pct"/>
            <w:shd w:val="pct12" w:color="auto" w:fill="auto"/>
          </w:tcPr>
          <w:p w14:paraId="7DBE5EA3" w14:textId="1E1C2114" w:rsidR="00FD667F" w:rsidRPr="00EB2205" w:rsidRDefault="00FD667F" w:rsidP="006C1337">
            <w:pPr>
              <w:keepNext/>
              <w:spacing w:after="60"/>
              <w:ind w:left="1112" w:hanging="1112"/>
              <w:outlineLvl w:val="8"/>
              <w:rPr>
                <w:rFonts w:ascii="Arial Bold" w:hAnsi="Arial Bold" w:cs="Arial"/>
                <w:color w:val="000080"/>
                <w:sz w:val="20"/>
              </w:rPr>
            </w:pPr>
            <w:r w:rsidRPr="00EB2205">
              <w:rPr>
                <w:rFonts w:asciiTheme="majorHAnsi" w:hAnsiTheme="majorHAnsi" w:cs="Arial"/>
                <w:sz w:val="20"/>
              </w:rPr>
              <w:t xml:space="preserve">Key Finding </w:t>
            </w:r>
            <w:r w:rsidRPr="00EB2205">
              <w:rPr>
                <w:rFonts w:asciiTheme="majorHAnsi" w:hAnsiTheme="majorHAnsi" w:cs="Arial"/>
                <w:sz w:val="20"/>
              </w:rPr>
              <w:fldChar w:fldCharType="begin"/>
            </w:r>
            <w:r w:rsidRPr="00EB2205">
              <w:rPr>
                <w:rFonts w:asciiTheme="majorHAnsi" w:hAnsiTheme="majorHAnsi" w:cs="Arial"/>
                <w:sz w:val="20"/>
              </w:rPr>
              <w:instrText xml:space="preserve"> SEQ Key_Finding \* ARABIC </w:instrText>
            </w:r>
            <w:r w:rsidRPr="00EB2205">
              <w:rPr>
                <w:rFonts w:asciiTheme="majorHAnsi" w:hAnsiTheme="majorHAnsi" w:cs="Arial"/>
                <w:sz w:val="20"/>
              </w:rPr>
              <w:fldChar w:fldCharType="separate"/>
            </w:r>
            <w:r w:rsidR="00294A5A">
              <w:rPr>
                <w:rFonts w:asciiTheme="majorHAnsi" w:hAnsiTheme="majorHAnsi" w:cs="Arial"/>
                <w:noProof/>
                <w:sz w:val="20"/>
              </w:rPr>
              <w:t>20</w:t>
            </w:r>
            <w:r w:rsidRPr="00EB2205">
              <w:rPr>
                <w:rFonts w:asciiTheme="majorHAnsi" w:hAnsiTheme="majorHAnsi" w:cs="Arial"/>
                <w:noProof/>
                <w:sz w:val="20"/>
              </w:rPr>
              <w:fldChar w:fldCharType="end"/>
            </w:r>
          </w:p>
        </w:tc>
      </w:tr>
      <w:tr w:rsidR="00FD667F" w:rsidRPr="00EB2205" w14:paraId="577AA05A" w14:textId="77777777" w:rsidTr="006C1337">
        <w:tc>
          <w:tcPr>
            <w:tcW w:w="5000" w:type="pct"/>
            <w:shd w:val="pct12" w:color="auto" w:fill="auto"/>
          </w:tcPr>
          <w:p w14:paraId="6DD84095" w14:textId="77777777" w:rsidR="00FD667F" w:rsidRPr="00EB2205" w:rsidRDefault="00FD667F" w:rsidP="006C1337">
            <w:pPr>
              <w:keepNext/>
              <w:keepLines/>
              <w:spacing w:before="80" w:after="40" w:line="220" w:lineRule="exact"/>
              <w:rPr>
                <w:sz w:val="20"/>
                <w:szCs w:val="22"/>
                <w:lang w:eastAsia="en-AU"/>
              </w:rPr>
            </w:pPr>
            <w:r w:rsidRPr="00766FC3">
              <w:rPr>
                <w:sz w:val="20"/>
                <w:szCs w:val="22"/>
                <w:lang w:eastAsia="en-AU"/>
              </w:rPr>
              <w:t xml:space="preserve">Consultations indicate providers see the current arrangements around </w:t>
            </w:r>
            <w:r w:rsidRPr="0054144E">
              <w:rPr>
                <w:i/>
                <w:sz w:val="20"/>
                <w:szCs w:val="22"/>
                <w:lang w:eastAsia="en-AU"/>
              </w:rPr>
              <w:t>ad hoc</w:t>
            </w:r>
            <w:r w:rsidRPr="00766FC3">
              <w:rPr>
                <w:sz w:val="20"/>
                <w:szCs w:val="22"/>
                <w:lang w:eastAsia="en-AU"/>
              </w:rPr>
              <w:t xml:space="preserve"> reports and annual reports to be appropriate</w:t>
            </w:r>
            <w:r>
              <w:rPr>
                <w:sz w:val="20"/>
                <w:szCs w:val="22"/>
                <w:lang w:eastAsia="en-AU"/>
              </w:rPr>
              <w:t>.</w:t>
            </w:r>
            <w:r w:rsidRPr="00766FC3">
              <w:rPr>
                <w:sz w:val="20"/>
                <w:szCs w:val="22"/>
                <w:lang w:eastAsia="en-AU"/>
              </w:rPr>
              <w:t xml:space="preserve"> </w:t>
            </w:r>
          </w:p>
          <w:p w14:paraId="1C3279E2" w14:textId="77777777" w:rsidR="00FD667F" w:rsidRPr="00EB2205" w:rsidRDefault="00FD667F" w:rsidP="006C1337">
            <w:pPr>
              <w:spacing w:before="0" w:after="0" w:line="240" w:lineRule="auto"/>
              <w:jc w:val="right"/>
            </w:pPr>
            <w:r w:rsidRPr="00EB2205">
              <w:rPr>
                <w:noProof/>
                <w:lang w:eastAsia="en-AU"/>
              </w:rPr>
              <w:drawing>
                <wp:inline distT="0" distB="0" distL="0" distR="0" wp14:anchorId="2FB2853F" wp14:editId="6EAE9428">
                  <wp:extent cx="481585" cy="234696"/>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D667F" w:rsidRPr="00EB2205" w14:paraId="756DC576" w14:textId="77777777" w:rsidTr="006C1337">
        <w:trPr>
          <w:trHeight w:hRule="exact" w:val="80"/>
        </w:trPr>
        <w:tc>
          <w:tcPr>
            <w:tcW w:w="5000" w:type="pct"/>
            <w:shd w:val="pct12" w:color="auto" w:fill="auto"/>
          </w:tcPr>
          <w:p w14:paraId="166680F4" w14:textId="77777777" w:rsidR="00FD667F" w:rsidRPr="00EB2205" w:rsidRDefault="00FD667F" w:rsidP="006C1337">
            <w:pPr>
              <w:spacing w:before="160"/>
            </w:pPr>
            <w:r w:rsidRPr="00EB2205">
              <w:t xml:space="preserve"> </w:t>
            </w:r>
          </w:p>
        </w:tc>
      </w:tr>
    </w:tbl>
    <w:p w14:paraId="0F3D423F" w14:textId="6426717D" w:rsidR="00FD667F" w:rsidRPr="00EB2205" w:rsidRDefault="00FD667F" w:rsidP="00FD667F">
      <w:pPr>
        <w:keepNext/>
        <w:numPr>
          <w:ilvl w:val="2"/>
          <w:numId w:val="20"/>
        </w:numPr>
        <w:spacing w:before="300" w:after="0" w:line="270" w:lineRule="exact"/>
        <w:outlineLvl w:val="2"/>
        <w:rPr>
          <w:rFonts w:asciiTheme="majorHAnsi" w:hAnsiTheme="majorHAnsi"/>
          <w:b/>
          <w:color w:val="9757A6" w:themeColor="text2"/>
          <w:sz w:val="22"/>
          <w:lang w:eastAsia="en-AU"/>
        </w:rPr>
      </w:pPr>
      <w:bookmarkStart w:id="157" w:name="_Ref408691900"/>
      <w:r w:rsidRPr="00EB2205">
        <w:rPr>
          <w:rFonts w:asciiTheme="majorHAnsi" w:hAnsiTheme="majorHAnsi"/>
          <w:b/>
          <w:color w:val="9757A6" w:themeColor="text2"/>
          <w:sz w:val="22"/>
          <w:lang w:eastAsia="en-AU"/>
        </w:rPr>
        <w:t>Key Performance Indicators (KPIs)</w:t>
      </w:r>
      <w:bookmarkEnd w:id="157"/>
    </w:p>
    <w:p w14:paraId="3C232076" w14:textId="7A6841A8" w:rsidR="00FD667F" w:rsidRPr="0056034F" w:rsidRDefault="00FD667F" w:rsidP="00E8274A">
      <w:pPr>
        <w:pStyle w:val="BodyText"/>
      </w:pPr>
      <w:r>
        <w:t xml:space="preserve">The </w:t>
      </w:r>
      <w:r w:rsidR="00147674">
        <w:t>SEE programme</w:t>
      </w:r>
      <w:r w:rsidR="006A28F2">
        <w:t xml:space="preserve"> </w:t>
      </w:r>
      <w:r>
        <w:t xml:space="preserve">KPIs are used to </w:t>
      </w:r>
      <w:r w:rsidRPr="004F589C">
        <w:t xml:space="preserve">monitor </w:t>
      </w:r>
      <w:r w:rsidR="003F533B">
        <w:t xml:space="preserve">SEE </w:t>
      </w:r>
      <w:r>
        <w:t>providers</w:t>
      </w:r>
      <w:r w:rsidR="00386572">
        <w:t>’</w:t>
      </w:r>
      <w:r>
        <w:t xml:space="preserve"> performance and play a role in determining whether providers are awarded future </w:t>
      </w:r>
      <w:r w:rsidR="00147674">
        <w:t>SEE programme</w:t>
      </w:r>
      <w:r w:rsidR="006A28F2">
        <w:t xml:space="preserve"> </w:t>
      </w:r>
      <w:r>
        <w:t xml:space="preserve">contracts. </w:t>
      </w:r>
      <w:r w:rsidRPr="009F420D">
        <w:t>The KPIs for SEE providers are set</w:t>
      </w:r>
      <w:r w:rsidRPr="004E058F">
        <w:t xml:space="preserve"> out in </w:t>
      </w:r>
      <w:r w:rsidRPr="00AE13F4">
        <w:fldChar w:fldCharType="begin"/>
      </w:r>
      <w:r w:rsidRPr="00E8274A">
        <w:instrText xml:space="preserve"> REF _Ref402949321 \h </w:instrText>
      </w:r>
      <w:r w:rsidR="004C3C73">
        <w:instrText xml:space="preserve"> \* MERGEFORMAT </w:instrText>
      </w:r>
      <w:r w:rsidRPr="00AE13F4">
        <w:fldChar w:fldCharType="separate"/>
      </w:r>
      <w:r w:rsidR="00294A5A">
        <w:t>Table 11</w:t>
      </w:r>
      <w:r w:rsidRPr="00AE13F4">
        <w:fldChar w:fldCharType="end"/>
      </w:r>
      <w:r w:rsidRPr="0056034F">
        <w:t xml:space="preserve"> below.</w:t>
      </w:r>
    </w:p>
    <w:p w14:paraId="2AA123D6" w14:textId="153A4F1F" w:rsidR="00FD667F" w:rsidRDefault="00FD667F" w:rsidP="00FD667F">
      <w:pPr>
        <w:pStyle w:val="Caption"/>
      </w:pPr>
      <w:bookmarkStart w:id="158" w:name="_Ref402949321"/>
      <w:bookmarkStart w:id="159" w:name="_Toc420065507"/>
      <w:r>
        <w:t xml:space="preserve">Table </w:t>
      </w:r>
      <w:fldSimple w:instr=" SEQ Table \* MERGEFORMAT ">
        <w:r w:rsidR="00294A5A">
          <w:rPr>
            <w:noProof/>
          </w:rPr>
          <w:t>11</w:t>
        </w:r>
      </w:fldSimple>
      <w:bookmarkEnd w:id="158"/>
      <w:r w:rsidRPr="008F070F">
        <w:rPr>
          <w:b/>
          <w:color w:val="000000"/>
        </w:rPr>
        <w:tab/>
      </w:r>
      <w:r>
        <w:rPr>
          <w:b/>
          <w:color w:val="000000"/>
        </w:rPr>
        <w:t>SEE Provider key performance indicators</w:t>
      </w:r>
      <w:bookmarkEnd w:id="159"/>
    </w:p>
    <w:tbl>
      <w:tblPr>
        <w:tblW w:w="7399" w:type="dxa"/>
        <w:tblInd w:w="28"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823"/>
        <w:gridCol w:w="1768"/>
        <w:gridCol w:w="2343"/>
        <w:gridCol w:w="2465"/>
      </w:tblGrid>
      <w:tr w:rsidR="00FD667F" w14:paraId="6FF50BF2" w14:textId="77777777" w:rsidTr="006C1337">
        <w:trPr>
          <w:cantSplit/>
        </w:trPr>
        <w:tc>
          <w:tcPr>
            <w:tcW w:w="823" w:type="dxa"/>
            <w:tcBorders>
              <w:top w:val="nil"/>
            </w:tcBorders>
            <w:shd w:val="solid" w:color="9757A6" w:fill="auto"/>
            <w:vAlign w:val="center"/>
          </w:tcPr>
          <w:p w14:paraId="02E8A1D6" w14:textId="77777777" w:rsidR="00FD667F" w:rsidRDefault="00FD667F" w:rsidP="006C1337">
            <w:pPr>
              <w:pStyle w:val="Tablecolumnheadings"/>
            </w:pPr>
          </w:p>
        </w:tc>
        <w:tc>
          <w:tcPr>
            <w:tcW w:w="1768" w:type="dxa"/>
            <w:tcBorders>
              <w:top w:val="nil"/>
            </w:tcBorders>
            <w:shd w:val="solid" w:color="9757A6" w:fill="auto"/>
          </w:tcPr>
          <w:p w14:paraId="31954118" w14:textId="77777777" w:rsidR="00FD667F" w:rsidRDefault="00FD667F" w:rsidP="006C1337">
            <w:pPr>
              <w:pStyle w:val="Tablecolumnheadings"/>
            </w:pPr>
          </w:p>
        </w:tc>
        <w:tc>
          <w:tcPr>
            <w:tcW w:w="2343" w:type="dxa"/>
            <w:tcBorders>
              <w:top w:val="nil"/>
            </w:tcBorders>
            <w:shd w:val="solid" w:color="9757A6" w:fill="auto"/>
            <w:vAlign w:val="center"/>
          </w:tcPr>
          <w:p w14:paraId="45EF11F5" w14:textId="77777777" w:rsidR="00FD667F" w:rsidRDefault="00FD667F" w:rsidP="006C1337">
            <w:pPr>
              <w:pStyle w:val="Tablecolumnheadings"/>
            </w:pPr>
            <w:r>
              <w:t>Indicator</w:t>
            </w:r>
          </w:p>
        </w:tc>
        <w:tc>
          <w:tcPr>
            <w:tcW w:w="2465" w:type="dxa"/>
            <w:tcBorders>
              <w:top w:val="nil"/>
            </w:tcBorders>
            <w:shd w:val="solid" w:color="9757A6" w:fill="auto"/>
            <w:vAlign w:val="center"/>
          </w:tcPr>
          <w:p w14:paraId="7F90C57B" w14:textId="77777777" w:rsidR="00FD667F" w:rsidRDefault="00FD667F" w:rsidP="006C1337">
            <w:pPr>
              <w:pStyle w:val="Tablecolumnheadings"/>
            </w:pPr>
            <w:r>
              <w:t>Measurement</w:t>
            </w:r>
          </w:p>
        </w:tc>
      </w:tr>
      <w:tr w:rsidR="00FD667F" w14:paraId="09FDF24D" w14:textId="77777777" w:rsidTr="006C1337">
        <w:trPr>
          <w:cantSplit/>
        </w:trPr>
        <w:tc>
          <w:tcPr>
            <w:tcW w:w="823" w:type="dxa"/>
            <w:shd w:val="clear" w:color="auto" w:fill="auto"/>
            <w:vAlign w:val="center"/>
          </w:tcPr>
          <w:p w14:paraId="26D84451" w14:textId="77777777" w:rsidR="00FD667F" w:rsidRDefault="00FD667F" w:rsidP="006C1337">
            <w:pPr>
              <w:pStyle w:val="Tabletext"/>
            </w:pPr>
            <w:r>
              <w:t>KPI 1</w:t>
            </w:r>
          </w:p>
        </w:tc>
        <w:tc>
          <w:tcPr>
            <w:tcW w:w="1768" w:type="dxa"/>
            <w:vAlign w:val="center"/>
          </w:tcPr>
          <w:p w14:paraId="51C1A593" w14:textId="77777777" w:rsidR="00FD667F" w:rsidRPr="008F070F" w:rsidRDefault="00FD667F" w:rsidP="006C1337">
            <w:pPr>
              <w:pStyle w:val="Tabletext"/>
            </w:pPr>
            <w:r w:rsidRPr="008F070F">
              <w:t>Participation</w:t>
            </w:r>
          </w:p>
        </w:tc>
        <w:tc>
          <w:tcPr>
            <w:tcW w:w="2343" w:type="dxa"/>
            <w:shd w:val="clear" w:color="auto" w:fill="auto"/>
            <w:vAlign w:val="center"/>
          </w:tcPr>
          <w:p w14:paraId="0CF9E38E" w14:textId="77777777" w:rsidR="00FD667F" w:rsidRDefault="00FD667F" w:rsidP="006C1337">
            <w:pPr>
              <w:pStyle w:val="Tabletext"/>
            </w:pPr>
            <w:r w:rsidRPr="008F070F">
              <w:t>Number of clients recommended for training who commence in the program</w:t>
            </w:r>
            <w:r>
              <w:t>me</w:t>
            </w:r>
            <w:r w:rsidRPr="008F070F">
              <w:t>.</w:t>
            </w:r>
          </w:p>
        </w:tc>
        <w:tc>
          <w:tcPr>
            <w:tcW w:w="2465" w:type="dxa"/>
            <w:shd w:val="clear" w:color="auto" w:fill="auto"/>
            <w:vAlign w:val="center"/>
          </w:tcPr>
          <w:p w14:paraId="699B6852" w14:textId="77777777" w:rsidR="00FD667F" w:rsidRDefault="00FD667F" w:rsidP="006C1337">
            <w:pPr>
              <w:pStyle w:val="Tabletext"/>
            </w:pPr>
            <w:r w:rsidRPr="0077597F">
              <w:t>90% of clients recommended for training actually commence training.</w:t>
            </w:r>
          </w:p>
        </w:tc>
      </w:tr>
      <w:tr w:rsidR="00FD667F" w14:paraId="27044B62" w14:textId="77777777" w:rsidTr="006C1337">
        <w:trPr>
          <w:cantSplit/>
        </w:trPr>
        <w:tc>
          <w:tcPr>
            <w:tcW w:w="823" w:type="dxa"/>
            <w:shd w:val="clear" w:color="auto" w:fill="auto"/>
            <w:vAlign w:val="center"/>
          </w:tcPr>
          <w:p w14:paraId="6E4525A6" w14:textId="77777777" w:rsidR="00FD667F" w:rsidRDefault="00FD667F" w:rsidP="006C1337">
            <w:pPr>
              <w:pStyle w:val="Tabletext"/>
            </w:pPr>
            <w:r>
              <w:t>KPI 2</w:t>
            </w:r>
          </w:p>
        </w:tc>
        <w:tc>
          <w:tcPr>
            <w:tcW w:w="1768" w:type="dxa"/>
            <w:vAlign w:val="center"/>
          </w:tcPr>
          <w:p w14:paraId="6DC23B8D" w14:textId="77777777" w:rsidR="00FD667F" w:rsidRPr="008F070F" w:rsidRDefault="00FD667F" w:rsidP="006C1337">
            <w:pPr>
              <w:pStyle w:val="Tabletext"/>
            </w:pPr>
            <w:r w:rsidRPr="008F070F">
              <w:t>Attainment</w:t>
            </w:r>
          </w:p>
        </w:tc>
        <w:tc>
          <w:tcPr>
            <w:tcW w:w="2343" w:type="dxa"/>
            <w:shd w:val="clear" w:color="auto" w:fill="auto"/>
            <w:vAlign w:val="center"/>
          </w:tcPr>
          <w:p w14:paraId="4F737FF1" w14:textId="77777777" w:rsidR="00FD667F" w:rsidRDefault="00FD667F" w:rsidP="006C1337">
            <w:pPr>
              <w:pStyle w:val="Tabletext"/>
            </w:pPr>
            <w:r w:rsidRPr="008F070F">
              <w:t xml:space="preserve">Client benefits from </w:t>
            </w:r>
            <w:r>
              <w:t xml:space="preserve">programme </w:t>
            </w:r>
            <w:r w:rsidRPr="008F070F">
              <w:t>training as measured by ACSF improvement.</w:t>
            </w:r>
          </w:p>
        </w:tc>
        <w:tc>
          <w:tcPr>
            <w:tcW w:w="2465" w:type="dxa"/>
            <w:shd w:val="clear" w:color="auto" w:fill="auto"/>
            <w:vAlign w:val="center"/>
          </w:tcPr>
          <w:p w14:paraId="1D0013CC" w14:textId="77777777" w:rsidR="00FD667F" w:rsidRDefault="00FD667F" w:rsidP="006C1337">
            <w:pPr>
              <w:pStyle w:val="Tabletext"/>
            </w:pPr>
            <w:r w:rsidRPr="0077597F">
              <w:t>80% of clients attain one ACSF indicator per full 100 hours of training.</w:t>
            </w:r>
          </w:p>
        </w:tc>
      </w:tr>
      <w:tr w:rsidR="00FD667F" w14:paraId="2D18CE92" w14:textId="77777777" w:rsidTr="006C1337">
        <w:trPr>
          <w:cantSplit/>
        </w:trPr>
        <w:tc>
          <w:tcPr>
            <w:tcW w:w="823" w:type="dxa"/>
            <w:shd w:val="clear" w:color="auto" w:fill="auto"/>
            <w:vAlign w:val="center"/>
          </w:tcPr>
          <w:p w14:paraId="6ACCB302" w14:textId="77777777" w:rsidR="00FD667F" w:rsidRDefault="00FD667F" w:rsidP="006C1337">
            <w:pPr>
              <w:pStyle w:val="Tabletext"/>
            </w:pPr>
            <w:r>
              <w:t>KPI 3</w:t>
            </w:r>
          </w:p>
        </w:tc>
        <w:tc>
          <w:tcPr>
            <w:tcW w:w="1768" w:type="dxa"/>
            <w:vAlign w:val="center"/>
          </w:tcPr>
          <w:p w14:paraId="49FC4DB6" w14:textId="77777777" w:rsidR="00FD667F" w:rsidRPr="008F070F" w:rsidRDefault="00FD667F" w:rsidP="006C1337">
            <w:pPr>
              <w:pStyle w:val="Tabletext"/>
            </w:pPr>
            <w:r w:rsidRPr="008F070F">
              <w:t xml:space="preserve">Accurate </w:t>
            </w:r>
            <w:r>
              <w:t>a</w:t>
            </w:r>
            <w:r w:rsidRPr="008F070F">
              <w:t>ssessment</w:t>
            </w:r>
          </w:p>
        </w:tc>
        <w:tc>
          <w:tcPr>
            <w:tcW w:w="2343" w:type="dxa"/>
            <w:shd w:val="clear" w:color="auto" w:fill="auto"/>
            <w:vAlign w:val="center"/>
          </w:tcPr>
          <w:p w14:paraId="6F3E0DDD" w14:textId="77777777" w:rsidR="00FD667F" w:rsidRDefault="00FD667F" w:rsidP="006C1337">
            <w:pPr>
              <w:pStyle w:val="Tabletext"/>
            </w:pPr>
            <w:r w:rsidRPr="008F070F">
              <w:t>Client assessment is accurate in accordance with the ACSF.</w:t>
            </w:r>
          </w:p>
        </w:tc>
        <w:tc>
          <w:tcPr>
            <w:tcW w:w="2465" w:type="dxa"/>
            <w:vMerge w:val="restart"/>
            <w:shd w:val="clear" w:color="auto" w:fill="auto"/>
            <w:vAlign w:val="center"/>
          </w:tcPr>
          <w:p w14:paraId="3AA6D3D1" w14:textId="77777777" w:rsidR="00FD667F" w:rsidRDefault="00FD667F" w:rsidP="006C1337">
            <w:pPr>
              <w:pStyle w:val="Tabletext"/>
            </w:pPr>
            <w:r w:rsidRPr="0077597F">
              <w:t>80% of client assessment outcomes are appropriate and accurate against the ACSF.</w:t>
            </w:r>
          </w:p>
        </w:tc>
      </w:tr>
      <w:tr w:rsidR="00FD667F" w14:paraId="06F861B3" w14:textId="77777777" w:rsidTr="006C1337">
        <w:trPr>
          <w:cantSplit/>
        </w:trPr>
        <w:tc>
          <w:tcPr>
            <w:tcW w:w="823" w:type="dxa"/>
            <w:tcBorders>
              <w:bottom w:val="single" w:sz="2" w:space="0" w:color="C0C0C0"/>
            </w:tcBorders>
            <w:shd w:val="clear" w:color="auto" w:fill="auto"/>
            <w:vAlign w:val="center"/>
          </w:tcPr>
          <w:p w14:paraId="2BB9821E" w14:textId="77777777" w:rsidR="00FD667F" w:rsidRDefault="00FD667F" w:rsidP="006C1337">
            <w:pPr>
              <w:pStyle w:val="Tabletext"/>
            </w:pPr>
            <w:r>
              <w:t>KPI 4</w:t>
            </w:r>
          </w:p>
        </w:tc>
        <w:tc>
          <w:tcPr>
            <w:tcW w:w="1768" w:type="dxa"/>
            <w:tcBorders>
              <w:bottom w:val="single" w:sz="2" w:space="0" w:color="C0C0C0"/>
            </w:tcBorders>
            <w:vAlign w:val="center"/>
          </w:tcPr>
          <w:p w14:paraId="06C192E4" w14:textId="77777777" w:rsidR="00FD667F" w:rsidRPr="008F070F" w:rsidRDefault="00FD667F" w:rsidP="006C1337">
            <w:pPr>
              <w:pStyle w:val="Tabletext"/>
            </w:pPr>
            <w:r w:rsidRPr="008F070F">
              <w:t xml:space="preserve">Quality </w:t>
            </w:r>
            <w:r>
              <w:t>t</w:t>
            </w:r>
            <w:r w:rsidRPr="008F070F">
              <w:t>raining</w:t>
            </w:r>
          </w:p>
        </w:tc>
        <w:tc>
          <w:tcPr>
            <w:tcW w:w="2343" w:type="dxa"/>
            <w:tcBorders>
              <w:bottom w:val="single" w:sz="2" w:space="0" w:color="C0C0C0"/>
            </w:tcBorders>
            <w:shd w:val="clear" w:color="auto" w:fill="auto"/>
            <w:vAlign w:val="center"/>
          </w:tcPr>
          <w:p w14:paraId="4B2CEE13" w14:textId="05B5603E" w:rsidR="00FD667F" w:rsidRDefault="00FD667F" w:rsidP="006C1337">
            <w:pPr>
              <w:pStyle w:val="Tabletext"/>
            </w:pPr>
            <w:r w:rsidRPr="008F070F">
              <w:t>Client receives quality training aligned to the ACSF</w:t>
            </w:r>
            <w:r w:rsidR="00ED7910">
              <w:t>.</w:t>
            </w:r>
          </w:p>
        </w:tc>
        <w:tc>
          <w:tcPr>
            <w:tcW w:w="2465" w:type="dxa"/>
            <w:vMerge/>
            <w:tcBorders>
              <w:bottom w:val="single" w:sz="2" w:space="0" w:color="C0C0C0"/>
            </w:tcBorders>
            <w:shd w:val="clear" w:color="auto" w:fill="auto"/>
            <w:vAlign w:val="center"/>
          </w:tcPr>
          <w:p w14:paraId="15B6200D" w14:textId="77777777" w:rsidR="00FD667F" w:rsidRDefault="00FD667F" w:rsidP="006C1337">
            <w:pPr>
              <w:pStyle w:val="Tabletext"/>
            </w:pPr>
          </w:p>
        </w:tc>
      </w:tr>
    </w:tbl>
    <w:p w14:paraId="01C8D4BE" w14:textId="77777777" w:rsidR="00FD667F" w:rsidRDefault="00FD667F" w:rsidP="00FD667F">
      <w:pPr>
        <w:pStyle w:val="Source"/>
      </w:pPr>
      <w:r>
        <w:t>Source: SEE Provider Instructions, Department of Industry, 2014.</w:t>
      </w:r>
    </w:p>
    <w:p w14:paraId="10961FCB" w14:textId="75901ABD" w:rsidR="00FD667F" w:rsidRDefault="00FD667F" w:rsidP="00FD667F">
      <w:pPr>
        <w:pStyle w:val="BodyText"/>
      </w:pPr>
      <w:r>
        <w:t xml:space="preserve">KPI 1 is seen as problematic by many stakeholders as </w:t>
      </w:r>
      <w:r w:rsidR="001212AF">
        <w:t xml:space="preserve">SEE </w:t>
      </w:r>
      <w:r>
        <w:t>providers</w:t>
      </w:r>
      <w:r w:rsidR="003F533B">
        <w:t xml:space="preserve"> consider they </w:t>
      </w:r>
      <w:r>
        <w:t xml:space="preserve">have limited control over the proportion </w:t>
      </w:r>
      <w:r w:rsidRPr="008F070F">
        <w:t>of clients recommended for training who commence in the program</w:t>
      </w:r>
      <w:r>
        <w:t>me. There are many reasons why potential clients may not commence after being referr</w:t>
      </w:r>
      <w:r w:rsidR="007D1730">
        <w:t>ed</w:t>
      </w:r>
      <w:r>
        <w:t xml:space="preserve"> including:</w:t>
      </w:r>
    </w:p>
    <w:p w14:paraId="6A4E6D03" w14:textId="77777777" w:rsidR="00FD667F" w:rsidRDefault="00FD667F" w:rsidP="00FD667F">
      <w:pPr>
        <w:pStyle w:val="ListDash"/>
      </w:pPr>
      <w:r>
        <w:t>the referring agency has referred an unsuitable client</w:t>
      </w:r>
    </w:p>
    <w:p w14:paraId="5DB8FAC2" w14:textId="1A39CC2B" w:rsidR="00FD667F" w:rsidRPr="008B5CF1" w:rsidRDefault="00FD667F" w:rsidP="00FD667F">
      <w:pPr>
        <w:pStyle w:val="ListDash"/>
      </w:pPr>
      <w:r w:rsidRPr="008B5CF1">
        <w:t xml:space="preserve">the client has moved on to employment </w:t>
      </w:r>
      <w:r w:rsidR="00ED7910">
        <w:t xml:space="preserve">or </w:t>
      </w:r>
      <w:r w:rsidRPr="008B5CF1">
        <w:t>another activity before commencing</w:t>
      </w:r>
    </w:p>
    <w:p w14:paraId="1C78C92F" w14:textId="77777777" w:rsidR="00FD667F" w:rsidRDefault="00FD667F" w:rsidP="00FD667F">
      <w:pPr>
        <w:pStyle w:val="ListDash"/>
      </w:pPr>
      <w:r>
        <w:t>the client may be high needs and difficult to engage.</w:t>
      </w:r>
    </w:p>
    <w:p w14:paraId="60CAC858" w14:textId="4543BB46" w:rsidR="00FD667F" w:rsidRDefault="00FD667F" w:rsidP="00FD667F">
      <w:pPr>
        <w:pStyle w:val="BodyText"/>
      </w:pPr>
      <w:r>
        <w:t>There is a risk that the KPI acts</w:t>
      </w:r>
      <w:r w:rsidR="007D1730">
        <w:t xml:space="preserve"> as</w:t>
      </w:r>
      <w:r>
        <w:t xml:space="preserve"> </w:t>
      </w:r>
      <w:r w:rsidRPr="00925C9D">
        <w:t xml:space="preserve">a disincentive to trying to engage such </w:t>
      </w:r>
      <w:r>
        <w:t xml:space="preserve">disengaged and high needs </w:t>
      </w:r>
      <w:r w:rsidRPr="00925C9D">
        <w:t xml:space="preserve">clients </w:t>
      </w:r>
      <w:r>
        <w:t xml:space="preserve">such as youth or </w:t>
      </w:r>
      <w:r w:rsidRPr="00925C9D">
        <w:t>long term unemployed</w:t>
      </w:r>
      <w:r>
        <w:t xml:space="preserve"> clients.</w:t>
      </w:r>
      <w:r w:rsidRPr="00925C9D">
        <w:t xml:space="preserve">  </w:t>
      </w:r>
    </w:p>
    <w:p w14:paraId="5E74C19E" w14:textId="5E545471" w:rsidR="00FD667F" w:rsidRDefault="00FD667F" w:rsidP="00FD667F">
      <w:pPr>
        <w:spacing w:line="280" w:lineRule="exact"/>
        <w:rPr>
          <w:sz w:val="22"/>
          <w:szCs w:val="22"/>
          <w:lang w:eastAsia="en-AU"/>
        </w:rPr>
      </w:pPr>
      <w:r>
        <w:rPr>
          <w:sz w:val="22"/>
          <w:szCs w:val="22"/>
          <w:lang w:eastAsia="en-AU"/>
        </w:rPr>
        <w:t xml:space="preserve">As noted in Section </w:t>
      </w:r>
      <w:r>
        <w:rPr>
          <w:sz w:val="22"/>
          <w:szCs w:val="22"/>
          <w:lang w:eastAsia="en-AU"/>
        </w:rPr>
        <w:fldChar w:fldCharType="begin"/>
      </w:r>
      <w:r>
        <w:rPr>
          <w:sz w:val="22"/>
          <w:szCs w:val="22"/>
          <w:lang w:eastAsia="en-AU"/>
        </w:rPr>
        <w:instrText xml:space="preserve"> REF _Ref408695340 \r \h </w:instrText>
      </w:r>
      <w:r>
        <w:rPr>
          <w:sz w:val="22"/>
          <w:szCs w:val="22"/>
          <w:lang w:eastAsia="en-AU"/>
        </w:rPr>
      </w:r>
      <w:r>
        <w:rPr>
          <w:sz w:val="22"/>
          <w:szCs w:val="22"/>
          <w:lang w:eastAsia="en-AU"/>
        </w:rPr>
        <w:fldChar w:fldCharType="separate"/>
      </w:r>
      <w:r w:rsidR="00294A5A">
        <w:rPr>
          <w:sz w:val="22"/>
          <w:szCs w:val="22"/>
          <w:lang w:eastAsia="en-AU"/>
        </w:rPr>
        <w:t>6.2.1</w:t>
      </w:r>
      <w:r>
        <w:rPr>
          <w:sz w:val="22"/>
          <w:szCs w:val="22"/>
          <w:lang w:eastAsia="en-AU"/>
        </w:rPr>
        <w:fldChar w:fldCharType="end"/>
      </w:r>
      <w:r>
        <w:rPr>
          <w:sz w:val="22"/>
          <w:szCs w:val="22"/>
          <w:lang w:eastAsia="en-AU"/>
        </w:rPr>
        <w:t xml:space="preserve">, KPI 2 may be having the unintended consequence of encouraging </w:t>
      </w:r>
      <w:r w:rsidR="001212AF">
        <w:rPr>
          <w:sz w:val="22"/>
          <w:szCs w:val="22"/>
          <w:lang w:eastAsia="en-AU"/>
        </w:rPr>
        <w:t xml:space="preserve">SEE </w:t>
      </w:r>
      <w:r>
        <w:rPr>
          <w:sz w:val="22"/>
          <w:szCs w:val="22"/>
          <w:lang w:eastAsia="en-AU"/>
        </w:rPr>
        <w:t>providers to assess clients every 100 hours rather than every 200 hours as is currently required. W</w:t>
      </w:r>
      <w:r w:rsidRPr="00925C9D">
        <w:rPr>
          <w:sz w:val="22"/>
          <w:szCs w:val="22"/>
          <w:lang w:eastAsia="en-AU"/>
        </w:rPr>
        <w:t xml:space="preserve">hen a </w:t>
      </w:r>
      <w:r w:rsidR="00221649">
        <w:rPr>
          <w:sz w:val="22"/>
          <w:szCs w:val="22"/>
          <w:lang w:eastAsia="en-AU"/>
        </w:rPr>
        <w:t>client</w:t>
      </w:r>
      <w:r w:rsidRPr="00925C9D">
        <w:rPr>
          <w:sz w:val="22"/>
          <w:szCs w:val="22"/>
          <w:lang w:eastAsia="en-AU"/>
        </w:rPr>
        <w:t xml:space="preserve"> withdraws from the program</w:t>
      </w:r>
      <w:r>
        <w:rPr>
          <w:sz w:val="22"/>
          <w:szCs w:val="22"/>
          <w:lang w:eastAsia="en-AU"/>
        </w:rPr>
        <w:t xml:space="preserve">me </w:t>
      </w:r>
      <w:r w:rsidR="001212AF">
        <w:rPr>
          <w:sz w:val="22"/>
          <w:szCs w:val="22"/>
          <w:lang w:eastAsia="en-AU"/>
        </w:rPr>
        <w:t xml:space="preserve">SEE </w:t>
      </w:r>
      <w:r>
        <w:rPr>
          <w:sz w:val="22"/>
          <w:szCs w:val="22"/>
          <w:lang w:eastAsia="en-AU"/>
        </w:rPr>
        <w:t xml:space="preserve">providers must </w:t>
      </w:r>
      <w:r w:rsidRPr="00925C9D">
        <w:rPr>
          <w:sz w:val="22"/>
          <w:szCs w:val="22"/>
          <w:lang w:eastAsia="en-AU"/>
        </w:rPr>
        <w:t xml:space="preserve">enter a learning outcome assessment </w:t>
      </w:r>
      <w:r>
        <w:rPr>
          <w:sz w:val="22"/>
          <w:szCs w:val="22"/>
          <w:lang w:eastAsia="en-AU"/>
        </w:rPr>
        <w:t xml:space="preserve">which </w:t>
      </w:r>
      <w:r w:rsidRPr="00925C9D">
        <w:rPr>
          <w:sz w:val="22"/>
          <w:szCs w:val="22"/>
          <w:lang w:eastAsia="en-AU"/>
        </w:rPr>
        <w:t>count</w:t>
      </w:r>
      <w:r w:rsidR="007D1730">
        <w:rPr>
          <w:sz w:val="22"/>
          <w:szCs w:val="22"/>
          <w:lang w:eastAsia="en-AU"/>
        </w:rPr>
        <w:t>s</w:t>
      </w:r>
      <w:r w:rsidRPr="00925C9D">
        <w:rPr>
          <w:sz w:val="22"/>
          <w:szCs w:val="22"/>
          <w:lang w:eastAsia="en-AU"/>
        </w:rPr>
        <w:t xml:space="preserve"> toward KPI 2. </w:t>
      </w:r>
      <w:r w:rsidR="001212AF">
        <w:rPr>
          <w:sz w:val="22"/>
          <w:szCs w:val="22"/>
          <w:lang w:eastAsia="en-AU"/>
        </w:rPr>
        <w:t>They</w:t>
      </w:r>
      <w:r w:rsidR="00EA3A95">
        <w:rPr>
          <w:sz w:val="22"/>
          <w:szCs w:val="22"/>
          <w:lang w:eastAsia="en-AU"/>
        </w:rPr>
        <w:t xml:space="preserve"> report that i</w:t>
      </w:r>
      <w:r>
        <w:rPr>
          <w:sz w:val="22"/>
          <w:szCs w:val="22"/>
          <w:lang w:eastAsia="en-AU"/>
        </w:rPr>
        <w:t xml:space="preserve">f </w:t>
      </w:r>
      <w:r w:rsidRPr="00925C9D">
        <w:rPr>
          <w:sz w:val="22"/>
          <w:szCs w:val="22"/>
          <w:lang w:eastAsia="en-AU"/>
        </w:rPr>
        <w:t xml:space="preserve">it has been over 100 hours since a client’s last IPA and </w:t>
      </w:r>
      <w:r w:rsidR="001212AF">
        <w:rPr>
          <w:sz w:val="22"/>
          <w:szCs w:val="22"/>
          <w:lang w:eastAsia="en-AU"/>
        </w:rPr>
        <w:t xml:space="preserve">they </w:t>
      </w:r>
      <w:r>
        <w:rPr>
          <w:sz w:val="22"/>
          <w:szCs w:val="22"/>
          <w:lang w:eastAsia="en-AU"/>
        </w:rPr>
        <w:t xml:space="preserve">are </w:t>
      </w:r>
      <w:r w:rsidRPr="00925C9D">
        <w:rPr>
          <w:sz w:val="22"/>
          <w:szCs w:val="22"/>
          <w:lang w:eastAsia="en-AU"/>
        </w:rPr>
        <w:t xml:space="preserve">not able to enter an ACSF indicator increase, </w:t>
      </w:r>
      <w:r>
        <w:rPr>
          <w:sz w:val="22"/>
          <w:szCs w:val="22"/>
          <w:lang w:eastAsia="en-AU"/>
        </w:rPr>
        <w:t xml:space="preserve">it </w:t>
      </w:r>
      <w:r w:rsidR="00EA3A95">
        <w:rPr>
          <w:sz w:val="22"/>
          <w:szCs w:val="22"/>
          <w:lang w:eastAsia="en-AU"/>
        </w:rPr>
        <w:t xml:space="preserve">can </w:t>
      </w:r>
      <w:r>
        <w:rPr>
          <w:sz w:val="22"/>
          <w:szCs w:val="22"/>
          <w:lang w:eastAsia="en-AU"/>
        </w:rPr>
        <w:t xml:space="preserve">impact their </w:t>
      </w:r>
      <w:r w:rsidR="00EA3A95">
        <w:rPr>
          <w:sz w:val="22"/>
          <w:szCs w:val="22"/>
          <w:lang w:eastAsia="en-AU"/>
        </w:rPr>
        <w:t xml:space="preserve">performance on </w:t>
      </w:r>
      <w:r w:rsidRPr="00925C9D">
        <w:rPr>
          <w:sz w:val="22"/>
          <w:szCs w:val="22"/>
          <w:lang w:eastAsia="en-AU"/>
        </w:rPr>
        <w:t>KPI</w:t>
      </w:r>
      <w:r>
        <w:rPr>
          <w:sz w:val="22"/>
          <w:szCs w:val="22"/>
          <w:lang w:eastAsia="en-AU"/>
        </w:rPr>
        <w:t xml:space="preserve"> 2</w:t>
      </w:r>
      <w:r w:rsidRPr="00925C9D">
        <w:rPr>
          <w:sz w:val="22"/>
          <w:szCs w:val="22"/>
          <w:lang w:eastAsia="en-AU"/>
        </w:rPr>
        <w:t>.</w:t>
      </w:r>
      <w:r w:rsidR="00EA3A95">
        <w:rPr>
          <w:sz w:val="22"/>
          <w:szCs w:val="22"/>
          <w:lang w:eastAsia="en-AU"/>
        </w:rPr>
        <w:t xml:space="preserve"> It should be noted however, that </w:t>
      </w:r>
      <w:r w:rsidR="00544578">
        <w:rPr>
          <w:sz w:val="22"/>
          <w:szCs w:val="22"/>
          <w:lang w:eastAsia="en-AU"/>
        </w:rPr>
        <w:t xml:space="preserve">a </w:t>
      </w:r>
      <w:r w:rsidR="00EA3A95" w:rsidRPr="00EA3A95">
        <w:rPr>
          <w:sz w:val="22"/>
          <w:szCs w:val="22"/>
          <w:lang w:eastAsia="en-AU"/>
        </w:rPr>
        <w:t>Le</w:t>
      </w:r>
      <w:r w:rsidR="00544578">
        <w:rPr>
          <w:sz w:val="22"/>
          <w:szCs w:val="22"/>
          <w:lang w:eastAsia="en-AU"/>
        </w:rPr>
        <w:t xml:space="preserve">arning Outcome Assessment (LOA), </w:t>
      </w:r>
      <w:r w:rsidR="00EA3A95" w:rsidRPr="00EA3A95">
        <w:rPr>
          <w:sz w:val="22"/>
          <w:szCs w:val="22"/>
          <w:lang w:eastAsia="en-AU"/>
        </w:rPr>
        <w:t xml:space="preserve">an electronic statement of attainment produced when </w:t>
      </w:r>
      <w:r w:rsidR="00544578">
        <w:rPr>
          <w:sz w:val="22"/>
          <w:szCs w:val="22"/>
          <w:lang w:eastAsia="en-AU"/>
        </w:rPr>
        <w:t xml:space="preserve">a </w:t>
      </w:r>
      <w:r w:rsidR="00EA3A95" w:rsidRPr="00EA3A95">
        <w:rPr>
          <w:sz w:val="22"/>
          <w:szCs w:val="22"/>
          <w:lang w:eastAsia="en-AU"/>
        </w:rPr>
        <w:t xml:space="preserve">client </w:t>
      </w:r>
      <w:r w:rsidR="00544578">
        <w:rPr>
          <w:sz w:val="22"/>
          <w:szCs w:val="22"/>
          <w:lang w:eastAsia="en-AU"/>
        </w:rPr>
        <w:t>leaves the programme, can be informed by course work produced by the client before they left the programme</w:t>
      </w:r>
      <w:r w:rsidR="00EA3A95" w:rsidRPr="00EA3A95">
        <w:rPr>
          <w:sz w:val="22"/>
          <w:szCs w:val="22"/>
          <w:lang w:eastAsia="en-AU"/>
        </w:rPr>
        <w:t>.</w:t>
      </w:r>
    </w:p>
    <w:p w14:paraId="4034A895" w14:textId="4F57B20A" w:rsidR="00FD667F" w:rsidRPr="00EB2205" w:rsidRDefault="00FD667F" w:rsidP="00FD667F">
      <w:pPr>
        <w:spacing w:line="280" w:lineRule="exact"/>
        <w:rPr>
          <w:sz w:val="22"/>
          <w:szCs w:val="22"/>
          <w:lang w:eastAsia="en-AU"/>
        </w:rPr>
      </w:pPr>
      <w:r>
        <w:rPr>
          <w:sz w:val="22"/>
          <w:szCs w:val="22"/>
          <w:lang w:eastAsia="en-AU"/>
        </w:rPr>
        <w:t xml:space="preserve">The KPIs are discussed further in Section </w:t>
      </w:r>
      <w:r w:rsidR="00173801">
        <w:rPr>
          <w:sz w:val="22"/>
          <w:szCs w:val="22"/>
          <w:lang w:eastAsia="en-AU"/>
        </w:rPr>
        <w:fldChar w:fldCharType="begin"/>
      </w:r>
      <w:r w:rsidR="00173801">
        <w:rPr>
          <w:sz w:val="22"/>
          <w:szCs w:val="22"/>
          <w:lang w:eastAsia="en-AU"/>
        </w:rPr>
        <w:instrText xml:space="preserve"> REF _Ref408771369 \r \h </w:instrText>
      </w:r>
      <w:r w:rsidR="00173801">
        <w:rPr>
          <w:sz w:val="22"/>
          <w:szCs w:val="22"/>
          <w:lang w:eastAsia="en-AU"/>
        </w:rPr>
      </w:r>
      <w:r w:rsidR="00173801">
        <w:rPr>
          <w:sz w:val="22"/>
          <w:szCs w:val="22"/>
          <w:lang w:eastAsia="en-AU"/>
        </w:rPr>
        <w:fldChar w:fldCharType="separate"/>
      </w:r>
      <w:r w:rsidR="00294A5A">
        <w:rPr>
          <w:sz w:val="22"/>
          <w:szCs w:val="22"/>
          <w:lang w:eastAsia="en-AU"/>
        </w:rPr>
        <w:t>7.1.5</w:t>
      </w:r>
      <w:r w:rsidR="00173801">
        <w:rPr>
          <w:sz w:val="22"/>
          <w:szCs w:val="22"/>
          <w:lang w:eastAsia="en-AU"/>
        </w:rPr>
        <w:fldChar w:fldCharType="end"/>
      </w:r>
      <w:r>
        <w:rPr>
          <w:sz w:val="22"/>
          <w:szCs w:val="22"/>
          <w:lang w:eastAsia="en-AU"/>
        </w:rPr>
        <w: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FD667F" w:rsidRPr="00EB2205" w14:paraId="52E1876D" w14:textId="77777777" w:rsidTr="006C1337">
        <w:tc>
          <w:tcPr>
            <w:tcW w:w="5000" w:type="pct"/>
            <w:shd w:val="pct12" w:color="auto" w:fill="auto"/>
          </w:tcPr>
          <w:p w14:paraId="3F344255" w14:textId="14E03B35" w:rsidR="00FD667F" w:rsidRPr="00EB2205" w:rsidRDefault="00FD667F" w:rsidP="006C1337">
            <w:pPr>
              <w:keepNext/>
              <w:spacing w:after="60"/>
              <w:ind w:left="1112" w:hanging="1112"/>
              <w:outlineLvl w:val="8"/>
              <w:rPr>
                <w:rFonts w:ascii="Arial Bold" w:hAnsi="Arial Bold" w:cs="Arial"/>
                <w:color w:val="000080"/>
                <w:sz w:val="20"/>
              </w:rPr>
            </w:pPr>
            <w:r w:rsidRPr="00EB2205">
              <w:rPr>
                <w:rFonts w:asciiTheme="majorHAnsi" w:hAnsiTheme="majorHAnsi" w:cs="Arial"/>
                <w:sz w:val="20"/>
              </w:rPr>
              <w:t xml:space="preserve">Key Finding </w:t>
            </w:r>
            <w:r w:rsidRPr="00EB2205">
              <w:rPr>
                <w:rFonts w:asciiTheme="majorHAnsi" w:hAnsiTheme="majorHAnsi" w:cs="Arial"/>
                <w:sz w:val="20"/>
              </w:rPr>
              <w:fldChar w:fldCharType="begin"/>
            </w:r>
            <w:r w:rsidRPr="00EB2205">
              <w:rPr>
                <w:rFonts w:asciiTheme="majorHAnsi" w:hAnsiTheme="majorHAnsi" w:cs="Arial"/>
                <w:sz w:val="20"/>
              </w:rPr>
              <w:instrText xml:space="preserve"> SEQ Key_Finding \* ARABIC </w:instrText>
            </w:r>
            <w:r w:rsidRPr="00EB2205">
              <w:rPr>
                <w:rFonts w:asciiTheme="majorHAnsi" w:hAnsiTheme="majorHAnsi" w:cs="Arial"/>
                <w:sz w:val="20"/>
              </w:rPr>
              <w:fldChar w:fldCharType="separate"/>
            </w:r>
            <w:r w:rsidR="00294A5A">
              <w:rPr>
                <w:rFonts w:asciiTheme="majorHAnsi" w:hAnsiTheme="majorHAnsi" w:cs="Arial"/>
                <w:noProof/>
                <w:sz w:val="20"/>
              </w:rPr>
              <w:t>21</w:t>
            </w:r>
            <w:r w:rsidRPr="00EB2205">
              <w:rPr>
                <w:rFonts w:asciiTheme="majorHAnsi" w:hAnsiTheme="majorHAnsi" w:cs="Arial"/>
                <w:noProof/>
                <w:sz w:val="20"/>
              </w:rPr>
              <w:fldChar w:fldCharType="end"/>
            </w:r>
          </w:p>
        </w:tc>
      </w:tr>
      <w:tr w:rsidR="00FD667F" w:rsidRPr="00EB2205" w14:paraId="41FDA706" w14:textId="77777777" w:rsidTr="006C1337">
        <w:tc>
          <w:tcPr>
            <w:tcW w:w="5000" w:type="pct"/>
            <w:shd w:val="pct12" w:color="auto" w:fill="auto"/>
          </w:tcPr>
          <w:p w14:paraId="3115448E" w14:textId="2D6064A8" w:rsidR="00FD667F" w:rsidRDefault="00FA4B7B" w:rsidP="006C1337">
            <w:pPr>
              <w:keepNext/>
              <w:keepLines/>
              <w:spacing w:before="80" w:after="40" w:line="220" w:lineRule="exact"/>
              <w:rPr>
                <w:sz w:val="20"/>
                <w:szCs w:val="22"/>
                <w:lang w:eastAsia="en-AU"/>
              </w:rPr>
            </w:pPr>
            <w:r>
              <w:rPr>
                <w:sz w:val="20"/>
                <w:szCs w:val="22"/>
                <w:lang w:eastAsia="en-AU"/>
              </w:rPr>
              <w:t>F</w:t>
            </w:r>
            <w:r w:rsidR="00FD667F">
              <w:rPr>
                <w:sz w:val="20"/>
                <w:szCs w:val="22"/>
                <w:lang w:eastAsia="en-AU"/>
              </w:rPr>
              <w:t xml:space="preserve">our programme KPIs are used to measure provider performance. </w:t>
            </w:r>
          </w:p>
          <w:p w14:paraId="17F3BAE7" w14:textId="025F1DCA" w:rsidR="00FD667F" w:rsidRDefault="0054144E" w:rsidP="006C1337">
            <w:pPr>
              <w:keepNext/>
              <w:keepLines/>
              <w:spacing w:before="80" w:after="40" w:line="220" w:lineRule="exact"/>
              <w:rPr>
                <w:sz w:val="20"/>
                <w:szCs w:val="22"/>
                <w:lang w:eastAsia="en-AU"/>
              </w:rPr>
            </w:pPr>
            <w:r>
              <w:rPr>
                <w:sz w:val="20"/>
                <w:szCs w:val="22"/>
                <w:lang w:eastAsia="en-AU"/>
              </w:rPr>
              <w:t xml:space="preserve">In relation to KPI 1, which </w:t>
            </w:r>
            <w:r w:rsidR="00FD667F">
              <w:rPr>
                <w:sz w:val="20"/>
                <w:szCs w:val="22"/>
                <w:lang w:eastAsia="en-AU"/>
              </w:rPr>
              <w:t xml:space="preserve">measures the </w:t>
            </w:r>
            <w:r w:rsidR="00FD667F" w:rsidRPr="005B4EB8">
              <w:rPr>
                <w:sz w:val="20"/>
                <w:szCs w:val="22"/>
                <w:lang w:eastAsia="en-AU"/>
              </w:rPr>
              <w:t>proportion of clients recommended for training who commence in the programme</w:t>
            </w:r>
            <w:r>
              <w:rPr>
                <w:sz w:val="20"/>
                <w:szCs w:val="22"/>
                <w:lang w:eastAsia="en-AU"/>
              </w:rPr>
              <w:t>,</w:t>
            </w:r>
            <w:r w:rsidR="00FD667F">
              <w:rPr>
                <w:sz w:val="20"/>
                <w:szCs w:val="22"/>
                <w:lang w:eastAsia="en-AU"/>
              </w:rPr>
              <w:t xml:space="preserve"> providers </w:t>
            </w:r>
            <w:r w:rsidR="004C3C73">
              <w:rPr>
                <w:sz w:val="20"/>
                <w:szCs w:val="22"/>
                <w:lang w:eastAsia="en-AU"/>
              </w:rPr>
              <w:t xml:space="preserve">argue </w:t>
            </w:r>
            <w:r>
              <w:rPr>
                <w:sz w:val="20"/>
                <w:szCs w:val="22"/>
                <w:lang w:eastAsia="en-AU"/>
              </w:rPr>
              <w:t xml:space="preserve">that this is something that </w:t>
            </w:r>
            <w:r w:rsidR="004C3C73">
              <w:rPr>
                <w:sz w:val="20"/>
                <w:szCs w:val="22"/>
                <w:lang w:eastAsia="en-AU"/>
              </w:rPr>
              <w:t xml:space="preserve">they </w:t>
            </w:r>
            <w:r w:rsidR="00FD667F">
              <w:rPr>
                <w:sz w:val="20"/>
                <w:szCs w:val="22"/>
                <w:lang w:eastAsia="en-AU"/>
              </w:rPr>
              <w:t xml:space="preserve">have limited control. </w:t>
            </w:r>
          </w:p>
          <w:p w14:paraId="7C55F60C" w14:textId="1D367BD6" w:rsidR="00FD667F" w:rsidRPr="00EB2205" w:rsidRDefault="0054144E" w:rsidP="006C1337">
            <w:pPr>
              <w:keepNext/>
              <w:keepLines/>
              <w:spacing w:before="80" w:after="40" w:line="220" w:lineRule="exact"/>
              <w:rPr>
                <w:sz w:val="20"/>
                <w:szCs w:val="22"/>
                <w:lang w:eastAsia="en-AU"/>
              </w:rPr>
            </w:pPr>
            <w:r>
              <w:rPr>
                <w:sz w:val="20"/>
                <w:szCs w:val="22"/>
                <w:lang w:eastAsia="en-AU"/>
              </w:rPr>
              <w:t xml:space="preserve">In relation to </w:t>
            </w:r>
            <w:r w:rsidR="00FD667F">
              <w:rPr>
                <w:sz w:val="20"/>
                <w:szCs w:val="22"/>
                <w:lang w:eastAsia="en-AU"/>
              </w:rPr>
              <w:t>KPI 2</w:t>
            </w:r>
            <w:r>
              <w:rPr>
                <w:sz w:val="20"/>
                <w:szCs w:val="22"/>
                <w:lang w:eastAsia="en-AU"/>
              </w:rPr>
              <w:t xml:space="preserve">, which </w:t>
            </w:r>
            <w:r w:rsidR="00FD667F">
              <w:rPr>
                <w:sz w:val="20"/>
                <w:szCs w:val="22"/>
                <w:lang w:eastAsia="en-AU"/>
              </w:rPr>
              <w:t xml:space="preserve">measures the proportion of clients that </w:t>
            </w:r>
            <w:r w:rsidR="00FD667F" w:rsidRPr="00766FC3">
              <w:rPr>
                <w:sz w:val="20"/>
                <w:szCs w:val="22"/>
                <w:lang w:eastAsia="en-AU"/>
              </w:rPr>
              <w:t>attain one ACSF indicator per full 100 hours of training</w:t>
            </w:r>
            <w:r>
              <w:rPr>
                <w:sz w:val="20"/>
                <w:szCs w:val="22"/>
                <w:lang w:eastAsia="en-AU"/>
              </w:rPr>
              <w:t xml:space="preserve">, this </w:t>
            </w:r>
            <w:r w:rsidR="00FD667F">
              <w:rPr>
                <w:sz w:val="20"/>
                <w:szCs w:val="22"/>
                <w:lang w:eastAsia="en-AU"/>
              </w:rPr>
              <w:t xml:space="preserve">may be having the unintended consequence of encouraging providers to assess clients every 100 hours. </w:t>
            </w:r>
          </w:p>
          <w:p w14:paraId="08CD2B2A" w14:textId="77777777" w:rsidR="00FD667F" w:rsidRPr="00EB2205" w:rsidRDefault="00FD667F" w:rsidP="006C1337">
            <w:pPr>
              <w:spacing w:before="0" w:after="0" w:line="240" w:lineRule="auto"/>
              <w:jc w:val="right"/>
            </w:pPr>
            <w:r w:rsidRPr="00EB2205">
              <w:rPr>
                <w:noProof/>
                <w:lang w:eastAsia="en-AU"/>
              </w:rPr>
              <w:drawing>
                <wp:inline distT="0" distB="0" distL="0" distR="0" wp14:anchorId="3A76AD4E" wp14:editId="75E35D07">
                  <wp:extent cx="481585" cy="234696"/>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D667F" w:rsidRPr="00EB2205" w14:paraId="28C87BED" w14:textId="77777777" w:rsidTr="006C1337">
        <w:trPr>
          <w:trHeight w:hRule="exact" w:val="80"/>
        </w:trPr>
        <w:tc>
          <w:tcPr>
            <w:tcW w:w="5000" w:type="pct"/>
            <w:shd w:val="pct12" w:color="auto" w:fill="auto"/>
          </w:tcPr>
          <w:p w14:paraId="3AFD76EF" w14:textId="77777777" w:rsidR="00FD667F" w:rsidRPr="00EB2205" w:rsidRDefault="00FD667F" w:rsidP="006C1337">
            <w:pPr>
              <w:spacing w:before="160"/>
            </w:pPr>
            <w:r w:rsidRPr="00EB2205">
              <w:t xml:space="preserve"> </w:t>
            </w:r>
          </w:p>
        </w:tc>
      </w:tr>
    </w:tbl>
    <w:p w14:paraId="2E47096B" w14:textId="77777777" w:rsidR="00FD667F" w:rsidRDefault="00FD667F" w:rsidP="00FD667F">
      <w:pPr>
        <w:keepNext/>
        <w:numPr>
          <w:ilvl w:val="2"/>
          <w:numId w:val="20"/>
        </w:numPr>
        <w:spacing w:before="300" w:after="0" w:line="270" w:lineRule="exact"/>
        <w:outlineLvl w:val="2"/>
        <w:rPr>
          <w:rFonts w:asciiTheme="majorHAnsi" w:hAnsiTheme="majorHAnsi"/>
          <w:b/>
          <w:color w:val="9757A6" w:themeColor="text2"/>
          <w:sz w:val="22"/>
          <w:lang w:eastAsia="en-AU"/>
        </w:rPr>
      </w:pPr>
      <w:r w:rsidRPr="00EB2205">
        <w:rPr>
          <w:rFonts w:asciiTheme="majorHAnsi" w:hAnsiTheme="majorHAnsi"/>
          <w:b/>
          <w:color w:val="9757A6" w:themeColor="text2"/>
          <w:sz w:val="22"/>
          <w:lang w:eastAsia="en-AU"/>
        </w:rPr>
        <w:t>Auditing and quality assurance</w:t>
      </w:r>
    </w:p>
    <w:p w14:paraId="76410AEF" w14:textId="77777777" w:rsidR="00FD667F" w:rsidRDefault="00FD667F" w:rsidP="00FD667F">
      <w:pPr>
        <w:pStyle w:val="Heading5"/>
        <w:numPr>
          <w:ilvl w:val="4"/>
          <w:numId w:val="20"/>
        </w:numPr>
      </w:pPr>
      <w:r>
        <w:t>Department of Education and Training</w:t>
      </w:r>
    </w:p>
    <w:p w14:paraId="384D7473" w14:textId="35E48CAF" w:rsidR="00FD667F" w:rsidRDefault="00FD667F" w:rsidP="00FD667F">
      <w:pPr>
        <w:pStyle w:val="BodyText"/>
        <w:tabs>
          <w:tab w:val="left" w:pos="2595"/>
        </w:tabs>
      </w:pPr>
      <w:r>
        <w:t xml:space="preserve">The </w:t>
      </w:r>
      <w:r w:rsidRPr="00756B6D">
        <w:t xml:space="preserve">Department of Education and Training </w:t>
      </w:r>
      <w:r>
        <w:t xml:space="preserve">undertakes performance monitoring of </w:t>
      </w:r>
      <w:r w:rsidR="003F533B">
        <w:t xml:space="preserve">SEE </w:t>
      </w:r>
      <w:r>
        <w:t xml:space="preserve">providers through on-site file and infrastructure monitoring, off-site file monitoring, targeted monitoring; and desk top systems monitoring. </w:t>
      </w:r>
    </w:p>
    <w:p w14:paraId="0E7942E9" w14:textId="20A7FC16" w:rsidR="00FD667F" w:rsidRDefault="00FD667F" w:rsidP="00FD667F">
      <w:pPr>
        <w:pStyle w:val="BodyText"/>
      </w:pPr>
      <w:r>
        <w:t xml:space="preserve">The frequency of monitoring is determined by the level of assessed inherent risk posed by the </w:t>
      </w:r>
      <w:r w:rsidR="00FA4B7B">
        <w:t xml:space="preserve">SEE </w:t>
      </w:r>
      <w:r>
        <w:t xml:space="preserve">provider, ranging from low to very high. For those assessed </w:t>
      </w:r>
      <w:r w:rsidR="00FA4B7B">
        <w:t xml:space="preserve">at </w:t>
      </w:r>
      <w:r>
        <w:t>low, minor or moderate</w:t>
      </w:r>
      <w:r w:rsidR="00FA4B7B">
        <w:t xml:space="preserve"> risk</w:t>
      </w:r>
      <w:r>
        <w:t>, off-site monitoring occurs at least annually and on-site monitoring occurs at least once per contract. For those assessed at high risk, off-site or on-site monitoring is conducted at least quarterly, and for those considered very high risk, the frequency of monitoring rises to at least monthly.</w:t>
      </w:r>
    </w:p>
    <w:p w14:paraId="5D08A408" w14:textId="77777777" w:rsidR="00207DA7" w:rsidRDefault="00207DA7" w:rsidP="00207DA7">
      <w:pPr>
        <w:spacing w:line="280" w:lineRule="exact"/>
      </w:pPr>
      <w:r>
        <w:rPr>
          <w:sz w:val="22"/>
          <w:szCs w:val="22"/>
          <w:lang w:eastAsia="en-AU"/>
        </w:rPr>
        <w:t xml:space="preserve">Departmental audits are also concerned with </w:t>
      </w:r>
      <w:r w:rsidRPr="00C94F0C">
        <w:rPr>
          <w:sz w:val="22"/>
          <w:szCs w:val="22"/>
          <w:lang w:eastAsia="en-AU"/>
        </w:rPr>
        <w:t>the Provider Performance Framework (PPF). The PPF is a critical element of the programme given that it is used to determine contract extensions and the length thereof.</w:t>
      </w:r>
    </w:p>
    <w:p w14:paraId="2F89BA5F" w14:textId="42B368E5" w:rsidR="00FD667F" w:rsidRDefault="00FD667F" w:rsidP="00FD667F">
      <w:pPr>
        <w:pStyle w:val="Heading5"/>
        <w:numPr>
          <w:ilvl w:val="4"/>
          <w:numId w:val="20"/>
        </w:numPr>
      </w:pPr>
      <w:r>
        <w:t xml:space="preserve">Independent </w:t>
      </w:r>
      <w:r w:rsidR="00ED7910">
        <w:t>Verification</w:t>
      </w:r>
    </w:p>
    <w:p w14:paraId="51BFA4D4" w14:textId="1BF5EFF1" w:rsidR="00FD667F" w:rsidRDefault="00FD667F" w:rsidP="00FD667F">
      <w:pPr>
        <w:pStyle w:val="BodyText"/>
      </w:pPr>
      <w:r>
        <w:t xml:space="preserve">The Department contracts </w:t>
      </w:r>
      <w:r w:rsidR="001477F7">
        <w:t>an</w:t>
      </w:r>
      <w:r>
        <w:t xml:space="preserve"> </w:t>
      </w:r>
      <w:r w:rsidR="00ED7910">
        <w:t xml:space="preserve">Independent Verification </w:t>
      </w:r>
      <w:r>
        <w:t>(IV) provider who conduct</w:t>
      </w:r>
      <w:r w:rsidR="001477F7">
        <w:t>s</w:t>
      </w:r>
      <w:r>
        <w:t xml:space="preserve"> the IV process, to assess the quality and reliability of assessment, PTAs, IPAs, LOAs, and reviews of work experience placements conducted and developed by each SEE provider.</w:t>
      </w:r>
    </w:p>
    <w:p w14:paraId="40233C72" w14:textId="4502A646" w:rsidR="00FD667F" w:rsidRDefault="00CA0F47" w:rsidP="00FD667F">
      <w:pPr>
        <w:pStyle w:val="BodyText"/>
      </w:pPr>
      <w:r>
        <w:t xml:space="preserve">The </w:t>
      </w:r>
      <w:r w:rsidR="00FD667F">
        <w:t xml:space="preserve">IV provider </w:t>
      </w:r>
      <w:r w:rsidR="005F0C8E">
        <w:t>undertakes</w:t>
      </w:r>
      <w:r w:rsidR="00FD667F">
        <w:t xml:space="preserve"> on-site and off-site verification, develop</w:t>
      </w:r>
      <w:r w:rsidR="005F0C8E">
        <w:t>s</w:t>
      </w:r>
      <w:r w:rsidR="00FD667F">
        <w:t xml:space="preserve"> and deliver</w:t>
      </w:r>
      <w:r w:rsidR="005F0C8E">
        <w:t>s</w:t>
      </w:r>
      <w:r w:rsidR="00FD667F">
        <w:t xml:space="preserve"> professional development workshops to ensure national consistency of the programme, and maintain</w:t>
      </w:r>
      <w:r w:rsidR="005F0C8E">
        <w:t>s</w:t>
      </w:r>
      <w:r w:rsidR="00FD667F">
        <w:t xml:space="preserve"> moderation. SEE providers are required to maintain records </w:t>
      </w:r>
      <w:r w:rsidR="00FD667F" w:rsidRPr="0055446D">
        <w:t>which substantiate service delivery</w:t>
      </w:r>
      <w:r w:rsidR="00FD667F">
        <w:t>,</w:t>
      </w:r>
      <w:r w:rsidR="00FD667F" w:rsidRPr="0055446D">
        <w:t xml:space="preserve"> and </w:t>
      </w:r>
      <w:r w:rsidR="00FD667F">
        <w:t xml:space="preserve">provide information and access to </w:t>
      </w:r>
      <w:r w:rsidR="00FD667F" w:rsidRPr="0055446D">
        <w:t>enable verification to be conducted</w:t>
      </w:r>
      <w:r w:rsidR="00FD667F">
        <w:t xml:space="preserve"> </w:t>
      </w:r>
      <w:sdt>
        <w:sdtPr>
          <w:id w:val="-1740008921"/>
          <w:citation/>
        </w:sdtPr>
        <w:sdtEndPr/>
        <w:sdtContent>
          <w:r w:rsidR="00FD667F">
            <w:fldChar w:fldCharType="begin"/>
          </w:r>
          <w:r w:rsidR="00FD667F">
            <w:instrText xml:space="preserve"> CITATION Dep132 \l 3081 </w:instrText>
          </w:r>
          <w:r w:rsidR="00FD667F">
            <w:fldChar w:fldCharType="separate"/>
          </w:r>
          <w:r w:rsidR="00B66B50">
            <w:rPr>
              <w:noProof/>
            </w:rPr>
            <w:t>(Department of Industry, 2013)</w:t>
          </w:r>
          <w:r w:rsidR="00FD667F">
            <w:fldChar w:fldCharType="end"/>
          </w:r>
        </w:sdtContent>
      </w:sdt>
      <w:r w:rsidR="00FD667F">
        <w:t>.</w:t>
      </w:r>
    </w:p>
    <w:p w14:paraId="22D2BCAE" w14:textId="432C5A60" w:rsidR="00FD667F" w:rsidRDefault="00CA0F47" w:rsidP="00FD667F">
      <w:pPr>
        <w:pStyle w:val="BodyText"/>
      </w:pPr>
      <w:r>
        <w:t xml:space="preserve">The </w:t>
      </w:r>
      <w:r w:rsidR="00FD667F">
        <w:t xml:space="preserve">IV provider </w:t>
      </w:r>
      <w:r w:rsidR="00513628">
        <w:t xml:space="preserve">aims to </w:t>
      </w:r>
      <w:r w:rsidR="00FD667F">
        <w:t>ensure</w:t>
      </w:r>
      <w:r w:rsidR="00513628">
        <w:t xml:space="preserve"> </w:t>
      </w:r>
      <w:r w:rsidR="00FD667F">
        <w:t>the accuracy and reliability of claimed outcomes by observing evidence of assessments undertaken by participants and comparing the actual LLN improvements of clients against the ACSF, and certif</w:t>
      </w:r>
      <w:r w:rsidR="00305221">
        <w:t>ies</w:t>
      </w:r>
      <w:r w:rsidR="00FD667F">
        <w:t xml:space="preserve"> that the ACSF has been accurately applied. The process of </w:t>
      </w:r>
      <w:r w:rsidR="005F0C8E">
        <w:t>IV</w:t>
      </w:r>
      <w:r w:rsidR="00FD667F">
        <w:t xml:space="preserve"> ensures that assessments undertaken by </w:t>
      </w:r>
      <w:r w:rsidR="00FA4B7B">
        <w:t xml:space="preserve">SEE </w:t>
      </w:r>
      <w:r w:rsidR="00FD667F">
        <w:t xml:space="preserve">providers across service delivery areas are comparable </w:t>
      </w:r>
      <w:sdt>
        <w:sdtPr>
          <w:id w:val="1370958343"/>
          <w:citation/>
        </w:sdtPr>
        <w:sdtEndPr/>
        <w:sdtContent>
          <w:r w:rsidR="00FD667F">
            <w:fldChar w:fldCharType="begin"/>
          </w:r>
          <w:r w:rsidR="00FD667F">
            <w:instrText xml:space="preserve"> CITATION Dep13 \l 3081 </w:instrText>
          </w:r>
          <w:r w:rsidR="00FD667F">
            <w:fldChar w:fldCharType="separate"/>
          </w:r>
          <w:r w:rsidR="00B66B50">
            <w:rPr>
              <w:noProof/>
            </w:rPr>
            <w:t>(Department of Industry, 2013)</w:t>
          </w:r>
          <w:r w:rsidR="00FD667F">
            <w:fldChar w:fldCharType="end"/>
          </w:r>
        </w:sdtContent>
      </w:sdt>
      <w:r w:rsidR="00FD667F">
        <w:t>.</w:t>
      </w:r>
    </w:p>
    <w:p w14:paraId="099D1BD5" w14:textId="77777777" w:rsidR="00FD667F" w:rsidRDefault="00FD667F" w:rsidP="00FD667F">
      <w:pPr>
        <w:pStyle w:val="Heading5"/>
        <w:numPr>
          <w:ilvl w:val="4"/>
          <w:numId w:val="20"/>
        </w:numPr>
      </w:pPr>
      <w:r>
        <w:t>The role of ASQA</w:t>
      </w:r>
    </w:p>
    <w:p w14:paraId="6B416BD4" w14:textId="677E8C11" w:rsidR="00FD667F" w:rsidRDefault="00FD667F" w:rsidP="00FD667F">
      <w:pPr>
        <w:pStyle w:val="BodyText"/>
      </w:pPr>
      <w:r>
        <w:t>As RTOs, all SEE providers</w:t>
      </w:r>
      <w:r w:rsidR="003F533B">
        <w:t xml:space="preserve"> are</w:t>
      </w:r>
      <w:r>
        <w:t xml:space="preserve"> subject to </w:t>
      </w:r>
      <w:r w:rsidRPr="00CA3F6F">
        <w:t>quality assurance monitoring</w:t>
      </w:r>
      <w:r>
        <w:t xml:space="preserve"> by </w:t>
      </w:r>
      <w:r w:rsidRPr="00CA3F6F">
        <w:t>the Australian Skills Quality Authority (ASQA)</w:t>
      </w:r>
      <w:r>
        <w:t xml:space="preserve"> or the relevant state body. ASQA audits focus on training organisations meeting the RTO accreditation requirement</w:t>
      </w:r>
      <w:r w:rsidR="005F0C8E">
        <w:t>s</w:t>
      </w:r>
      <w:r>
        <w:t xml:space="preserve"> and delivering training and assessments in line with training packages. The focus of each audit type is set out in </w:t>
      </w:r>
      <w:r>
        <w:fldChar w:fldCharType="begin"/>
      </w:r>
      <w:r>
        <w:instrText xml:space="preserve"> REF _Ref408696280 \h </w:instrText>
      </w:r>
      <w:r>
        <w:fldChar w:fldCharType="separate"/>
      </w:r>
      <w:r w:rsidR="00294A5A">
        <w:t xml:space="preserve">Table </w:t>
      </w:r>
      <w:r w:rsidR="00294A5A">
        <w:rPr>
          <w:noProof/>
        </w:rPr>
        <w:t>12</w:t>
      </w:r>
      <w:r>
        <w:fldChar w:fldCharType="end"/>
      </w:r>
      <w:r>
        <w:t>.</w:t>
      </w:r>
    </w:p>
    <w:p w14:paraId="47D29FB9" w14:textId="5A963E2E" w:rsidR="00FD667F" w:rsidRDefault="00FD667F" w:rsidP="00FD667F">
      <w:pPr>
        <w:pStyle w:val="Caption"/>
      </w:pPr>
      <w:bookmarkStart w:id="160" w:name="_Ref408696280"/>
      <w:bookmarkStart w:id="161" w:name="_Toc420065508"/>
      <w:r>
        <w:t xml:space="preserve">Table </w:t>
      </w:r>
      <w:fldSimple w:instr=" SEQ Table \* MERGEFORMAT ">
        <w:r w:rsidR="00294A5A">
          <w:rPr>
            <w:noProof/>
          </w:rPr>
          <w:t>12</w:t>
        </w:r>
      </w:fldSimple>
      <w:bookmarkEnd w:id="160"/>
      <w:r w:rsidRPr="0002751C">
        <w:rPr>
          <w:b/>
          <w:color w:val="000000"/>
        </w:rPr>
        <w:tab/>
      </w:r>
      <w:r>
        <w:rPr>
          <w:b/>
          <w:color w:val="000000"/>
        </w:rPr>
        <w:t>ASQA audit focus</w:t>
      </w:r>
      <w:bookmarkEnd w:id="161"/>
    </w:p>
    <w:tbl>
      <w:tblPr>
        <w:tblW w:w="7343" w:type="dxa"/>
        <w:tblInd w:w="28"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2240"/>
        <w:gridCol w:w="5103"/>
      </w:tblGrid>
      <w:tr w:rsidR="00FD667F" w14:paraId="7021CE91" w14:textId="77777777" w:rsidTr="006C1337">
        <w:trPr>
          <w:cantSplit/>
        </w:trPr>
        <w:tc>
          <w:tcPr>
            <w:tcW w:w="2240" w:type="dxa"/>
            <w:tcBorders>
              <w:top w:val="nil"/>
            </w:tcBorders>
            <w:shd w:val="solid" w:color="9757A6" w:fill="auto"/>
            <w:vAlign w:val="center"/>
          </w:tcPr>
          <w:p w14:paraId="764651D9" w14:textId="77777777" w:rsidR="00FD667F" w:rsidRDefault="00FD667F" w:rsidP="006C1337">
            <w:pPr>
              <w:pStyle w:val="Tablecolumnheadings"/>
            </w:pPr>
            <w:r>
              <w:t>Type of audit</w:t>
            </w:r>
          </w:p>
        </w:tc>
        <w:tc>
          <w:tcPr>
            <w:tcW w:w="5103" w:type="dxa"/>
            <w:tcBorders>
              <w:top w:val="nil"/>
            </w:tcBorders>
            <w:shd w:val="solid" w:color="9757A6" w:fill="auto"/>
            <w:vAlign w:val="center"/>
          </w:tcPr>
          <w:p w14:paraId="02BEE347" w14:textId="77777777" w:rsidR="00FD667F" w:rsidRDefault="00FD667F" w:rsidP="006C1337">
            <w:pPr>
              <w:pStyle w:val="Tablecolumnheadings"/>
            </w:pPr>
            <w:r>
              <w:t>Focus of audit</w:t>
            </w:r>
          </w:p>
        </w:tc>
      </w:tr>
      <w:tr w:rsidR="00FD667F" w14:paraId="4D3D30B1" w14:textId="77777777" w:rsidTr="006C1337">
        <w:trPr>
          <w:cantSplit/>
        </w:trPr>
        <w:tc>
          <w:tcPr>
            <w:tcW w:w="7343" w:type="dxa"/>
            <w:gridSpan w:val="2"/>
            <w:shd w:val="clear" w:color="auto" w:fill="D9D9D9" w:themeFill="background1" w:themeFillShade="D9"/>
            <w:vAlign w:val="center"/>
          </w:tcPr>
          <w:p w14:paraId="5BFE7E39" w14:textId="77777777" w:rsidR="00FD667F" w:rsidRPr="0002751C" w:rsidRDefault="00FD667F" w:rsidP="006C1337">
            <w:pPr>
              <w:pStyle w:val="Tableunitsrow"/>
              <w:rPr>
                <w:b/>
              </w:rPr>
            </w:pPr>
            <w:r>
              <w:rPr>
                <w:b/>
              </w:rPr>
              <w:t>Registration audits</w:t>
            </w:r>
          </w:p>
        </w:tc>
      </w:tr>
      <w:tr w:rsidR="00FD667F" w14:paraId="5D4C505D" w14:textId="77777777" w:rsidTr="006C1337">
        <w:trPr>
          <w:cantSplit/>
        </w:trPr>
        <w:tc>
          <w:tcPr>
            <w:tcW w:w="2240" w:type="dxa"/>
            <w:shd w:val="clear" w:color="auto" w:fill="auto"/>
            <w:vAlign w:val="center"/>
          </w:tcPr>
          <w:p w14:paraId="3F81C3ED" w14:textId="77777777" w:rsidR="00FD667F" w:rsidRDefault="00FD667F" w:rsidP="006C1337">
            <w:pPr>
              <w:pStyle w:val="Tabletext"/>
            </w:pPr>
            <w:r>
              <w:t>Initial registration</w:t>
            </w:r>
          </w:p>
        </w:tc>
        <w:tc>
          <w:tcPr>
            <w:tcW w:w="5103" w:type="dxa"/>
            <w:shd w:val="clear" w:color="auto" w:fill="auto"/>
            <w:vAlign w:val="center"/>
          </w:tcPr>
          <w:p w14:paraId="70463BD4" w14:textId="77777777" w:rsidR="00FD667F" w:rsidRDefault="00FD667F" w:rsidP="006C1337">
            <w:pPr>
              <w:pStyle w:val="Tabletext"/>
            </w:pPr>
            <w:r w:rsidRPr="0002751C">
              <w:t xml:space="preserve">Evidence of the preparedness of the applicant organisation to operate as an RTO and/or to deliver training to international students studying in Australia. </w:t>
            </w:r>
            <w:r>
              <w:t>Includes consideration of:</w:t>
            </w:r>
          </w:p>
          <w:p w14:paraId="517220F6" w14:textId="77777777" w:rsidR="00FD667F" w:rsidRDefault="00FD667F" w:rsidP="00FD667F">
            <w:pPr>
              <w:pStyle w:val="Tablelistbullet"/>
              <w:numPr>
                <w:ilvl w:val="0"/>
                <w:numId w:val="13"/>
              </w:numPr>
            </w:pPr>
            <w:r w:rsidRPr="0002751C">
              <w:t xml:space="preserve">the appropriateness of management systems, delivery </w:t>
            </w:r>
            <w:r>
              <w:t>strategies and other resources</w:t>
            </w:r>
          </w:p>
          <w:p w14:paraId="22675B68" w14:textId="77777777" w:rsidR="00FD667F" w:rsidRDefault="00FD667F" w:rsidP="00FD667F">
            <w:pPr>
              <w:pStyle w:val="Tablelistbullet"/>
              <w:numPr>
                <w:ilvl w:val="0"/>
                <w:numId w:val="13"/>
              </w:numPr>
            </w:pPr>
            <w:r w:rsidRPr="0002751C">
              <w:t xml:space="preserve">whether proposed implementation of delivery strategies meets training package and/or </w:t>
            </w:r>
            <w:r>
              <w:t>accredited course requirements</w:t>
            </w:r>
          </w:p>
          <w:p w14:paraId="722A56AE" w14:textId="77777777" w:rsidR="00FD667F" w:rsidRDefault="00FD667F" w:rsidP="00FD667F">
            <w:pPr>
              <w:pStyle w:val="Tablelistbullet"/>
              <w:numPr>
                <w:ilvl w:val="0"/>
                <w:numId w:val="13"/>
              </w:numPr>
            </w:pPr>
            <w:r w:rsidRPr="0002751C">
              <w:t>the suitability and sufficiency of facilities and equipment, and the competence of nominated delivery personnel.</w:t>
            </w:r>
          </w:p>
        </w:tc>
      </w:tr>
      <w:tr w:rsidR="00FD667F" w14:paraId="1D8EBC35" w14:textId="77777777" w:rsidTr="006C1337">
        <w:trPr>
          <w:cantSplit/>
        </w:trPr>
        <w:tc>
          <w:tcPr>
            <w:tcW w:w="2240" w:type="dxa"/>
            <w:shd w:val="clear" w:color="auto" w:fill="auto"/>
            <w:vAlign w:val="center"/>
          </w:tcPr>
          <w:p w14:paraId="53B3E310" w14:textId="77777777" w:rsidR="00FD667F" w:rsidRDefault="00FD667F" w:rsidP="006C1337">
            <w:pPr>
              <w:pStyle w:val="Tabletext"/>
            </w:pPr>
            <w:r>
              <w:t>Renewal of registration</w:t>
            </w:r>
          </w:p>
        </w:tc>
        <w:tc>
          <w:tcPr>
            <w:tcW w:w="5103" w:type="dxa"/>
            <w:shd w:val="clear" w:color="auto" w:fill="auto"/>
            <w:vAlign w:val="center"/>
          </w:tcPr>
          <w:p w14:paraId="371AD081" w14:textId="77777777" w:rsidR="00FD667F" w:rsidRDefault="00FD667F" w:rsidP="006C1337">
            <w:pPr>
              <w:pStyle w:val="Tabletext"/>
            </w:pPr>
            <w:r w:rsidRPr="0002751C">
              <w:t xml:space="preserve">Evidence of the ongoing effective deployment of systems for the delivery of quality training and assessment. </w:t>
            </w:r>
            <w:r>
              <w:t>Includes consideration of:</w:t>
            </w:r>
          </w:p>
          <w:p w14:paraId="1ABDA9BA" w14:textId="77777777" w:rsidR="00FD667F" w:rsidRDefault="00FD667F" w:rsidP="00FD667F">
            <w:pPr>
              <w:pStyle w:val="Tablelistbullet"/>
              <w:numPr>
                <w:ilvl w:val="0"/>
                <w:numId w:val="13"/>
              </w:numPr>
            </w:pPr>
            <w:r w:rsidRPr="0002751C">
              <w:t>the ongoing appropriateness of management systems, delivery s</w:t>
            </w:r>
            <w:r>
              <w:t>trategies and other resources</w:t>
            </w:r>
          </w:p>
          <w:p w14:paraId="7924F545" w14:textId="77777777" w:rsidR="00FD667F" w:rsidRDefault="00FD667F" w:rsidP="00FD667F">
            <w:pPr>
              <w:pStyle w:val="Tablelistbullet"/>
              <w:numPr>
                <w:ilvl w:val="0"/>
                <w:numId w:val="13"/>
              </w:numPr>
            </w:pPr>
            <w:r w:rsidRPr="0002751C">
              <w:t>whether ongoing implementation of delivery strategies meets training package and/or a</w:t>
            </w:r>
            <w:r>
              <w:t>ccredited course requirements</w:t>
            </w:r>
          </w:p>
          <w:p w14:paraId="19E25AD2" w14:textId="77777777" w:rsidR="00FD667F" w:rsidRDefault="00FD667F" w:rsidP="00FD667F">
            <w:pPr>
              <w:pStyle w:val="Tablelistbullet"/>
              <w:numPr>
                <w:ilvl w:val="0"/>
                <w:numId w:val="13"/>
              </w:numPr>
            </w:pPr>
            <w:r>
              <w:t>t</w:t>
            </w:r>
            <w:r w:rsidRPr="0002751C">
              <w:t>he ongoing suitability and sufficiency of</w:t>
            </w:r>
            <w:r>
              <w:t xml:space="preserve"> facilities and equipment</w:t>
            </w:r>
          </w:p>
          <w:p w14:paraId="1BC2DC6B" w14:textId="77777777" w:rsidR="00FD667F" w:rsidRDefault="00FD667F" w:rsidP="00FD667F">
            <w:pPr>
              <w:pStyle w:val="Tablelistbullet"/>
              <w:numPr>
                <w:ilvl w:val="0"/>
                <w:numId w:val="13"/>
              </w:numPr>
            </w:pPr>
            <w:r w:rsidRPr="0002751C">
              <w:t>the ongoing competence of nominated delivery personnel.</w:t>
            </w:r>
          </w:p>
        </w:tc>
      </w:tr>
      <w:tr w:rsidR="00FD667F" w14:paraId="6D51747A" w14:textId="77777777" w:rsidTr="006C1337">
        <w:trPr>
          <w:cantSplit/>
        </w:trPr>
        <w:tc>
          <w:tcPr>
            <w:tcW w:w="2240" w:type="dxa"/>
            <w:shd w:val="clear" w:color="auto" w:fill="auto"/>
            <w:vAlign w:val="center"/>
          </w:tcPr>
          <w:p w14:paraId="07D6EDBC" w14:textId="77777777" w:rsidR="00FD667F" w:rsidRDefault="00FD667F" w:rsidP="006C1337">
            <w:pPr>
              <w:pStyle w:val="Tabletext"/>
            </w:pPr>
            <w:r>
              <w:t>Change scope of registration</w:t>
            </w:r>
          </w:p>
        </w:tc>
        <w:tc>
          <w:tcPr>
            <w:tcW w:w="5103" w:type="dxa"/>
            <w:shd w:val="clear" w:color="auto" w:fill="auto"/>
            <w:vAlign w:val="center"/>
          </w:tcPr>
          <w:p w14:paraId="5B6B0CC7" w14:textId="77777777" w:rsidR="00FD667F" w:rsidRDefault="00FD667F" w:rsidP="006C1337">
            <w:pPr>
              <w:pStyle w:val="Tabletext"/>
            </w:pPr>
            <w:r w:rsidRPr="0002751C">
              <w:t xml:space="preserve">Evidence of the preparedness of the organisation to deliver the units/qualifications/courses contained within the application. </w:t>
            </w:r>
            <w:r>
              <w:t>Includes consideration of:</w:t>
            </w:r>
          </w:p>
          <w:p w14:paraId="34D61313" w14:textId="77777777" w:rsidR="00FD667F" w:rsidRDefault="00FD667F" w:rsidP="00FD667F">
            <w:pPr>
              <w:pStyle w:val="Tablelistbullet"/>
              <w:numPr>
                <w:ilvl w:val="0"/>
                <w:numId w:val="13"/>
              </w:numPr>
            </w:pPr>
            <w:r w:rsidRPr="0002751C">
              <w:t>the appropriateness of management systems, delivery s</w:t>
            </w:r>
            <w:r>
              <w:t>trategies and other resources</w:t>
            </w:r>
          </w:p>
          <w:p w14:paraId="13A67F25" w14:textId="77777777" w:rsidR="00FD667F" w:rsidRDefault="00FD667F" w:rsidP="00FD667F">
            <w:pPr>
              <w:pStyle w:val="Tablelistbullet"/>
              <w:numPr>
                <w:ilvl w:val="0"/>
                <w:numId w:val="13"/>
              </w:numPr>
            </w:pPr>
            <w:r w:rsidRPr="0002751C">
              <w:t>whether proposed implementation of delivery strategies meets training package and/or a</w:t>
            </w:r>
            <w:r>
              <w:t>ccredited course requirements</w:t>
            </w:r>
          </w:p>
          <w:p w14:paraId="75686D9A" w14:textId="77777777" w:rsidR="00FD667F" w:rsidRDefault="00FD667F" w:rsidP="00FD667F">
            <w:pPr>
              <w:pStyle w:val="Tablelistbullet"/>
              <w:numPr>
                <w:ilvl w:val="0"/>
                <w:numId w:val="13"/>
              </w:numPr>
            </w:pPr>
            <w:r w:rsidRPr="0002751C">
              <w:t xml:space="preserve">the suitability and sufficiency of </w:t>
            </w:r>
            <w:r>
              <w:t>facilities and equipment</w:t>
            </w:r>
          </w:p>
          <w:p w14:paraId="4241B1DE" w14:textId="77777777" w:rsidR="00FD667F" w:rsidRDefault="00FD667F" w:rsidP="00FD667F">
            <w:pPr>
              <w:pStyle w:val="Tablelistbullet"/>
              <w:numPr>
                <w:ilvl w:val="0"/>
                <w:numId w:val="13"/>
              </w:numPr>
            </w:pPr>
            <w:r w:rsidRPr="0002751C">
              <w:t>the competence of nominated delivery personnel.</w:t>
            </w:r>
          </w:p>
        </w:tc>
      </w:tr>
      <w:tr w:rsidR="00FD667F" w14:paraId="1B61DE0D" w14:textId="77777777" w:rsidTr="006C1337">
        <w:trPr>
          <w:cantSplit/>
        </w:trPr>
        <w:tc>
          <w:tcPr>
            <w:tcW w:w="7343" w:type="dxa"/>
            <w:gridSpan w:val="2"/>
            <w:shd w:val="clear" w:color="auto" w:fill="D9D9D9" w:themeFill="background1" w:themeFillShade="D9"/>
            <w:vAlign w:val="center"/>
          </w:tcPr>
          <w:p w14:paraId="68EE5C90" w14:textId="77777777" w:rsidR="00FD667F" w:rsidRPr="0002751C" w:rsidRDefault="00FD667F" w:rsidP="006C1337">
            <w:pPr>
              <w:pStyle w:val="Tableunitsrow"/>
              <w:rPr>
                <w:b/>
              </w:rPr>
            </w:pPr>
            <w:r>
              <w:rPr>
                <w:b/>
              </w:rPr>
              <w:t>Compliance audits</w:t>
            </w:r>
          </w:p>
        </w:tc>
      </w:tr>
      <w:tr w:rsidR="00FD667F" w14:paraId="11C7A6B1" w14:textId="77777777" w:rsidTr="006C1337">
        <w:trPr>
          <w:cantSplit/>
        </w:trPr>
        <w:tc>
          <w:tcPr>
            <w:tcW w:w="2240" w:type="dxa"/>
            <w:tcBorders>
              <w:bottom w:val="single" w:sz="2" w:space="0" w:color="C0C0C0"/>
            </w:tcBorders>
            <w:shd w:val="clear" w:color="auto" w:fill="auto"/>
            <w:vAlign w:val="center"/>
          </w:tcPr>
          <w:p w14:paraId="1490551E" w14:textId="77777777" w:rsidR="00FD667F" w:rsidRDefault="00FD667F" w:rsidP="006C1337">
            <w:pPr>
              <w:pStyle w:val="Tabletext"/>
            </w:pPr>
            <w:r>
              <w:t>Post-initial audit and compliance audit</w:t>
            </w:r>
          </w:p>
        </w:tc>
        <w:tc>
          <w:tcPr>
            <w:tcW w:w="5103" w:type="dxa"/>
            <w:tcBorders>
              <w:bottom w:val="single" w:sz="2" w:space="0" w:color="C0C0C0"/>
            </w:tcBorders>
            <w:shd w:val="clear" w:color="auto" w:fill="auto"/>
            <w:vAlign w:val="center"/>
          </w:tcPr>
          <w:p w14:paraId="001E22D0" w14:textId="77777777" w:rsidR="00FD667F" w:rsidRDefault="00FD667F" w:rsidP="006C1337">
            <w:pPr>
              <w:pStyle w:val="Tabletext"/>
            </w:pPr>
            <w:r w:rsidRPr="00DE6F1F">
              <w:t xml:space="preserve">Evidence of the ongoing effective deployment of systems that ensure the provider’s ability to deliver the units/qualifications/courses on their scope of registration. </w:t>
            </w:r>
            <w:r>
              <w:t>Includes consideration of:</w:t>
            </w:r>
          </w:p>
          <w:p w14:paraId="1F2A40E8" w14:textId="77777777" w:rsidR="00FD667F" w:rsidRDefault="00FD667F" w:rsidP="00FD667F">
            <w:pPr>
              <w:pStyle w:val="Tablelistbullet"/>
              <w:numPr>
                <w:ilvl w:val="0"/>
                <w:numId w:val="13"/>
              </w:numPr>
            </w:pPr>
            <w:r w:rsidRPr="00DE6F1F">
              <w:t>the appropriateness of management systems, delivery strategies and other resources</w:t>
            </w:r>
          </w:p>
          <w:p w14:paraId="3308D8BA" w14:textId="77777777" w:rsidR="00FD667F" w:rsidRDefault="00FD667F" w:rsidP="00FD667F">
            <w:pPr>
              <w:pStyle w:val="Tablelistbullet"/>
              <w:numPr>
                <w:ilvl w:val="0"/>
                <w:numId w:val="13"/>
              </w:numPr>
            </w:pPr>
            <w:r w:rsidRPr="00DE6F1F">
              <w:t>whether proposed implementation of delivery strategies meets training package and/or accredited course requirements</w:t>
            </w:r>
          </w:p>
          <w:p w14:paraId="756F34A1" w14:textId="77777777" w:rsidR="00FD667F" w:rsidRDefault="00FD667F" w:rsidP="00FD667F">
            <w:pPr>
              <w:pStyle w:val="Tablelistbullet"/>
              <w:numPr>
                <w:ilvl w:val="0"/>
                <w:numId w:val="13"/>
              </w:numPr>
            </w:pPr>
            <w:r w:rsidRPr="00DE6F1F">
              <w:t>the suitability and sufficiency of facilities and equipment</w:t>
            </w:r>
          </w:p>
          <w:p w14:paraId="4642F541" w14:textId="77777777" w:rsidR="00FD667F" w:rsidRDefault="00FD667F" w:rsidP="00FD667F">
            <w:pPr>
              <w:pStyle w:val="Tablelistbullet"/>
              <w:numPr>
                <w:ilvl w:val="0"/>
                <w:numId w:val="13"/>
              </w:numPr>
            </w:pPr>
            <w:r w:rsidRPr="00DE6F1F">
              <w:t>the competence of nominated delivery personnel.</w:t>
            </w:r>
          </w:p>
        </w:tc>
      </w:tr>
    </w:tbl>
    <w:p w14:paraId="3352933E" w14:textId="2F689D88" w:rsidR="00FD667F" w:rsidRDefault="00FD667F" w:rsidP="00FD667F">
      <w:pPr>
        <w:pStyle w:val="Source"/>
      </w:pPr>
      <w:r>
        <w:t xml:space="preserve">Source: ASQA, </w:t>
      </w:r>
      <w:r>
        <w:rPr>
          <w:i/>
        </w:rPr>
        <w:t>Fact sheet: ASQA audits</w:t>
      </w:r>
      <w:r>
        <w:t xml:space="preserve"> (2013), available at: </w:t>
      </w:r>
      <w:r w:rsidRPr="006F55F1">
        <w:t>http://www.asqa.gov.au/news-and-publications/publications/fact-sheets/fact-sheets.html</w:t>
      </w:r>
      <w:r>
        <w:t>.</w:t>
      </w:r>
    </w:p>
    <w:p w14:paraId="01E77B2F" w14:textId="77777777" w:rsidR="00FD667F" w:rsidRDefault="00FD667F" w:rsidP="00FD667F">
      <w:pPr>
        <w:spacing w:line="280" w:lineRule="exact"/>
        <w:rPr>
          <w:sz w:val="22"/>
          <w:szCs w:val="22"/>
          <w:lang w:eastAsia="en-AU"/>
        </w:rPr>
      </w:pPr>
      <w:r>
        <w:rPr>
          <w:sz w:val="22"/>
          <w:szCs w:val="22"/>
          <w:lang w:eastAsia="en-AU"/>
        </w:rPr>
        <w:t xml:space="preserve">The most common concerns of providers regarding the auditing process is the administration associated with IV and the lack of clear direction on compliance. </w:t>
      </w:r>
    </w:p>
    <w:p w14:paraId="286D5C65" w14:textId="77777777" w:rsidR="00FD667F" w:rsidRDefault="00FD667F" w:rsidP="00FD667F">
      <w:pPr>
        <w:pStyle w:val="Quote"/>
      </w:pPr>
      <w:r w:rsidRPr="00FB7554">
        <w:t>There is also an opportunity to reduce the burden of reporting and administration required in the SEE program due to the regular external verification regime. This is a very demanding and excessive process whereby a significant focus for trainers is continual assessment and annotation of client achievements for the frequent independent verification visits.</w:t>
      </w:r>
    </w:p>
    <w:p w14:paraId="067E4984" w14:textId="77777777" w:rsidR="00FD667F" w:rsidRPr="00FB7554" w:rsidRDefault="00FD667F" w:rsidP="00FD667F">
      <w:pPr>
        <w:pStyle w:val="QuoteSource"/>
      </w:pPr>
      <w:r>
        <w:t>AMES Consortium submission</w:t>
      </w:r>
    </w:p>
    <w:p w14:paraId="35D7079F" w14:textId="77777777" w:rsidR="00FD667F" w:rsidRDefault="00FD667F" w:rsidP="00FD667F">
      <w:pPr>
        <w:pStyle w:val="Quote"/>
      </w:pPr>
      <w:r w:rsidRPr="002E1EF3">
        <w:t>The Independent Verification goal posts are not transparent and seem to keep shifting. After many years of reporting against the ACSF many teaching professionals find that some performance criteria and their requirements are less than clear, and can only be discovered through the verification process. Interpretation of these criteria seems to vary from one verification to the next</w:t>
      </w:r>
      <w:r>
        <w:t>.</w:t>
      </w:r>
    </w:p>
    <w:p w14:paraId="154C4138" w14:textId="77777777" w:rsidR="00FD667F" w:rsidRDefault="00FD667F" w:rsidP="00FD667F">
      <w:pPr>
        <w:pStyle w:val="QuoteSource"/>
      </w:pPr>
      <w:r>
        <w:t>Confidential submission</w:t>
      </w:r>
    </w:p>
    <w:p w14:paraId="296ECEBF" w14:textId="77777777" w:rsidR="00FD667F" w:rsidRDefault="00FD667F" w:rsidP="00FD667F">
      <w:pPr>
        <w:pStyle w:val="Quote"/>
      </w:pPr>
      <w:r w:rsidRPr="00FB7554">
        <w:t>Verification is both a barrier and a facilitator of good performance. A barrier because it imposes a high level of continuous reporting and in some cases leads to a push to develop provider mandated, standardised assessment tasks which in turn encourages a ‘teach to the test’ attitude</w:t>
      </w:r>
      <w:r>
        <w:t>…</w:t>
      </w:r>
      <w:r w:rsidRPr="00FB7554">
        <w:t xml:space="preserve"> This is not to suggest that accountability and monitoring/assessing of learner progress is not an essential component but it often seems to have become the primary focus.</w:t>
      </w:r>
    </w:p>
    <w:p w14:paraId="1AFE4137" w14:textId="77777777" w:rsidR="00FD667F" w:rsidRPr="00FB7554" w:rsidRDefault="00FD667F" w:rsidP="00FD667F">
      <w:pPr>
        <w:pStyle w:val="QuoteSource"/>
      </w:pPr>
      <w:r>
        <w:t>Linda Wyse submission</w:t>
      </w:r>
    </w:p>
    <w:p w14:paraId="2718ADEE" w14:textId="7CD04B3A" w:rsidR="00FD667F" w:rsidRDefault="00B97AF0" w:rsidP="00FD667F">
      <w:pPr>
        <w:pStyle w:val="BodyText"/>
      </w:pPr>
      <w:r>
        <w:t xml:space="preserve">The </w:t>
      </w:r>
      <w:r w:rsidR="00147674">
        <w:t>SEE programme</w:t>
      </w:r>
      <w:r>
        <w:t xml:space="preserve"> produces contract and provider instructions to inform </w:t>
      </w:r>
      <w:r w:rsidR="003F533B">
        <w:t xml:space="preserve">SEE </w:t>
      </w:r>
      <w:r>
        <w:t xml:space="preserve">providers of their reporting and performance assessment responsibilities. </w:t>
      </w:r>
      <w:r w:rsidR="00A44A8F">
        <w:t>SEE providers</w:t>
      </w:r>
      <w:r>
        <w:t>, however,</w:t>
      </w:r>
      <w:r w:rsidR="00FD667F">
        <w:t xml:space="preserve"> contend the </w:t>
      </w:r>
      <w:r>
        <w:t xml:space="preserve">IV </w:t>
      </w:r>
      <w:r w:rsidR="00FD667F">
        <w:t xml:space="preserve">process could be improved through the introduction of </w:t>
      </w:r>
      <w:r w:rsidR="00FD667F" w:rsidRPr="00F06371">
        <w:t xml:space="preserve">checklists from the </w:t>
      </w:r>
      <w:r w:rsidR="00FD667F">
        <w:t>IV p</w:t>
      </w:r>
      <w:r w:rsidR="00FD667F" w:rsidRPr="00F06371">
        <w:t>roviders to clarify what is</w:t>
      </w:r>
      <w:r w:rsidR="00FD667F">
        <w:t xml:space="preserve"> required in ACSF interpretation and by </w:t>
      </w:r>
      <w:r w:rsidR="00FD667F" w:rsidRPr="00F06371">
        <w:t xml:space="preserve">supportive feedback between verifications.  </w:t>
      </w:r>
    </w:p>
    <w:p w14:paraId="78D539DB" w14:textId="7AB4467B" w:rsidR="00FD667F" w:rsidRPr="00EB2205" w:rsidRDefault="00FD667F" w:rsidP="00FD667F">
      <w:pPr>
        <w:pStyle w:val="BodyText"/>
      </w:pPr>
      <w:r>
        <w:t xml:space="preserve">In consultations, few providers indicated that there was overlap between monitoring under the </w:t>
      </w:r>
      <w:r w:rsidR="00147674">
        <w:t>SEE programme</w:t>
      </w:r>
      <w:r w:rsidR="006A28F2">
        <w:t xml:space="preserve"> </w:t>
      </w:r>
      <w:r>
        <w:t xml:space="preserve">and ASQA (or the equivalent state body).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FD667F" w:rsidRPr="00EB2205" w14:paraId="18960120" w14:textId="77777777" w:rsidTr="006C1337">
        <w:tc>
          <w:tcPr>
            <w:tcW w:w="5000" w:type="pct"/>
            <w:shd w:val="pct12" w:color="auto" w:fill="auto"/>
          </w:tcPr>
          <w:p w14:paraId="271981D1" w14:textId="297B975E" w:rsidR="00FD667F" w:rsidRPr="00EB2205" w:rsidRDefault="00FD667F" w:rsidP="006C1337">
            <w:pPr>
              <w:keepNext/>
              <w:spacing w:after="60"/>
              <w:ind w:left="1112" w:hanging="1112"/>
              <w:outlineLvl w:val="8"/>
              <w:rPr>
                <w:rFonts w:ascii="Arial Bold" w:hAnsi="Arial Bold" w:cs="Arial"/>
                <w:color w:val="000080"/>
                <w:sz w:val="20"/>
              </w:rPr>
            </w:pPr>
            <w:r w:rsidRPr="00EB2205">
              <w:rPr>
                <w:rFonts w:asciiTheme="majorHAnsi" w:hAnsiTheme="majorHAnsi" w:cs="Arial"/>
                <w:sz w:val="20"/>
              </w:rPr>
              <w:t xml:space="preserve">Key Finding </w:t>
            </w:r>
            <w:r w:rsidRPr="00EB2205">
              <w:rPr>
                <w:rFonts w:asciiTheme="majorHAnsi" w:hAnsiTheme="majorHAnsi" w:cs="Arial"/>
                <w:sz w:val="20"/>
              </w:rPr>
              <w:fldChar w:fldCharType="begin"/>
            </w:r>
            <w:r w:rsidRPr="00EB2205">
              <w:rPr>
                <w:rFonts w:asciiTheme="majorHAnsi" w:hAnsiTheme="majorHAnsi" w:cs="Arial"/>
                <w:sz w:val="20"/>
              </w:rPr>
              <w:instrText xml:space="preserve"> SEQ Key_Finding \* ARABIC </w:instrText>
            </w:r>
            <w:r w:rsidRPr="00EB2205">
              <w:rPr>
                <w:rFonts w:asciiTheme="majorHAnsi" w:hAnsiTheme="majorHAnsi" w:cs="Arial"/>
                <w:sz w:val="20"/>
              </w:rPr>
              <w:fldChar w:fldCharType="separate"/>
            </w:r>
            <w:r w:rsidR="00294A5A">
              <w:rPr>
                <w:rFonts w:asciiTheme="majorHAnsi" w:hAnsiTheme="majorHAnsi" w:cs="Arial"/>
                <w:noProof/>
                <w:sz w:val="20"/>
              </w:rPr>
              <w:t>22</w:t>
            </w:r>
            <w:r w:rsidRPr="00EB2205">
              <w:rPr>
                <w:rFonts w:asciiTheme="majorHAnsi" w:hAnsiTheme="majorHAnsi" w:cs="Arial"/>
                <w:noProof/>
                <w:sz w:val="20"/>
              </w:rPr>
              <w:fldChar w:fldCharType="end"/>
            </w:r>
          </w:p>
        </w:tc>
      </w:tr>
      <w:tr w:rsidR="00FD667F" w:rsidRPr="00EB2205" w14:paraId="46C28313" w14:textId="77777777" w:rsidTr="006C1337">
        <w:tc>
          <w:tcPr>
            <w:tcW w:w="5000" w:type="pct"/>
            <w:shd w:val="pct12" w:color="auto" w:fill="auto"/>
          </w:tcPr>
          <w:p w14:paraId="4DB5E611" w14:textId="0417318F" w:rsidR="00FD667F" w:rsidRDefault="00FD667F" w:rsidP="006C1337">
            <w:pPr>
              <w:keepNext/>
              <w:keepLines/>
              <w:spacing w:before="80" w:after="40" w:line="220" w:lineRule="exact"/>
              <w:rPr>
                <w:sz w:val="20"/>
                <w:szCs w:val="22"/>
                <w:lang w:eastAsia="en-AU"/>
              </w:rPr>
            </w:pPr>
            <w:r w:rsidRPr="00F82C86">
              <w:rPr>
                <w:sz w:val="20"/>
                <w:szCs w:val="22"/>
                <w:lang w:eastAsia="en-AU"/>
              </w:rPr>
              <w:t>The</w:t>
            </w:r>
            <w:r>
              <w:rPr>
                <w:sz w:val="20"/>
                <w:szCs w:val="22"/>
                <w:lang w:eastAsia="en-AU"/>
              </w:rPr>
              <w:t xml:space="preserve"> </w:t>
            </w:r>
            <w:r w:rsidR="00147674">
              <w:rPr>
                <w:sz w:val="20"/>
                <w:szCs w:val="22"/>
                <w:lang w:eastAsia="en-AU"/>
              </w:rPr>
              <w:t>SEE programme</w:t>
            </w:r>
            <w:r w:rsidR="006A28F2">
              <w:rPr>
                <w:sz w:val="20"/>
                <w:szCs w:val="22"/>
                <w:lang w:eastAsia="en-AU"/>
              </w:rPr>
              <w:t xml:space="preserve"> </w:t>
            </w:r>
            <w:r>
              <w:rPr>
                <w:sz w:val="20"/>
                <w:szCs w:val="22"/>
                <w:lang w:eastAsia="en-AU"/>
              </w:rPr>
              <w:t>has a comprehensive auditing and quality assurance process that many</w:t>
            </w:r>
            <w:r w:rsidRPr="00824E64">
              <w:rPr>
                <w:sz w:val="20"/>
                <w:szCs w:val="22"/>
                <w:lang w:eastAsia="en-AU"/>
              </w:rPr>
              <w:t xml:space="preserve"> SEE providers consider a significant and excessive burden.</w:t>
            </w:r>
            <w:r>
              <w:rPr>
                <w:sz w:val="20"/>
                <w:szCs w:val="22"/>
                <w:lang w:eastAsia="en-AU"/>
              </w:rPr>
              <w:t xml:space="preserve"> Some providers contend the I</w:t>
            </w:r>
            <w:r w:rsidR="00FA4B7B">
              <w:rPr>
                <w:sz w:val="20"/>
                <w:szCs w:val="22"/>
                <w:lang w:eastAsia="en-AU"/>
              </w:rPr>
              <w:t xml:space="preserve">ndependent </w:t>
            </w:r>
            <w:r>
              <w:rPr>
                <w:sz w:val="20"/>
                <w:szCs w:val="22"/>
                <w:lang w:eastAsia="en-AU"/>
              </w:rPr>
              <w:t>V</w:t>
            </w:r>
            <w:r w:rsidR="00FA4B7B">
              <w:rPr>
                <w:sz w:val="20"/>
                <w:szCs w:val="22"/>
                <w:lang w:eastAsia="en-AU"/>
              </w:rPr>
              <w:t>erification</w:t>
            </w:r>
            <w:r>
              <w:rPr>
                <w:sz w:val="20"/>
                <w:szCs w:val="22"/>
                <w:lang w:eastAsia="en-AU"/>
              </w:rPr>
              <w:t xml:space="preserve"> process could be improved through clearer communication of expectations.</w:t>
            </w:r>
          </w:p>
          <w:p w14:paraId="5647F1EA" w14:textId="421C0EC0" w:rsidR="00FD667F" w:rsidRPr="00EB2205" w:rsidRDefault="00FD667F" w:rsidP="006C1337">
            <w:pPr>
              <w:keepNext/>
              <w:keepLines/>
              <w:spacing w:before="80" w:after="40" w:line="220" w:lineRule="exact"/>
              <w:rPr>
                <w:sz w:val="20"/>
                <w:szCs w:val="22"/>
                <w:lang w:eastAsia="en-AU"/>
              </w:rPr>
            </w:pPr>
            <w:r w:rsidRPr="00EB2205">
              <w:rPr>
                <w:sz w:val="20"/>
                <w:szCs w:val="22"/>
                <w:lang w:eastAsia="en-AU"/>
              </w:rPr>
              <w:t>There is little evidence</w:t>
            </w:r>
            <w:r w:rsidR="008E6476">
              <w:rPr>
                <w:sz w:val="20"/>
                <w:szCs w:val="22"/>
                <w:lang w:eastAsia="en-AU"/>
              </w:rPr>
              <w:t xml:space="preserve"> of</w:t>
            </w:r>
            <w:r w:rsidRPr="00EB2205">
              <w:rPr>
                <w:sz w:val="20"/>
                <w:szCs w:val="22"/>
                <w:lang w:eastAsia="en-AU"/>
              </w:rPr>
              <w:t xml:space="preserve"> duplication of quality assurance monitoring by the </w:t>
            </w:r>
            <w:r w:rsidR="00147674">
              <w:rPr>
                <w:sz w:val="20"/>
                <w:szCs w:val="22"/>
                <w:lang w:eastAsia="en-AU"/>
              </w:rPr>
              <w:t>SEE programme</w:t>
            </w:r>
            <w:r w:rsidR="006A28F2">
              <w:rPr>
                <w:sz w:val="20"/>
                <w:szCs w:val="22"/>
                <w:lang w:eastAsia="en-AU"/>
              </w:rPr>
              <w:t xml:space="preserve"> </w:t>
            </w:r>
            <w:r w:rsidRPr="00EB2205">
              <w:rPr>
                <w:sz w:val="20"/>
                <w:szCs w:val="22"/>
                <w:lang w:eastAsia="en-AU"/>
              </w:rPr>
              <w:t>and ASQA (or the equivalent state body).</w:t>
            </w:r>
          </w:p>
          <w:p w14:paraId="211892C0" w14:textId="77777777" w:rsidR="00FD667F" w:rsidRPr="00EB2205" w:rsidRDefault="00FD667F" w:rsidP="006C1337">
            <w:pPr>
              <w:spacing w:before="0" w:after="0" w:line="240" w:lineRule="auto"/>
              <w:jc w:val="right"/>
            </w:pPr>
            <w:r w:rsidRPr="00EB2205">
              <w:rPr>
                <w:noProof/>
                <w:lang w:eastAsia="en-AU"/>
              </w:rPr>
              <w:drawing>
                <wp:inline distT="0" distB="0" distL="0" distR="0" wp14:anchorId="2E74D1A0" wp14:editId="529AB92C">
                  <wp:extent cx="481585" cy="234696"/>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D667F" w:rsidRPr="00EB2205" w14:paraId="2D2893A2" w14:textId="77777777" w:rsidTr="006C1337">
        <w:trPr>
          <w:trHeight w:hRule="exact" w:val="80"/>
        </w:trPr>
        <w:tc>
          <w:tcPr>
            <w:tcW w:w="5000" w:type="pct"/>
            <w:shd w:val="pct12" w:color="auto" w:fill="auto"/>
          </w:tcPr>
          <w:p w14:paraId="2F2B5A01" w14:textId="77777777" w:rsidR="00FD667F" w:rsidRPr="00EB2205" w:rsidRDefault="00FD667F" w:rsidP="006C1337">
            <w:pPr>
              <w:spacing w:before="160"/>
            </w:pPr>
            <w:r w:rsidRPr="00EB2205">
              <w:t xml:space="preserve"> </w:t>
            </w:r>
          </w:p>
        </w:tc>
      </w:tr>
    </w:tbl>
    <w:p w14:paraId="08B47B55" w14:textId="77777777" w:rsidR="00FD667F" w:rsidRPr="00EB2205" w:rsidRDefault="00FD667F" w:rsidP="00FD667F">
      <w:pPr>
        <w:keepNext/>
        <w:numPr>
          <w:ilvl w:val="2"/>
          <w:numId w:val="20"/>
        </w:numPr>
        <w:spacing w:before="300" w:after="0" w:line="270" w:lineRule="exact"/>
        <w:outlineLvl w:val="2"/>
        <w:rPr>
          <w:rFonts w:asciiTheme="majorHAnsi" w:hAnsiTheme="majorHAnsi"/>
          <w:b/>
          <w:color w:val="9757A6" w:themeColor="text2"/>
          <w:sz w:val="22"/>
          <w:lang w:eastAsia="en-AU"/>
        </w:rPr>
      </w:pPr>
      <w:r w:rsidRPr="00EB2205">
        <w:rPr>
          <w:rFonts w:asciiTheme="majorHAnsi" w:hAnsiTheme="majorHAnsi"/>
          <w:b/>
          <w:color w:val="9757A6" w:themeColor="text2"/>
          <w:sz w:val="22"/>
          <w:lang w:eastAsia="en-AU"/>
        </w:rPr>
        <w:t>Additional areas for potential performance assessment</w:t>
      </w:r>
    </w:p>
    <w:p w14:paraId="0EEC1851" w14:textId="2CE3F519" w:rsidR="00FD667F" w:rsidRPr="00EB2205" w:rsidRDefault="00FD667F" w:rsidP="00FD667F">
      <w:pPr>
        <w:spacing w:line="280" w:lineRule="exact"/>
        <w:rPr>
          <w:sz w:val="22"/>
          <w:szCs w:val="22"/>
          <w:lang w:eastAsia="en-AU"/>
        </w:rPr>
      </w:pPr>
      <w:r>
        <w:rPr>
          <w:sz w:val="22"/>
          <w:szCs w:val="22"/>
          <w:lang w:eastAsia="en-AU"/>
        </w:rPr>
        <w:t>Notwithstanding the areas discussed above</w:t>
      </w:r>
      <w:r w:rsidRPr="00EB2205">
        <w:rPr>
          <w:sz w:val="22"/>
          <w:szCs w:val="22"/>
          <w:lang w:eastAsia="en-AU"/>
        </w:rPr>
        <w:t xml:space="preserve">, the </w:t>
      </w:r>
      <w:r w:rsidR="00147674">
        <w:rPr>
          <w:sz w:val="22"/>
          <w:szCs w:val="22"/>
          <w:lang w:eastAsia="en-AU"/>
        </w:rPr>
        <w:t>SEE programme</w:t>
      </w:r>
      <w:r w:rsidR="006A28F2">
        <w:rPr>
          <w:sz w:val="22"/>
          <w:szCs w:val="22"/>
          <w:lang w:eastAsia="en-AU"/>
        </w:rPr>
        <w:t xml:space="preserve"> </w:t>
      </w:r>
      <w:r w:rsidRPr="00EB2205">
        <w:rPr>
          <w:sz w:val="22"/>
          <w:szCs w:val="22"/>
          <w:lang w:eastAsia="en-AU"/>
        </w:rPr>
        <w:t xml:space="preserve">performance assessment and management system is well placed to monitor and report on the performance of </w:t>
      </w:r>
      <w:r>
        <w:rPr>
          <w:sz w:val="22"/>
          <w:szCs w:val="22"/>
          <w:lang w:eastAsia="en-AU"/>
        </w:rPr>
        <w:t xml:space="preserve">the </w:t>
      </w:r>
      <w:r w:rsidR="00147674">
        <w:rPr>
          <w:sz w:val="22"/>
          <w:szCs w:val="22"/>
          <w:lang w:eastAsia="en-AU"/>
        </w:rPr>
        <w:t>SEE programme</w:t>
      </w:r>
      <w:r w:rsidRPr="00EB2205">
        <w:rPr>
          <w:sz w:val="22"/>
          <w:szCs w:val="22"/>
          <w:lang w:eastAsia="en-AU"/>
        </w:rPr>
        <w:t xml:space="preserve">. On the whole the programme has sound data collection methodologies for measuring and reporting against </w:t>
      </w:r>
      <w:r w:rsidR="004607CB">
        <w:rPr>
          <w:sz w:val="22"/>
          <w:szCs w:val="22"/>
          <w:lang w:eastAsia="en-AU"/>
        </w:rPr>
        <w:t xml:space="preserve">programme </w:t>
      </w:r>
      <w:r w:rsidRPr="00EB2205">
        <w:rPr>
          <w:sz w:val="22"/>
          <w:szCs w:val="22"/>
          <w:lang w:eastAsia="en-AU"/>
        </w:rPr>
        <w:t xml:space="preserve">objectives and client outcomes. </w:t>
      </w:r>
    </w:p>
    <w:p w14:paraId="126D83E4" w14:textId="08D4FAA4" w:rsidR="00FD667F" w:rsidRPr="00EB2205" w:rsidRDefault="00FD667F" w:rsidP="00FD667F">
      <w:pPr>
        <w:spacing w:line="280" w:lineRule="exact"/>
        <w:rPr>
          <w:sz w:val="22"/>
          <w:szCs w:val="22"/>
          <w:lang w:eastAsia="en-AU"/>
        </w:rPr>
      </w:pPr>
      <w:r w:rsidRPr="00EB2205">
        <w:rPr>
          <w:sz w:val="22"/>
          <w:szCs w:val="22"/>
          <w:lang w:eastAsia="en-AU"/>
        </w:rPr>
        <w:t xml:space="preserve">However, measuring and </w:t>
      </w:r>
      <w:r>
        <w:rPr>
          <w:sz w:val="22"/>
          <w:szCs w:val="22"/>
          <w:lang w:eastAsia="en-AU"/>
        </w:rPr>
        <w:t xml:space="preserve">improved </w:t>
      </w:r>
      <w:r w:rsidRPr="00EB2205">
        <w:rPr>
          <w:sz w:val="22"/>
          <w:szCs w:val="22"/>
          <w:lang w:eastAsia="en-AU"/>
        </w:rPr>
        <w:t xml:space="preserve">reporting </w:t>
      </w:r>
      <w:r>
        <w:rPr>
          <w:sz w:val="22"/>
          <w:szCs w:val="22"/>
          <w:lang w:eastAsia="en-AU"/>
        </w:rPr>
        <w:t xml:space="preserve">of </w:t>
      </w:r>
      <w:r w:rsidRPr="00EB2205">
        <w:rPr>
          <w:sz w:val="22"/>
          <w:szCs w:val="22"/>
          <w:lang w:eastAsia="en-AU"/>
        </w:rPr>
        <w:t xml:space="preserve">employment </w:t>
      </w:r>
      <w:r>
        <w:rPr>
          <w:sz w:val="22"/>
          <w:szCs w:val="22"/>
          <w:lang w:eastAsia="en-AU"/>
        </w:rPr>
        <w:t xml:space="preserve">and further training </w:t>
      </w:r>
      <w:r w:rsidRPr="00EB2205">
        <w:rPr>
          <w:sz w:val="22"/>
          <w:szCs w:val="22"/>
          <w:lang w:eastAsia="en-AU"/>
        </w:rPr>
        <w:t xml:space="preserve">outcomes could further aid performance measurement. Some </w:t>
      </w:r>
      <w:r w:rsidR="00FA4B7B">
        <w:rPr>
          <w:sz w:val="22"/>
          <w:szCs w:val="22"/>
          <w:lang w:eastAsia="en-AU"/>
        </w:rPr>
        <w:t xml:space="preserve">SEE </w:t>
      </w:r>
      <w:r w:rsidRPr="00EB2205">
        <w:rPr>
          <w:sz w:val="22"/>
          <w:szCs w:val="22"/>
          <w:lang w:eastAsia="en-AU"/>
        </w:rPr>
        <w:t xml:space="preserve">providers argue better integration of </w:t>
      </w:r>
      <w:r w:rsidR="00147674">
        <w:rPr>
          <w:sz w:val="22"/>
          <w:szCs w:val="22"/>
          <w:lang w:eastAsia="en-AU"/>
        </w:rPr>
        <w:t>SEE programme</w:t>
      </w:r>
      <w:r w:rsidR="006A28F2">
        <w:rPr>
          <w:sz w:val="22"/>
          <w:szCs w:val="22"/>
          <w:lang w:eastAsia="en-AU"/>
        </w:rPr>
        <w:t xml:space="preserve"> </w:t>
      </w:r>
      <w:r w:rsidRPr="00EB2205">
        <w:rPr>
          <w:sz w:val="22"/>
          <w:szCs w:val="22"/>
          <w:lang w:eastAsia="en-AU"/>
        </w:rPr>
        <w:t xml:space="preserve">systems with other government databases could allow </w:t>
      </w:r>
      <w:r>
        <w:rPr>
          <w:sz w:val="22"/>
          <w:szCs w:val="22"/>
          <w:lang w:eastAsia="en-AU"/>
        </w:rPr>
        <w:t xml:space="preserve">client </w:t>
      </w:r>
      <w:r w:rsidRPr="00EB2205">
        <w:rPr>
          <w:sz w:val="22"/>
          <w:szCs w:val="22"/>
          <w:lang w:eastAsia="en-AU"/>
        </w:rPr>
        <w:t>outcomes to be tracked</w:t>
      </w:r>
      <w:r>
        <w:rPr>
          <w:sz w:val="22"/>
          <w:szCs w:val="22"/>
          <w:lang w:eastAsia="en-AU"/>
        </w:rPr>
        <w:t xml:space="preserve"> over time</w:t>
      </w:r>
      <w:r w:rsidRPr="00EB2205">
        <w:rPr>
          <w:sz w:val="22"/>
          <w:szCs w:val="22"/>
          <w:lang w:eastAsia="en-AU"/>
        </w:rPr>
        <w:t>. The linking of the new Unique Student Identifier (U</w:t>
      </w:r>
      <w:r w:rsidR="000C2578">
        <w:rPr>
          <w:sz w:val="22"/>
          <w:szCs w:val="22"/>
          <w:lang w:eastAsia="en-AU"/>
        </w:rPr>
        <w:t>SI</w:t>
      </w:r>
      <w:r w:rsidRPr="00EB2205">
        <w:rPr>
          <w:sz w:val="22"/>
          <w:szCs w:val="22"/>
          <w:lang w:eastAsia="en-AU"/>
        </w:rPr>
        <w:t>) to social services databases could aid such outcome measurement. These issues are discussed further in Chapter 7.</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FD667F" w:rsidRPr="00EB2205" w14:paraId="7F447D50" w14:textId="77777777" w:rsidTr="006C1337">
        <w:tc>
          <w:tcPr>
            <w:tcW w:w="5000" w:type="pct"/>
            <w:shd w:val="pct12" w:color="auto" w:fill="auto"/>
          </w:tcPr>
          <w:p w14:paraId="0E69789B" w14:textId="664A477E" w:rsidR="00FD667F" w:rsidRPr="00EB2205" w:rsidRDefault="00FD667F" w:rsidP="006C1337">
            <w:pPr>
              <w:keepNext/>
              <w:spacing w:after="60"/>
              <w:ind w:left="1112" w:hanging="1112"/>
              <w:outlineLvl w:val="8"/>
              <w:rPr>
                <w:rFonts w:ascii="Arial Bold" w:hAnsi="Arial Bold" w:cs="Arial"/>
                <w:color w:val="000080"/>
                <w:sz w:val="20"/>
              </w:rPr>
            </w:pPr>
            <w:r w:rsidRPr="00EB2205">
              <w:rPr>
                <w:rFonts w:asciiTheme="majorHAnsi" w:hAnsiTheme="majorHAnsi" w:cs="Arial"/>
                <w:sz w:val="20"/>
              </w:rPr>
              <w:t xml:space="preserve">Key Finding </w:t>
            </w:r>
            <w:r w:rsidRPr="00EB2205">
              <w:rPr>
                <w:rFonts w:asciiTheme="majorHAnsi" w:hAnsiTheme="majorHAnsi" w:cs="Arial"/>
                <w:sz w:val="20"/>
              </w:rPr>
              <w:fldChar w:fldCharType="begin"/>
            </w:r>
            <w:r w:rsidRPr="00EB2205">
              <w:rPr>
                <w:rFonts w:asciiTheme="majorHAnsi" w:hAnsiTheme="majorHAnsi" w:cs="Arial"/>
                <w:sz w:val="20"/>
              </w:rPr>
              <w:instrText xml:space="preserve"> SEQ Key_Finding \* ARABIC </w:instrText>
            </w:r>
            <w:r w:rsidRPr="00EB2205">
              <w:rPr>
                <w:rFonts w:asciiTheme="majorHAnsi" w:hAnsiTheme="majorHAnsi" w:cs="Arial"/>
                <w:sz w:val="20"/>
              </w:rPr>
              <w:fldChar w:fldCharType="separate"/>
            </w:r>
            <w:r w:rsidR="00294A5A">
              <w:rPr>
                <w:rFonts w:asciiTheme="majorHAnsi" w:hAnsiTheme="majorHAnsi" w:cs="Arial"/>
                <w:noProof/>
                <w:sz w:val="20"/>
              </w:rPr>
              <w:t>23</w:t>
            </w:r>
            <w:r w:rsidRPr="00EB2205">
              <w:rPr>
                <w:rFonts w:asciiTheme="majorHAnsi" w:hAnsiTheme="majorHAnsi" w:cs="Arial"/>
                <w:noProof/>
                <w:sz w:val="20"/>
              </w:rPr>
              <w:fldChar w:fldCharType="end"/>
            </w:r>
          </w:p>
        </w:tc>
      </w:tr>
      <w:tr w:rsidR="00FD667F" w:rsidRPr="00EB2205" w14:paraId="1707597D" w14:textId="77777777" w:rsidTr="006C1337">
        <w:tc>
          <w:tcPr>
            <w:tcW w:w="5000" w:type="pct"/>
            <w:shd w:val="pct12" w:color="auto" w:fill="auto"/>
          </w:tcPr>
          <w:p w14:paraId="0188704F" w14:textId="66E636A4" w:rsidR="00FD667F" w:rsidRPr="00EB2205" w:rsidRDefault="00147674" w:rsidP="006C1337">
            <w:pPr>
              <w:keepNext/>
              <w:keepLines/>
              <w:spacing w:before="80" w:after="40" w:line="220" w:lineRule="exact"/>
              <w:rPr>
                <w:sz w:val="20"/>
                <w:szCs w:val="22"/>
                <w:lang w:eastAsia="en-AU"/>
              </w:rPr>
            </w:pPr>
            <w:r>
              <w:rPr>
                <w:sz w:val="20"/>
                <w:szCs w:val="22"/>
                <w:lang w:eastAsia="en-AU"/>
              </w:rPr>
              <w:t>SEE programme</w:t>
            </w:r>
            <w:r w:rsidR="006A28F2">
              <w:rPr>
                <w:sz w:val="20"/>
                <w:szCs w:val="22"/>
                <w:lang w:eastAsia="en-AU"/>
              </w:rPr>
              <w:t xml:space="preserve"> </w:t>
            </w:r>
            <w:r w:rsidR="00FD667F" w:rsidRPr="00EB2205">
              <w:rPr>
                <w:sz w:val="20"/>
                <w:szCs w:val="22"/>
                <w:lang w:eastAsia="en-AU"/>
              </w:rPr>
              <w:t>performance assessment and management system is well placed to monitor and report on the performance of</w:t>
            </w:r>
            <w:r w:rsidR="008D0896">
              <w:rPr>
                <w:sz w:val="20"/>
                <w:szCs w:val="22"/>
                <w:lang w:eastAsia="en-AU"/>
              </w:rPr>
              <w:t xml:space="preserve"> the</w:t>
            </w:r>
            <w:r w:rsidR="00FD667F" w:rsidRPr="00EB2205">
              <w:rPr>
                <w:sz w:val="20"/>
                <w:szCs w:val="22"/>
                <w:lang w:eastAsia="en-AU"/>
              </w:rPr>
              <w:t xml:space="preserve"> </w:t>
            </w:r>
            <w:r w:rsidR="00FA4B7B">
              <w:rPr>
                <w:sz w:val="20"/>
                <w:szCs w:val="22"/>
                <w:lang w:eastAsia="en-AU"/>
              </w:rPr>
              <w:t>programme</w:t>
            </w:r>
            <w:r w:rsidR="00FD667F" w:rsidRPr="00EB2205">
              <w:rPr>
                <w:sz w:val="20"/>
                <w:szCs w:val="22"/>
                <w:lang w:eastAsia="en-AU"/>
              </w:rPr>
              <w:t xml:space="preserve">. Further measurement and reporting of employment </w:t>
            </w:r>
            <w:r w:rsidR="00FD667F">
              <w:rPr>
                <w:sz w:val="20"/>
                <w:szCs w:val="22"/>
                <w:lang w:eastAsia="en-AU"/>
              </w:rPr>
              <w:t xml:space="preserve">and further training </w:t>
            </w:r>
            <w:r w:rsidR="00FD667F" w:rsidRPr="00EB2205">
              <w:rPr>
                <w:sz w:val="20"/>
                <w:szCs w:val="22"/>
                <w:lang w:eastAsia="en-AU"/>
              </w:rPr>
              <w:t>outcomes would aid performance management.</w:t>
            </w:r>
          </w:p>
          <w:p w14:paraId="6A493F1E" w14:textId="77777777" w:rsidR="00FD667F" w:rsidRPr="00EB2205" w:rsidRDefault="00FD667F" w:rsidP="006C1337">
            <w:pPr>
              <w:spacing w:before="0" w:after="0" w:line="240" w:lineRule="auto"/>
              <w:jc w:val="right"/>
            </w:pPr>
            <w:r w:rsidRPr="00EB2205">
              <w:rPr>
                <w:noProof/>
                <w:lang w:eastAsia="en-AU"/>
              </w:rPr>
              <w:drawing>
                <wp:inline distT="0" distB="0" distL="0" distR="0" wp14:anchorId="14BEA2DB" wp14:editId="707A652D">
                  <wp:extent cx="481585" cy="23469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D667F" w:rsidRPr="00EB2205" w14:paraId="098A0014" w14:textId="77777777" w:rsidTr="006C1337">
        <w:trPr>
          <w:trHeight w:hRule="exact" w:val="80"/>
        </w:trPr>
        <w:tc>
          <w:tcPr>
            <w:tcW w:w="5000" w:type="pct"/>
            <w:shd w:val="pct12" w:color="auto" w:fill="auto"/>
          </w:tcPr>
          <w:p w14:paraId="1000CB75" w14:textId="77777777" w:rsidR="00FD667F" w:rsidRPr="00EB2205" w:rsidRDefault="00FD667F" w:rsidP="006C1337">
            <w:pPr>
              <w:spacing w:before="160"/>
            </w:pPr>
            <w:r w:rsidRPr="00EB2205">
              <w:t xml:space="preserve"> </w:t>
            </w:r>
          </w:p>
        </w:tc>
      </w:tr>
    </w:tbl>
    <w:p w14:paraId="575F27C4" w14:textId="5CC6D677" w:rsidR="00C94F0C" w:rsidRDefault="00C94F0C" w:rsidP="00F34C0B">
      <w:pPr>
        <w:pStyle w:val="Heading1"/>
      </w:pPr>
      <w:bookmarkStart w:id="162" w:name="_Toc420065458"/>
      <w:r w:rsidRPr="00C94F0C">
        <w:t xml:space="preserve">The appropriateness and future of the </w:t>
      </w:r>
      <w:r w:rsidR="00147674">
        <w:t>SEE programme</w:t>
      </w:r>
      <w:bookmarkEnd w:id="162"/>
    </w:p>
    <w:p w14:paraId="426F6915" w14:textId="531E8CEA" w:rsidR="00DF164E" w:rsidRPr="00DF164E" w:rsidRDefault="00DF164E" w:rsidP="00E8274A">
      <w:pPr>
        <w:pStyle w:val="BodyText"/>
      </w:pPr>
      <w:r w:rsidRPr="006141AA">
        <w:rPr>
          <w:b/>
          <w:i/>
          <w:color w:val="7F7F7F" w:themeColor="text1" w:themeTint="80"/>
        </w:rPr>
        <w:t xml:space="preserve">This chapter examines the appropriateness of the </w:t>
      </w:r>
      <w:r w:rsidR="00147674">
        <w:rPr>
          <w:b/>
          <w:i/>
          <w:color w:val="7F7F7F" w:themeColor="text1" w:themeTint="80"/>
        </w:rPr>
        <w:t>SEE programme</w:t>
      </w:r>
      <w:r w:rsidRPr="006141AA">
        <w:rPr>
          <w:b/>
          <w:i/>
          <w:color w:val="7F7F7F" w:themeColor="text1" w:themeTint="80"/>
        </w:rPr>
        <w:t xml:space="preserve"> and makes recommendations on how the programme could be improved based on the analysis set out in the previous chapters. </w:t>
      </w:r>
      <w:r w:rsidRPr="004B72F9">
        <w:rPr>
          <w:b/>
          <w:i/>
          <w:color w:val="7F7F7F" w:themeColor="text1" w:themeTint="80"/>
        </w:rPr>
        <w:t>The recommendations are not listed in order of priority but are organised thematically.</w:t>
      </w:r>
    </w:p>
    <w:p w14:paraId="78856E87" w14:textId="5610C63F" w:rsidR="00C94F0C" w:rsidRPr="00C94F0C" w:rsidRDefault="00C94F0C" w:rsidP="00C94F0C">
      <w:pPr>
        <w:keepNext/>
        <w:numPr>
          <w:ilvl w:val="1"/>
          <w:numId w:val="20"/>
        </w:numPr>
        <w:pBdr>
          <w:bottom w:val="single" w:sz="8" w:space="1" w:color="BFBFBF" w:themeColor="background1" w:themeShade="BF"/>
        </w:pBdr>
        <w:spacing w:before="300" w:after="60" w:line="340" w:lineRule="exact"/>
        <w:outlineLvl w:val="1"/>
        <w:rPr>
          <w:rFonts w:asciiTheme="majorHAnsi" w:hAnsiTheme="majorHAnsi"/>
          <w:b/>
          <w:color w:val="9757A6" w:themeColor="text2"/>
          <w:kern w:val="36"/>
          <w:sz w:val="28"/>
          <w:lang w:eastAsia="en-AU"/>
        </w:rPr>
      </w:pPr>
      <w:r w:rsidRPr="00C94F0C">
        <w:rPr>
          <w:rFonts w:asciiTheme="majorHAnsi" w:hAnsiTheme="majorHAnsi"/>
          <w:b/>
          <w:color w:val="9757A6" w:themeColor="text2"/>
          <w:kern w:val="36"/>
          <w:sz w:val="28"/>
          <w:lang w:eastAsia="en-AU"/>
        </w:rPr>
        <w:t xml:space="preserve">Potential improvements to the </w:t>
      </w:r>
      <w:r w:rsidR="00147674">
        <w:rPr>
          <w:rFonts w:asciiTheme="majorHAnsi" w:hAnsiTheme="majorHAnsi"/>
          <w:b/>
          <w:color w:val="9757A6" w:themeColor="text2"/>
          <w:kern w:val="36"/>
          <w:sz w:val="28"/>
          <w:lang w:eastAsia="en-AU"/>
        </w:rPr>
        <w:t>SEE programme</w:t>
      </w:r>
    </w:p>
    <w:p w14:paraId="1B23215B" w14:textId="77777777" w:rsidR="00C94F0C" w:rsidRPr="00C94F0C" w:rsidRDefault="00C94F0C" w:rsidP="005F0C8E">
      <w:pPr>
        <w:pStyle w:val="Heading3"/>
      </w:pPr>
      <w:r w:rsidRPr="00C94F0C">
        <w:t>Clarity and measurement of programme objectives</w:t>
      </w:r>
    </w:p>
    <w:p w14:paraId="2DC363F2" w14:textId="72829320" w:rsidR="00C94F0C" w:rsidRPr="00C94F0C" w:rsidRDefault="00C94F0C" w:rsidP="00C94F0C">
      <w:pPr>
        <w:spacing w:line="280" w:lineRule="exact"/>
        <w:rPr>
          <w:sz w:val="22"/>
          <w:szCs w:val="22"/>
          <w:lang w:eastAsia="en-AU"/>
        </w:rPr>
      </w:pPr>
      <w:r w:rsidRPr="00C94F0C">
        <w:rPr>
          <w:sz w:val="22"/>
          <w:szCs w:val="22"/>
          <w:lang w:eastAsia="en-AU"/>
        </w:rPr>
        <w:t xml:space="preserve">The </w:t>
      </w:r>
      <w:r w:rsidR="00147674">
        <w:rPr>
          <w:sz w:val="22"/>
          <w:szCs w:val="22"/>
          <w:lang w:eastAsia="en-AU"/>
        </w:rPr>
        <w:t>SEE programme</w:t>
      </w:r>
      <w:r w:rsidRPr="00C94F0C">
        <w:rPr>
          <w:sz w:val="22"/>
          <w:szCs w:val="22"/>
          <w:lang w:eastAsia="en-AU"/>
        </w:rPr>
        <w:t xml:space="preserve"> seeks to improve eligible job seeker’s LLN skills with the expectation that such improvements will enable them to participate more effectively in training or in the labour force, and lead to greater long-term gains for society.</w:t>
      </w:r>
    </w:p>
    <w:p w14:paraId="3BDE041F" w14:textId="16532438" w:rsidR="00C94F0C" w:rsidRPr="00C94F0C" w:rsidRDefault="00C94F0C" w:rsidP="00C94F0C">
      <w:pPr>
        <w:spacing w:line="280" w:lineRule="exact"/>
        <w:rPr>
          <w:sz w:val="22"/>
          <w:szCs w:val="22"/>
          <w:lang w:eastAsia="en-AU"/>
        </w:rPr>
      </w:pPr>
      <w:r w:rsidRPr="00C94F0C">
        <w:rPr>
          <w:sz w:val="22"/>
          <w:szCs w:val="22"/>
          <w:lang w:eastAsia="en-AU"/>
        </w:rPr>
        <w:t xml:space="preserve">In this respect the </w:t>
      </w:r>
      <w:r w:rsidR="00147674">
        <w:rPr>
          <w:sz w:val="22"/>
          <w:szCs w:val="22"/>
          <w:lang w:eastAsia="en-AU"/>
        </w:rPr>
        <w:t>SEE programme</w:t>
      </w:r>
      <w:r w:rsidR="006A28F2">
        <w:rPr>
          <w:sz w:val="22"/>
          <w:szCs w:val="22"/>
          <w:lang w:eastAsia="en-AU"/>
        </w:rPr>
        <w:t xml:space="preserve"> </w:t>
      </w:r>
      <w:r w:rsidRPr="00C94F0C">
        <w:rPr>
          <w:sz w:val="22"/>
          <w:szCs w:val="22"/>
          <w:lang w:eastAsia="en-AU"/>
        </w:rPr>
        <w:t>is regarded as unique.</w:t>
      </w:r>
    </w:p>
    <w:p w14:paraId="4F50DE7F"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SEE is the only national programme that addresses the LLN learning needs of eligible job seekers with the clearly articulated purpose of helping them acquire the skills needed by employers in the workplace.</w:t>
      </w:r>
    </w:p>
    <w:p w14:paraId="6C7481AE"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Jobs Australia submission</w:t>
      </w:r>
    </w:p>
    <w:p w14:paraId="4C9FDE5B" w14:textId="28CB0E7E" w:rsidR="00C94F0C" w:rsidRPr="00C94F0C" w:rsidRDefault="00FA4B7B" w:rsidP="00C94F0C">
      <w:pPr>
        <w:spacing w:line="280" w:lineRule="exact"/>
        <w:rPr>
          <w:sz w:val="22"/>
          <w:szCs w:val="22"/>
          <w:lang w:eastAsia="en-AU"/>
        </w:rPr>
      </w:pPr>
      <w:r>
        <w:rPr>
          <w:sz w:val="22"/>
          <w:szCs w:val="22"/>
          <w:lang w:eastAsia="en-AU"/>
        </w:rPr>
        <w:t>Its</w:t>
      </w:r>
      <w:r w:rsidRPr="00C94F0C">
        <w:rPr>
          <w:sz w:val="22"/>
          <w:szCs w:val="22"/>
          <w:lang w:eastAsia="en-AU"/>
        </w:rPr>
        <w:t xml:space="preserve"> </w:t>
      </w:r>
      <w:r w:rsidR="00C94F0C" w:rsidRPr="00C94F0C">
        <w:rPr>
          <w:sz w:val="22"/>
          <w:szCs w:val="22"/>
          <w:lang w:eastAsia="en-AU"/>
        </w:rPr>
        <w:t xml:space="preserve">objectives </w:t>
      </w:r>
      <w:r w:rsidR="005F0C8E">
        <w:rPr>
          <w:sz w:val="22"/>
          <w:szCs w:val="22"/>
          <w:lang w:eastAsia="en-AU"/>
        </w:rPr>
        <w:t xml:space="preserve">are </w:t>
      </w:r>
      <w:r w:rsidR="00C94F0C" w:rsidRPr="00C94F0C">
        <w:rPr>
          <w:sz w:val="22"/>
          <w:szCs w:val="22"/>
          <w:lang w:eastAsia="en-AU"/>
        </w:rPr>
        <w:t xml:space="preserve">clearly specified on the Department’s website and are generally well understood by the programme’s stakeholders. That being said, </w:t>
      </w:r>
      <w:r w:rsidR="0047590A">
        <w:rPr>
          <w:sz w:val="22"/>
          <w:szCs w:val="22"/>
          <w:lang w:eastAsia="en-AU"/>
        </w:rPr>
        <w:t xml:space="preserve">there are </w:t>
      </w:r>
      <w:r w:rsidR="00C94F0C" w:rsidRPr="00C94F0C">
        <w:rPr>
          <w:sz w:val="22"/>
          <w:szCs w:val="22"/>
          <w:lang w:eastAsia="en-AU"/>
        </w:rPr>
        <w:t xml:space="preserve">aspects of the </w:t>
      </w:r>
      <w:r w:rsidR="00896BBD">
        <w:rPr>
          <w:sz w:val="22"/>
          <w:szCs w:val="22"/>
          <w:lang w:eastAsia="en-AU"/>
        </w:rPr>
        <w:t xml:space="preserve">design of the SEE </w:t>
      </w:r>
      <w:r w:rsidR="006A28F2">
        <w:rPr>
          <w:sz w:val="22"/>
          <w:szCs w:val="22"/>
          <w:lang w:eastAsia="en-AU"/>
        </w:rPr>
        <w:t xml:space="preserve">programme </w:t>
      </w:r>
      <w:r w:rsidR="003F533B" w:rsidRPr="00896BBD">
        <w:rPr>
          <w:sz w:val="22"/>
          <w:szCs w:val="22"/>
          <w:lang w:eastAsia="en-AU"/>
        </w:rPr>
        <w:t xml:space="preserve">that </w:t>
      </w:r>
      <w:r w:rsidR="0047590A" w:rsidRPr="00896BBD">
        <w:rPr>
          <w:sz w:val="22"/>
          <w:szCs w:val="22"/>
          <w:lang w:eastAsia="en-AU"/>
        </w:rPr>
        <w:t>require fu</w:t>
      </w:r>
      <w:r w:rsidR="0047590A">
        <w:rPr>
          <w:sz w:val="22"/>
          <w:szCs w:val="22"/>
          <w:lang w:eastAsia="en-AU"/>
        </w:rPr>
        <w:t>rther consideration, as discussed in the</w:t>
      </w:r>
      <w:r w:rsidR="0047590A" w:rsidRPr="00C94F0C">
        <w:rPr>
          <w:sz w:val="22"/>
          <w:szCs w:val="22"/>
          <w:lang w:eastAsia="en-AU"/>
        </w:rPr>
        <w:t xml:space="preserve"> fo</w:t>
      </w:r>
      <w:r w:rsidR="0047590A">
        <w:rPr>
          <w:sz w:val="22"/>
          <w:szCs w:val="22"/>
          <w:lang w:eastAsia="en-AU"/>
        </w:rPr>
        <w:t>llowing sections</w:t>
      </w:r>
      <w:r w:rsidR="00C94F0C" w:rsidRPr="00C94F0C">
        <w:rPr>
          <w:sz w:val="22"/>
          <w:szCs w:val="22"/>
          <w:lang w:eastAsia="en-AU"/>
        </w:rPr>
        <w:t>.</w:t>
      </w:r>
    </w:p>
    <w:p w14:paraId="2C222380" w14:textId="20E9860D"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 xml:space="preserve">Language, Literacy and Numeracy </w:t>
      </w:r>
      <w:r w:rsidR="005F0823">
        <w:rPr>
          <w:rFonts w:asciiTheme="majorHAnsi" w:hAnsiTheme="majorHAnsi"/>
          <w:b/>
          <w:i/>
          <w:color w:val="9757A6"/>
          <w:sz w:val="20"/>
          <w:szCs w:val="22"/>
          <w:lang w:eastAsia="en-AU"/>
        </w:rPr>
        <w:t>and</w:t>
      </w:r>
      <w:r w:rsidR="005F0823" w:rsidRPr="00C94F0C">
        <w:rPr>
          <w:rFonts w:asciiTheme="majorHAnsi" w:hAnsiTheme="majorHAnsi"/>
          <w:b/>
          <w:i/>
          <w:color w:val="9757A6"/>
          <w:sz w:val="20"/>
          <w:szCs w:val="22"/>
          <w:lang w:eastAsia="en-AU"/>
        </w:rPr>
        <w:t xml:space="preserve"> </w:t>
      </w:r>
      <w:r w:rsidRPr="00C94F0C">
        <w:rPr>
          <w:rFonts w:asciiTheme="majorHAnsi" w:hAnsiTheme="majorHAnsi"/>
          <w:b/>
          <w:i/>
          <w:color w:val="9757A6"/>
          <w:sz w:val="20"/>
          <w:szCs w:val="22"/>
          <w:lang w:eastAsia="en-AU"/>
        </w:rPr>
        <w:t>employment</w:t>
      </w:r>
    </w:p>
    <w:p w14:paraId="34B8A231" w14:textId="10F7B43E" w:rsidR="00C94F0C" w:rsidRPr="00C94F0C" w:rsidRDefault="00F23DBB" w:rsidP="00C94F0C">
      <w:pPr>
        <w:spacing w:line="280" w:lineRule="exact"/>
        <w:rPr>
          <w:sz w:val="22"/>
          <w:szCs w:val="22"/>
          <w:lang w:eastAsia="en-AU"/>
        </w:rPr>
      </w:pPr>
      <w:r w:rsidRPr="00F23DBB">
        <w:rPr>
          <w:sz w:val="22"/>
          <w:szCs w:val="22"/>
          <w:lang w:eastAsia="en-AU"/>
        </w:rPr>
        <w:t xml:space="preserve">One of the tensions raised by stakeholders in the consultations conducted for this </w:t>
      </w:r>
      <w:r w:rsidR="005F0C8E">
        <w:rPr>
          <w:sz w:val="22"/>
          <w:szCs w:val="22"/>
          <w:lang w:eastAsia="en-AU"/>
        </w:rPr>
        <w:t>evaluation</w:t>
      </w:r>
      <w:r w:rsidR="005F0C8E" w:rsidRPr="00F23DBB">
        <w:rPr>
          <w:sz w:val="22"/>
          <w:szCs w:val="22"/>
          <w:lang w:eastAsia="en-AU"/>
        </w:rPr>
        <w:t xml:space="preserve"> </w:t>
      </w:r>
      <w:r w:rsidRPr="00F23DBB">
        <w:rPr>
          <w:sz w:val="22"/>
          <w:szCs w:val="22"/>
          <w:lang w:eastAsia="en-AU"/>
        </w:rPr>
        <w:t xml:space="preserve">is between the long-term investment in employment enhancing LLN </w:t>
      </w:r>
      <w:r w:rsidR="003F533B" w:rsidRPr="00896BBD">
        <w:rPr>
          <w:sz w:val="22"/>
          <w:szCs w:val="22"/>
          <w:lang w:eastAsia="en-AU"/>
        </w:rPr>
        <w:t>skills</w:t>
      </w:r>
      <w:r w:rsidR="003F533B">
        <w:rPr>
          <w:sz w:val="22"/>
          <w:szCs w:val="22"/>
          <w:lang w:eastAsia="en-AU"/>
        </w:rPr>
        <w:t xml:space="preserve"> </w:t>
      </w:r>
      <w:r w:rsidRPr="00F23DBB">
        <w:rPr>
          <w:sz w:val="22"/>
          <w:szCs w:val="22"/>
          <w:lang w:eastAsia="en-AU"/>
        </w:rPr>
        <w:t>and shorter-term focus on immediate job outcomes</w:t>
      </w:r>
      <w:r>
        <w:rPr>
          <w:sz w:val="22"/>
          <w:szCs w:val="22"/>
          <w:lang w:eastAsia="en-AU"/>
        </w:rPr>
        <w:t xml:space="preserve">. </w:t>
      </w:r>
      <w:r w:rsidR="00C94F0C" w:rsidRPr="00C94F0C">
        <w:rPr>
          <w:sz w:val="22"/>
          <w:szCs w:val="22"/>
          <w:lang w:eastAsia="en-AU"/>
        </w:rPr>
        <w:t>While these objectives are not mutually exclusive, stakeholders report</w:t>
      </w:r>
      <w:r w:rsidR="0047590A">
        <w:rPr>
          <w:sz w:val="22"/>
          <w:szCs w:val="22"/>
          <w:lang w:eastAsia="en-AU"/>
        </w:rPr>
        <w:t>ed</w:t>
      </w:r>
      <w:r w:rsidR="00C94F0C" w:rsidRPr="00C94F0C">
        <w:rPr>
          <w:sz w:val="22"/>
          <w:szCs w:val="22"/>
          <w:lang w:eastAsia="en-AU"/>
        </w:rPr>
        <w:t xml:space="preserve"> that the current approach to employment services and income support means that immediate employment opportunities can </w:t>
      </w:r>
      <w:r w:rsidR="0047590A">
        <w:rPr>
          <w:sz w:val="22"/>
          <w:szCs w:val="22"/>
          <w:lang w:eastAsia="en-AU"/>
        </w:rPr>
        <w:t>displace</w:t>
      </w:r>
      <w:r w:rsidR="00C94F0C" w:rsidRPr="00C94F0C">
        <w:rPr>
          <w:sz w:val="22"/>
          <w:szCs w:val="22"/>
          <w:lang w:eastAsia="en-AU"/>
        </w:rPr>
        <w:t xml:space="preserve"> the long-term commitment required to improve on individuals</w:t>
      </w:r>
      <w:r w:rsidR="005F0C8E">
        <w:rPr>
          <w:sz w:val="22"/>
          <w:szCs w:val="22"/>
          <w:lang w:eastAsia="en-AU"/>
        </w:rPr>
        <w:t>’</w:t>
      </w:r>
      <w:r w:rsidR="00C94F0C" w:rsidRPr="00C94F0C">
        <w:rPr>
          <w:sz w:val="22"/>
          <w:szCs w:val="22"/>
          <w:lang w:eastAsia="en-AU"/>
        </w:rPr>
        <w:t xml:space="preserve"> language, literacy, and/or numeracy skills.</w:t>
      </w:r>
    </w:p>
    <w:p w14:paraId="2A331096" w14:textId="6CAB4A06" w:rsidR="00C94F0C" w:rsidRPr="00C94F0C" w:rsidRDefault="00C94F0C" w:rsidP="00C94F0C">
      <w:pPr>
        <w:spacing w:line="280" w:lineRule="exact"/>
        <w:rPr>
          <w:sz w:val="22"/>
          <w:szCs w:val="22"/>
          <w:lang w:eastAsia="en-AU"/>
        </w:rPr>
      </w:pPr>
      <w:r w:rsidRPr="00C94F0C">
        <w:rPr>
          <w:sz w:val="22"/>
          <w:szCs w:val="22"/>
          <w:lang w:eastAsia="en-AU"/>
        </w:rPr>
        <w:t xml:space="preserve">This tension is often raised by SEE providers who find that participants are sometimes exiting the programme before meaningful gains in LLN can be made because a job opportunity has presented itself, and referring agencies are predisposed to encouraging clients take up such opportunities. </w:t>
      </w:r>
      <w:r w:rsidR="0047590A">
        <w:rPr>
          <w:sz w:val="22"/>
          <w:szCs w:val="22"/>
          <w:lang w:eastAsia="en-AU"/>
        </w:rPr>
        <w:t>Several</w:t>
      </w:r>
      <w:r w:rsidR="0047590A" w:rsidRPr="00C94F0C">
        <w:rPr>
          <w:sz w:val="22"/>
          <w:szCs w:val="22"/>
          <w:lang w:eastAsia="en-AU"/>
        </w:rPr>
        <w:t xml:space="preserve"> </w:t>
      </w:r>
      <w:r w:rsidRPr="00C94F0C">
        <w:rPr>
          <w:sz w:val="22"/>
          <w:szCs w:val="22"/>
          <w:lang w:eastAsia="en-AU"/>
        </w:rPr>
        <w:t xml:space="preserve">stakeholders </w:t>
      </w:r>
      <w:r w:rsidR="0047590A">
        <w:rPr>
          <w:sz w:val="22"/>
          <w:szCs w:val="22"/>
          <w:lang w:eastAsia="en-AU"/>
        </w:rPr>
        <w:t>suggested</w:t>
      </w:r>
      <w:r w:rsidR="0047590A" w:rsidRPr="00C94F0C">
        <w:rPr>
          <w:sz w:val="22"/>
          <w:szCs w:val="22"/>
          <w:lang w:eastAsia="en-AU"/>
        </w:rPr>
        <w:t xml:space="preserve"> </w:t>
      </w:r>
      <w:r w:rsidRPr="00C94F0C">
        <w:rPr>
          <w:sz w:val="22"/>
          <w:szCs w:val="22"/>
          <w:lang w:eastAsia="en-AU"/>
        </w:rPr>
        <w:t>that these opportunities tend to be in local skill, low-paying, and insecure employment.</w:t>
      </w:r>
    </w:p>
    <w:p w14:paraId="04101BB8"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SEE Providers and learners frequently experience disruption to their program from JSAs wanting to move students into work or short-term employability, when their LLN is not adequate.</w:t>
      </w:r>
    </w:p>
    <w:p w14:paraId="7904116C"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Melbourne Polytechnic (NMIT) submission</w:t>
      </w:r>
    </w:p>
    <w:p w14:paraId="2C1D4330" w14:textId="793AF9A9" w:rsidR="00C94F0C" w:rsidRPr="00C94F0C" w:rsidRDefault="00C94F0C" w:rsidP="00C94F0C">
      <w:pPr>
        <w:spacing w:line="280" w:lineRule="exact"/>
        <w:rPr>
          <w:sz w:val="22"/>
          <w:szCs w:val="22"/>
          <w:lang w:eastAsia="en-AU"/>
        </w:rPr>
      </w:pPr>
      <w:r w:rsidRPr="00C94F0C">
        <w:rPr>
          <w:sz w:val="22"/>
          <w:szCs w:val="22"/>
          <w:lang w:eastAsia="en-AU"/>
        </w:rPr>
        <w:t>It would appear that this tension in the SEE objectives rests primarily in the incentives faced by referring agencies</w:t>
      </w:r>
      <w:r w:rsidR="00303741">
        <w:rPr>
          <w:sz w:val="22"/>
          <w:szCs w:val="22"/>
          <w:lang w:eastAsia="en-AU"/>
        </w:rPr>
        <w:t>, as</w:t>
      </w:r>
      <w:r w:rsidRPr="00C94F0C">
        <w:rPr>
          <w:sz w:val="22"/>
          <w:szCs w:val="22"/>
          <w:lang w:eastAsia="en-AU"/>
        </w:rPr>
        <w:t xml:space="preserve"> discussed in Section </w:t>
      </w:r>
      <w:r w:rsidR="00173801">
        <w:rPr>
          <w:sz w:val="22"/>
          <w:szCs w:val="22"/>
          <w:highlight w:val="yellow"/>
          <w:lang w:eastAsia="en-AU"/>
        </w:rPr>
        <w:fldChar w:fldCharType="begin"/>
      </w:r>
      <w:r w:rsidR="00173801">
        <w:rPr>
          <w:sz w:val="22"/>
          <w:szCs w:val="22"/>
          <w:lang w:eastAsia="en-AU"/>
        </w:rPr>
        <w:instrText xml:space="preserve"> REF _Ref408512683 \r \h </w:instrText>
      </w:r>
      <w:r w:rsidR="00173801">
        <w:rPr>
          <w:sz w:val="22"/>
          <w:szCs w:val="22"/>
          <w:highlight w:val="yellow"/>
          <w:lang w:eastAsia="en-AU"/>
        </w:rPr>
      </w:r>
      <w:r w:rsidR="00173801">
        <w:rPr>
          <w:sz w:val="22"/>
          <w:szCs w:val="22"/>
          <w:highlight w:val="yellow"/>
          <w:lang w:eastAsia="en-AU"/>
        </w:rPr>
        <w:fldChar w:fldCharType="separate"/>
      </w:r>
      <w:r w:rsidR="00294A5A">
        <w:rPr>
          <w:sz w:val="22"/>
          <w:szCs w:val="22"/>
          <w:lang w:eastAsia="en-AU"/>
        </w:rPr>
        <w:t>4.1.3</w:t>
      </w:r>
      <w:r w:rsidR="00173801">
        <w:rPr>
          <w:sz w:val="22"/>
          <w:szCs w:val="22"/>
          <w:highlight w:val="yellow"/>
          <w:lang w:eastAsia="en-AU"/>
        </w:rPr>
        <w:fldChar w:fldCharType="end"/>
      </w:r>
      <w:r w:rsidRPr="00C94F0C">
        <w:rPr>
          <w:sz w:val="22"/>
          <w:szCs w:val="22"/>
          <w:lang w:eastAsia="en-AU"/>
        </w:rPr>
        <w:t>.</w:t>
      </w:r>
    </w:p>
    <w:p w14:paraId="79A75217" w14:textId="6688B258"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 xml:space="preserve">Further training </w:t>
      </w:r>
      <w:r w:rsidR="005F0823">
        <w:rPr>
          <w:rFonts w:asciiTheme="majorHAnsi" w:hAnsiTheme="majorHAnsi"/>
          <w:b/>
          <w:i/>
          <w:color w:val="9757A6"/>
          <w:sz w:val="20"/>
          <w:szCs w:val="22"/>
          <w:lang w:eastAsia="en-AU"/>
        </w:rPr>
        <w:t>and</w:t>
      </w:r>
      <w:r w:rsidR="005F0823" w:rsidRPr="00C94F0C">
        <w:rPr>
          <w:rFonts w:asciiTheme="majorHAnsi" w:hAnsiTheme="majorHAnsi"/>
          <w:b/>
          <w:i/>
          <w:color w:val="9757A6"/>
          <w:sz w:val="20"/>
          <w:szCs w:val="22"/>
          <w:lang w:eastAsia="en-AU"/>
        </w:rPr>
        <w:t xml:space="preserve"> </w:t>
      </w:r>
      <w:r w:rsidRPr="00C94F0C">
        <w:rPr>
          <w:rFonts w:asciiTheme="majorHAnsi" w:hAnsiTheme="majorHAnsi"/>
          <w:b/>
          <w:i/>
          <w:color w:val="9757A6"/>
          <w:sz w:val="20"/>
          <w:szCs w:val="22"/>
          <w:lang w:eastAsia="en-AU"/>
        </w:rPr>
        <w:t>employment</w:t>
      </w:r>
    </w:p>
    <w:p w14:paraId="23052B67" w14:textId="2FE795B1" w:rsidR="00C94F0C" w:rsidRPr="00C94F0C" w:rsidRDefault="00C94F0C" w:rsidP="00C94F0C">
      <w:pPr>
        <w:spacing w:line="280" w:lineRule="exact"/>
        <w:rPr>
          <w:sz w:val="22"/>
          <w:szCs w:val="22"/>
          <w:lang w:eastAsia="en-AU"/>
        </w:rPr>
      </w:pPr>
      <w:r w:rsidRPr="00C94F0C">
        <w:rPr>
          <w:sz w:val="22"/>
          <w:szCs w:val="22"/>
          <w:lang w:eastAsia="en-AU"/>
        </w:rPr>
        <w:t xml:space="preserve">Further education and training are an explicit objective of the </w:t>
      </w:r>
      <w:r w:rsidR="00147674">
        <w:rPr>
          <w:sz w:val="22"/>
          <w:szCs w:val="22"/>
          <w:lang w:eastAsia="en-AU"/>
        </w:rPr>
        <w:t>SEE programme</w:t>
      </w:r>
      <w:r w:rsidRPr="00C94F0C">
        <w:rPr>
          <w:sz w:val="22"/>
          <w:szCs w:val="22"/>
          <w:lang w:eastAsia="en-AU"/>
        </w:rPr>
        <w:t xml:space="preserve">. </w:t>
      </w:r>
      <w:r w:rsidR="003E1919">
        <w:rPr>
          <w:sz w:val="22"/>
          <w:szCs w:val="22"/>
          <w:lang w:eastAsia="en-AU"/>
        </w:rPr>
        <w:t>While i</w:t>
      </w:r>
      <w:r w:rsidRPr="00C94F0C">
        <w:rPr>
          <w:sz w:val="22"/>
          <w:szCs w:val="22"/>
          <w:lang w:eastAsia="en-AU"/>
        </w:rPr>
        <w:t xml:space="preserve">mprovements in </w:t>
      </w:r>
      <w:r w:rsidR="005F0C8E">
        <w:rPr>
          <w:sz w:val="22"/>
          <w:szCs w:val="22"/>
          <w:lang w:eastAsia="en-AU"/>
        </w:rPr>
        <w:t>LLN</w:t>
      </w:r>
      <w:r w:rsidRPr="00C94F0C">
        <w:rPr>
          <w:sz w:val="22"/>
          <w:szCs w:val="22"/>
          <w:lang w:eastAsia="en-AU"/>
        </w:rPr>
        <w:t xml:space="preserve"> will better prepare participants for further study, it is not immediately clear whether pathways from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into further study are an explicit part of the </w:t>
      </w:r>
      <w:r w:rsidR="006A28F2">
        <w:rPr>
          <w:sz w:val="22"/>
          <w:szCs w:val="22"/>
          <w:lang w:eastAsia="en-AU"/>
        </w:rPr>
        <w:t xml:space="preserve">programme </w:t>
      </w:r>
      <w:r w:rsidRPr="00C94F0C">
        <w:rPr>
          <w:sz w:val="22"/>
          <w:szCs w:val="22"/>
          <w:lang w:eastAsia="en-AU"/>
        </w:rPr>
        <w:t>design.</w:t>
      </w:r>
    </w:p>
    <w:p w14:paraId="185EC964" w14:textId="56DD727C" w:rsidR="00C94F0C" w:rsidRPr="00C94F0C" w:rsidRDefault="00C94F0C" w:rsidP="00C94F0C">
      <w:pPr>
        <w:spacing w:line="280" w:lineRule="exact"/>
        <w:rPr>
          <w:sz w:val="22"/>
          <w:szCs w:val="22"/>
          <w:lang w:eastAsia="en-AU"/>
        </w:rPr>
      </w:pPr>
      <w:r w:rsidRPr="00C94F0C">
        <w:rPr>
          <w:sz w:val="22"/>
          <w:szCs w:val="22"/>
          <w:lang w:eastAsia="en-AU"/>
        </w:rPr>
        <w:t xml:space="preserve">Consistent with the issue raised in the previous section, much of the emphasis of SEE is on pathways into employment. While a referring agency </w:t>
      </w:r>
      <w:r w:rsidR="003E1919">
        <w:rPr>
          <w:sz w:val="22"/>
          <w:szCs w:val="22"/>
          <w:lang w:eastAsia="en-AU"/>
        </w:rPr>
        <w:t xml:space="preserve">can </w:t>
      </w:r>
      <w:r w:rsidRPr="00C94F0C">
        <w:rPr>
          <w:sz w:val="22"/>
          <w:szCs w:val="22"/>
          <w:lang w:eastAsia="en-AU"/>
        </w:rPr>
        <w:t xml:space="preserve">recommend SEE to job seekers who want to engage in further study but lack the LLN skills necessary, this does not appear to be common practice nor is it part of the formal referral system. As discussed in Section </w:t>
      </w:r>
      <w:r w:rsidR="00173801">
        <w:rPr>
          <w:sz w:val="22"/>
          <w:szCs w:val="22"/>
          <w:highlight w:val="yellow"/>
          <w:lang w:eastAsia="en-AU"/>
        </w:rPr>
        <w:fldChar w:fldCharType="begin"/>
      </w:r>
      <w:r w:rsidR="00173801">
        <w:rPr>
          <w:sz w:val="22"/>
          <w:szCs w:val="22"/>
          <w:lang w:eastAsia="en-AU"/>
        </w:rPr>
        <w:instrText xml:space="preserve"> REF _Ref408321409 \r \h </w:instrText>
      </w:r>
      <w:r w:rsidR="00173801">
        <w:rPr>
          <w:sz w:val="22"/>
          <w:szCs w:val="22"/>
          <w:highlight w:val="yellow"/>
          <w:lang w:eastAsia="en-AU"/>
        </w:rPr>
      </w:r>
      <w:r w:rsidR="00173801">
        <w:rPr>
          <w:sz w:val="22"/>
          <w:szCs w:val="22"/>
          <w:highlight w:val="yellow"/>
          <w:lang w:eastAsia="en-AU"/>
        </w:rPr>
        <w:fldChar w:fldCharType="separate"/>
      </w:r>
      <w:r w:rsidR="00294A5A">
        <w:rPr>
          <w:sz w:val="22"/>
          <w:szCs w:val="22"/>
          <w:lang w:eastAsia="en-AU"/>
        </w:rPr>
        <w:t>5.2</w:t>
      </w:r>
      <w:r w:rsidR="00173801">
        <w:rPr>
          <w:sz w:val="22"/>
          <w:szCs w:val="22"/>
          <w:highlight w:val="yellow"/>
          <w:lang w:eastAsia="en-AU"/>
        </w:rPr>
        <w:fldChar w:fldCharType="end"/>
      </w:r>
      <w:r w:rsidRPr="00C94F0C">
        <w:rPr>
          <w:sz w:val="22"/>
          <w:szCs w:val="22"/>
          <w:lang w:eastAsia="en-AU"/>
        </w:rPr>
        <w:t xml:space="preserve">, some stakeholders consider this to be an area where the </w:t>
      </w:r>
      <w:r w:rsidR="006A28F2">
        <w:rPr>
          <w:sz w:val="22"/>
          <w:szCs w:val="22"/>
          <w:lang w:eastAsia="en-AU"/>
        </w:rPr>
        <w:t xml:space="preserve">programme </w:t>
      </w:r>
      <w:r w:rsidRPr="00C94F0C">
        <w:rPr>
          <w:sz w:val="22"/>
          <w:szCs w:val="22"/>
          <w:lang w:eastAsia="en-AU"/>
        </w:rPr>
        <w:t>is currently underutilised.</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23BD37BE" w14:textId="77777777" w:rsidTr="00EA422F">
        <w:tc>
          <w:tcPr>
            <w:tcW w:w="5000" w:type="pct"/>
            <w:shd w:val="pct12" w:color="auto" w:fill="auto"/>
          </w:tcPr>
          <w:p w14:paraId="0760B2EF" w14:textId="77777777"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1</w:t>
            </w:r>
            <w:r w:rsidRPr="00C94F0C">
              <w:rPr>
                <w:rFonts w:asciiTheme="majorHAnsi" w:hAnsiTheme="majorHAnsi" w:cs="Arial"/>
                <w:noProof/>
                <w:sz w:val="20"/>
              </w:rPr>
              <w:fldChar w:fldCharType="end"/>
            </w:r>
          </w:p>
        </w:tc>
      </w:tr>
      <w:tr w:rsidR="00C94F0C" w:rsidRPr="00C94F0C" w14:paraId="3A11C4A7" w14:textId="77777777" w:rsidTr="00EA422F">
        <w:tc>
          <w:tcPr>
            <w:tcW w:w="5000" w:type="pct"/>
            <w:shd w:val="pct12" w:color="auto" w:fill="auto"/>
          </w:tcPr>
          <w:p w14:paraId="2D10415A" w14:textId="02851CAF" w:rsidR="00C94F0C" w:rsidRDefault="00C94F0C" w:rsidP="00C94F0C">
            <w:pPr>
              <w:keepNext/>
              <w:keepLines/>
              <w:spacing w:before="80" w:after="40" w:line="220" w:lineRule="exact"/>
              <w:rPr>
                <w:sz w:val="20"/>
                <w:szCs w:val="22"/>
                <w:lang w:eastAsia="en-AU"/>
              </w:rPr>
            </w:pPr>
            <w:r w:rsidRPr="00C94F0C">
              <w:rPr>
                <w:sz w:val="20"/>
                <w:szCs w:val="22"/>
                <w:lang w:eastAsia="en-AU"/>
              </w:rPr>
              <w:t xml:space="preserve">The </w:t>
            </w:r>
            <w:r w:rsidR="00147674">
              <w:rPr>
                <w:sz w:val="20"/>
                <w:szCs w:val="22"/>
                <w:lang w:eastAsia="en-AU"/>
              </w:rPr>
              <w:t>SEE programme</w:t>
            </w:r>
            <w:r w:rsidRPr="00C94F0C">
              <w:rPr>
                <w:sz w:val="20"/>
                <w:szCs w:val="22"/>
                <w:lang w:eastAsia="en-AU"/>
              </w:rPr>
              <w:t>’s objectives to improve</w:t>
            </w:r>
            <w:r w:rsidR="00D17151">
              <w:rPr>
                <w:sz w:val="20"/>
                <w:szCs w:val="22"/>
                <w:lang w:eastAsia="en-AU"/>
              </w:rPr>
              <w:t xml:space="preserve"> an</w:t>
            </w:r>
            <w:r w:rsidRPr="00C94F0C">
              <w:rPr>
                <w:sz w:val="20"/>
                <w:szCs w:val="22"/>
                <w:lang w:eastAsia="en-AU"/>
              </w:rPr>
              <w:t xml:space="preserve"> eligible job seeker’s LLN skills to enable them to participate more effectively in training or in the labour force are clear and should be retained.</w:t>
            </w:r>
          </w:p>
          <w:p w14:paraId="0517AC7D" w14:textId="240BF6D0" w:rsidR="0054377F" w:rsidRPr="00C94F0C" w:rsidRDefault="0054377F" w:rsidP="00C94F0C">
            <w:pPr>
              <w:keepNext/>
              <w:keepLines/>
              <w:spacing w:before="80" w:after="40" w:line="220" w:lineRule="exact"/>
              <w:rPr>
                <w:sz w:val="20"/>
                <w:szCs w:val="22"/>
                <w:lang w:eastAsia="en-AU"/>
              </w:rPr>
            </w:pPr>
            <w:r w:rsidRPr="0054377F">
              <w:rPr>
                <w:sz w:val="20"/>
                <w:szCs w:val="22"/>
                <w:lang w:eastAsia="en-AU"/>
              </w:rPr>
              <w:t xml:space="preserve">Particular emphasis should be given in the programme’s design to ensure that SEE </w:t>
            </w:r>
            <w:r w:rsidR="003A3204">
              <w:rPr>
                <w:sz w:val="20"/>
                <w:szCs w:val="22"/>
                <w:lang w:eastAsia="en-AU"/>
              </w:rPr>
              <w:t>can be</w:t>
            </w:r>
            <w:r w:rsidR="003A3204" w:rsidRPr="0054377F">
              <w:rPr>
                <w:sz w:val="20"/>
                <w:szCs w:val="22"/>
                <w:lang w:eastAsia="en-AU"/>
              </w:rPr>
              <w:t xml:space="preserve"> </w:t>
            </w:r>
            <w:r w:rsidRPr="0054377F">
              <w:rPr>
                <w:sz w:val="20"/>
                <w:szCs w:val="22"/>
                <w:lang w:eastAsia="en-AU"/>
              </w:rPr>
              <w:t xml:space="preserve">utilised </w:t>
            </w:r>
            <w:r w:rsidR="003A3204">
              <w:rPr>
                <w:sz w:val="20"/>
                <w:szCs w:val="22"/>
                <w:lang w:eastAsia="en-AU"/>
              </w:rPr>
              <w:t xml:space="preserve">by </w:t>
            </w:r>
            <w:r w:rsidRPr="0054377F">
              <w:rPr>
                <w:sz w:val="20"/>
                <w:szCs w:val="22"/>
                <w:lang w:eastAsia="en-AU"/>
              </w:rPr>
              <w:t>job seekers wanting to engage in further study but lacking the necessary LLN skills.</w:t>
            </w:r>
          </w:p>
          <w:p w14:paraId="63A7DE8D"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478AFDF8" wp14:editId="3A3DDD93">
                  <wp:extent cx="481585" cy="234696"/>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092B4C81" w14:textId="77777777" w:rsidTr="00EA422F">
        <w:trPr>
          <w:trHeight w:hRule="exact" w:val="80"/>
        </w:trPr>
        <w:tc>
          <w:tcPr>
            <w:tcW w:w="5000" w:type="pct"/>
            <w:shd w:val="pct12" w:color="auto" w:fill="auto"/>
          </w:tcPr>
          <w:p w14:paraId="56B2170E" w14:textId="77777777" w:rsidR="00C94F0C" w:rsidRPr="00C94F0C" w:rsidRDefault="00C94F0C" w:rsidP="00C94F0C">
            <w:pPr>
              <w:spacing w:before="160"/>
            </w:pPr>
            <w:r w:rsidRPr="00C94F0C">
              <w:t xml:space="preserve"> </w:t>
            </w:r>
          </w:p>
        </w:tc>
      </w:tr>
    </w:tbl>
    <w:p w14:paraId="5D22B13A" w14:textId="77777777" w:rsidR="00C94F0C" w:rsidRPr="00C94F0C" w:rsidRDefault="00C94F0C" w:rsidP="00C94F0C">
      <w:pPr>
        <w:keepNext/>
        <w:numPr>
          <w:ilvl w:val="2"/>
          <w:numId w:val="20"/>
        </w:numPr>
        <w:spacing w:before="300" w:after="0" w:line="270" w:lineRule="exact"/>
        <w:outlineLvl w:val="2"/>
        <w:rPr>
          <w:rFonts w:asciiTheme="majorHAnsi" w:hAnsiTheme="majorHAnsi"/>
          <w:b/>
          <w:color w:val="9757A6" w:themeColor="text2"/>
          <w:sz w:val="22"/>
          <w:lang w:eastAsia="en-AU"/>
        </w:rPr>
      </w:pPr>
      <w:r w:rsidRPr="00C94F0C">
        <w:rPr>
          <w:rFonts w:asciiTheme="majorHAnsi" w:hAnsiTheme="majorHAnsi"/>
          <w:b/>
          <w:color w:val="9757A6" w:themeColor="text2"/>
          <w:sz w:val="22"/>
          <w:lang w:eastAsia="en-AU"/>
        </w:rPr>
        <w:t>Measurement against objectives</w:t>
      </w:r>
    </w:p>
    <w:p w14:paraId="7093F560" w14:textId="5D8C4478" w:rsidR="00C94F0C" w:rsidRPr="00C94F0C" w:rsidRDefault="003E1919" w:rsidP="00C94F0C">
      <w:pPr>
        <w:spacing w:line="280" w:lineRule="exact"/>
        <w:rPr>
          <w:sz w:val="22"/>
          <w:szCs w:val="22"/>
          <w:lang w:eastAsia="en-AU"/>
        </w:rPr>
      </w:pPr>
      <w:r>
        <w:rPr>
          <w:sz w:val="22"/>
          <w:szCs w:val="22"/>
          <w:lang w:eastAsia="en-AU"/>
        </w:rPr>
        <w:t>It is possible</w:t>
      </w:r>
      <w:r w:rsidR="00C94F0C" w:rsidRPr="00C94F0C">
        <w:rPr>
          <w:sz w:val="22"/>
          <w:szCs w:val="22"/>
          <w:lang w:eastAsia="en-AU"/>
        </w:rPr>
        <w:t xml:space="preserve"> to measure the immediate outcomes for SEE participants, in terms of whether they progress on to employment or further study, although it may be more difficult to demonstrate causality.</w:t>
      </w:r>
    </w:p>
    <w:p w14:paraId="77394C2C" w14:textId="77777777" w:rsidR="00C94F0C" w:rsidRPr="00C94F0C" w:rsidRDefault="00C94F0C" w:rsidP="00C94F0C">
      <w:pPr>
        <w:spacing w:line="280" w:lineRule="exact"/>
        <w:rPr>
          <w:sz w:val="22"/>
          <w:szCs w:val="22"/>
          <w:lang w:eastAsia="en-AU"/>
        </w:rPr>
      </w:pPr>
      <w:r w:rsidRPr="00C94F0C">
        <w:rPr>
          <w:sz w:val="22"/>
          <w:szCs w:val="22"/>
          <w:lang w:eastAsia="en-AU"/>
        </w:rPr>
        <w:t xml:space="preserve">Based on the feedback from stakeholders and examination of the programme’s measurement and reporting, it is clear that significant emphasis is placed on the attainment of LLN outcomes. </w:t>
      </w:r>
    </w:p>
    <w:p w14:paraId="6C2C2E31"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 Programme’s stated objective to increase job seeker LLN participation to further training or work is very clear. Measurements through KPIs do not provide a true indication of programme outcomes.</w:t>
      </w:r>
    </w:p>
    <w:p w14:paraId="75F4F187"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SEE provider confidential submission</w:t>
      </w:r>
    </w:p>
    <w:p w14:paraId="50E2BF41" w14:textId="27812549"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 xml:space="preserve">The SEE Online database has not been developed to capture data on employment or further study... Similarly, the </w:t>
      </w:r>
      <w:r w:rsidR="00147674">
        <w:rPr>
          <w:sz w:val="18"/>
          <w:szCs w:val="22"/>
          <w:lang w:eastAsia="en-AU"/>
        </w:rPr>
        <w:t>SEE programme</w:t>
      </w:r>
      <w:r w:rsidR="006A28F2">
        <w:rPr>
          <w:sz w:val="18"/>
          <w:szCs w:val="22"/>
          <w:lang w:eastAsia="en-AU"/>
        </w:rPr>
        <w:t xml:space="preserve"> </w:t>
      </w:r>
      <w:r w:rsidRPr="00C94F0C">
        <w:rPr>
          <w:sz w:val="18"/>
          <w:szCs w:val="22"/>
          <w:lang w:eastAsia="en-AU"/>
        </w:rPr>
        <w:t>KPIs do not focus on client outcomes related to employment or further study outcomes.</w:t>
      </w:r>
    </w:p>
    <w:p w14:paraId="25CFFA28"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SEE provider confidential submission</w:t>
      </w:r>
    </w:p>
    <w:p w14:paraId="36BC8655" w14:textId="301EFCAA"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 xml:space="preserve">Effectiveness is undocumented as there are no longitudinal studies once clients finish 800 hours to inform Providers of employment or other pathway outcomes…Some way of recording ‘other’ outcomes (jobs &amp; pathways) on SEE Online at end of 800 hours: for example, SEE learners go on to employment, volunteering or further study but these are not recorded or acknowledged in the current contract. </w:t>
      </w:r>
    </w:p>
    <w:p w14:paraId="797A2E63"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Melbourne Polytechnic (NMIT) submission</w:t>
      </w:r>
    </w:p>
    <w:p w14:paraId="5F527F0E" w14:textId="77777777" w:rsidR="00C94F0C" w:rsidRPr="00C94F0C" w:rsidRDefault="00C94F0C" w:rsidP="00C94F0C">
      <w:pPr>
        <w:spacing w:line="280" w:lineRule="exact"/>
        <w:rPr>
          <w:sz w:val="22"/>
          <w:szCs w:val="22"/>
          <w:lang w:eastAsia="en-AU"/>
        </w:rPr>
      </w:pPr>
      <w:r w:rsidRPr="00C94F0C">
        <w:rPr>
          <w:sz w:val="22"/>
          <w:szCs w:val="22"/>
          <w:lang w:eastAsia="en-AU"/>
        </w:rPr>
        <w:t>In the past, post-SEE study and job related outcomes were collected through a post-programme survey of participants. The Department of Education Science and Technology undertook a review of the LLNP in 2005, and in doing so demonstrated the value and validity of the Post Programme Monitoring (PPM) survey of participants, which was administered three to six months after exiting the programme.</w:t>
      </w:r>
    </w:p>
    <w:p w14:paraId="7AE115EC"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In order to analyse employment and further education outcomes, the Review relied on the employment and further education outcomes collected in the Post Programme Monitoring (PPM) survey of participants three to six months after exiting the programme. The overall response rate for this survey was around 58% and the results coincided closely with available data from Centrelink and DEWR regarding clients’ income support status, which supported the validity of the data obtained in this manner. DEWR found that the overall response rate for the PPM survey, at around 60%, provides outcomes estimates that are generally accurate to within plus or minus 1 percentage point at the National level.</w:t>
      </w:r>
    </w:p>
    <w:p w14:paraId="2812F6C5"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DEST (2005) Review of the LLNP</w:t>
      </w:r>
    </w:p>
    <w:p w14:paraId="7A91BD1A" w14:textId="77777777" w:rsidR="00C94F0C" w:rsidRPr="00C94F0C" w:rsidRDefault="00C94F0C" w:rsidP="00C94F0C">
      <w:pPr>
        <w:spacing w:line="280" w:lineRule="exact"/>
        <w:rPr>
          <w:sz w:val="22"/>
          <w:szCs w:val="22"/>
          <w:lang w:eastAsia="en-AU"/>
        </w:rPr>
      </w:pPr>
      <w:r w:rsidRPr="00C94F0C">
        <w:rPr>
          <w:sz w:val="22"/>
          <w:szCs w:val="22"/>
          <w:lang w:eastAsia="en-AU"/>
        </w:rPr>
        <w:t>The reasons for discontinuing the PPM survey of participants are not known.</w:t>
      </w:r>
    </w:p>
    <w:p w14:paraId="441090F8" w14:textId="77777777" w:rsidR="00C94F0C" w:rsidRPr="00C94F0C" w:rsidRDefault="00C94F0C" w:rsidP="00C94F0C">
      <w:pPr>
        <w:spacing w:line="280" w:lineRule="exact"/>
        <w:rPr>
          <w:sz w:val="22"/>
          <w:szCs w:val="22"/>
          <w:lang w:eastAsia="en-AU"/>
        </w:rPr>
      </w:pPr>
      <w:r w:rsidRPr="00C94F0C">
        <w:rPr>
          <w:sz w:val="22"/>
          <w:szCs w:val="22"/>
          <w:lang w:eastAsia="en-AU"/>
        </w:rPr>
        <w:t>Given that job seekers continue to maintain contact with their referring agencies after participating in SEE, it should be possible to establish the necessary systems in partnership with other government agencies to track individual outcomes over time.</w:t>
      </w:r>
    </w:p>
    <w:p w14:paraId="4A96641E" w14:textId="208033DE" w:rsidR="00C94F0C" w:rsidRPr="00C94F0C" w:rsidRDefault="00C94F0C" w:rsidP="00C94F0C">
      <w:pPr>
        <w:spacing w:line="280" w:lineRule="exact"/>
        <w:rPr>
          <w:sz w:val="22"/>
          <w:szCs w:val="22"/>
          <w:lang w:eastAsia="en-AU"/>
        </w:rPr>
      </w:pPr>
      <w:r w:rsidRPr="00C94F0C">
        <w:rPr>
          <w:sz w:val="22"/>
          <w:szCs w:val="22"/>
          <w:lang w:eastAsia="en-AU"/>
        </w:rPr>
        <w:t xml:space="preserve">The government should explore the possibility of either implementing the necessary reporting frameworks for referring agencies or reintroducing the PPM survey in order to capture the data necessary to measure the outcomes of the </w:t>
      </w:r>
      <w:r w:rsidR="00147674">
        <w:rPr>
          <w:sz w:val="22"/>
          <w:szCs w:val="22"/>
          <w:lang w:eastAsia="en-AU"/>
        </w:rPr>
        <w:t>SEE programme</w:t>
      </w:r>
      <w:r w:rsidR="006A28F2">
        <w:rPr>
          <w:sz w:val="22"/>
          <w:szCs w:val="22"/>
          <w:lang w:eastAsia="en-AU"/>
        </w:rPr>
        <w:t xml:space="preserve"> </w:t>
      </w:r>
      <w:r w:rsidRPr="00C94F0C">
        <w:rPr>
          <w:sz w:val="22"/>
          <w:szCs w:val="22"/>
          <w:lang w:eastAsia="en-AU"/>
        </w:rPr>
        <w:t>against its objectives.</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378E3EE9" w14:textId="77777777" w:rsidTr="00EA422F">
        <w:tc>
          <w:tcPr>
            <w:tcW w:w="5000" w:type="pct"/>
            <w:shd w:val="pct12" w:color="auto" w:fill="auto"/>
          </w:tcPr>
          <w:p w14:paraId="068BAD91" w14:textId="77777777"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2</w:t>
            </w:r>
            <w:r w:rsidRPr="00C94F0C">
              <w:rPr>
                <w:rFonts w:asciiTheme="majorHAnsi" w:hAnsiTheme="majorHAnsi" w:cs="Arial"/>
                <w:noProof/>
                <w:sz w:val="20"/>
              </w:rPr>
              <w:fldChar w:fldCharType="end"/>
            </w:r>
          </w:p>
        </w:tc>
      </w:tr>
      <w:tr w:rsidR="00C94F0C" w:rsidRPr="00C94F0C" w14:paraId="6FEB7824" w14:textId="77777777" w:rsidTr="00EA422F">
        <w:tc>
          <w:tcPr>
            <w:tcW w:w="5000" w:type="pct"/>
            <w:shd w:val="pct12" w:color="auto" w:fill="auto"/>
          </w:tcPr>
          <w:p w14:paraId="67104310" w14:textId="0878B70C" w:rsidR="00C94F0C" w:rsidRPr="00C94F0C" w:rsidRDefault="00C94F0C" w:rsidP="00C94F0C">
            <w:pPr>
              <w:keepNext/>
              <w:keepLines/>
              <w:spacing w:before="80" w:after="40" w:line="220" w:lineRule="exact"/>
              <w:rPr>
                <w:sz w:val="20"/>
                <w:szCs w:val="22"/>
                <w:lang w:eastAsia="en-AU"/>
              </w:rPr>
            </w:pPr>
            <w:r w:rsidRPr="00C94F0C">
              <w:rPr>
                <w:sz w:val="20"/>
                <w:szCs w:val="22"/>
                <w:lang w:eastAsia="en-AU"/>
              </w:rPr>
              <w:t xml:space="preserve">The measurement of the outcomes of the </w:t>
            </w:r>
            <w:r w:rsidR="00147674">
              <w:rPr>
                <w:sz w:val="20"/>
                <w:szCs w:val="22"/>
                <w:lang w:eastAsia="en-AU"/>
              </w:rPr>
              <w:t>SEE programme</w:t>
            </w:r>
            <w:r w:rsidR="006A28F2">
              <w:rPr>
                <w:sz w:val="20"/>
                <w:szCs w:val="22"/>
                <w:lang w:eastAsia="en-AU"/>
              </w:rPr>
              <w:t xml:space="preserve"> </w:t>
            </w:r>
            <w:r w:rsidRPr="00C94F0C">
              <w:rPr>
                <w:sz w:val="20"/>
                <w:szCs w:val="22"/>
                <w:lang w:eastAsia="en-AU"/>
              </w:rPr>
              <w:t xml:space="preserve">against its objectives </w:t>
            </w:r>
            <w:r w:rsidR="00CB133A">
              <w:rPr>
                <w:sz w:val="20"/>
                <w:szCs w:val="22"/>
                <w:lang w:eastAsia="en-AU"/>
              </w:rPr>
              <w:t>c</w:t>
            </w:r>
            <w:r w:rsidR="00CB133A" w:rsidRPr="00C94F0C">
              <w:rPr>
                <w:sz w:val="20"/>
                <w:szCs w:val="22"/>
                <w:lang w:eastAsia="en-AU"/>
              </w:rPr>
              <w:t xml:space="preserve">ould </w:t>
            </w:r>
            <w:r w:rsidRPr="00C94F0C">
              <w:rPr>
                <w:sz w:val="20"/>
                <w:szCs w:val="22"/>
                <w:lang w:eastAsia="en-AU"/>
              </w:rPr>
              <w:t xml:space="preserve">be improved. Options </w:t>
            </w:r>
            <w:r w:rsidR="003E1919" w:rsidRPr="00C94F0C">
              <w:rPr>
                <w:sz w:val="20"/>
                <w:szCs w:val="22"/>
                <w:lang w:eastAsia="en-AU"/>
              </w:rPr>
              <w:t xml:space="preserve">should be explored </w:t>
            </w:r>
            <w:r w:rsidRPr="00C94F0C">
              <w:rPr>
                <w:sz w:val="20"/>
                <w:szCs w:val="22"/>
                <w:lang w:eastAsia="en-AU"/>
              </w:rPr>
              <w:t xml:space="preserve">to capture the data necessary to measure the outcomes of the </w:t>
            </w:r>
            <w:r w:rsidR="00147674">
              <w:rPr>
                <w:sz w:val="20"/>
                <w:szCs w:val="22"/>
                <w:lang w:eastAsia="en-AU"/>
              </w:rPr>
              <w:t>SEE programme</w:t>
            </w:r>
            <w:r w:rsidR="003E1919">
              <w:rPr>
                <w:sz w:val="20"/>
                <w:szCs w:val="22"/>
                <w:lang w:eastAsia="en-AU"/>
              </w:rPr>
              <w:t>,</w:t>
            </w:r>
            <w:r w:rsidRPr="00C94F0C">
              <w:rPr>
                <w:sz w:val="20"/>
                <w:szCs w:val="22"/>
                <w:lang w:eastAsia="en-AU"/>
              </w:rPr>
              <w:t xml:space="preserve"> including:</w:t>
            </w:r>
          </w:p>
          <w:p w14:paraId="75E9B585" w14:textId="22987703" w:rsidR="00C94F0C" w:rsidRPr="00C94F0C" w:rsidRDefault="00C94F0C" w:rsidP="00C94F0C">
            <w:pPr>
              <w:numPr>
                <w:ilvl w:val="0"/>
                <w:numId w:val="10"/>
              </w:numPr>
              <w:spacing w:before="40" w:after="40" w:line="220" w:lineRule="exact"/>
              <w:rPr>
                <w:sz w:val="20"/>
                <w:lang w:eastAsia="en-AU"/>
              </w:rPr>
            </w:pPr>
            <w:r w:rsidRPr="00C94F0C">
              <w:rPr>
                <w:sz w:val="20"/>
                <w:lang w:eastAsia="en-AU"/>
              </w:rPr>
              <w:t>Developing and implementing the necessary reporting frameworks for referring agencies and/or</w:t>
            </w:r>
          </w:p>
          <w:p w14:paraId="21E5A10F" w14:textId="77777777" w:rsidR="00C94F0C" w:rsidRPr="00C94F0C" w:rsidRDefault="00C94F0C" w:rsidP="00C94F0C">
            <w:pPr>
              <w:numPr>
                <w:ilvl w:val="0"/>
                <w:numId w:val="10"/>
              </w:numPr>
              <w:spacing w:before="40" w:after="40" w:line="220" w:lineRule="exact"/>
              <w:rPr>
                <w:sz w:val="20"/>
                <w:lang w:eastAsia="en-AU"/>
              </w:rPr>
            </w:pPr>
            <w:r w:rsidRPr="00C94F0C">
              <w:rPr>
                <w:sz w:val="20"/>
                <w:lang w:eastAsia="en-AU"/>
              </w:rPr>
              <w:t>Reintroducing the Post Programme Monitoring (PPM) survey of participants.</w:t>
            </w:r>
          </w:p>
          <w:p w14:paraId="01608C1A"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726A1901" wp14:editId="6B4E3BF0">
                  <wp:extent cx="481585" cy="234696"/>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68ED6B15" w14:textId="77777777" w:rsidTr="00EA422F">
        <w:trPr>
          <w:trHeight w:hRule="exact" w:val="80"/>
        </w:trPr>
        <w:tc>
          <w:tcPr>
            <w:tcW w:w="5000" w:type="pct"/>
            <w:shd w:val="pct12" w:color="auto" w:fill="auto"/>
          </w:tcPr>
          <w:p w14:paraId="376CEDD9" w14:textId="77777777" w:rsidR="00C94F0C" w:rsidRPr="00C94F0C" w:rsidRDefault="00C94F0C" w:rsidP="00C94F0C">
            <w:pPr>
              <w:spacing w:before="160"/>
            </w:pPr>
            <w:r w:rsidRPr="00C94F0C">
              <w:t xml:space="preserve"> </w:t>
            </w:r>
          </w:p>
        </w:tc>
      </w:tr>
    </w:tbl>
    <w:p w14:paraId="7731E8E1" w14:textId="7EACA57B" w:rsidR="00C94F0C" w:rsidRPr="00C94F0C" w:rsidRDefault="00C94F0C" w:rsidP="00C94F0C">
      <w:pPr>
        <w:keepNext/>
        <w:numPr>
          <w:ilvl w:val="2"/>
          <w:numId w:val="20"/>
        </w:numPr>
        <w:spacing w:before="300" w:after="0" w:line="270" w:lineRule="exact"/>
        <w:outlineLvl w:val="2"/>
        <w:rPr>
          <w:rFonts w:asciiTheme="majorHAnsi" w:hAnsiTheme="majorHAnsi"/>
          <w:b/>
          <w:color w:val="9757A6" w:themeColor="text2"/>
          <w:sz w:val="22"/>
          <w:lang w:eastAsia="en-AU"/>
        </w:rPr>
      </w:pPr>
      <w:bookmarkStart w:id="163" w:name="_Ref408569760"/>
      <w:r w:rsidRPr="00C94F0C">
        <w:rPr>
          <w:rFonts w:asciiTheme="majorHAnsi" w:hAnsiTheme="majorHAnsi"/>
          <w:b/>
          <w:color w:val="9757A6" w:themeColor="text2"/>
          <w:sz w:val="22"/>
          <w:lang w:eastAsia="en-AU"/>
        </w:rPr>
        <w:t>Target groups</w:t>
      </w:r>
      <w:bookmarkEnd w:id="163"/>
    </w:p>
    <w:p w14:paraId="70FE4FF8" w14:textId="1A12F033" w:rsidR="00C94F0C" w:rsidRPr="00C94F0C" w:rsidRDefault="00C94F0C" w:rsidP="00C94F0C">
      <w:pPr>
        <w:spacing w:line="280" w:lineRule="exact"/>
        <w:rPr>
          <w:sz w:val="22"/>
          <w:szCs w:val="22"/>
          <w:lang w:eastAsia="en-AU"/>
        </w:rPr>
      </w:pPr>
      <w:r w:rsidRPr="00C94F0C">
        <w:rPr>
          <w:sz w:val="22"/>
          <w:szCs w:val="22"/>
          <w:lang w:eastAsia="en-AU"/>
        </w:rPr>
        <w:t xml:space="preserve">The target groups of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are defined </w:t>
      </w:r>
      <w:r w:rsidR="00207BF9" w:rsidRPr="00C94F0C">
        <w:rPr>
          <w:sz w:val="22"/>
          <w:szCs w:val="22"/>
          <w:lang w:eastAsia="en-AU"/>
        </w:rPr>
        <w:t xml:space="preserve">primarily </w:t>
      </w:r>
      <w:r w:rsidR="00207BF9">
        <w:rPr>
          <w:sz w:val="22"/>
          <w:szCs w:val="22"/>
          <w:lang w:eastAsia="en-AU"/>
        </w:rPr>
        <w:t xml:space="preserve">by </w:t>
      </w:r>
      <w:r w:rsidRPr="00C94F0C">
        <w:rPr>
          <w:sz w:val="22"/>
          <w:szCs w:val="22"/>
          <w:lang w:eastAsia="en-AU"/>
        </w:rPr>
        <w:t>the receipt of income support</w:t>
      </w:r>
      <w:r w:rsidR="00207BF9">
        <w:rPr>
          <w:sz w:val="22"/>
          <w:szCs w:val="22"/>
          <w:lang w:eastAsia="en-AU"/>
        </w:rPr>
        <w:t xml:space="preserve"> and </w:t>
      </w:r>
      <w:r w:rsidRPr="00C94F0C">
        <w:rPr>
          <w:sz w:val="22"/>
          <w:szCs w:val="22"/>
          <w:lang w:eastAsia="en-AU"/>
        </w:rPr>
        <w:t xml:space="preserve">having the capacity to benefit. </w:t>
      </w:r>
    </w:p>
    <w:p w14:paraId="674EBFFF"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Recipients of income support</w:t>
      </w:r>
    </w:p>
    <w:p w14:paraId="532890D9" w14:textId="639587C7" w:rsidR="00C94F0C" w:rsidRPr="00C94F0C" w:rsidRDefault="00C94F0C" w:rsidP="00C94F0C">
      <w:pPr>
        <w:spacing w:line="280" w:lineRule="exact"/>
        <w:rPr>
          <w:sz w:val="22"/>
          <w:szCs w:val="22"/>
          <w:lang w:eastAsia="en-AU"/>
        </w:rPr>
      </w:pPr>
      <w:r w:rsidRPr="00C94F0C">
        <w:rPr>
          <w:sz w:val="22"/>
          <w:szCs w:val="22"/>
          <w:lang w:eastAsia="en-AU"/>
        </w:rPr>
        <w:t>The criteri</w:t>
      </w:r>
      <w:r w:rsidR="00207BF9">
        <w:rPr>
          <w:sz w:val="22"/>
          <w:szCs w:val="22"/>
          <w:lang w:eastAsia="en-AU"/>
        </w:rPr>
        <w:t>on</w:t>
      </w:r>
      <w:r w:rsidRPr="00C94F0C">
        <w:rPr>
          <w:sz w:val="22"/>
          <w:szCs w:val="22"/>
          <w:lang w:eastAsia="en-AU"/>
        </w:rPr>
        <w:t xml:space="preserve"> of only including eligible job seekers receiving income support in the </w:t>
      </w:r>
      <w:r w:rsidR="00147674">
        <w:rPr>
          <w:sz w:val="22"/>
          <w:szCs w:val="22"/>
          <w:lang w:eastAsia="en-AU"/>
        </w:rPr>
        <w:t>SEE programme</w:t>
      </w:r>
      <w:r w:rsidR="006A28F2">
        <w:rPr>
          <w:sz w:val="22"/>
          <w:szCs w:val="22"/>
          <w:lang w:eastAsia="en-AU"/>
        </w:rPr>
        <w:t xml:space="preserve"> </w:t>
      </w:r>
      <w:r w:rsidRPr="00C94F0C">
        <w:rPr>
          <w:sz w:val="22"/>
          <w:szCs w:val="22"/>
          <w:lang w:eastAsia="en-AU"/>
        </w:rPr>
        <w:t>aligns well with the Australian Government’s role and responsibilities for the welfare system and employment services.</w:t>
      </w:r>
    </w:p>
    <w:p w14:paraId="5649AE4C" w14:textId="7433044C" w:rsidR="00C94F0C" w:rsidRPr="00C94F0C" w:rsidRDefault="00C94F0C" w:rsidP="00C94F0C">
      <w:pPr>
        <w:spacing w:line="280" w:lineRule="exact"/>
        <w:rPr>
          <w:sz w:val="22"/>
          <w:szCs w:val="22"/>
          <w:lang w:eastAsia="en-AU"/>
        </w:rPr>
      </w:pPr>
      <w:r w:rsidRPr="00C94F0C">
        <w:rPr>
          <w:sz w:val="22"/>
          <w:szCs w:val="22"/>
          <w:lang w:eastAsia="en-AU"/>
        </w:rPr>
        <w:t>Some stakeholders have highlighted that this may exclude parts of the Australian population with low LLN attainment would otherwise benefit from the SEE programme. These include:</w:t>
      </w:r>
    </w:p>
    <w:p w14:paraId="63B06ECD" w14:textId="39DE1591" w:rsidR="00C94F0C" w:rsidRPr="00C94F0C" w:rsidRDefault="00C94F0C" w:rsidP="001540AD">
      <w:pPr>
        <w:pStyle w:val="ListDash"/>
      </w:pPr>
      <w:r w:rsidRPr="00C94F0C">
        <w:t>Job</w:t>
      </w:r>
      <w:r w:rsidR="003F533B">
        <w:t xml:space="preserve"> </w:t>
      </w:r>
      <w:r w:rsidRPr="00C94F0C">
        <w:t xml:space="preserve">seekers who are not on income support </w:t>
      </w:r>
    </w:p>
    <w:p w14:paraId="02979C79" w14:textId="77777777" w:rsidR="00C94F0C" w:rsidRPr="00C94F0C" w:rsidRDefault="00C94F0C" w:rsidP="001540AD">
      <w:pPr>
        <w:pStyle w:val="ListDash"/>
      </w:pPr>
      <w:r w:rsidRPr="00C94F0C">
        <w:t>People in part-time employment</w:t>
      </w:r>
    </w:p>
    <w:p w14:paraId="0D5A73F3" w14:textId="77777777" w:rsidR="00C94F0C" w:rsidRPr="00C94F0C" w:rsidRDefault="00C94F0C" w:rsidP="001540AD">
      <w:pPr>
        <w:pStyle w:val="ListDash"/>
      </w:pPr>
      <w:r w:rsidRPr="00C94F0C">
        <w:t>People who have transitioned to work but are seeking to up-skill</w:t>
      </w:r>
    </w:p>
    <w:p w14:paraId="621EE846" w14:textId="77777777" w:rsidR="00C94F0C" w:rsidRPr="00C94F0C" w:rsidRDefault="00C94F0C" w:rsidP="001540AD">
      <w:pPr>
        <w:pStyle w:val="ListDash"/>
      </w:pPr>
      <w:r w:rsidRPr="00C94F0C">
        <w:t>Those enrolled in full-time study but who need LLN support.</w:t>
      </w:r>
    </w:p>
    <w:p w14:paraId="56C1C2B5" w14:textId="77777777" w:rsidR="00C94F0C" w:rsidRPr="00C94F0C" w:rsidRDefault="00C94F0C" w:rsidP="00C94F0C">
      <w:pPr>
        <w:spacing w:line="280" w:lineRule="exact"/>
        <w:rPr>
          <w:sz w:val="22"/>
          <w:szCs w:val="22"/>
          <w:lang w:eastAsia="en-AU"/>
        </w:rPr>
      </w:pPr>
    </w:p>
    <w:p w14:paraId="62578E91"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There is a huge demand for the SEE Program from clients who are no longer deemed eligible e.g. clients registered with DHS, however not receiving benefits, carers, spouses of skilled migrants, eligible job seekers who opt not to receive payments, partners of low-income earners who don’t qualify for benefits. Historically, these clients have demonstrated a high level of engagement and have often successfully transitioned into employment or further education courses. There are also a number of other potential clients that could greatly benefit from the SEE Program and henceforth contribute to their communities if they were granted access to the Program to increase English language fluency and employability skills. Exclusion from SEE of some NESB migrants actually promotes disadvantage and vulnerability as they are unable to communicate in everyday situations and seek help and local services when necessary.</w:t>
      </w:r>
    </w:p>
    <w:p w14:paraId="54053155"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MTC submission</w:t>
      </w:r>
    </w:p>
    <w:p w14:paraId="66426FDB" w14:textId="33E7D00A" w:rsidR="00C94F0C" w:rsidRPr="00C94F0C" w:rsidRDefault="00C94F0C" w:rsidP="00C94F0C">
      <w:pPr>
        <w:spacing w:line="280" w:lineRule="exact"/>
        <w:rPr>
          <w:sz w:val="22"/>
          <w:szCs w:val="22"/>
          <w:lang w:eastAsia="en-AU"/>
        </w:rPr>
      </w:pPr>
      <w:r w:rsidRPr="00C94F0C">
        <w:rPr>
          <w:sz w:val="22"/>
          <w:szCs w:val="22"/>
          <w:lang w:eastAsia="en-AU"/>
        </w:rPr>
        <w:t xml:space="preserve">In part, these ineligible cohorts highlight the fact that many Australians would benefit from the SEE programme. However, it is important to acknowledge that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is not intended to be a universal </w:t>
      </w:r>
      <w:r w:rsidR="006A28F2">
        <w:rPr>
          <w:sz w:val="22"/>
          <w:szCs w:val="22"/>
          <w:lang w:eastAsia="en-AU"/>
        </w:rPr>
        <w:t xml:space="preserve">programme </w:t>
      </w:r>
      <w:r w:rsidRPr="00C94F0C">
        <w:rPr>
          <w:sz w:val="22"/>
          <w:szCs w:val="22"/>
          <w:lang w:eastAsia="en-AU"/>
        </w:rPr>
        <w:t xml:space="preserve">for </w:t>
      </w:r>
      <w:r w:rsidR="00C5382E">
        <w:rPr>
          <w:sz w:val="22"/>
          <w:szCs w:val="22"/>
          <w:lang w:eastAsia="en-AU"/>
        </w:rPr>
        <w:t>LLN</w:t>
      </w:r>
      <w:r w:rsidRPr="00C94F0C">
        <w:rPr>
          <w:sz w:val="22"/>
          <w:szCs w:val="22"/>
          <w:lang w:eastAsia="en-AU"/>
        </w:rPr>
        <w:t xml:space="preserve"> training; the restriction of SEE only to eligible job seekers is intended to </w:t>
      </w:r>
      <w:r w:rsidR="00B2607E" w:rsidRPr="00B2607E">
        <w:rPr>
          <w:sz w:val="22"/>
          <w:szCs w:val="22"/>
          <w:lang w:eastAsia="en-AU"/>
        </w:rPr>
        <w:t>ensure the programme’s objectives are met. Other individuals are able to access LLN training through state/territory government subsidised courses, fee paying courses, and as part of vocational and university courses.</w:t>
      </w:r>
      <w:r w:rsidR="00B2607E">
        <w:rPr>
          <w:sz w:val="22"/>
          <w:szCs w:val="22"/>
          <w:lang w:eastAsia="en-AU"/>
        </w:rPr>
        <w:t xml:space="preserve"> The current eligibility criteria also </w:t>
      </w:r>
      <w:r w:rsidRPr="00C94F0C">
        <w:rPr>
          <w:sz w:val="22"/>
          <w:szCs w:val="22"/>
          <w:lang w:eastAsia="en-AU"/>
        </w:rPr>
        <w:t xml:space="preserve">maintain the separation of roles in the funding of </w:t>
      </w:r>
      <w:r w:rsidR="005562AB">
        <w:rPr>
          <w:sz w:val="22"/>
          <w:szCs w:val="22"/>
          <w:lang w:eastAsia="en-AU"/>
        </w:rPr>
        <w:t>VET</w:t>
      </w:r>
      <w:r w:rsidRPr="00C94F0C">
        <w:rPr>
          <w:sz w:val="22"/>
          <w:szCs w:val="22"/>
          <w:lang w:eastAsia="en-AU"/>
        </w:rPr>
        <w:t xml:space="preserve"> between the </w:t>
      </w:r>
      <w:r w:rsidR="005562AB">
        <w:rPr>
          <w:sz w:val="22"/>
          <w:szCs w:val="22"/>
          <w:lang w:eastAsia="en-AU"/>
        </w:rPr>
        <w:t xml:space="preserve">Australian </w:t>
      </w:r>
      <w:r w:rsidRPr="00C94F0C">
        <w:rPr>
          <w:sz w:val="22"/>
          <w:szCs w:val="22"/>
          <w:lang w:eastAsia="en-AU"/>
        </w:rPr>
        <w:t xml:space="preserve">and </w:t>
      </w:r>
      <w:r w:rsidR="002A2655">
        <w:rPr>
          <w:sz w:val="22"/>
          <w:szCs w:val="22"/>
          <w:lang w:eastAsia="en-AU"/>
        </w:rPr>
        <w:t>s</w:t>
      </w:r>
      <w:r w:rsidRPr="00C94F0C">
        <w:rPr>
          <w:sz w:val="22"/>
          <w:szCs w:val="22"/>
          <w:lang w:eastAsia="en-AU"/>
        </w:rPr>
        <w:t>tate</w:t>
      </w:r>
      <w:r w:rsidR="002A2655">
        <w:rPr>
          <w:sz w:val="22"/>
          <w:szCs w:val="22"/>
          <w:lang w:eastAsia="en-AU"/>
        </w:rPr>
        <w:t xml:space="preserve">/territory </w:t>
      </w:r>
      <w:r w:rsidRPr="00C94F0C">
        <w:rPr>
          <w:sz w:val="22"/>
          <w:szCs w:val="22"/>
          <w:lang w:eastAsia="en-AU"/>
        </w:rPr>
        <w:t xml:space="preserve">governments. </w:t>
      </w:r>
    </w:p>
    <w:p w14:paraId="1DCA0691" w14:textId="1BE3F827" w:rsidR="00C94F0C" w:rsidRPr="00C94F0C" w:rsidRDefault="00C94F0C" w:rsidP="00C94F0C">
      <w:pPr>
        <w:spacing w:line="280" w:lineRule="exact"/>
        <w:rPr>
          <w:sz w:val="22"/>
          <w:szCs w:val="22"/>
          <w:lang w:eastAsia="en-AU"/>
        </w:rPr>
      </w:pPr>
      <w:r w:rsidRPr="00C94F0C">
        <w:rPr>
          <w:sz w:val="22"/>
          <w:szCs w:val="22"/>
          <w:lang w:eastAsia="en-AU"/>
        </w:rPr>
        <w:t xml:space="preserve">To some extent, it would </w:t>
      </w:r>
      <w:r w:rsidR="009F705C">
        <w:rPr>
          <w:sz w:val="22"/>
          <w:szCs w:val="22"/>
          <w:lang w:eastAsia="en-AU"/>
        </w:rPr>
        <w:t>be</w:t>
      </w:r>
      <w:r w:rsidR="009F705C" w:rsidRPr="00C94F0C">
        <w:rPr>
          <w:sz w:val="22"/>
          <w:szCs w:val="22"/>
          <w:lang w:eastAsia="en-AU"/>
        </w:rPr>
        <w:t xml:space="preserve"> </w:t>
      </w:r>
      <w:r w:rsidRPr="00C94F0C">
        <w:rPr>
          <w:sz w:val="22"/>
          <w:szCs w:val="22"/>
          <w:lang w:eastAsia="en-AU"/>
        </w:rPr>
        <w:t xml:space="preserve">counter-productive to restrict participation in SEE until the point at which an individual has been unsuccessful in either further study or employment due to their shortcomings in LLN and ultimately ends up on income support. However, it is not the role of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to provide individuals with training in order to “avoid” income support – this is the role of the broader education and training system. Rather, it is more appropriate to conceive the </w:t>
      </w:r>
      <w:r w:rsidR="00147674">
        <w:rPr>
          <w:sz w:val="22"/>
          <w:szCs w:val="22"/>
          <w:lang w:eastAsia="en-AU"/>
        </w:rPr>
        <w:t>SEE programme</w:t>
      </w:r>
      <w:r w:rsidR="006A28F2">
        <w:rPr>
          <w:sz w:val="22"/>
          <w:szCs w:val="22"/>
          <w:lang w:eastAsia="en-AU"/>
        </w:rPr>
        <w:t xml:space="preserve"> </w:t>
      </w:r>
      <w:r w:rsidRPr="00C94F0C">
        <w:rPr>
          <w:sz w:val="22"/>
          <w:szCs w:val="22"/>
          <w:lang w:eastAsia="en-AU"/>
        </w:rPr>
        <w:t>as being designed to assist individuals to “exit” income support.</w:t>
      </w:r>
    </w:p>
    <w:p w14:paraId="6A6AB2A1" w14:textId="6B61C636" w:rsidR="00C94F0C" w:rsidRPr="00C94F0C" w:rsidRDefault="00C94F0C" w:rsidP="00C94F0C">
      <w:pPr>
        <w:spacing w:line="280" w:lineRule="exact"/>
        <w:rPr>
          <w:sz w:val="22"/>
          <w:szCs w:val="22"/>
          <w:lang w:eastAsia="en-AU"/>
        </w:rPr>
      </w:pPr>
      <w:r w:rsidRPr="00C94F0C">
        <w:rPr>
          <w:sz w:val="22"/>
          <w:szCs w:val="22"/>
          <w:lang w:eastAsia="en-AU"/>
        </w:rPr>
        <w:t xml:space="preserve">It is </w:t>
      </w:r>
      <w:r w:rsidR="009F705C">
        <w:rPr>
          <w:sz w:val="22"/>
          <w:szCs w:val="22"/>
          <w:lang w:eastAsia="en-AU"/>
        </w:rPr>
        <w:t>possible</w:t>
      </w:r>
      <w:r w:rsidR="009F705C" w:rsidRPr="00C94F0C">
        <w:rPr>
          <w:sz w:val="22"/>
          <w:szCs w:val="22"/>
          <w:lang w:eastAsia="en-AU"/>
        </w:rPr>
        <w:t xml:space="preserve"> </w:t>
      </w:r>
      <w:r w:rsidRPr="00C94F0C">
        <w:rPr>
          <w:sz w:val="22"/>
          <w:szCs w:val="22"/>
          <w:lang w:eastAsia="en-AU"/>
        </w:rPr>
        <w:t xml:space="preserve">that stakeholders’ </w:t>
      </w:r>
      <w:r w:rsidR="009F705C">
        <w:rPr>
          <w:sz w:val="22"/>
          <w:szCs w:val="22"/>
          <w:lang w:eastAsia="en-AU"/>
        </w:rPr>
        <w:t>concerns</w:t>
      </w:r>
      <w:r w:rsidR="009F705C" w:rsidRPr="00C94F0C">
        <w:rPr>
          <w:sz w:val="22"/>
          <w:szCs w:val="22"/>
          <w:lang w:eastAsia="en-AU"/>
        </w:rPr>
        <w:t xml:space="preserve"> </w:t>
      </w:r>
      <w:r w:rsidRPr="00C94F0C">
        <w:rPr>
          <w:sz w:val="22"/>
          <w:szCs w:val="22"/>
          <w:lang w:eastAsia="en-AU"/>
        </w:rPr>
        <w:t xml:space="preserve">with the cohorts being excluded from the programme </w:t>
      </w:r>
      <w:r w:rsidR="009F705C">
        <w:rPr>
          <w:sz w:val="22"/>
          <w:szCs w:val="22"/>
          <w:lang w:eastAsia="en-AU"/>
        </w:rPr>
        <w:t>are</w:t>
      </w:r>
      <w:r w:rsidR="009F705C" w:rsidRPr="00C94F0C">
        <w:rPr>
          <w:sz w:val="22"/>
          <w:szCs w:val="22"/>
          <w:lang w:eastAsia="en-AU"/>
        </w:rPr>
        <w:t xml:space="preserve"> </w:t>
      </w:r>
      <w:r w:rsidRPr="00C94F0C">
        <w:rPr>
          <w:sz w:val="22"/>
          <w:szCs w:val="22"/>
          <w:lang w:eastAsia="en-AU"/>
        </w:rPr>
        <w:t xml:space="preserve">exacerbated by the </w:t>
      </w:r>
      <w:r w:rsidR="009F705C">
        <w:rPr>
          <w:sz w:val="22"/>
          <w:szCs w:val="22"/>
          <w:lang w:eastAsia="en-AU"/>
        </w:rPr>
        <w:t xml:space="preserve">perceived </w:t>
      </w:r>
      <w:r w:rsidRPr="00C94F0C">
        <w:rPr>
          <w:sz w:val="22"/>
          <w:szCs w:val="22"/>
          <w:lang w:eastAsia="en-AU"/>
        </w:rPr>
        <w:t xml:space="preserve">lack of viable alternatives outside of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for those who are not on income support. This is part of a much larger issue </w:t>
      </w:r>
      <w:r w:rsidR="009F705C">
        <w:rPr>
          <w:sz w:val="22"/>
          <w:szCs w:val="22"/>
          <w:lang w:eastAsia="en-AU"/>
        </w:rPr>
        <w:t>related to</w:t>
      </w:r>
      <w:r w:rsidRPr="00C94F0C">
        <w:rPr>
          <w:sz w:val="22"/>
          <w:szCs w:val="22"/>
          <w:lang w:eastAsia="en-AU"/>
        </w:rPr>
        <w:t xml:space="preserve"> the shared responsibility for VET between the </w:t>
      </w:r>
      <w:r w:rsidR="008D0896">
        <w:rPr>
          <w:sz w:val="22"/>
          <w:szCs w:val="22"/>
          <w:lang w:eastAsia="en-AU"/>
        </w:rPr>
        <w:t>Australian</w:t>
      </w:r>
      <w:r w:rsidRPr="00C94F0C">
        <w:rPr>
          <w:sz w:val="22"/>
          <w:szCs w:val="22"/>
          <w:lang w:eastAsia="en-AU"/>
        </w:rPr>
        <w:t xml:space="preserve"> Government and the </w:t>
      </w:r>
      <w:r w:rsidR="00C5382E" w:rsidRPr="00C94F0C">
        <w:rPr>
          <w:sz w:val="22"/>
          <w:szCs w:val="22"/>
          <w:lang w:eastAsia="en-AU"/>
        </w:rPr>
        <w:t>state</w:t>
      </w:r>
      <w:r w:rsidR="008D0896">
        <w:rPr>
          <w:sz w:val="22"/>
          <w:szCs w:val="22"/>
          <w:lang w:eastAsia="en-AU"/>
        </w:rPr>
        <w:t xml:space="preserve"> and territory governments</w:t>
      </w:r>
      <w:r w:rsidRPr="00C94F0C">
        <w:rPr>
          <w:sz w:val="22"/>
          <w:szCs w:val="22"/>
          <w:lang w:eastAsia="en-AU"/>
        </w:rPr>
        <w:t xml:space="preserve">. These issues go beyond the terms of this evaluation and will form a critical part of the debate on Australia’s </w:t>
      </w:r>
      <w:r w:rsidR="00C5382E">
        <w:rPr>
          <w:sz w:val="22"/>
          <w:szCs w:val="22"/>
          <w:lang w:eastAsia="en-AU"/>
        </w:rPr>
        <w:t>f</w:t>
      </w:r>
      <w:r w:rsidRPr="00C94F0C">
        <w:rPr>
          <w:sz w:val="22"/>
          <w:szCs w:val="22"/>
          <w:lang w:eastAsia="en-AU"/>
        </w:rPr>
        <w:t xml:space="preserve">ederation. Many of these issues are already being canvassed in the recently released issues paper on </w:t>
      </w:r>
      <w:r w:rsidRPr="00C94F0C">
        <w:rPr>
          <w:i/>
          <w:sz w:val="22"/>
          <w:szCs w:val="22"/>
          <w:lang w:eastAsia="en-AU"/>
        </w:rPr>
        <w:t>Roles and responsibilities in education</w:t>
      </w:r>
      <w:r w:rsidR="00607362">
        <w:rPr>
          <w:i/>
          <w:sz w:val="22"/>
          <w:szCs w:val="22"/>
          <w:lang w:eastAsia="en-AU"/>
        </w:rPr>
        <w:t xml:space="preserve"> </w:t>
      </w:r>
      <w:sdt>
        <w:sdtPr>
          <w:rPr>
            <w:i/>
            <w:sz w:val="22"/>
            <w:szCs w:val="22"/>
            <w:lang w:eastAsia="en-AU"/>
          </w:rPr>
          <w:id w:val="1636825213"/>
          <w:citation/>
        </w:sdtPr>
        <w:sdtEndPr/>
        <w:sdtContent>
          <w:r w:rsidR="00607362">
            <w:rPr>
              <w:i/>
              <w:sz w:val="22"/>
              <w:szCs w:val="22"/>
              <w:lang w:eastAsia="en-AU"/>
            </w:rPr>
            <w:fldChar w:fldCharType="begin"/>
          </w:r>
          <w:r w:rsidR="00607362">
            <w:rPr>
              <w:i/>
              <w:sz w:val="22"/>
              <w:szCs w:val="22"/>
              <w:lang w:eastAsia="en-AU"/>
            </w:rPr>
            <w:instrText xml:space="preserve"> CITATION DPM14 \l 3081 </w:instrText>
          </w:r>
          <w:r w:rsidR="00607362">
            <w:rPr>
              <w:i/>
              <w:sz w:val="22"/>
              <w:szCs w:val="22"/>
              <w:lang w:eastAsia="en-AU"/>
            </w:rPr>
            <w:fldChar w:fldCharType="separate"/>
          </w:r>
          <w:r w:rsidR="00B66B50" w:rsidRPr="00B66B50">
            <w:rPr>
              <w:noProof/>
              <w:sz w:val="22"/>
              <w:szCs w:val="22"/>
              <w:lang w:eastAsia="en-AU"/>
            </w:rPr>
            <w:t>(DPMC, 2014)</w:t>
          </w:r>
          <w:r w:rsidR="00607362">
            <w:rPr>
              <w:i/>
              <w:sz w:val="22"/>
              <w:szCs w:val="22"/>
              <w:lang w:eastAsia="en-AU"/>
            </w:rPr>
            <w:fldChar w:fldCharType="end"/>
          </w:r>
        </w:sdtContent>
      </w:sdt>
      <w:r w:rsidR="00607362">
        <w:rPr>
          <w:sz w:val="22"/>
          <w:szCs w:val="22"/>
          <w:lang w:eastAsia="en-AU"/>
        </w:rPr>
        <w:t>.</w:t>
      </w:r>
    </w:p>
    <w:p w14:paraId="1A53AF0B" w14:textId="76DA1E04" w:rsidR="00C94F0C" w:rsidRDefault="00C94F0C" w:rsidP="00C94F0C">
      <w:pPr>
        <w:spacing w:line="280" w:lineRule="exact"/>
        <w:rPr>
          <w:sz w:val="22"/>
          <w:szCs w:val="22"/>
          <w:lang w:eastAsia="en-AU"/>
        </w:rPr>
      </w:pPr>
      <w:r w:rsidRPr="00C94F0C">
        <w:rPr>
          <w:sz w:val="22"/>
          <w:szCs w:val="22"/>
          <w:lang w:eastAsia="en-AU"/>
        </w:rPr>
        <w:t>At a more practical level, SEE providers note</w:t>
      </w:r>
      <w:r w:rsidR="005F0823">
        <w:rPr>
          <w:sz w:val="22"/>
          <w:szCs w:val="22"/>
          <w:lang w:eastAsia="en-AU"/>
        </w:rPr>
        <w:t>d</w:t>
      </w:r>
      <w:r w:rsidRPr="00C94F0C">
        <w:rPr>
          <w:sz w:val="22"/>
          <w:szCs w:val="22"/>
          <w:lang w:eastAsia="en-AU"/>
        </w:rPr>
        <w:t xml:space="preserve"> that </w:t>
      </w:r>
      <w:r w:rsidR="005F0823">
        <w:rPr>
          <w:sz w:val="22"/>
          <w:szCs w:val="22"/>
          <w:lang w:eastAsia="en-AU"/>
        </w:rPr>
        <w:t xml:space="preserve">many </w:t>
      </w:r>
      <w:r w:rsidRPr="00C94F0C">
        <w:rPr>
          <w:sz w:val="22"/>
          <w:szCs w:val="22"/>
          <w:lang w:eastAsia="en-AU"/>
        </w:rPr>
        <w:t xml:space="preserve">inappropriate referrals of ineligible clients </w:t>
      </w:r>
      <w:r w:rsidR="005F0823">
        <w:rPr>
          <w:sz w:val="22"/>
          <w:szCs w:val="22"/>
          <w:lang w:eastAsia="en-AU"/>
        </w:rPr>
        <w:t xml:space="preserve">may be </w:t>
      </w:r>
      <w:r w:rsidRPr="00C94F0C">
        <w:rPr>
          <w:sz w:val="22"/>
          <w:szCs w:val="22"/>
          <w:lang w:eastAsia="en-AU"/>
        </w:rPr>
        <w:t>because they are not automatically rejected by the systems currently in place. There is</w:t>
      </w:r>
      <w:r w:rsidR="005F0823">
        <w:rPr>
          <w:sz w:val="22"/>
          <w:szCs w:val="22"/>
          <w:lang w:eastAsia="en-AU"/>
        </w:rPr>
        <w:t xml:space="preserve"> also</w:t>
      </w:r>
      <w:r w:rsidRPr="00C94F0C">
        <w:rPr>
          <w:sz w:val="22"/>
          <w:szCs w:val="22"/>
          <w:lang w:eastAsia="en-AU"/>
        </w:rPr>
        <w:t xml:space="preserve"> a degree of inefficiency</w:t>
      </w:r>
      <w:r w:rsidR="00F93AB0">
        <w:rPr>
          <w:sz w:val="22"/>
          <w:szCs w:val="22"/>
          <w:lang w:eastAsia="en-AU"/>
        </w:rPr>
        <w:t xml:space="preserve"> given that many </w:t>
      </w:r>
      <w:r w:rsidRPr="00C94F0C">
        <w:rPr>
          <w:sz w:val="22"/>
          <w:szCs w:val="22"/>
          <w:lang w:eastAsia="en-AU"/>
        </w:rPr>
        <w:t xml:space="preserve">SEE providers </w:t>
      </w:r>
      <w:r w:rsidR="00F93AB0">
        <w:rPr>
          <w:sz w:val="22"/>
          <w:szCs w:val="22"/>
          <w:lang w:eastAsia="en-AU"/>
        </w:rPr>
        <w:t xml:space="preserve">presume they need </w:t>
      </w:r>
      <w:r w:rsidRPr="00C94F0C">
        <w:rPr>
          <w:sz w:val="22"/>
          <w:szCs w:val="22"/>
          <w:lang w:eastAsia="en-AU"/>
        </w:rPr>
        <w:t xml:space="preserve">to re-confirm the eligibility of those referred, </w:t>
      </w:r>
      <w:r w:rsidR="00F93AB0">
        <w:rPr>
          <w:sz w:val="22"/>
          <w:szCs w:val="22"/>
          <w:lang w:eastAsia="en-AU"/>
        </w:rPr>
        <w:t xml:space="preserve">and do so without </w:t>
      </w:r>
      <w:r w:rsidRPr="00C94F0C">
        <w:rPr>
          <w:sz w:val="22"/>
          <w:szCs w:val="22"/>
          <w:lang w:eastAsia="en-AU"/>
        </w:rPr>
        <w:t>access to the necessary systems.</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1270E4" w14:paraId="1A29B4BC" w14:textId="77777777" w:rsidTr="00E8274A">
        <w:tc>
          <w:tcPr>
            <w:tcW w:w="5000" w:type="pct"/>
            <w:shd w:val="pct12" w:color="auto" w:fill="auto"/>
          </w:tcPr>
          <w:p w14:paraId="5C112E4A" w14:textId="77777777" w:rsidR="001270E4" w:rsidRDefault="001270E4" w:rsidP="00E8274A">
            <w:pPr>
              <w:pStyle w:val="Caption"/>
              <w:spacing w:before="120" w:after="60"/>
              <w:ind w:left="1112" w:hanging="1112"/>
              <w:rPr>
                <w:rFonts w:ascii="Arial Bold" w:hAnsi="Arial Bold"/>
                <w:color w:val="000080"/>
              </w:rPr>
            </w:pPr>
            <w:r>
              <w:t xml:space="preserve">Recommendation </w:t>
            </w:r>
            <w:r w:rsidR="006A2396">
              <w:fldChar w:fldCharType="begin"/>
            </w:r>
            <w:r w:rsidR="006A2396">
              <w:instrText xml:space="preserve"> SEQ Recommendation \* ARABIC </w:instrText>
            </w:r>
            <w:r w:rsidR="006A2396">
              <w:fldChar w:fldCharType="separate"/>
            </w:r>
            <w:r w:rsidR="00294A5A">
              <w:rPr>
                <w:noProof/>
              </w:rPr>
              <w:t>3</w:t>
            </w:r>
            <w:r w:rsidR="006A2396">
              <w:rPr>
                <w:noProof/>
              </w:rPr>
              <w:fldChar w:fldCharType="end"/>
            </w:r>
          </w:p>
        </w:tc>
      </w:tr>
      <w:tr w:rsidR="001270E4" w14:paraId="62779B21" w14:textId="77777777" w:rsidTr="00E8274A">
        <w:tc>
          <w:tcPr>
            <w:tcW w:w="5000" w:type="pct"/>
            <w:shd w:val="pct12" w:color="auto" w:fill="auto"/>
          </w:tcPr>
          <w:p w14:paraId="4D0760B2" w14:textId="6DCD8048" w:rsidR="001270E4" w:rsidRDefault="001270E4" w:rsidP="00E8274A">
            <w:pPr>
              <w:keepNext/>
              <w:keepLines/>
              <w:spacing w:before="80" w:after="40" w:line="220" w:lineRule="exact"/>
            </w:pPr>
            <w:r w:rsidRPr="00C94F0C">
              <w:rPr>
                <w:sz w:val="20"/>
                <w:szCs w:val="22"/>
                <w:lang w:eastAsia="en-AU"/>
              </w:rPr>
              <w:t xml:space="preserve">The eligibility to the </w:t>
            </w:r>
            <w:r w:rsidR="00147674">
              <w:rPr>
                <w:sz w:val="20"/>
                <w:szCs w:val="22"/>
                <w:lang w:eastAsia="en-AU"/>
              </w:rPr>
              <w:t>SEE programme</w:t>
            </w:r>
            <w:r>
              <w:rPr>
                <w:sz w:val="20"/>
                <w:szCs w:val="22"/>
                <w:lang w:eastAsia="en-AU"/>
              </w:rPr>
              <w:t xml:space="preserve"> </w:t>
            </w:r>
            <w:r w:rsidRPr="00C94F0C">
              <w:rPr>
                <w:sz w:val="20"/>
                <w:szCs w:val="22"/>
                <w:lang w:eastAsia="en-AU"/>
              </w:rPr>
              <w:t xml:space="preserve">should continue to be limited on the basis of whether individuals receive income support as it is an appropriate and necessary way to align the programme’s target groups with the </w:t>
            </w:r>
            <w:r w:rsidR="00DA6265">
              <w:rPr>
                <w:sz w:val="20"/>
                <w:szCs w:val="22"/>
                <w:lang w:eastAsia="en-AU"/>
              </w:rPr>
              <w:t>Australian</w:t>
            </w:r>
            <w:r w:rsidR="00DA6265" w:rsidRPr="00C94F0C">
              <w:rPr>
                <w:sz w:val="20"/>
                <w:szCs w:val="22"/>
                <w:lang w:eastAsia="en-AU"/>
              </w:rPr>
              <w:t xml:space="preserve"> </w:t>
            </w:r>
            <w:r w:rsidRPr="00C94F0C">
              <w:rPr>
                <w:sz w:val="20"/>
                <w:szCs w:val="22"/>
                <w:lang w:eastAsia="en-AU"/>
              </w:rPr>
              <w:t>Government’s responsibilities for the welfare system and employment services.</w:t>
            </w:r>
          </w:p>
          <w:p w14:paraId="2F1562AF" w14:textId="77777777" w:rsidR="001270E4" w:rsidRDefault="001270E4" w:rsidP="00E8274A">
            <w:pPr>
              <w:pStyle w:val="SmallDeltasRightAligned"/>
            </w:pPr>
            <w:r>
              <w:rPr>
                <w:noProof/>
                <w:lang w:eastAsia="en-AU"/>
              </w:rPr>
              <w:drawing>
                <wp:inline distT="0" distB="0" distL="0" distR="0" wp14:anchorId="039FFD33" wp14:editId="2BC14234">
                  <wp:extent cx="481585" cy="23469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1270E4" w14:paraId="59CC09C7" w14:textId="77777777" w:rsidTr="00E8274A">
        <w:trPr>
          <w:trHeight w:hRule="exact" w:val="80"/>
        </w:trPr>
        <w:tc>
          <w:tcPr>
            <w:tcW w:w="5000" w:type="pct"/>
            <w:shd w:val="pct12" w:color="auto" w:fill="auto"/>
          </w:tcPr>
          <w:p w14:paraId="21872CBD" w14:textId="77777777" w:rsidR="001270E4" w:rsidRDefault="001270E4">
            <w:pPr>
              <w:spacing w:before="160"/>
            </w:pPr>
            <w:r>
              <w:t xml:space="preserve"> </w:t>
            </w:r>
          </w:p>
        </w:tc>
      </w:tr>
    </w:tbl>
    <w:p w14:paraId="176F09B2"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 xml:space="preserve">Capacity to benefit </w:t>
      </w:r>
    </w:p>
    <w:p w14:paraId="19D3BD32" w14:textId="68E4F98C" w:rsidR="00C94F0C" w:rsidRPr="00C94F0C" w:rsidRDefault="00C94F0C" w:rsidP="00C94F0C">
      <w:pPr>
        <w:spacing w:line="280" w:lineRule="exact"/>
        <w:rPr>
          <w:sz w:val="22"/>
          <w:szCs w:val="22"/>
          <w:lang w:eastAsia="en-AU"/>
        </w:rPr>
      </w:pPr>
      <w:r w:rsidRPr="00C94F0C">
        <w:rPr>
          <w:sz w:val="22"/>
          <w:szCs w:val="22"/>
          <w:lang w:eastAsia="en-AU"/>
        </w:rPr>
        <w:t xml:space="preserve">The capacity to benefit from </w:t>
      </w:r>
      <w:r w:rsidR="00147674">
        <w:rPr>
          <w:sz w:val="22"/>
          <w:szCs w:val="22"/>
          <w:lang w:eastAsia="en-AU"/>
        </w:rPr>
        <w:t>SEE programme</w:t>
      </w:r>
      <w:r w:rsidR="006A28F2">
        <w:rPr>
          <w:sz w:val="22"/>
          <w:szCs w:val="22"/>
          <w:lang w:eastAsia="en-AU"/>
        </w:rPr>
        <w:t xml:space="preserve"> </w:t>
      </w:r>
      <w:r w:rsidRPr="00C94F0C">
        <w:rPr>
          <w:sz w:val="22"/>
          <w:szCs w:val="22"/>
          <w:lang w:eastAsia="en-AU"/>
        </w:rPr>
        <w:t>training is a</w:t>
      </w:r>
      <w:r w:rsidR="00A23A84">
        <w:rPr>
          <w:sz w:val="22"/>
          <w:szCs w:val="22"/>
          <w:lang w:eastAsia="en-AU"/>
        </w:rPr>
        <w:t xml:space="preserve"> somewhat</w:t>
      </w:r>
      <w:r w:rsidRPr="00C94F0C">
        <w:rPr>
          <w:sz w:val="22"/>
          <w:szCs w:val="22"/>
          <w:lang w:eastAsia="en-AU"/>
        </w:rPr>
        <w:t xml:space="preserve"> subjective assessment made by </w:t>
      </w:r>
      <w:r w:rsidR="003F533B">
        <w:rPr>
          <w:sz w:val="22"/>
          <w:szCs w:val="22"/>
          <w:lang w:eastAsia="en-AU"/>
        </w:rPr>
        <w:t xml:space="preserve">SEE </w:t>
      </w:r>
      <w:r w:rsidR="00813FF4">
        <w:rPr>
          <w:sz w:val="22"/>
          <w:szCs w:val="22"/>
          <w:lang w:eastAsia="en-AU"/>
        </w:rPr>
        <w:t>providers</w:t>
      </w:r>
      <w:r w:rsidR="00A23A84">
        <w:rPr>
          <w:sz w:val="22"/>
          <w:szCs w:val="22"/>
          <w:lang w:eastAsia="en-AU"/>
        </w:rPr>
        <w:t xml:space="preserve">, based on </w:t>
      </w:r>
      <w:r w:rsidR="00813FF4">
        <w:rPr>
          <w:sz w:val="22"/>
          <w:szCs w:val="22"/>
          <w:lang w:eastAsia="en-AU"/>
        </w:rPr>
        <w:t>the PTA</w:t>
      </w:r>
      <w:r w:rsidRPr="00C94F0C">
        <w:rPr>
          <w:sz w:val="22"/>
          <w:szCs w:val="22"/>
          <w:lang w:eastAsia="en-AU"/>
        </w:rPr>
        <w:t xml:space="preserve">. According to the programme design, those with no ‘capacity to benefit’ should not be admitted into the programme, but at the same time, there is no minimum level of </w:t>
      </w:r>
      <w:r w:rsidR="00C5382E">
        <w:rPr>
          <w:sz w:val="22"/>
          <w:szCs w:val="22"/>
          <w:lang w:eastAsia="en-AU"/>
        </w:rPr>
        <w:t>LLN</w:t>
      </w:r>
      <w:r w:rsidRPr="00C94F0C">
        <w:rPr>
          <w:sz w:val="22"/>
          <w:szCs w:val="22"/>
          <w:lang w:eastAsia="en-AU"/>
        </w:rPr>
        <w:t xml:space="preserve"> skills that needs to be demonstrated in order to participate. </w:t>
      </w:r>
    </w:p>
    <w:p w14:paraId="6B0DDE3C" w14:textId="2D698438" w:rsidR="00C94F0C" w:rsidRPr="00C94F0C" w:rsidRDefault="00C94F0C" w:rsidP="00C94F0C">
      <w:pPr>
        <w:spacing w:line="280" w:lineRule="exact"/>
        <w:rPr>
          <w:sz w:val="22"/>
          <w:szCs w:val="22"/>
          <w:lang w:eastAsia="en-AU"/>
        </w:rPr>
      </w:pPr>
      <w:r w:rsidRPr="00C94F0C">
        <w:rPr>
          <w:sz w:val="22"/>
          <w:szCs w:val="22"/>
          <w:lang w:eastAsia="en-AU"/>
        </w:rPr>
        <w:t xml:space="preserve">As discussed in Section </w:t>
      </w:r>
      <w:r w:rsidRPr="00C94F0C">
        <w:rPr>
          <w:sz w:val="22"/>
          <w:szCs w:val="22"/>
          <w:lang w:eastAsia="en-AU"/>
        </w:rPr>
        <w:fldChar w:fldCharType="begin"/>
      </w:r>
      <w:r w:rsidRPr="00C94F0C">
        <w:rPr>
          <w:sz w:val="22"/>
          <w:szCs w:val="22"/>
          <w:lang w:eastAsia="en-AU"/>
        </w:rPr>
        <w:instrText xml:space="preserve"> REF _Ref408512683 \r \h </w:instrText>
      </w:r>
      <w:r w:rsidRPr="00C94F0C">
        <w:rPr>
          <w:sz w:val="22"/>
          <w:szCs w:val="22"/>
          <w:lang w:eastAsia="en-AU"/>
        </w:rPr>
      </w:r>
      <w:r w:rsidRPr="00C94F0C">
        <w:rPr>
          <w:sz w:val="22"/>
          <w:szCs w:val="22"/>
          <w:lang w:eastAsia="en-AU"/>
        </w:rPr>
        <w:fldChar w:fldCharType="separate"/>
      </w:r>
      <w:r w:rsidR="00294A5A">
        <w:rPr>
          <w:sz w:val="22"/>
          <w:szCs w:val="22"/>
          <w:lang w:eastAsia="en-AU"/>
        </w:rPr>
        <w:t>4.1.3</w:t>
      </w:r>
      <w:r w:rsidRPr="00C94F0C">
        <w:rPr>
          <w:sz w:val="22"/>
          <w:szCs w:val="22"/>
          <w:lang w:eastAsia="en-AU"/>
        </w:rPr>
        <w:fldChar w:fldCharType="end"/>
      </w:r>
      <w:r w:rsidRPr="00C94F0C">
        <w:rPr>
          <w:sz w:val="22"/>
          <w:szCs w:val="22"/>
          <w:lang w:eastAsia="en-AU"/>
        </w:rPr>
        <w:t xml:space="preserve">, less than 2 per cent of SEE </w:t>
      </w:r>
      <w:r w:rsidR="00276A03">
        <w:rPr>
          <w:sz w:val="22"/>
          <w:szCs w:val="22"/>
          <w:lang w:eastAsia="en-AU"/>
        </w:rPr>
        <w:t xml:space="preserve">programme </w:t>
      </w:r>
      <w:r w:rsidRPr="00C94F0C">
        <w:rPr>
          <w:sz w:val="22"/>
          <w:szCs w:val="22"/>
          <w:lang w:eastAsia="en-AU"/>
        </w:rPr>
        <w:t xml:space="preserve">clients who complete a PTA are assessed as ‘training not recommended’. It is therefore unclear whether SEE is intended to meet the needs of those with very low literacy and language skills. </w:t>
      </w:r>
    </w:p>
    <w:p w14:paraId="0E13910C" w14:textId="33464FFE" w:rsidR="00C94F0C" w:rsidRPr="00C94F0C" w:rsidRDefault="00C94F0C" w:rsidP="00C94F0C">
      <w:pPr>
        <w:spacing w:line="280" w:lineRule="exact"/>
        <w:rPr>
          <w:sz w:val="22"/>
          <w:szCs w:val="22"/>
          <w:lang w:eastAsia="en-AU"/>
        </w:rPr>
      </w:pPr>
      <w:r w:rsidRPr="00C94F0C">
        <w:rPr>
          <w:sz w:val="22"/>
          <w:szCs w:val="22"/>
          <w:lang w:eastAsia="en-AU"/>
        </w:rPr>
        <w:t xml:space="preserve">The current requirements that participants demonstrate continuous progress and the cap of 800 hours (both of which are discussed in further detail below) further underscores the expectation that the </w:t>
      </w:r>
      <w:r w:rsidR="00147674">
        <w:rPr>
          <w:sz w:val="22"/>
          <w:szCs w:val="22"/>
          <w:lang w:eastAsia="en-AU"/>
        </w:rPr>
        <w:t>SEE programme</w:t>
      </w:r>
      <w:r w:rsidR="006A28F2">
        <w:rPr>
          <w:sz w:val="22"/>
          <w:szCs w:val="22"/>
          <w:lang w:eastAsia="en-AU"/>
        </w:rPr>
        <w:t xml:space="preserve"> </w:t>
      </w:r>
      <w:r w:rsidRPr="00C94F0C">
        <w:rPr>
          <w:sz w:val="22"/>
          <w:szCs w:val="22"/>
          <w:lang w:eastAsia="en-AU"/>
        </w:rPr>
        <w:t>is not intended to cater to those with very low LLN skills.</w:t>
      </w:r>
    </w:p>
    <w:p w14:paraId="1FB0268B" w14:textId="01FC2B20" w:rsidR="00C94F0C" w:rsidRPr="00C94F0C" w:rsidRDefault="00C94F0C" w:rsidP="00C94F0C">
      <w:pPr>
        <w:spacing w:line="280" w:lineRule="exact"/>
        <w:rPr>
          <w:sz w:val="22"/>
          <w:szCs w:val="22"/>
          <w:lang w:eastAsia="en-AU"/>
        </w:rPr>
      </w:pPr>
      <w:r w:rsidRPr="00C94F0C">
        <w:rPr>
          <w:sz w:val="22"/>
          <w:szCs w:val="22"/>
          <w:lang w:eastAsia="en-AU"/>
        </w:rPr>
        <w:t xml:space="preserve">Regardless of the programme’s intent, it is apparent from the data on LLN scores at the PTA (see Section </w:t>
      </w:r>
      <w:r w:rsidRPr="00C94F0C">
        <w:rPr>
          <w:sz w:val="22"/>
          <w:szCs w:val="22"/>
          <w:lang w:eastAsia="en-AU"/>
        </w:rPr>
        <w:fldChar w:fldCharType="begin"/>
      </w:r>
      <w:r w:rsidRPr="00C94F0C">
        <w:rPr>
          <w:sz w:val="22"/>
          <w:szCs w:val="22"/>
          <w:lang w:eastAsia="en-AU"/>
        </w:rPr>
        <w:instrText xml:space="preserve"> REF _Ref408509927 \r \h </w:instrText>
      </w:r>
      <w:r w:rsidRPr="00C94F0C">
        <w:rPr>
          <w:sz w:val="22"/>
          <w:szCs w:val="22"/>
          <w:lang w:eastAsia="en-AU"/>
        </w:rPr>
      </w:r>
      <w:r w:rsidRPr="00C94F0C">
        <w:rPr>
          <w:sz w:val="22"/>
          <w:szCs w:val="22"/>
          <w:lang w:eastAsia="en-AU"/>
        </w:rPr>
        <w:fldChar w:fldCharType="separate"/>
      </w:r>
      <w:r w:rsidR="00294A5A">
        <w:rPr>
          <w:sz w:val="22"/>
          <w:szCs w:val="22"/>
          <w:lang w:eastAsia="en-AU"/>
        </w:rPr>
        <w:t>4.3</w:t>
      </w:r>
      <w:r w:rsidRPr="00C94F0C">
        <w:rPr>
          <w:sz w:val="22"/>
          <w:szCs w:val="22"/>
          <w:lang w:eastAsia="en-AU"/>
        </w:rPr>
        <w:fldChar w:fldCharType="end"/>
      </w:r>
      <w:r w:rsidRPr="00C94F0C">
        <w:rPr>
          <w:sz w:val="22"/>
          <w:szCs w:val="22"/>
          <w:lang w:eastAsia="en-AU"/>
        </w:rPr>
        <w:t xml:space="preserve">) that participants in </w:t>
      </w:r>
      <w:r w:rsidR="005F0823">
        <w:rPr>
          <w:sz w:val="22"/>
          <w:szCs w:val="22"/>
          <w:lang w:eastAsia="en-AU"/>
        </w:rPr>
        <w:t>SEE</w:t>
      </w:r>
      <w:r w:rsidR="005F0823" w:rsidRPr="00C94F0C">
        <w:rPr>
          <w:sz w:val="22"/>
          <w:szCs w:val="22"/>
          <w:lang w:eastAsia="en-AU"/>
        </w:rPr>
        <w:t xml:space="preserve"> </w:t>
      </w:r>
      <w:r w:rsidRPr="00C94F0C">
        <w:rPr>
          <w:sz w:val="22"/>
          <w:szCs w:val="22"/>
          <w:lang w:eastAsia="en-AU"/>
        </w:rPr>
        <w:t>include clients that are pre-level 1 on the ACSF benchmarks, with very low levels of English language proficiency. This was reinforced in some focus groups with SEE participants</w:t>
      </w:r>
      <w:r w:rsidR="00512CD2">
        <w:rPr>
          <w:sz w:val="22"/>
          <w:szCs w:val="22"/>
          <w:lang w:eastAsia="en-AU"/>
        </w:rPr>
        <w:t>,</w:t>
      </w:r>
      <w:r w:rsidRPr="00C94F0C">
        <w:rPr>
          <w:sz w:val="22"/>
          <w:szCs w:val="22"/>
          <w:lang w:eastAsia="en-AU"/>
        </w:rPr>
        <w:t xml:space="preserve"> which would have been impossible </w:t>
      </w:r>
      <w:r w:rsidR="00512CD2">
        <w:rPr>
          <w:sz w:val="22"/>
          <w:szCs w:val="22"/>
          <w:lang w:eastAsia="en-AU"/>
        </w:rPr>
        <w:t>without</w:t>
      </w:r>
      <w:r w:rsidRPr="00C94F0C">
        <w:rPr>
          <w:sz w:val="22"/>
          <w:szCs w:val="22"/>
          <w:lang w:eastAsia="en-AU"/>
        </w:rPr>
        <w:t xml:space="preserve"> the support of a</w:t>
      </w:r>
      <w:r w:rsidR="002E6A41">
        <w:rPr>
          <w:sz w:val="22"/>
          <w:szCs w:val="22"/>
          <w:lang w:eastAsia="en-AU"/>
        </w:rPr>
        <w:t>n interpreter</w:t>
      </w:r>
      <w:r w:rsidRPr="00C94F0C">
        <w:rPr>
          <w:sz w:val="22"/>
          <w:szCs w:val="22"/>
          <w:lang w:eastAsia="en-AU"/>
        </w:rPr>
        <w:t xml:space="preserve">. </w:t>
      </w:r>
    </w:p>
    <w:p w14:paraId="43C36A47" w14:textId="77B3D520" w:rsidR="00C94F0C" w:rsidRPr="00C94F0C" w:rsidRDefault="00C94F0C" w:rsidP="00C94F0C">
      <w:pPr>
        <w:spacing w:line="280" w:lineRule="exact"/>
        <w:rPr>
          <w:sz w:val="22"/>
          <w:szCs w:val="22"/>
          <w:lang w:eastAsia="en-AU"/>
        </w:rPr>
      </w:pPr>
      <w:r w:rsidRPr="00C94F0C">
        <w:rPr>
          <w:sz w:val="22"/>
          <w:szCs w:val="22"/>
          <w:lang w:eastAsia="en-AU"/>
        </w:rPr>
        <w:t xml:space="preserve">It is clear that there are a large number of job seekers with very low LLN skills </w:t>
      </w:r>
      <w:r w:rsidR="00512CD2">
        <w:rPr>
          <w:sz w:val="22"/>
          <w:szCs w:val="22"/>
          <w:lang w:eastAsia="en-AU"/>
        </w:rPr>
        <w:t>who</w:t>
      </w:r>
      <w:r w:rsidR="00512CD2" w:rsidRPr="00C94F0C">
        <w:rPr>
          <w:sz w:val="22"/>
          <w:szCs w:val="22"/>
          <w:lang w:eastAsia="en-AU"/>
        </w:rPr>
        <w:t xml:space="preserve"> </w:t>
      </w:r>
      <w:r w:rsidRPr="00C94F0C">
        <w:rPr>
          <w:sz w:val="22"/>
          <w:szCs w:val="22"/>
          <w:lang w:eastAsia="en-AU"/>
        </w:rPr>
        <w:t xml:space="preserve">would be interested in the </w:t>
      </w:r>
      <w:r w:rsidR="00147674">
        <w:rPr>
          <w:sz w:val="22"/>
          <w:szCs w:val="22"/>
          <w:lang w:eastAsia="en-AU"/>
        </w:rPr>
        <w:t>SEE programme</w:t>
      </w:r>
      <w:r w:rsidRPr="00C94F0C">
        <w:rPr>
          <w:sz w:val="22"/>
          <w:szCs w:val="22"/>
          <w:lang w:eastAsia="en-AU"/>
        </w:rPr>
        <w:t>, and at least a proportion of these are being admitted into the programme.</w:t>
      </w:r>
    </w:p>
    <w:p w14:paraId="3AD10015" w14:textId="490429D4" w:rsidR="00C94F0C" w:rsidRPr="00C94F0C" w:rsidRDefault="00C94F0C" w:rsidP="00C94F0C">
      <w:pPr>
        <w:spacing w:line="280" w:lineRule="exact"/>
        <w:rPr>
          <w:sz w:val="22"/>
          <w:szCs w:val="22"/>
          <w:lang w:eastAsia="en-AU"/>
        </w:rPr>
      </w:pPr>
      <w:r w:rsidRPr="00C94F0C">
        <w:rPr>
          <w:sz w:val="22"/>
          <w:szCs w:val="22"/>
          <w:lang w:eastAsia="en-AU"/>
        </w:rPr>
        <w:t xml:space="preserve">Whether or not these job seekers with very low LLN skills are an intended target group for the </w:t>
      </w:r>
      <w:r w:rsidR="00147674">
        <w:rPr>
          <w:sz w:val="22"/>
          <w:szCs w:val="22"/>
          <w:lang w:eastAsia="en-AU"/>
        </w:rPr>
        <w:t>SEE programme</w:t>
      </w:r>
      <w:r w:rsidR="006A28F2">
        <w:rPr>
          <w:sz w:val="22"/>
          <w:szCs w:val="22"/>
          <w:lang w:eastAsia="en-AU"/>
        </w:rPr>
        <w:t xml:space="preserve"> </w:t>
      </w:r>
      <w:r w:rsidRPr="00C94F0C">
        <w:rPr>
          <w:sz w:val="22"/>
          <w:szCs w:val="22"/>
          <w:lang w:eastAsia="en-AU"/>
        </w:rPr>
        <w:t>needs to be clarified.</w:t>
      </w:r>
    </w:p>
    <w:p w14:paraId="7F74DFE0" w14:textId="1A629793" w:rsidR="006E790C" w:rsidRDefault="00C94F0C" w:rsidP="004E058F">
      <w:pPr>
        <w:spacing w:line="280" w:lineRule="exact"/>
        <w:rPr>
          <w:sz w:val="22"/>
          <w:szCs w:val="22"/>
          <w:lang w:eastAsia="en-AU"/>
        </w:rPr>
      </w:pPr>
      <w:r w:rsidRPr="00C94F0C">
        <w:rPr>
          <w:sz w:val="22"/>
          <w:szCs w:val="22"/>
          <w:lang w:eastAsia="en-AU"/>
        </w:rPr>
        <w:t xml:space="preserve">At the </w:t>
      </w:r>
      <w:r w:rsidR="00512CD2">
        <w:rPr>
          <w:sz w:val="22"/>
          <w:szCs w:val="22"/>
          <w:lang w:eastAsia="en-AU"/>
        </w:rPr>
        <w:t>other</w:t>
      </w:r>
      <w:r w:rsidR="00512CD2" w:rsidRPr="00C94F0C">
        <w:rPr>
          <w:sz w:val="22"/>
          <w:szCs w:val="22"/>
          <w:lang w:eastAsia="en-AU"/>
        </w:rPr>
        <w:t xml:space="preserve"> </w:t>
      </w:r>
      <w:r w:rsidRPr="00C94F0C">
        <w:rPr>
          <w:sz w:val="22"/>
          <w:szCs w:val="22"/>
          <w:lang w:eastAsia="en-AU"/>
        </w:rPr>
        <w:t xml:space="preserve">end of the spectrum, it is clear that the </w:t>
      </w:r>
      <w:r w:rsidR="00147674">
        <w:rPr>
          <w:sz w:val="22"/>
          <w:szCs w:val="22"/>
          <w:lang w:eastAsia="en-AU"/>
        </w:rPr>
        <w:t>SEE programme</w:t>
      </w:r>
      <w:r w:rsidR="006A28F2">
        <w:rPr>
          <w:sz w:val="22"/>
          <w:szCs w:val="22"/>
          <w:lang w:eastAsia="en-AU"/>
        </w:rPr>
        <w:t xml:space="preserve"> </w:t>
      </w:r>
      <w:r w:rsidRPr="00C94F0C">
        <w:rPr>
          <w:sz w:val="22"/>
          <w:szCs w:val="22"/>
          <w:lang w:eastAsia="en-AU"/>
        </w:rPr>
        <w:t>is not intended to provide for development of advanced LLN skills. There does not appear to be a benchmark level at which a participant must exit or no longer qualifies for the programme.</w:t>
      </w:r>
      <w:r w:rsidR="004E058F" w:rsidRPr="00C94F0C">
        <w:rPr>
          <w:sz w:val="22"/>
          <w:szCs w:val="22"/>
          <w:lang w:eastAsia="en-AU"/>
        </w:rPr>
        <w:t xml:space="preserve">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1270E4" w14:paraId="78969E49" w14:textId="77777777" w:rsidTr="00E8274A">
        <w:tc>
          <w:tcPr>
            <w:tcW w:w="5000" w:type="pct"/>
            <w:shd w:val="pct12" w:color="auto" w:fill="auto"/>
          </w:tcPr>
          <w:p w14:paraId="0B4BDE2A" w14:textId="77777777" w:rsidR="001270E4" w:rsidRDefault="001270E4" w:rsidP="00E8274A">
            <w:pPr>
              <w:pStyle w:val="Caption"/>
              <w:spacing w:before="120" w:after="60"/>
              <w:ind w:left="1112" w:hanging="1112"/>
              <w:rPr>
                <w:rFonts w:ascii="Arial Bold" w:hAnsi="Arial Bold"/>
                <w:color w:val="000080"/>
              </w:rPr>
            </w:pPr>
            <w:r>
              <w:t xml:space="preserve">Recommendation </w:t>
            </w:r>
            <w:r w:rsidR="006A2396">
              <w:fldChar w:fldCharType="begin"/>
            </w:r>
            <w:r w:rsidR="006A2396">
              <w:instrText xml:space="preserve"> SEQ Recommendation \* ARABIC </w:instrText>
            </w:r>
            <w:r w:rsidR="006A2396">
              <w:fldChar w:fldCharType="separate"/>
            </w:r>
            <w:r w:rsidR="00294A5A">
              <w:rPr>
                <w:noProof/>
              </w:rPr>
              <w:t>4</w:t>
            </w:r>
            <w:r w:rsidR="006A2396">
              <w:rPr>
                <w:noProof/>
              </w:rPr>
              <w:fldChar w:fldCharType="end"/>
            </w:r>
          </w:p>
        </w:tc>
      </w:tr>
      <w:tr w:rsidR="001270E4" w14:paraId="5D2261D5" w14:textId="77777777" w:rsidTr="00E8274A">
        <w:tc>
          <w:tcPr>
            <w:tcW w:w="5000" w:type="pct"/>
            <w:shd w:val="pct12" w:color="auto" w:fill="auto"/>
          </w:tcPr>
          <w:p w14:paraId="66C5D3F4" w14:textId="535D9D85" w:rsidR="001270E4" w:rsidRDefault="001270E4" w:rsidP="001270E4">
            <w:pPr>
              <w:pStyle w:val="BoxText"/>
            </w:pPr>
            <w:r>
              <w:t xml:space="preserve">The programme’s guidelines should clarify whether job seekers with very low LLN skills are an intended target group for the </w:t>
            </w:r>
            <w:r w:rsidR="00147674">
              <w:t>SEE programme</w:t>
            </w:r>
            <w:r>
              <w:t xml:space="preserve"> and:</w:t>
            </w:r>
          </w:p>
          <w:p w14:paraId="4E6116CD" w14:textId="113F73B0" w:rsidR="001270E4" w:rsidRDefault="001270E4" w:rsidP="00E8274A">
            <w:pPr>
              <w:pStyle w:val="BoxListBullet"/>
            </w:pPr>
            <w:r>
              <w:t>If not, minimum entry requirements in terms of LLN proficiency should be introduced</w:t>
            </w:r>
          </w:p>
          <w:p w14:paraId="45435D17" w14:textId="4A45E966" w:rsidR="001270E4" w:rsidRDefault="001270E4" w:rsidP="00E8274A">
            <w:pPr>
              <w:pStyle w:val="BoxListBullet"/>
            </w:pPr>
            <w:r>
              <w:t>If so, changes to facilitate the participation and rates of progress should be considered to accommodate those with very low LLN skills (see Recommendation 9).</w:t>
            </w:r>
          </w:p>
          <w:p w14:paraId="44571DE3" w14:textId="77777777" w:rsidR="001270E4" w:rsidRDefault="001270E4" w:rsidP="00E8274A">
            <w:pPr>
              <w:pStyle w:val="SmallDeltasRightAligned"/>
            </w:pPr>
            <w:r>
              <w:rPr>
                <w:noProof/>
                <w:lang w:eastAsia="en-AU"/>
              </w:rPr>
              <w:drawing>
                <wp:inline distT="0" distB="0" distL="0" distR="0" wp14:anchorId="65155152" wp14:editId="7DDD9D71">
                  <wp:extent cx="481585" cy="23469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1270E4" w14:paraId="033A0D1A" w14:textId="77777777" w:rsidTr="00E8274A">
        <w:trPr>
          <w:trHeight w:hRule="exact" w:val="80"/>
        </w:trPr>
        <w:tc>
          <w:tcPr>
            <w:tcW w:w="5000" w:type="pct"/>
            <w:shd w:val="pct12" w:color="auto" w:fill="auto"/>
          </w:tcPr>
          <w:p w14:paraId="0B101674" w14:textId="77777777" w:rsidR="001270E4" w:rsidRDefault="001270E4">
            <w:pPr>
              <w:spacing w:before="160"/>
            </w:pPr>
            <w:r>
              <w:t xml:space="preserve"> </w:t>
            </w:r>
          </w:p>
        </w:tc>
      </w:tr>
    </w:tbl>
    <w:p w14:paraId="4A2C586A"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Eligibility as determined by referring agencies</w:t>
      </w:r>
    </w:p>
    <w:p w14:paraId="279B3B17" w14:textId="4970DD38" w:rsidR="0075728A" w:rsidRPr="00C94F0C" w:rsidRDefault="00C94F0C" w:rsidP="00C94F0C">
      <w:pPr>
        <w:spacing w:line="280" w:lineRule="exact"/>
        <w:rPr>
          <w:sz w:val="22"/>
          <w:szCs w:val="22"/>
          <w:lang w:eastAsia="en-AU"/>
        </w:rPr>
      </w:pPr>
      <w:r w:rsidRPr="00C94F0C">
        <w:rPr>
          <w:sz w:val="22"/>
          <w:szCs w:val="22"/>
          <w:lang w:eastAsia="en-AU"/>
        </w:rPr>
        <w:t xml:space="preserve">As outlined in Section </w:t>
      </w:r>
      <w:r w:rsidRPr="00C94F0C">
        <w:rPr>
          <w:sz w:val="22"/>
          <w:szCs w:val="22"/>
          <w:lang w:eastAsia="en-AU"/>
        </w:rPr>
        <w:fldChar w:fldCharType="begin"/>
      </w:r>
      <w:r w:rsidRPr="00C94F0C">
        <w:rPr>
          <w:sz w:val="22"/>
          <w:szCs w:val="22"/>
          <w:lang w:eastAsia="en-AU"/>
        </w:rPr>
        <w:instrText xml:space="preserve"> REF _Ref408318868 \r \h  \* MERGEFORMAT </w:instrText>
      </w:r>
      <w:r w:rsidRPr="00C94F0C">
        <w:rPr>
          <w:sz w:val="22"/>
          <w:szCs w:val="22"/>
          <w:lang w:eastAsia="en-AU"/>
        </w:rPr>
      </w:r>
      <w:r w:rsidRPr="00C94F0C">
        <w:rPr>
          <w:sz w:val="22"/>
          <w:szCs w:val="22"/>
          <w:lang w:eastAsia="en-AU"/>
        </w:rPr>
        <w:fldChar w:fldCharType="separate"/>
      </w:r>
      <w:r w:rsidR="00294A5A">
        <w:rPr>
          <w:sz w:val="22"/>
          <w:szCs w:val="22"/>
          <w:lang w:eastAsia="en-AU"/>
        </w:rPr>
        <w:t>2.1.2</w:t>
      </w:r>
      <w:r w:rsidRPr="00C94F0C">
        <w:rPr>
          <w:sz w:val="22"/>
          <w:szCs w:val="22"/>
          <w:lang w:eastAsia="en-AU"/>
        </w:rPr>
        <w:fldChar w:fldCharType="end"/>
      </w:r>
      <w:r w:rsidRPr="00C94F0C">
        <w:rPr>
          <w:sz w:val="22"/>
          <w:szCs w:val="22"/>
          <w:lang w:eastAsia="en-AU"/>
        </w:rPr>
        <w:t xml:space="preserve"> and discussed above, eligibility for the </w:t>
      </w:r>
      <w:r w:rsidR="00147674">
        <w:rPr>
          <w:sz w:val="22"/>
          <w:szCs w:val="22"/>
          <w:lang w:eastAsia="en-AU"/>
        </w:rPr>
        <w:t>SEE programme</w:t>
      </w:r>
      <w:r w:rsidR="006A28F2">
        <w:rPr>
          <w:sz w:val="22"/>
          <w:szCs w:val="22"/>
          <w:lang w:eastAsia="en-AU"/>
        </w:rPr>
        <w:t xml:space="preserve"> </w:t>
      </w:r>
      <w:r w:rsidRPr="00C94F0C">
        <w:rPr>
          <w:sz w:val="22"/>
          <w:szCs w:val="22"/>
          <w:lang w:eastAsia="en-AU"/>
        </w:rPr>
        <w:t>is determined by a combination of criteria</w:t>
      </w:r>
      <w:r w:rsidR="00512CD2">
        <w:rPr>
          <w:sz w:val="22"/>
          <w:szCs w:val="22"/>
          <w:lang w:eastAsia="en-AU"/>
        </w:rPr>
        <w:t xml:space="preserve">, some </w:t>
      </w:r>
      <w:r w:rsidR="00512CD2" w:rsidRPr="00C94F0C">
        <w:rPr>
          <w:sz w:val="22"/>
          <w:szCs w:val="22"/>
          <w:lang w:eastAsia="en-AU"/>
        </w:rPr>
        <w:t xml:space="preserve">objective and </w:t>
      </w:r>
      <w:r w:rsidR="00512CD2">
        <w:rPr>
          <w:sz w:val="22"/>
          <w:szCs w:val="22"/>
          <w:lang w:eastAsia="en-AU"/>
        </w:rPr>
        <w:t xml:space="preserve">others </w:t>
      </w:r>
      <w:r w:rsidR="00512CD2" w:rsidRPr="00C94F0C">
        <w:rPr>
          <w:sz w:val="22"/>
          <w:szCs w:val="22"/>
          <w:lang w:eastAsia="en-AU"/>
        </w:rPr>
        <w:t>subjective</w:t>
      </w:r>
      <w:r w:rsidRPr="00C94F0C">
        <w:rPr>
          <w:sz w:val="22"/>
          <w:szCs w:val="22"/>
          <w:lang w:eastAsia="en-AU"/>
        </w:rPr>
        <w:t xml:space="preserve">. However, as discussed in Section </w:t>
      </w:r>
      <w:r w:rsidRPr="00C94F0C">
        <w:rPr>
          <w:sz w:val="22"/>
          <w:szCs w:val="22"/>
          <w:lang w:eastAsia="en-AU"/>
        </w:rPr>
        <w:fldChar w:fldCharType="begin"/>
      </w:r>
      <w:r w:rsidRPr="00C94F0C">
        <w:rPr>
          <w:sz w:val="22"/>
          <w:szCs w:val="22"/>
          <w:lang w:eastAsia="en-AU"/>
        </w:rPr>
        <w:instrText xml:space="preserve"> REF _Ref408512683 \r \h </w:instrText>
      </w:r>
      <w:r w:rsidRPr="00C94F0C">
        <w:rPr>
          <w:sz w:val="22"/>
          <w:szCs w:val="22"/>
          <w:lang w:eastAsia="en-AU"/>
        </w:rPr>
      </w:r>
      <w:r w:rsidRPr="00C94F0C">
        <w:rPr>
          <w:sz w:val="22"/>
          <w:szCs w:val="22"/>
          <w:lang w:eastAsia="en-AU"/>
        </w:rPr>
        <w:fldChar w:fldCharType="separate"/>
      </w:r>
      <w:r w:rsidR="00294A5A">
        <w:rPr>
          <w:sz w:val="22"/>
          <w:szCs w:val="22"/>
          <w:lang w:eastAsia="en-AU"/>
        </w:rPr>
        <w:t>4.1.3</w:t>
      </w:r>
      <w:r w:rsidRPr="00C94F0C">
        <w:rPr>
          <w:sz w:val="22"/>
          <w:szCs w:val="22"/>
          <w:lang w:eastAsia="en-AU"/>
        </w:rPr>
        <w:fldChar w:fldCharType="end"/>
      </w:r>
      <w:r w:rsidRPr="00C94F0C">
        <w:rPr>
          <w:sz w:val="22"/>
          <w:szCs w:val="22"/>
          <w:lang w:eastAsia="en-AU"/>
        </w:rPr>
        <w:t>, the overwhelming feedback from stakeholders with regards to the programme’s target groups is that this is almost wholly dependent on the knowledge, understanding, capability and interests of the referring agencies.</w:t>
      </w:r>
    </w:p>
    <w:p w14:paraId="58D71C0A" w14:textId="77777777" w:rsidR="00C94F0C" w:rsidRPr="00C94F0C" w:rsidRDefault="00C94F0C" w:rsidP="00C94F0C">
      <w:pPr>
        <w:spacing w:line="280" w:lineRule="exact"/>
        <w:rPr>
          <w:sz w:val="22"/>
          <w:szCs w:val="22"/>
          <w:lang w:eastAsia="en-AU"/>
        </w:rPr>
      </w:pPr>
      <w:r w:rsidRPr="00C94F0C">
        <w:rPr>
          <w:sz w:val="22"/>
          <w:szCs w:val="22"/>
          <w:lang w:eastAsia="en-AU"/>
        </w:rPr>
        <w:t>The first issue highlighted consistently by stakeholders – in particular SEE providers – is that referring agencies generally have very limited knowledge of the programme.</w:t>
      </w:r>
    </w:p>
    <w:p w14:paraId="4F5B914F"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 first barrier [to good performance of the SEE programme] is lack of programme knowledge by referring agencies.</w:t>
      </w:r>
    </w:p>
    <w:p w14:paraId="06E27033"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SEE provider confidential submission</w:t>
      </w:r>
    </w:p>
    <w:p w14:paraId="37F7089A"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Many JSAs are unaware of the referral process and require support from us in learning this process.  This is also time consuming for our administration staff as there is a high turnover in referring agency front line staff.</w:t>
      </w:r>
    </w:p>
    <w:p w14:paraId="1B11DF01"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SEE provider confidential submission</w:t>
      </w:r>
    </w:p>
    <w:p w14:paraId="17A4E1C9" w14:textId="383A7FA3" w:rsidR="00C94F0C" w:rsidRPr="00C94F0C" w:rsidRDefault="00045700" w:rsidP="00C94F0C">
      <w:pPr>
        <w:spacing w:line="280" w:lineRule="exact"/>
        <w:rPr>
          <w:sz w:val="22"/>
          <w:szCs w:val="22"/>
          <w:lang w:eastAsia="en-AU"/>
        </w:rPr>
      </w:pPr>
      <w:r>
        <w:rPr>
          <w:sz w:val="22"/>
          <w:szCs w:val="22"/>
          <w:lang w:eastAsia="en-AU"/>
        </w:rPr>
        <w:t xml:space="preserve">As discussed in Section </w:t>
      </w:r>
      <w:r>
        <w:rPr>
          <w:sz w:val="22"/>
          <w:szCs w:val="22"/>
          <w:lang w:eastAsia="en-AU"/>
        </w:rPr>
        <w:fldChar w:fldCharType="begin"/>
      </w:r>
      <w:r>
        <w:rPr>
          <w:sz w:val="22"/>
          <w:szCs w:val="22"/>
          <w:lang w:eastAsia="en-AU"/>
        </w:rPr>
        <w:instrText xml:space="preserve"> REF _Ref408512683 \r \h </w:instrText>
      </w:r>
      <w:r>
        <w:rPr>
          <w:sz w:val="22"/>
          <w:szCs w:val="22"/>
          <w:lang w:eastAsia="en-AU"/>
        </w:rPr>
      </w:r>
      <w:r>
        <w:rPr>
          <w:sz w:val="22"/>
          <w:szCs w:val="22"/>
          <w:lang w:eastAsia="en-AU"/>
        </w:rPr>
        <w:fldChar w:fldCharType="separate"/>
      </w:r>
      <w:r w:rsidR="00294A5A">
        <w:rPr>
          <w:sz w:val="22"/>
          <w:szCs w:val="22"/>
          <w:lang w:eastAsia="en-AU"/>
        </w:rPr>
        <w:t>4.1.3</w:t>
      </w:r>
      <w:r>
        <w:rPr>
          <w:sz w:val="22"/>
          <w:szCs w:val="22"/>
          <w:lang w:eastAsia="en-AU"/>
        </w:rPr>
        <w:fldChar w:fldCharType="end"/>
      </w:r>
      <w:r>
        <w:rPr>
          <w:sz w:val="22"/>
          <w:szCs w:val="22"/>
          <w:lang w:eastAsia="en-AU"/>
        </w:rPr>
        <w:t>, m</w:t>
      </w:r>
      <w:r w:rsidR="00C94F0C" w:rsidRPr="00C94F0C">
        <w:rPr>
          <w:sz w:val="22"/>
          <w:szCs w:val="22"/>
          <w:lang w:eastAsia="en-AU"/>
        </w:rPr>
        <w:t>any SEE providers attribute these issues to:</w:t>
      </w:r>
    </w:p>
    <w:p w14:paraId="02E0F978" w14:textId="2F41B204" w:rsidR="00C94F0C" w:rsidRPr="00C94F0C" w:rsidRDefault="00C94F0C" w:rsidP="001270E4">
      <w:pPr>
        <w:pStyle w:val="ListDash"/>
      </w:pPr>
      <w:r w:rsidRPr="00C94F0C">
        <w:t>The lack of internal communications and marketing by the government to referring agencies</w:t>
      </w:r>
      <w:r w:rsidR="00C5382E">
        <w:t>.</w:t>
      </w:r>
    </w:p>
    <w:p w14:paraId="0BCF312F" w14:textId="77777777" w:rsidR="00C94F0C" w:rsidRPr="00C94F0C" w:rsidRDefault="00C94F0C" w:rsidP="001540AD">
      <w:pPr>
        <w:pStyle w:val="ListDash"/>
      </w:pPr>
      <w:r w:rsidRPr="00C94F0C">
        <w:t>The staffing profile and generally high turnover of staff at referring agencies.</w:t>
      </w:r>
    </w:p>
    <w:p w14:paraId="269EA195" w14:textId="531B0BE9" w:rsidR="00C94F0C" w:rsidRPr="00C94F0C" w:rsidRDefault="00C94F0C" w:rsidP="00C94F0C">
      <w:pPr>
        <w:spacing w:line="280" w:lineRule="exact"/>
        <w:rPr>
          <w:sz w:val="22"/>
          <w:szCs w:val="22"/>
          <w:lang w:eastAsia="en-AU"/>
        </w:rPr>
      </w:pPr>
      <w:r w:rsidRPr="00C94F0C">
        <w:rPr>
          <w:sz w:val="22"/>
          <w:szCs w:val="22"/>
          <w:lang w:eastAsia="en-AU"/>
        </w:rPr>
        <w:t xml:space="preserve">Most </w:t>
      </w:r>
      <w:r w:rsidR="00BB6CFF">
        <w:rPr>
          <w:sz w:val="22"/>
          <w:szCs w:val="22"/>
          <w:lang w:eastAsia="en-AU"/>
        </w:rPr>
        <w:t xml:space="preserve">SEE </w:t>
      </w:r>
      <w:r w:rsidRPr="00C94F0C">
        <w:rPr>
          <w:sz w:val="22"/>
          <w:szCs w:val="22"/>
          <w:lang w:eastAsia="en-AU"/>
        </w:rPr>
        <w:t xml:space="preserve">providers agree that this means that they must invest significant resources in </w:t>
      </w:r>
      <w:r w:rsidR="00045700">
        <w:rPr>
          <w:sz w:val="22"/>
          <w:szCs w:val="22"/>
          <w:lang w:eastAsia="en-AU"/>
        </w:rPr>
        <w:t>‘</w:t>
      </w:r>
      <w:r w:rsidRPr="00C94F0C">
        <w:rPr>
          <w:sz w:val="22"/>
          <w:szCs w:val="22"/>
          <w:lang w:eastAsia="en-AU"/>
        </w:rPr>
        <w:t>continually raising awareness, promoting and marketing the program</w:t>
      </w:r>
      <w:r w:rsidR="00045700">
        <w:rPr>
          <w:sz w:val="22"/>
          <w:szCs w:val="22"/>
          <w:lang w:eastAsia="en-AU"/>
        </w:rPr>
        <w:t>’</w:t>
      </w:r>
      <w:r w:rsidRPr="00C94F0C">
        <w:rPr>
          <w:sz w:val="22"/>
          <w:szCs w:val="22"/>
          <w:lang w:eastAsia="en-AU"/>
        </w:rPr>
        <w:t xml:space="preserve"> (SEE provider confidential submission). SEE providers generally accept that this is part of their role and have reported positive outcomes from such marketing efforts.</w:t>
      </w:r>
    </w:p>
    <w:p w14:paraId="2EA9A2DE" w14:textId="6C2F229C" w:rsidR="00C94F0C" w:rsidRDefault="00C94F0C" w:rsidP="00C94F0C">
      <w:pPr>
        <w:spacing w:line="280" w:lineRule="exact"/>
        <w:rPr>
          <w:sz w:val="22"/>
          <w:szCs w:val="22"/>
          <w:lang w:eastAsia="en-AU"/>
        </w:rPr>
      </w:pPr>
      <w:r w:rsidRPr="00C94F0C">
        <w:rPr>
          <w:sz w:val="22"/>
          <w:szCs w:val="22"/>
          <w:lang w:eastAsia="en-AU"/>
        </w:rPr>
        <w:t xml:space="preserve">While SEE providers tend to refer to the lack of knowledge amongst JSA and Centrelink staff, it would appear that the same applies to </w:t>
      </w:r>
      <w:r w:rsidR="005D3218">
        <w:rPr>
          <w:sz w:val="22"/>
          <w:szCs w:val="22"/>
          <w:lang w:eastAsia="en-AU"/>
        </w:rPr>
        <w:t>DES</w:t>
      </w:r>
      <w:r w:rsidRPr="00C94F0C">
        <w:rPr>
          <w:sz w:val="22"/>
          <w:szCs w:val="22"/>
          <w:lang w:eastAsia="en-AU"/>
        </w:rPr>
        <w:t xml:space="preserve"> providers also (NDS submission). </w:t>
      </w:r>
    </w:p>
    <w:p w14:paraId="44F2BA04" w14:textId="78F3E5AC" w:rsidR="0075728A" w:rsidRPr="00C94F0C" w:rsidRDefault="006E790C" w:rsidP="00E8274A">
      <w:pPr>
        <w:pStyle w:val="BodyText"/>
      </w:pPr>
      <w:r>
        <w:t xml:space="preserve">Secondly, where </w:t>
      </w:r>
      <w:r w:rsidR="003570CA">
        <w:t xml:space="preserve">referring agencies </w:t>
      </w:r>
      <w:r>
        <w:t>are aware of the</w:t>
      </w:r>
      <w:r w:rsidR="003570CA">
        <w:t xml:space="preserve"> </w:t>
      </w:r>
      <w:r w:rsidR="00147674">
        <w:t>SEE programme</w:t>
      </w:r>
      <w:r>
        <w:t xml:space="preserve"> </w:t>
      </w:r>
      <w:r w:rsidR="00FB5236">
        <w:t xml:space="preserve">some </w:t>
      </w:r>
      <w:r w:rsidR="003570CA">
        <w:t xml:space="preserve">struggle with the referral process. While referring agencies are provided </w:t>
      </w:r>
      <w:r w:rsidR="00241216">
        <w:t>with a step-by-step guide</w:t>
      </w:r>
      <w:r w:rsidR="00FB5236">
        <w:t xml:space="preserve"> </w:t>
      </w:r>
      <w:r w:rsidR="00241216">
        <w:t xml:space="preserve">to referring to the </w:t>
      </w:r>
      <w:r w:rsidR="00147674">
        <w:t>SEE programme</w:t>
      </w:r>
      <w:r w:rsidR="00241216">
        <w:t>, some providers report that they regularly have to walk referring agencies through the process.</w:t>
      </w:r>
      <w:r w:rsidR="0075728A" w:rsidRPr="00C94F0C">
        <w:rPr>
          <w:vertAlign w:val="superscript"/>
        </w:rPr>
        <w:footnoteReference w:id="4"/>
      </w:r>
      <w:r w:rsidR="00241216">
        <w:t xml:space="preserve"> While the material is provided, referring agencies appear to have little incentive to ensure staff are familiar with the referral process. High staff turnover likely contributes to this issue also.</w:t>
      </w:r>
    </w:p>
    <w:p w14:paraId="3CD9EFC2" w14:textId="0DE9EAD9" w:rsidR="00C94F0C" w:rsidRPr="00C94F0C" w:rsidRDefault="0075728A" w:rsidP="00C94F0C">
      <w:pPr>
        <w:spacing w:line="280" w:lineRule="exact"/>
        <w:rPr>
          <w:sz w:val="22"/>
          <w:szCs w:val="22"/>
          <w:lang w:eastAsia="en-AU"/>
        </w:rPr>
      </w:pPr>
      <w:r>
        <w:rPr>
          <w:sz w:val="22"/>
          <w:szCs w:val="22"/>
          <w:lang w:eastAsia="en-AU"/>
        </w:rPr>
        <w:t>Thirdly</w:t>
      </w:r>
      <w:r w:rsidR="00C94F0C" w:rsidRPr="00C94F0C">
        <w:rPr>
          <w:sz w:val="22"/>
          <w:szCs w:val="22"/>
          <w:lang w:eastAsia="en-AU"/>
        </w:rPr>
        <w:t xml:space="preserve">, stakeholders highlight the fact that relevant staff at referring agencies may </w:t>
      </w:r>
      <w:r w:rsidR="003570CA">
        <w:rPr>
          <w:sz w:val="22"/>
          <w:szCs w:val="22"/>
          <w:lang w:eastAsia="en-AU"/>
        </w:rPr>
        <w:t>not be well</w:t>
      </w:r>
      <w:r w:rsidR="00C94F0C" w:rsidRPr="00C94F0C">
        <w:rPr>
          <w:sz w:val="22"/>
          <w:szCs w:val="22"/>
          <w:lang w:eastAsia="en-AU"/>
        </w:rPr>
        <w:t xml:space="preserve"> qualified to determine whether a job</w:t>
      </w:r>
      <w:r w:rsidR="009B75B4">
        <w:rPr>
          <w:sz w:val="22"/>
          <w:szCs w:val="22"/>
          <w:lang w:eastAsia="en-AU"/>
        </w:rPr>
        <w:t xml:space="preserve"> </w:t>
      </w:r>
      <w:r w:rsidR="00C94F0C" w:rsidRPr="00C94F0C">
        <w:rPr>
          <w:sz w:val="22"/>
          <w:szCs w:val="22"/>
          <w:lang w:eastAsia="en-AU"/>
        </w:rPr>
        <w:t xml:space="preserve">seeker has LLN issues and whether he/she could benefit from the </w:t>
      </w:r>
      <w:r w:rsidR="00147674">
        <w:rPr>
          <w:sz w:val="22"/>
          <w:szCs w:val="22"/>
          <w:lang w:eastAsia="en-AU"/>
        </w:rPr>
        <w:t>SEE programme</w:t>
      </w:r>
      <w:r w:rsidR="00C94F0C" w:rsidRPr="00C94F0C">
        <w:rPr>
          <w:sz w:val="22"/>
          <w:szCs w:val="22"/>
          <w:lang w:eastAsia="en-AU"/>
        </w:rPr>
        <w:t>. The range of reasons underpinning this concern include:</w:t>
      </w:r>
    </w:p>
    <w:p w14:paraId="0FCFC427" w14:textId="4DD332CC" w:rsidR="00C94F0C" w:rsidRPr="00C94F0C" w:rsidRDefault="00C94F0C" w:rsidP="001540AD">
      <w:pPr>
        <w:pStyle w:val="ListDash"/>
      </w:pPr>
      <w:r w:rsidRPr="00C94F0C">
        <w:t>That the Job Seeker Classification Instrument (JCSI) is reliant on self-assessment and sections in relation to the client’s LLN abilities are optional</w:t>
      </w:r>
      <w:r w:rsidR="00C5382E">
        <w:t>.</w:t>
      </w:r>
    </w:p>
    <w:p w14:paraId="30A4BFB8" w14:textId="72555FC6" w:rsidR="00C94F0C" w:rsidRPr="00C94F0C" w:rsidRDefault="00C94F0C" w:rsidP="001540AD">
      <w:pPr>
        <w:pStyle w:val="ListDash"/>
      </w:pPr>
      <w:r w:rsidRPr="00C94F0C">
        <w:t xml:space="preserve">That opportunities to observe LLN needs may be reducing with referring agencies having fewer face-to-face interviews and fewer tasks requiring reading or writing skills at </w:t>
      </w:r>
      <w:r w:rsidR="009B75B4" w:rsidRPr="00C94F0C">
        <w:t>th</w:t>
      </w:r>
      <w:r w:rsidR="009B75B4">
        <w:t>e</w:t>
      </w:r>
      <w:r w:rsidR="00896BBD">
        <w:t>se</w:t>
      </w:r>
      <w:r w:rsidR="009B75B4" w:rsidRPr="00C94F0C">
        <w:t xml:space="preserve"> </w:t>
      </w:r>
      <w:r w:rsidRPr="00C94F0C">
        <w:t>interview</w:t>
      </w:r>
      <w:r w:rsidR="00D5711F">
        <w:t>s</w:t>
      </w:r>
      <w:r w:rsidR="00C5382E">
        <w:t>.</w:t>
      </w:r>
      <w:r w:rsidRPr="00C94F0C">
        <w:t xml:space="preserve"> </w:t>
      </w:r>
    </w:p>
    <w:p w14:paraId="3B5BCE7C" w14:textId="433BBE6E" w:rsidR="00C94F0C" w:rsidRPr="00C94F0C" w:rsidRDefault="00C94F0C" w:rsidP="001540AD">
      <w:pPr>
        <w:pStyle w:val="ListDash"/>
      </w:pPr>
      <w:r w:rsidRPr="00C94F0C">
        <w:t xml:space="preserve">The general stigma of admitting to having low LLN skills, and the ability of native speakers to </w:t>
      </w:r>
      <w:r w:rsidR="003C55FD">
        <w:t>‘</w:t>
      </w:r>
      <w:r w:rsidRPr="00C94F0C">
        <w:t>mask</w:t>
      </w:r>
      <w:r w:rsidR="003C55FD">
        <w:t>’</w:t>
      </w:r>
      <w:r w:rsidRPr="00C94F0C">
        <w:t xml:space="preserve"> their low LLN skills</w:t>
      </w:r>
      <w:r w:rsidR="00C5382E">
        <w:t>.</w:t>
      </w:r>
    </w:p>
    <w:p w14:paraId="4C0D4051" w14:textId="77777777" w:rsidR="00C94F0C" w:rsidRPr="00C94F0C" w:rsidRDefault="00C94F0C" w:rsidP="001540AD">
      <w:pPr>
        <w:pStyle w:val="ListDash"/>
      </w:pPr>
      <w:r w:rsidRPr="00C94F0C">
        <w:t>Frontline staff at referring agencies having limited qualifications themselves and do not have the training to identify and assess LLN needs.</w:t>
      </w:r>
    </w:p>
    <w:p w14:paraId="33693207" w14:textId="64E4BE82" w:rsidR="00C94F0C" w:rsidRPr="00C94F0C" w:rsidRDefault="006E790C" w:rsidP="00C94F0C">
      <w:pPr>
        <w:spacing w:line="280" w:lineRule="exact"/>
        <w:rPr>
          <w:sz w:val="22"/>
          <w:szCs w:val="22"/>
          <w:lang w:eastAsia="en-AU"/>
        </w:rPr>
      </w:pPr>
      <w:r>
        <w:rPr>
          <w:sz w:val="22"/>
          <w:szCs w:val="22"/>
          <w:lang w:eastAsia="en-AU"/>
        </w:rPr>
        <w:t>Finally, b</w:t>
      </w:r>
      <w:r w:rsidR="00C94F0C" w:rsidRPr="00C94F0C">
        <w:rPr>
          <w:sz w:val="22"/>
          <w:szCs w:val="22"/>
          <w:lang w:eastAsia="en-AU"/>
        </w:rPr>
        <w:t xml:space="preserve">y far the most </w:t>
      </w:r>
      <w:r w:rsidR="00173801">
        <w:rPr>
          <w:sz w:val="22"/>
          <w:szCs w:val="22"/>
          <w:lang w:eastAsia="en-AU"/>
        </w:rPr>
        <w:t>significant</w:t>
      </w:r>
      <w:r w:rsidR="00512CD2" w:rsidRPr="00C94F0C">
        <w:rPr>
          <w:sz w:val="22"/>
          <w:szCs w:val="22"/>
          <w:lang w:eastAsia="en-AU"/>
        </w:rPr>
        <w:t xml:space="preserve"> </w:t>
      </w:r>
      <w:r w:rsidR="00C94F0C" w:rsidRPr="00C94F0C">
        <w:rPr>
          <w:sz w:val="22"/>
          <w:szCs w:val="22"/>
          <w:lang w:eastAsia="en-AU"/>
        </w:rPr>
        <w:t xml:space="preserve">issue raised by stakeholders is the perceived </w:t>
      </w:r>
      <w:r w:rsidR="00512CD2">
        <w:rPr>
          <w:sz w:val="22"/>
          <w:szCs w:val="22"/>
          <w:lang w:eastAsia="en-AU"/>
        </w:rPr>
        <w:t>tension</w:t>
      </w:r>
      <w:r w:rsidR="00512CD2" w:rsidRPr="00C94F0C">
        <w:rPr>
          <w:sz w:val="22"/>
          <w:szCs w:val="22"/>
          <w:lang w:eastAsia="en-AU"/>
        </w:rPr>
        <w:t xml:space="preserve"> </w:t>
      </w:r>
      <w:r w:rsidR="00C94F0C" w:rsidRPr="00C94F0C">
        <w:rPr>
          <w:sz w:val="22"/>
          <w:szCs w:val="22"/>
          <w:lang w:eastAsia="en-AU"/>
        </w:rPr>
        <w:t>between the incentives faced by referring agencies and the potential interests and needs of the individual job</w:t>
      </w:r>
      <w:r w:rsidR="009B75B4">
        <w:rPr>
          <w:sz w:val="22"/>
          <w:szCs w:val="22"/>
          <w:lang w:eastAsia="en-AU"/>
        </w:rPr>
        <w:t xml:space="preserve"> </w:t>
      </w:r>
      <w:r w:rsidR="00C94F0C" w:rsidRPr="00C94F0C">
        <w:rPr>
          <w:sz w:val="22"/>
          <w:szCs w:val="22"/>
          <w:lang w:eastAsia="en-AU"/>
        </w:rPr>
        <w:t xml:space="preserve">seeker. </w:t>
      </w:r>
      <w:r w:rsidR="00B035C4">
        <w:rPr>
          <w:sz w:val="22"/>
          <w:szCs w:val="22"/>
          <w:lang w:eastAsia="en-AU"/>
        </w:rPr>
        <w:t>In</w:t>
      </w:r>
      <w:r w:rsidR="00C94F0C" w:rsidRPr="00C94F0C">
        <w:rPr>
          <w:sz w:val="22"/>
          <w:szCs w:val="22"/>
          <w:lang w:eastAsia="en-AU"/>
        </w:rPr>
        <w:t xml:space="preserve"> particular, many SEE providers and referring agencies concede that the incentives to refer to </w:t>
      </w:r>
      <w:r w:rsidR="00D71532">
        <w:rPr>
          <w:sz w:val="22"/>
          <w:szCs w:val="22"/>
          <w:lang w:eastAsia="en-AU"/>
        </w:rPr>
        <w:t xml:space="preserve">the </w:t>
      </w:r>
      <w:r w:rsidR="00147674">
        <w:rPr>
          <w:sz w:val="22"/>
          <w:szCs w:val="22"/>
          <w:lang w:eastAsia="en-AU"/>
        </w:rPr>
        <w:t>SEE programme</w:t>
      </w:r>
      <w:r w:rsidR="006A28F2">
        <w:rPr>
          <w:sz w:val="22"/>
          <w:szCs w:val="22"/>
          <w:lang w:eastAsia="en-AU"/>
        </w:rPr>
        <w:t xml:space="preserve"> </w:t>
      </w:r>
      <w:r w:rsidR="00C94F0C" w:rsidRPr="00C94F0C">
        <w:rPr>
          <w:sz w:val="22"/>
          <w:szCs w:val="22"/>
          <w:lang w:eastAsia="en-AU"/>
        </w:rPr>
        <w:t xml:space="preserve">and to retain participants within the programme are generally weak compared to the incentives to place clients into employment or other vocational </w:t>
      </w:r>
      <w:r w:rsidR="00956392">
        <w:rPr>
          <w:sz w:val="22"/>
          <w:szCs w:val="22"/>
          <w:lang w:eastAsia="en-AU"/>
        </w:rPr>
        <w:t>programmes</w:t>
      </w:r>
      <w:r w:rsidR="00C94F0C" w:rsidRPr="00C94F0C">
        <w:rPr>
          <w:sz w:val="22"/>
          <w:szCs w:val="22"/>
          <w:lang w:eastAsia="en-AU"/>
        </w:rPr>
        <w:t>.</w:t>
      </w:r>
    </w:p>
    <w:p w14:paraId="65B0FEC6"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 xml:space="preserve">The SEE Program relies on referrals from RAs and these RAs also have specific KPIs and contractual obligations that they need to adhere to. In some instances, contractual requirements adversely affect the performance of the [SEE] through reduced referrals [due to] the absence of an educational outcome for SEE, the introduction of Work for the Dole, pressure to achieve an employment outcome for RA staff. </w:t>
      </w:r>
    </w:p>
    <w:p w14:paraId="522ACFAA"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SEE clients have been withdrawn from the Program to be placed in courses which will attract an educational outcome regardless of the suitability of the course for the client e.g. pre-literate clients enrolled in Certificate III qualifications.</w:t>
      </w:r>
    </w:p>
    <w:p w14:paraId="4F6D8F83"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MTC submission</w:t>
      </w:r>
    </w:p>
    <w:p w14:paraId="39277DDD" w14:textId="1EBE10A8"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 xml:space="preserve">While SEE participation is an approved activity, the </w:t>
      </w:r>
      <w:r w:rsidR="00147674">
        <w:rPr>
          <w:sz w:val="18"/>
          <w:szCs w:val="22"/>
          <w:lang w:eastAsia="en-AU"/>
        </w:rPr>
        <w:t>SEE programme</w:t>
      </w:r>
      <w:r w:rsidR="006A28F2">
        <w:rPr>
          <w:sz w:val="18"/>
          <w:szCs w:val="22"/>
          <w:lang w:eastAsia="en-AU"/>
        </w:rPr>
        <w:t xml:space="preserve"> </w:t>
      </w:r>
      <w:r w:rsidRPr="00C94F0C">
        <w:rPr>
          <w:sz w:val="18"/>
          <w:szCs w:val="22"/>
          <w:lang w:eastAsia="en-AU"/>
        </w:rPr>
        <w:t xml:space="preserve">accredited course results are not outcomes for referring agencies. The </w:t>
      </w:r>
      <w:r w:rsidR="00147674">
        <w:rPr>
          <w:sz w:val="18"/>
          <w:szCs w:val="22"/>
          <w:lang w:eastAsia="en-AU"/>
        </w:rPr>
        <w:t>SEE programme</w:t>
      </w:r>
      <w:r w:rsidR="006A28F2">
        <w:rPr>
          <w:sz w:val="18"/>
          <w:szCs w:val="22"/>
          <w:lang w:eastAsia="en-AU"/>
        </w:rPr>
        <w:t xml:space="preserve"> </w:t>
      </w:r>
      <w:r w:rsidRPr="00C94F0C">
        <w:rPr>
          <w:sz w:val="18"/>
          <w:szCs w:val="22"/>
          <w:lang w:eastAsia="en-AU"/>
        </w:rPr>
        <w:t>does not align with JSA outcomes and apart from outcomes for Early School Leavers; there is no incentive to refer to the programme.</w:t>
      </w:r>
    </w:p>
    <w:p w14:paraId="3B1468FE"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SEE provider confidential submission</w:t>
      </w:r>
    </w:p>
    <w:p w14:paraId="190CACB8"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I think it would help if JSAs received an outcome payment for clients who are studying in the SEE program…There is no financial incentive for JSAs to refer to SEE otherwise.</w:t>
      </w:r>
    </w:p>
    <w:p w14:paraId="164ADD85"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Swinburne submission</w:t>
      </w:r>
    </w:p>
    <w:p w14:paraId="51210684"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Some JSAs prefer to refer to their own programs regardless of whether the SEE program is the best program for the client or not.</w:t>
      </w:r>
    </w:p>
    <w:p w14:paraId="7B03CF90"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Confidential submission</w:t>
      </w:r>
    </w:p>
    <w:p w14:paraId="5C3ED0CE" w14:textId="445F336E" w:rsidR="00C94F0C" w:rsidRPr="00C94F0C" w:rsidRDefault="00C94F0C" w:rsidP="00C94F0C">
      <w:pPr>
        <w:spacing w:line="280" w:lineRule="exact"/>
        <w:rPr>
          <w:sz w:val="22"/>
          <w:szCs w:val="22"/>
          <w:lang w:eastAsia="en-AU"/>
        </w:rPr>
      </w:pPr>
      <w:r w:rsidRPr="00C94F0C">
        <w:rPr>
          <w:sz w:val="22"/>
          <w:szCs w:val="22"/>
          <w:lang w:eastAsia="en-AU"/>
        </w:rPr>
        <w:t xml:space="preserve">Some stakeholders </w:t>
      </w:r>
      <w:r w:rsidR="00512CD2">
        <w:rPr>
          <w:sz w:val="22"/>
          <w:szCs w:val="22"/>
          <w:lang w:eastAsia="en-AU"/>
        </w:rPr>
        <w:t>felt that</w:t>
      </w:r>
      <w:r w:rsidRPr="00C94F0C">
        <w:rPr>
          <w:sz w:val="22"/>
          <w:szCs w:val="22"/>
          <w:lang w:eastAsia="en-AU"/>
        </w:rPr>
        <w:t xml:space="preserve"> referring agencies </w:t>
      </w:r>
      <w:r w:rsidR="00512CD2">
        <w:rPr>
          <w:sz w:val="22"/>
          <w:szCs w:val="22"/>
          <w:lang w:eastAsia="en-AU"/>
        </w:rPr>
        <w:t>did not give adequate</w:t>
      </w:r>
      <w:r w:rsidRPr="00C94F0C">
        <w:rPr>
          <w:sz w:val="22"/>
          <w:szCs w:val="22"/>
          <w:lang w:eastAsia="en-AU"/>
        </w:rPr>
        <w:t xml:space="preserve"> priori</w:t>
      </w:r>
      <w:r w:rsidR="00512CD2">
        <w:rPr>
          <w:sz w:val="22"/>
          <w:szCs w:val="22"/>
          <w:lang w:eastAsia="en-AU"/>
        </w:rPr>
        <w:t>ty to</w:t>
      </w:r>
      <w:r w:rsidRPr="00C94F0C">
        <w:rPr>
          <w:sz w:val="22"/>
          <w:szCs w:val="22"/>
          <w:lang w:eastAsia="en-AU"/>
        </w:rPr>
        <w:t xml:space="preserve"> the investment in LLN in the long-term interests of their clients</w:t>
      </w:r>
      <w:r w:rsidR="00C5382E">
        <w:rPr>
          <w:sz w:val="22"/>
          <w:szCs w:val="22"/>
          <w:lang w:eastAsia="en-AU"/>
        </w:rPr>
        <w:t>;</w:t>
      </w:r>
      <w:r w:rsidRPr="00C94F0C">
        <w:rPr>
          <w:sz w:val="22"/>
          <w:szCs w:val="22"/>
          <w:lang w:eastAsia="en-AU"/>
        </w:rPr>
        <w:t xml:space="preserve"> </w:t>
      </w:r>
      <w:r w:rsidR="002A5B77">
        <w:rPr>
          <w:sz w:val="22"/>
          <w:szCs w:val="22"/>
          <w:lang w:eastAsia="en-AU"/>
        </w:rPr>
        <w:t>rather they were</w:t>
      </w:r>
      <w:r w:rsidRPr="00C94F0C">
        <w:rPr>
          <w:sz w:val="22"/>
          <w:szCs w:val="22"/>
          <w:lang w:eastAsia="en-AU"/>
        </w:rPr>
        <w:t xml:space="preserve"> responding to the terms and conditions of their contracts and KPIs set by the government. </w:t>
      </w:r>
    </w:p>
    <w:p w14:paraId="70DD54A9" w14:textId="7F749722" w:rsidR="00C94F0C" w:rsidRPr="00C94F0C" w:rsidRDefault="00C94F0C" w:rsidP="00C94F0C">
      <w:pPr>
        <w:spacing w:line="280" w:lineRule="exact"/>
        <w:rPr>
          <w:sz w:val="22"/>
          <w:szCs w:val="22"/>
          <w:lang w:eastAsia="en-AU"/>
        </w:rPr>
      </w:pPr>
      <w:r w:rsidRPr="00C94F0C">
        <w:rPr>
          <w:sz w:val="22"/>
          <w:szCs w:val="22"/>
          <w:lang w:eastAsia="en-AU"/>
        </w:rPr>
        <w:t xml:space="preserve">Some or all of the issues outlined above contribute to the fact that only an estimated 17 per cent of job seekers identified with LLN needs are referred to the </w:t>
      </w:r>
      <w:r w:rsidR="00147674">
        <w:rPr>
          <w:sz w:val="22"/>
          <w:szCs w:val="22"/>
          <w:lang w:eastAsia="en-AU"/>
        </w:rPr>
        <w:t>SEE programme</w:t>
      </w:r>
      <w:r w:rsidR="006A28F2">
        <w:rPr>
          <w:sz w:val="22"/>
          <w:szCs w:val="22"/>
          <w:lang w:eastAsia="en-AU"/>
        </w:rPr>
        <w:t xml:space="preserve"> </w:t>
      </w:r>
      <w:r w:rsidRPr="00173801">
        <w:rPr>
          <w:sz w:val="22"/>
          <w:szCs w:val="22"/>
          <w:lang w:eastAsia="en-AU"/>
        </w:rPr>
        <w:t xml:space="preserve">(see </w:t>
      </w:r>
      <w:r w:rsidR="00173801" w:rsidRPr="00173801">
        <w:rPr>
          <w:sz w:val="22"/>
          <w:szCs w:val="22"/>
          <w:lang w:eastAsia="en-AU"/>
        </w:rPr>
        <w:t xml:space="preserve">Section </w:t>
      </w:r>
      <w:r w:rsidR="00173801" w:rsidRPr="00173801">
        <w:rPr>
          <w:sz w:val="22"/>
          <w:szCs w:val="22"/>
          <w:lang w:eastAsia="en-AU"/>
        </w:rPr>
        <w:fldChar w:fldCharType="begin"/>
      </w:r>
      <w:r w:rsidR="00173801" w:rsidRPr="00173801">
        <w:rPr>
          <w:sz w:val="22"/>
          <w:szCs w:val="22"/>
          <w:lang w:eastAsia="en-AU"/>
        </w:rPr>
        <w:instrText xml:space="preserve"> REF _Ref408771509 \r \h </w:instrText>
      </w:r>
      <w:r w:rsidR="00173801">
        <w:rPr>
          <w:sz w:val="22"/>
          <w:szCs w:val="22"/>
          <w:lang w:eastAsia="en-AU"/>
        </w:rPr>
        <w:instrText xml:space="preserve"> \* MERGEFORMAT </w:instrText>
      </w:r>
      <w:r w:rsidR="00173801" w:rsidRPr="00173801">
        <w:rPr>
          <w:sz w:val="22"/>
          <w:szCs w:val="22"/>
          <w:lang w:eastAsia="en-AU"/>
        </w:rPr>
      </w:r>
      <w:r w:rsidR="00173801" w:rsidRPr="00173801">
        <w:rPr>
          <w:sz w:val="22"/>
          <w:szCs w:val="22"/>
          <w:lang w:eastAsia="en-AU"/>
        </w:rPr>
        <w:fldChar w:fldCharType="separate"/>
      </w:r>
      <w:r w:rsidR="00294A5A">
        <w:rPr>
          <w:sz w:val="22"/>
          <w:szCs w:val="22"/>
          <w:lang w:eastAsia="en-AU"/>
        </w:rPr>
        <w:t>4.1</w:t>
      </w:r>
      <w:r w:rsidR="00173801" w:rsidRPr="00173801">
        <w:rPr>
          <w:sz w:val="22"/>
          <w:szCs w:val="22"/>
          <w:lang w:eastAsia="en-AU"/>
        </w:rPr>
        <w:fldChar w:fldCharType="end"/>
      </w:r>
      <w:r w:rsidRPr="00173801">
        <w:rPr>
          <w:sz w:val="22"/>
          <w:szCs w:val="22"/>
          <w:lang w:eastAsia="en-AU"/>
        </w:rPr>
        <w:t>). The</w:t>
      </w:r>
      <w:r w:rsidRPr="00C94F0C">
        <w:rPr>
          <w:sz w:val="22"/>
          <w:szCs w:val="22"/>
          <w:lang w:eastAsia="en-AU"/>
        </w:rPr>
        <w:t xml:space="preserve"> challenge for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is that many of these issues lie beyond design of the programme itself, and are dependent on policies and practices determined by other government portfolios, most notably the Departments of Employment, Social Services, and Human Services. </w:t>
      </w:r>
    </w:p>
    <w:p w14:paraId="7605D1D3" w14:textId="5E8F123A" w:rsidR="00C94F0C" w:rsidRPr="00C94F0C" w:rsidRDefault="00C94F0C" w:rsidP="00C94F0C">
      <w:pPr>
        <w:spacing w:line="280" w:lineRule="exact"/>
        <w:rPr>
          <w:sz w:val="22"/>
          <w:szCs w:val="22"/>
          <w:lang w:eastAsia="en-AU"/>
        </w:rPr>
      </w:pPr>
      <w:r w:rsidRPr="00C94F0C">
        <w:rPr>
          <w:sz w:val="22"/>
          <w:szCs w:val="22"/>
          <w:lang w:eastAsia="en-AU"/>
        </w:rPr>
        <w:t xml:space="preserve">In the near future, it appears that </w:t>
      </w:r>
      <w:r w:rsidR="006E790C">
        <w:rPr>
          <w:sz w:val="22"/>
          <w:szCs w:val="22"/>
          <w:lang w:eastAsia="en-AU"/>
        </w:rPr>
        <w:t xml:space="preserve">policy changes </w:t>
      </w:r>
      <w:r w:rsidRPr="00C94F0C">
        <w:rPr>
          <w:sz w:val="22"/>
          <w:szCs w:val="22"/>
          <w:lang w:eastAsia="en-AU"/>
        </w:rPr>
        <w:t xml:space="preserve">will be introduced which providers expect will improve the rate of referrals into the </w:t>
      </w:r>
      <w:r w:rsidR="00147674">
        <w:rPr>
          <w:sz w:val="22"/>
          <w:szCs w:val="22"/>
          <w:lang w:eastAsia="en-AU"/>
        </w:rPr>
        <w:t>SEE programme</w:t>
      </w:r>
      <w:r w:rsidRPr="00C94F0C">
        <w:rPr>
          <w:sz w:val="22"/>
          <w:szCs w:val="22"/>
          <w:lang w:eastAsia="en-AU"/>
        </w:rPr>
        <w:t>. Submissions to the evaluation suggest</w:t>
      </w:r>
      <w:r w:rsidR="002A5B77">
        <w:rPr>
          <w:sz w:val="22"/>
          <w:szCs w:val="22"/>
          <w:lang w:eastAsia="en-AU"/>
        </w:rPr>
        <w:t>ed</w:t>
      </w:r>
      <w:r w:rsidRPr="00C94F0C">
        <w:rPr>
          <w:sz w:val="22"/>
          <w:szCs w:val="22"/>
          <w:lang w:eastAsia="en-AU"/>
        </w:rPr>
        <w:t xml:space="preserve"> that from July 2015, the new employment services contract will:</w:t>
      </w:r>
    </w:p>
    <w:p w14:paraId="584F845C" w14:textId="7E3445FE" w:rsidR="00C94F0C" w:rsidRPr="00C94F0C" w:rsidRDefault="00C94F0C" w:rsidP="001540AD">
      <w:pPr>
        <w:pStyle w:val="ListDash"/>
      </w:pPr>
      <w:r w:rsidRPr="00C94F0C">
        <w:t xml:space="preserve">Recognise </w:t>
      </w:r>
      <w:r w:rsidR="00BB6CFF">
        <w:t xml:space="preserve">the </w:t>
      </w:r>
      <w:r w:rsidRPr="00C94F0C">
        <w:t xml:space="preserve">SEE </w:t>
      </w:r>
      <w:r w:rsidR="00BB6CFF">
        <w:t xml:space="preserve">programme </w:t>
      </w:r>
      <w:r w:rsidRPr="00C94F0C">
        <w:t>as a Work for Dole/mutual obligation activity for all age categories</w:t>
      </w:r>
      <w:r w:rsidR="00C5382E">
        <w:t>.</w:t>
      </w:r>
    </w:p>
    <w:p w14:paraId="7D95AF3C" w14:textId="393DE01F" w:rsidR="00C94F0C" w:rsidRPr="00C94F0C" w:rsidRDefault="00C94F0C" w:rsidP="001540AD">
      <w:pPr>
        <w:pStyle w:val="ListDash"/>
      </w:pPr>
      <w:r w:rsidRPr="00C94F0C">
        <w:t>Allow job</w:t>
      </w:r>
      <w:r w:rsidR="009B75B4">
        <w:t xml:space="preserve"> </w:t>
      </w:r>
      <w:r w:rsidRPr="00C94F0C">
        <w:t xml:space="preserve">seekers to combine participation in </w:t>
      </w:r>
      <w:r w:rsidR="00BB6CFF">
        <w:t xml:space="preserve">the </w:t>
      </w:r>
      <w:r w:rsidRPr="00C94F0C">
        <w:t xml:space="preserve">SEE </w:t>
      </w:r>
      <w:r w:rsidR="00BB6CFF">
        <w:t xml:space="preserve">programme </w:t>
      </w:r>
      <w:r w:rsidRPr="00C94F0C">
        <w:t>with other activities to make up their Annual Activity Requirement</w:t>
      </w:r>
      <w:r w:rsidR="00C5382E">
        <w:t>.</w:t>
      </w:r>
    </w:p>
    <w:p w14:paraId="72708DA0" w14:textId="09CA7868" w:rsidR="00C94F0C" w:rsidRPr="00C94F0C" w:rsidRDefault="00C94F0C" w:rsidP="001540AD">
      <w:pPr>
        <w:pStyle w:val="ListDash"/>
      </w:pPr>
      <w:r w:rsidRPr="00C94F0C">
        <w:t>Allow job</w:t>
      </w:r>
      <w:r w:rsidR="009B75B4">
        <w:t xml:space="preserve"> </w:t>
      </w:r>
      <w:r w:rsidRPr="00C94F0C">
        <w:t xml:space="preserve">seekers who are participating in </w:t>
      </w:r>
      <w:r w:rsidR="00BB6CFF">
        <w:t xml:space="preserve">the </w:t>
      </w:r>
      <w:r w:rsidRPr="00C94F0C">
        <w:t xml:space="preserve">SEE </w:t>
      </w:r>
      <w:r w:rsidR="00BB6CFF">
        <w:t xml:space="preserve">programme </w:t>
      </w:r>
      <w:r w:rsidRPr="00C94F0C">
        <w:t xml:space="preserve">to continue </w:t>
      </w:r>
      <w:r w:rsidR="00BB6CFF">
        <w:t>this</w:t>
      </w:r>
      <w:r w:rsidR="00BB6CFF" w:rsidRPr="00C94F0C">
        <w:t xml:space="preserve"> </w:t>
      </w:r>
      <w:r w:rsidRPr="00C94F0C">
        <w:t>training to its conclusion when they reach their Work for the Dole phase</w:t>
      </w:r>
      <w:r w:rsidR="00C5382E">
        <w:t>.</w:t>
      </w:r>
    </w:p>
    <w:p w14:paraId="62F624A4" w14:textId="4D5CC14F" w:rsidR="00C94F0C" w:rsidRPr="00C94F0C" w:rsidRDefault="00C94F0C" w:rsidP="001540AD">
      <w:pPr>
        <w:pStyle w:val="ListDash"/>
      </w:pPr>
      <w:r w:rsidRPr="00C94F0C">
        <w:t xml:space="preserve">Allow </w:t>
      </w:r>
      <w:r w:rsidR="00BB6CFF">
        <w:t xml:space="preserve">the </w:t>
      </w:r>
      <w:r w:rsidRPr="00C94F0C">
        <w:t xml:space="preserve">SEE </w:t>
      </w:r>
      <w:r w:rsidR="00BB6CFF">
        <w:t xml:space="preserve">programme </w:t>
      </w:r>
      <w:r w:rsidRPr="00C94F0C">
        <w:t>to be combined with other activities to make up the number of hours appropriate for their age requirement.</w:t>
      </w:r>
    </w:p>
    <w:p w14:paraId="17E8889D"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These new arrangements provide an incentive that should result in significantly better recognition among ES providers of the role and value of SEE in preparing their job seekers for jobs and in helping them to comply with their Mutual Obligation requirements while they are receiving employment service support.</w:t>
      </w:r>
    </w:p>
    <w:p w14:paraId="4ECDAB21"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Jobs Australia submission</w:t>
      </w:r>
    </w:p>
    <w:p w14:paraId="432ADE64" w14:textId="2D992720" w:rsidR="00C94F0C" w:rsidRPr="00C94F0C" w:rsidRDefault="00FB5236" w:rsidP="00C94F0C">
      <w:pPr>
        <w:spacing w:line="280" w:lineRule="exact"/>
        <w:rPr>
          <w:sz w:val="22"/>
          <w:szCs w:val="22"/>
          <w:lang w:eastAsia="en-AU"/>
        </w:rPr>
      </w:pPr>
      <w:r>
        <w:rPr>
          <w:sz w:val="22"/>
          <w:szCs w:val="22"/>
          <w:lang w:eastAsia="en-AU"/>
        </w:rPr>
        <w:t>T</w:t>
      </w:r>
      <w:r w:rsidR="006E790C">
        <w:rPr>
          <w:sz w:val="22"/>
          <w:szCs w:val="22"/>
          <w:lang w:eastAsia="en-AU"/>
        </w:rPr>
        <w:t xml:space="preserve">he new </w:t>
      </w:r>
      <w:r>
        <w:rPr>
          <w:sz w:val="22"/>
          <w:szCs w:val="22"/>
          <w:lang w:eastAsia="en-AU"/>
        </w:rPr>
        <w:t xml:space="preserve">employment services </w:t>
      </w:r>
      <w:r w:rsidR="006E790C">
        <w:rPr>
          <w:sz w:val="22"/>
          <w:szCs w:val="22"/>
          <w:lang w:eastAsia="en-AU"/>
        </w:rPr>
        <w:t xml:space="preserve">contract </w:t>
      </w:r>
      <w:r>
        <w:rPr>
          <w:sz w:val="22"/>
          <w:szCs w:val="22"/>
          <w:lang w:eastAsia="en-AU"/>
        </w:rPr>
        <w:t>presents a valuable opportunity for the</w:t>
      </w:r>
      <w:r w:rsidR="006E790C" w:rsidRPr="006E790C">
        <w:rPr>
          <w:sz w:val="22"/>
          <w:szCs w:val="22"/>
          <w:lang w:eastAsia="en-AU"/>
        </w:rPr>
        <w:t xml:space="preserve"> Department </w:t>
      </w:r>
      <w:r>
        <w:rPr>
          <w:sz w:val="22"/>
          <w:szCs w:val="22"/>
          <w:lang w:eastAsia="en-AU"/>
        </w:rPr>
        <w:t xml:space="preserve">to </w:t>
      </w:r>
      <w:r w:rsidR="006E790C" w:rsidRPr="006E790C">
        <w:rPr>
          <w:sz w:val="22"/>
          <w:szCs w:val="22"/>
          <w:lang w:eastAsia="en-AU"/>
        </w:rPr>
        <w:t xml:space="preserve">work with the three relevant departments </w:t>
      </w:r>
      <w:r w:rsidR="00BB6CFF">
        <w:rPr>
          <w:sz w:val="22"/>
          <w:szCs w:val="22"/>
          <w:lang w:eastAsia="en-AU"/>
        </w:rPr>
        <w:t>(</w:t>
      </w:r>
      <w:r w:rsidR="00BB6CFF" w:rsidRPr="00C94F0C">
        <w:rPr>
          <w:sz w:val="22"/>
          <w:szCs w:val="22"/>
          <w:lang w:eastAsia="en-AU"/>
        </w:rPr>
        <w:t>Employment, Social Services, and Human Services</w:t>
      </w:r>
      <w:r w:rsidR="00BB6CFF">
        <w:rPr>
          <w:sz w:val="22"/>
          <w:szCs w:val="22"/>
          <w:lang w:eastAsia="en-AU"/>
        </w:rPr>
        <w:t xml:space="preserve">) </w:t>
      </w:r>
      <w:r w:rsidR="006E790C" w:rsidRPr="006E790C">
        <w:rPr>
          <w:sz w:val="22"/>
          <w:szCs w:val="22"/>
          <w:lang w:eastAsia="en-AU"/>
        </w:rPr>
        <w:t xml:space="preserve">to improve the ability of referring agencies to refer suitable clients to the </w:t>
      </w:r>
      <w:r w:rsidR="00147674">
        <w:rPr>
          <w:sz w:val="22"/>
          <w:szCs w:val="22"/>
          <w:lang w:eastAsia="en-AU"/>
        </w:rPr>
        <w:t>SEE programme</w:t>
      </w:r>
      <w:r w:rsidR="006E790C" w:rsidRPr="006E790C">
        <w:rPr>
          <w:sz w:val="22"/>
          <w:szCs w:val="22"/>
          <w:lang w:eastAsia="en-AU"/>
        </w:rPr>
        <w:t>, including through enhanced communications and the provisions of information materials</w:t>
      </w:r>
      <w:r w:rsidR="006E790C">
        <w:rPr>
          <w:sz w:val="22"/>
          <w:szCs w:val="22"/>
          <w:lang w:eastAsia="en-AU"/>
        </w:rPr>
        <w:t xml:space="preserve">.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1868C77B" w14:textId="77777777" w:rsidTr="00EA422F">
        <w:tc>
          <w:tcPr>
            <w:tcW w:w="5000" w:type="pct"/>
            <w:shd w:val="pct12" w:color="auto" w:fill="auto"/>
          </w:tcPr>
          <w:p w14:paraId="5EA26E27" w14:textId="33754E35"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5</w:t>
            </w:r>
            <w:r w:rsidRPr="00C94F0C">
              <w:rPr>
                <w:rFonts w:asciiTheme="majorHAnsi" w:hAnsiTheme="majorHAnsi" w:cs="Arial"/>
                <w:noProof/>
                <w:sz w:val="20"/>
              </w:rPr>
              <w:fldChar w:fldCharType="end"/>
            </w:r>
          </w:p>
        </w:tc>
      </w:tr>
      <w:tr w:rsidR="00C94F0C" w:rsidRPr="00C94F0C" w14:paraId="4CC2BB90" w14:textId="77777777" w:rsidTr="00EA422F">
        <w:tc>
          <w:tcPr>
            <w:tcW w:w="5000" w:type="pct"/>
            <w:shd w:val="pct12" w:color="auto" w:fill="auto"/>
          </w:tcPr>
          <w:p w14:paraId="0E53A8CE" w14:textId="5878C7C3" w:rsidR="00C94F0C" w:rsidRPr="00C94F0C" w:rsidRDefault="00C94F0C" w:rsidP="00C94F0C">
            <w:pPr>
              <w:keepNext/>
              <w:keepLines/>
              <w:spacing w:before="80" w:after="40" w:line="220" w:lineRule="exact"/>
              <w:rPr>
                <w:sz w:val="20"/>
                <w:szCs w:val="22"/>
                <w:lang w:eastAsia="en-AU"/>
              </w:rPr>
            </w:pPr>
            <w:r w:rsidRPr="00C94F0C">
              <w:rPr>
                <w:sz w:val="20"/>
                <w:szCs w:val="22"/>
                <w:lang w:eastAsia="en-AU"/>
              </w:rPr>
              <w:t>Given referring agencies</w:t>
            </w:r>
            <w:r w:rsidR="00EE0DE9" w:rsidRPr="00EE0DE9">
              <w:rPr>
                <w:sz w:val="20"/>
                <w:szCs w:val="22"/>
                <w:lang w:eastAsia="en-AU"/>
              </w:rPr>
              <w:t xml:space="preserve">’ key role in the </w:t>
            </w:r>
            <w:r w:rsidR="00147674">
              <w:rPr>
                <w:sz w:val="20"/>
                <w:szCs w:val="22"/>
                <w:lang w:eastAsia="en-AU"/>
              </w:rPr>
              <w:t>SEE programme</w:t>
            </w:r>
            <w:r w:rsidR="00EE0DE9" w:rsidRPr="00EE0DE9">
              <w:rPr>
                <w:sz w:val="20"/>
                <w:szCs w:val="22"/>
                <w:lang w:eastAsia="en-AU"/>
              </w:rPr>
              <w:t xml:space="preserve">, the Department </w:t>
            </w:r>
            <w:r w:rsidR="00DA6265" w:rsidRPr="00DA6265">
              <w:rPr>
                <w:sz w:val="20"/>
                <w:szCs w:val="22"/>
                <w:lang w:eastAsia="en-AU"/>
              </w:rPr>
              <w:t xml:space="preserve">of Education and Training </w:t>
            </w:r>
            <w:r w:rsidR="00EE0DE9" w:rsidRPr="00EE0DE9">
              <w:rPr>
                <w:sz w:val="20"/>
                <w:szCs w:val="22"/>
                <w:lang w:eastAsia="en-AU"/>
              </w:rPr>
              <w:t xml:space="preserve">should work with the three relevant departments </w:t>
            </w:r>
            <w:r w:rsidR="00BB6CFF" w:rsidRPr="00BB6CFF">
              <w:rPr>
                <w:sz w:val="20"/>
                <w:szCs w:val="22"/>
                <w:lang w:eastAsia="en-AU"/>
              </w:rPr>
              <w:t>(Employment, Social Services, and Human Services)</w:t>
            </w:r>
            <w:r w:rsidR="00BB6CFF">
              <w:rPr>
                <w:sz w:val="20"/>
                <w:szCs w:val="22"/>
                <w:lang w:eastAsia="en-AU"/>
              </w:rPr>
              <w:t xml:space="preserve"> </w:t>
            </w:r>
            <w:r w:rsidR="00EE0DE9" w:rsidRPr="00EE0DE9">
              <w:rPr>
                <w:sz w:val="20"/>
                <w:szCs w:val="22"/>
                <w:lang w:eastAsia="en-AU"/>
              </w:rPr>
              <w:t xml:space="preserve">to improve the ability of referring agencies to refer suitable clients to the </w:t>
            </w:r>
            <w:r w:rsidR="00147674">
              <w:rPr>
                <w:sz w:val="20"/>
                <w:szCs w:val="22"/>
                <w:lang w:eastAsia="en-AU"/>
              </w:rPr>
              <w:t>SEE programme</w:t>
            </w:r>
            <w:r w:rsidR="00EE0DE9" w:rsidRPr="00EE0DE9">
              <w:rPr>
                <w:sz w:val="20"/>
                <w:szCs w:val="22"/>
                <w:lang w:eastAsia="en-AU"/>
              </w:rPr>
              <w:t>, including through enhanced communications and the provision of information materials</w:t>
            </w:r>
            <w:r w:rsidRPr="00C94F0C">
              <w:rPr>
                <w:sz w:val="20"/>
                <w:szCs w:val="22"/>
                <w:lang w:eastAsia="en-AU"/>
              </w:rPr>
              <w:t>.</w:t>
            </w:r>
          </w:p>
          <w:p w14:paraId="3A7F9D4F"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335E5AB4" wp14:editId="45CA7040">
                  <wp:extent cx="481585" cy="234696"/>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1F164747" w14:textId="77777777" w:rsidTr="00EA422F">
        <w:trPr>
          <w:trHeight w:hRule="exact" w:val="80"/>
        </w:trPr>
        <w:tc>
          <w:tcPr>
            <w:tcW w:w="5000" w:type="pct"/>
            <w:shd w:val="pct12" w:color="auto" w:fill="auto"/>
          </w:tcPr>
          <w:p w14:paraId="65A25150" w14:textId="77777777" w:rsidR="00C94F0C" w:rsidRPr="00C94F0C" w:rsidRDefault="00C94F0C" w:rsidP="00C94F0C">
            <w:pPr>
              <w:spacing w:before="160"/>
            </w:pPr>
            <w:r w:rsidRPr="00C94F0C">
              <w:t xml:space="preserve"> </w:t>
            </w:r>
          </w:p>
        </w:tc>
      </w:tr>
    </w:tbl>
    <w:p w14:paraId="34B920C5" w14:textId="77777777" w:rsidR="00C94F0C" w:rsidRPr="00C94F0C" w:rsidRDefault="00C94F0C" w:rsidP="00C94F0C">
      <w:pPr>
        <w:keepNext/>
        <w:numPr>
          <w:ilvl w:val="2"/>
          <w:numId w:val="20"/>
        </w:numPr>
        <w:spacing w:before="300" w:after="0" w:line="270" w:lineRule="exact"/>
        <w:outlineLvl w:val="2"/>
        <w:rPr>
          <w:rFonts w:asciiTheme="majorHAnsi" w:hAnsiTheme="majorHAnsi"/>
          <w:b/>
          <w:color w:val="9757A6" w:themeColor="text2"/>
          <w:sz w:val="22"/>
          <w:lang w:eastAsia="en-AU"/>
        </w:rPr>
      </w:pPr>
      <w:r w:rsidRPr="00C94F0C">
        <w:rPr>
          <w:rFonts w:asciiTheme="majorHAnsi" w:hAnsiTheme="majorHAnsi"/>
          <w:b/>
          <w:color w:val="9757A6" w:themeColor="text2"/>
          <w:sz w:val="22"/>
          <w:lang w:eastAsia="en-AU"/>
        </w:rPr>
        <w:t>Assessment tools</w:t>
      </w:r>
    </w:p>
    <w:p w14:paraId="3678203D" w14:textId="70529794" w:rsidR="00C94F0C" w:rsidRPr="00C94F0C" w:rsidRDefault="00C94F0C" w:rsidP="00C94F0C">
      <w:pPr>
        <w:spacing w:line="280" w:lineRule="exact"/>
        <w:rPr>
          <w:sz w:val="22"/>
          <w:szCs w:val="22"/>
          <w:lang w:eastAsia="en-AU"/>
        </w:rPr>
      </w:pPr>
      <w:r w:rsidRPr="00C94F0C">
        <w:rPr>
          <w:sz w:val="22"/>
          <w:szCs w:val="22"/>
          <w:lang w:eastAsia="en-AU"/>
        </w:rPr>
        <w:t xml:space="preserve">The core underlying instrument for assessment of progress in the </w:t>
      </w:r>
      <w:r w:rsidR="00147674">
        <w:rPr>
          <w:sz w:val="22"/>
          <w:szCs w:val="22"/>
          <w:lang w:eastAsia="en-AU"/>
        </w:rPr>
        <w:t>SEE programme</w:t>
      </w:r>
      <w:r w:rsidR="004607CB">
        <w:rPr>
          <w:sz w:val="22"/>
          <w:szCs w:val="22"/>
          <w:lang w:eastAsia="en-AU"/>
        </w:rPr>
        <w:t xml:space="preserve"> </w:t>
      </w:r>
      <w:r w:rsidRPr="00C94F0C">
        <w:rPr>
          <w:sz w:val="22"/>
          <w:szCs w:val="22"/>
          <w:lang w:eastAsia="en-AU"/>
        </w:rPr>
        <w:t>is the Australian Core Skills Framework (ACSF). Alongside the ACSF, SEE providers must also assess participants according to the accredited qualifications that are being delivered.</w:t>
      </w:r>
    </w:p>
    <w:p w14:paraId="39798AE5" w14:textId="3779E501" w:rsidR="00C94F0C" w:rsidRPr="00C94F0C" w:rsidRDefault="00C94F0C" w:rsidP="00C94F0C">
      <w:pPr>
        <w:spacing w:line="280" w:lineRule="exact"/>
        <w:rPr>
          <w:sz w:val="22"/>
          <w:szCs w:val="22"/>
          <w:lang w:eastAsia="en-AU"/>
        </w:rPr>
      </w:pPr>
      <w:r w:rsidRPr="00C94F0C">
        <w:rPr>
          <w:sz w:val="22"/>
          <w:szCs w:val="22"/>
          <w:lang w:eastAsia="en-AU"/>
        </w:rPr>
        <w:t>Most SEE providers agree that this results in significant duplication in assessment, and some emphasise that this is more than just an added administrative burden and is in fact detrimental to training outcomes.</w:t>
      </w:r>
    </w:p>
    <w:p w14:paraId="06D238A7"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 xml:space="preserve">Even teaching professionals, who are LLN specialists, find that the SEE program interferes with the delivery of training packages and other accredited courses…It is well recognised that LLN clients require more individual attention and support, rather than individual and extra assessment. </w:t>
      </w:r>
    </w:p>
    <w:p w14:paraId="49D420C1"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xml:space="preserve">– SEE provider confidential submission </w:t>
      </w:r>
    </w:p>
    <w:p w14:paraId="69F96DE4"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To be honest the level of paperwork and amount of individual assessment reporting against the ACSF required for this program is overwhelming clients and teaching professionals, leaving a lot less time for effective teaching and support of clients…or development of materials and teaching resources...</w:t>
      </w:r>
    </w:p>
    <w:p w14:paraId="20F9C59B"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SEE provider confidential submission</w:t>
      </w:r>
    </w:p>
    <w:p w14:paraId="291E95DD"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SEE teachers report that they find the requirement for double reporting against both the ACSF and an accredited course not only onerous but pointless – as one person said, it “adds a lot to the teachers' workload with no additional value for the learners”.</w:t>
      </w:r>
    </w:p>
    <w:p w14:paraId="15680EDD"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ACTA submission</w:t>
      </w:r>
    </w:p>
    <w:p w14:paraId="540EE403" w14:textId="5883CCCB" w:rsidR="00C94F0C" w:rsidRPr="00C94F0C" w:rsidRDefault="00C94F0C" w:rsidP="00C94F0C">
      <w:pPr>
        <w:spacing w:line="280" w:lineRule="exact"/>
        <w:rPr>
          <w:sz w:val="22"/>
          <w:szCs w:val="22"/>
          <w:lang w:eastAsia="en-AU"/>
        </w:rPr>
      </w:pPr>
      <w:r w:rsidRPr="00C94F0C">
        <w:rPr>
          <w:sz w:val="22"/>
          <w:szCs w:val="22"/>
          <w:lang w:eastAsia="en-AU"/>
        </w:rPr>
        <w:t xml:space="preserve">Many SEE providers consider that reporting against the ACSF </w:t>
      </w:r>
      <w:r w:rsidR="00C95B63">
        <w:rPr>
          <w:sz w:val="22"/>
          <w:szCs w:val="22"/>
          <w:lang w:eastAsia="en-AU"/>
        </w:rPr>
        <w:t>is unnecessary</w:t>
      </w:r>
      <w:r w:rsidRPr="00C94F0C">
        <w:rPr>
          <w:sz w:val="22"/>
          <w:szCs w:val="22"/>
          <w:lang w:eastAsia="en-AU"/>
        </w:rPr>
        <w:t xml:space="preserve"> given that the accredited curriculum that is used is </w:t>
      </w:r>
      <w:r w:rsidR="00E6110C">
        <w:rPr>
          <w:sz w:val="22"/>
          <w:szCs w:val="22"/>
          <w:lang w:eastAsia="en-AU"/>
        </w:rPr>
        <w:t xml:space="preserve">normally </w:t>
      </w:r>
      <w:r w:rsidRPr="00C94F0C">
        <w:rPr>
          <w:sz w:val="22"/>
          <w:szCs w:val="22"/>
          <w:lang w:eastAsia="en-AU"/>
        </w:rPr>
        <w:t>already mapped to the ACSF.</w:t>
      </w:r>
    </w:p>
    <w:p w14:paraId="5A4E3BFA"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In the current guidelines, Providers are required to assess and describe both accredited outcomes and ACSF outcomes. It would be most helpful to educators and learners if an accredited curriculum outcome could form the basis and evidence of an ACSF outcome. This would reduce the amount of formal assessment</w:t>
      </w:r>
    </w:p>
    <w:p w14:paraId="065FCD73"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Melbourne Polytechnic (NMIT) submission</w:t>
      </w:r>
    </w:p>
    <w:p w14:paraId="24597046"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Our members report that the requirement to assess and report against both the ACSF and a curriculum framework such as the EAL Frameworks or the CGEA creates a double assessment workload for teachers in developing and implementing assessment tasks. While tasks can sometimes be mapped to cover both the ACSF and the relevant curriculum framework, the very specific criteria of each framework means that separate tasks are often required.</w:t>
      </w:r>
    </w:p>
    <w:p w14:paraId="1634E973"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It would be far preferable if clients in the SEE program were assessed only against curriculum frameworks as occurs in other language and literacy programs.</w:t>
      </w:r>
    </w:p>
    <w:p w14:paraId="06ECA737"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AEU Submission</w:t>
      </w:r>
    </w:p>
    <w:p w14:paraId="47E54214" w14:textId="45899AEB" w:rsidR="002B4A16" w:rsidRDefault="002B4A16" w:rsidP="00C94F0C">
      <w:pPr>
        <w:spacing w:line="280" w:lineRule="exact"/>
        <w:rPr>
          <w:sz w:val="22"/>
          <w:szCs w:val="22"/>
          <w:lang w:eastAsia="en-AU"/>
        </w:rPr>
      </w:pPr>
      <w:r>
        <w:rPr>
          <w:sz w:val="22"/>
          <w:szCs w:val="22"/>
          <w:lang w:eastAsia="en-AU"/>
        </w:rPr>
        <w:t xml:space="preserve">While the use of ACSF assessments in addition to the training package assessment results in two systems of assessment under </w:t>
      </w:r>
      <w:r w:rsidR="00BB6CFF">
        <w:rPr>
          <w:sz w:val="22"/>
          <w:szCs w:val="22"/>
          <w:lang w:eastAsia="en-AU"/>
        </w:rPr>
        <w:t xml:space="preserve">the </w:t>
      </w:r>
      <w:r>
        <w:rPr>
          <w:sz w:val="22"/>
          <w:szCs w:val="22"/>
          <w:lang w:eastAsia="en-AU"/>
        </w:rPr>
        <w:t>SEE</w:t>
      </w:r>
      <w:r w:rsidR="00BB6CFF">
        <w:rPr>
          <w:sz w:val="22"/>
          <w:szCs w:val="22"/>
          <w:lang w:eastAsia="en-AU"/>
        </w:rPr>
        <w:t xml:space="preserve"> programme</w:t>
      </w:r>
      <w:r>
        <w:rPr>
          <w:sz w:val="22"/>
          <w:szCs w:val="22"/>
          <w:lang w:eastAsia="en-AU"/>
        </w:rPr>
        <w:t xml:space="preserve">, each assessment system serves a distinct purpose. </w:t>
      </w:r>
    </w:p>
    <w:p w14:paraId="31E3E804" w14:textId="365C62CE" w:rsidR="002B4A16" w:rsidRDefault="002B4A16" w:rsidP="00C94F0C">
      <w:pPr>
        <w:spacing w:line="280" w:lineRule="exact"/>
        <w:rPr>
          <w:sz w:val="22"/>
          <w:szCs w:val="22"/>
          <w:lang w:eastAsia="en-AU"/>
        </w:rPr>
      </w:pPr>
      <w:r>
        <w:rPr>
          <w:sz w:val="22"/>
          <w:szCs w:val="22"/>
          <w:lang w:eastAsia="en-AU"/>
        </w:rPr>
        <w:t xml:space="preserve">As noted in Section </w:t>
      </w:r>
      <w:r>
        <w:rPr>
          <w:sz w:val="22"/>
          <w:szCs w:val="22"/>
          <w:lang w:eastAsia="en-AU"/>
        </w:rPr>
        <w:fldChar w:fldCharType="begin"/>
      </w:r>
      <w:r>
        <w:rPr>
          <w:sz w:val="22"/>
          <w:szCs w:val="22"/>
          <w:lang w:eastAsia="en-AU"/>
        </w:rPr>
        <w:instrText xml:space="preserve"> REF _Ref408574647 \r \h </w:instrText>
      </w:r>
      <w:r>
        <w:rPr>
          <w:sz w:val="22"/>
          <w:szCs w:val="22"/>
          <w:lang w:eastAsia="en-AU"/>
        </w:rPr>
      </w:r>
      <w:r>
        <w:rPr>
          <w:sz w:val="22"/>
          <w:szCs w:val="22"/>
          <w:lang w:eastAsia="en-AU"/>
        </w:rPr>
        <w:fldChar w:fldCharType="separate"/>
      </w:r>
      <w:r w:rsidR="00294A5A">
        <w:rPr>
          <w:sz w:val="22"/>
          <w:szCs w:val="22"/>
          <w:lang w:eastAsia="en-AU"/>
        </w:rPr>
        <w:t>2.3</w:t>
      </w:r>
      <w:r>
        <w:rPr>
          <w:sz w:val="22"/>
          <w:szCs w:val="22"/>
          <w:lang w:eastAsia="en-AU"/>
        </w:rPr>
        <w:fldChar w:fldCharType="end"/>
      </w:r>
      <w:r>
        <w:rPr>
          <w:sz w:val="22"/>
          <w:szCs w:val="22"/>
          <w:lang w:eastAsia="en-AU"/>
        </w:rPr>
        <w:t xml:space="preserve">, providers may deliver a range of LLN training packages (or qualifications) under </w:t>
      </w:r>
      <w:r w:rsidR="00BB6CFF">
        <w:rPr>
          <w:sz w:val="22"/>
          <w:szCs w:val="22"/>
          <w:lang w:eastAsia="en-AU"/>
        </w:rPr>
        <w:t xml:space="preserve">the </w:t>
      </w:r>
      <w:r>
        <w:rPr>
          <w:sz w:val="22"/>
          <w:szCs w:val="22"/>
          <w:lang w:eastAsia="en-AU"/>
        </w:rPr>
        <w:t>SEE</w:t>
      </w:r>
      <w:r w:rsidR="00BB6CFF">
        <w:rPr>
          <w:sz w:val="22"/>
          <w:szCs w:val="22"/>
          <w:lang w:eastAsia="en-AU"/>
        </w:rPr>
        <w:t xml:space="preserve"> programme</w:t>
      </w:r>
      <w:r>
        <w:rPr>
          <w:sz w:val="22"/>
          <w:szCs w:val="22"/>
          <w:lang w:eastAsia="en-AU"/>
        </w:rPr>
        <w:t xml:space="preserve">. The training package assessments </w:t>
      </w:r>
      <w:r w:rsidR="009B2154">
        <w:rPr>
          <w:sz w:val="22"/>
          <w:szCs w:val="22"/>
          <w:lang w:eastAsia="en-AU"/>
        </w:rPr>
        <w:t xml:space="preserve">test client competency against the qualification they are studying and ensure that providers are delivering an accredited training package. </w:t>
      </w:r>
    </w:p>
    <w:p w14:paraId="443BEC86" w14:textId="11473F59" w:rsidR="009B2154" w:rsidRDefault="00C94F0C" w:rsidP="00C94F0C">
      <w:pPr>
        <w:spacing w:line="280" w:lineRule="exact"/>
        <w:rPr>
          <w:sz w:val="22"/>
          <w:szCs w:val="22"/>
          <w:lang w:eastAsia="en-AU"/>
        </w:rPr>
      </w:pPr>
      <w:r w:rsidRPr="00C94F0C">
        <w:rPr>
          <w:sz w:val="22"/>
          <w:szCs w:val="22"/>
          <w:lang w:eastAsia="en-AU"/>
        </w:rPr>
        <w:t xml:space="preserve">As discussed </w:t>
      </w:r>
      <w:r w:rsidR="002A5B77">
        <w:rPr>
          <w:sz w:val="22"/>
          <w:szCs w:val="22"/>
          <w:lang w:eastAsia="en-AU"/>
        </w:rPr>
        <w:t>previously</w:t>
      </w:r>
      <w:r w:rsidRPr="00C94F0C">
        <w:rPr>
          <w:sz w:val="22"/>
          <w:szCs w:val="22"/>
          <w:lang w:eastAsia="en-AU"/>
        </w:rPr>
        <w:t xml:space="preserve">, the requirement to periodically assess against the ACSF is an important component of monitoring provider performance. </w:t>
      </w:r>
      <w:r w:rsidR="009B2154">
        <w:rPr>
          <w:sz w:val="22"/>
          <w:szCs w:val="22"/>
          <w:lang w:eastAsia="en-AU"/>
        </w:rPr>
        <w:t xml:space="preserve">The ACSF assessments allow the Department to track the attainment of LLN and job readiness skills of SEE </w:t>
      </w:r>
      <w:r w:rsidR="00BB6CFF">
        <w:rPr>
          <w:sz w:val="22"/>
          <w:szCs w:val="22"/>
          <w:lang w:eastAsia="en-AU"/>
        </w:rPr>
        <w:t xml:space="preserve">programme </w:t>
      </w:r>
      <w:r w:rsidR="009B2154">
        <w:rPr>
          <w:sz w:val="22"/>
          <w:szCs w:val="22"/>
          <w:lang w:eastAsia="en-AU"/>
        </w:rPr>
        <w:t xml:space="preserve">clients, and therefore measure the performance of providers in delivering the programme and the performance of the programme overall. </w:t>
      </w:r>
    </w:p>
    <w:p w14:paraId="3FD79291" w14:textId="7BFA77E9" w:rsidR="00C94F0C" w:rsidRDefault="00C94F0C" w:rsidP="00F43636">
      <w:pPr>
        <w:spacing w:line="280" w:lineRule="exact"/>
        <w:rPr>
          <w:sz w:val="22"/>
          <w:szCs w:val="22"/>
          <w:lang w:eastAsia="en-AU"/>
        </w:rPr>
      </w:pPr>
      <w:r w:rsidRPr="00C94F0C">
        <w:rPr>
          <w:sz w:val="22"/>
          <w:szCs w:val="22"/>
          <w:lang w:eastAsia="en-AU"/>
        </w:rPr>
        <w:t xml:space="preserve">As such, </w:t>
      </w:r>
      <w:r w:rsidR="009B2154">
        <w:rPr>
          <w:sz w:val="22"/>
          <w:szCs w:val="22"/>
          <w:lang w:eastAsia="en-AU"/>
        </w:rPr>
        <w:t xml:space="preserve">the two systems of assessment under </w:t>
      </w:r>
      <w:r w:rsidR="00BB6CFF">
        <w:rPr>
          <w:sz w:val="22"/>
          <w:szCs w:val="22"/>
          <w:lang w:eastAsia="en-AU"/>
        </w:rPr>
        <w:t xml:space="preserve">the </w:t>
      </w:r>
      <w:r w:rsidR="009B2154">
        <w:rPr>
          <w:sz w:val="22"/>
          <w:szCs w:val="22"/>
          <w:lang w:eastAsia="en-AU"/>
        </w:rPr>
        <w:t>SEE</w:t>
      </w:r>
      <w:r w:rsidR="009B2154" w:rsidRPr="00C94F0C">
        <w:rPr>
          <w:sz w:val="22"/>
          <w:szCs w:val="22"/>
          <w:lang w:eastAsia="en-AU"/>
        </w:rPr>
        <w:t xml:space="preserve"> </w:t>
      </w:r>
      <w:r w:rsidR="00BB6CFF">
        <w:rPr>
          <w:sz w:val="22"/>
          <w:szCs w:val="22"/>
          <w:lang w:eastAsia="en-AU"/>
        </w:rPr>
        <w:t xml:space="preserve">programme </w:t>
      </w:r>
      <w:r w:rsidR="009B2154">
        <w:rPr>
          <w:sz w:val="22"/>
          <w:szCs w:val="22"/>
          <w:lang w:eastAsia="en-AU"/>
        </w:rPr>
        <w:t>is intentional, with each playing an important role in the programme</w:t>
      </w:r>
      <w:r w:rsidRPr="00C94F0C">
        <w:rPr>
          <w:sz w:val="22"/>
          <w:szCs w:val="22"/>
          <w:lang w:eastAsia="en-AU"/>
        </w:rPr>
        <w: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F43636" w14:paraId="4D597A91" w14:textId="77777777" w:rsidTr="00E8274A">
        <w:tc>
          <w:tcPr>
            <w:tcW w:w="5000" w:type="pct"/>
            <w:shd w:val="pct12" w:color="auto" w:fill="auto"/>
          </w:tcPr>
          <w:p w14:paraId="10B6BC10" w14:textId="77777777" w:rsidR="00F43636" w:rsidRDefault="00F43636" w:rsidP="00E8274A">
            <w:pPr>
              <w:pStyle w:val="Caption"/>
              <w:spacing w:before="120" w:after="60"/>
              <w:ind w:left="1112" w:hanging="1112"/>
              <w:rPr>
                <w:rFonts w:ascii="Arial Bold" w:hAnsi="Arial Bold"/>
                <w:color w:val="000080"/>
              </w:rPr>
            </w:pPr>
            <w:r>
              <w:t xml:space="preserve">Recommendation </w:t>
            </w:r>
            <w:r w:rsidR="006A2396">
              <w:fldChar w:fldCharType="begin"/>
            </w:r>
            <w:r w:rsidR="006A2396">
              <w:instrText xml:space="preserve"> SEQ Recommendation \* ARABIC </w:instrText>
            </w:r>
            <w:r w:rsidR="006A2396">
              <w:fldChar w:fldCharType="separate"/>
            </w:r>
            <w:r w:rsidR="00294A5A">
              <w:rPr>
                <w:noProof/>
              </w:rPr>
              <w:t>6</w:t>
            </w:r>
            <w:r w:rsidR="006A2396">
              <w:rPr>
                <w:noProof/>
              </w:rPr>
              <w:fldChar w:fldCharType="end"/>
            </w:r>
          </w:p>
        </w:tc>
      </w:tr>
      <w:tr w:rsidR="00F43636" w14:paraId="4CB4FFB5" w14:textId="77777777" w:rsidTr="00E8274A">
        <w:tc>
          <w:tcPr>
            <w:tcW w:w="5000" w:type="pct"/>
            <w:shd w:val="pct12" w:color="auto" w:fill="auto"/>
          </w:tcPr>
          <w:p w14:paraId="7CBFF4D3" w14:textId="5C691676" w:rsidR="00F43636" w:rsidRDefault="00F43636" w:rsidP="00E8274A">
            <w:pPr>
              <w:keepNext/>
              <w:keepLines/>
              <w:spacing w:before="80" w:after="40" w:line="220" w:lineRule="exact"/>
            </w:pPr>
            <w:r w:rsidRPr="00F85720">
              <w:rPr>
                <w:sz w:val="20"/>
                <w:szCs w:val="22"/>
                <w:lang w:eastAsia="en-AU"/>
              </w:rPr>
              <w:t xml:space="preserve">The two systems of assessment used in the </w:t>
            </w:r>
            <w:r w:rsidR="00147674">
              <w:rPr>
                <w:sz w:val="20"/>
                <w:szCs w:val="22"/>
                <w:lang w:eastAsia="en-AU"/>
              </w:rPr>
              <w:t>SEE programme</w:t>
            </w:r>
            <w:r w:rsidRPr="00F85720">
              <w:rPr>
                <w:sz w:val="20"/>
                <w:szCs w:val="22"/>
                <w:lang w:eastAsia="en-AU"/>
              </w:rPr>
              <w:t xml:space="preserve"> (the different training packages and the ASCF) should be maintained. </w:t>
            </w:r>
          </w:p>
          <w:p w14:paraId="6B202EEC" w14:textId="77777777" w:rsidR="00F43636" w:rsidRDefault="00F43636" w:rsidP="00E8274A">
            <w:pPr>
              <w:pStyle w:val="SmallDeltasRightAligned"/>
            </w:pPr>
            <w:r>
              <w:rPr>
                <w:noProof/>
                <w:lang w:eastAsia="en-AU"/>
              </w:rPr>
              <w:drawing>
                <wp:inline distT="0" distB="0" distL="0" distR="0" wp14:anchorId="6FE3F26E" wp14:editId="16D85037">
                  <wp:extent cx="481585" cy="23469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43636" w14:paraId="018895B5" w14:textId="77777777" w:rsidTr="00E8274A">
        <w:trPr>
          <w:trHeight w:hRule="exact" w:val="80"/>
        </w:trPr>
        <w:tc>
          <w:tcPr>
            <w:tcW w:w="5000" w:type="pct"/>
            <w:shd w:val="pct12" w:color="auto" w:fill="auto"/>
          </w:tcPr>
          <w:p w14:paraId="56C292DA" w14:textId="77777777" w:rsidR="00F43636" w:rsidRDefault="00F43636">
            <w:pPr>
              <w:spacing w:before="160"/>
            </w:pPr>
            <w:r>
              <w:t xml:space="preserve"> </w:t>
            </w:r>
          </w:p>
        </w:tc>
      </w:tr>
    </w:tbl>
    <w:p w14:paraId="6CFAF2E3" w14:textId="45BF6A49" w:rsidR="009B2154" w:rsidRDefault="009B2154" w:rsidP="00E8274A">
      <w:pPr>
        <w:pStyle w:val="Heading5"/>
      </w:pPr>
      <w:r>
        <w:t>Approaches to reducing resources devoted to assessments</w:t>
      </w:r>
    </w:p>
    <w:p w14:paraId="4C1E973F" w14:textId="4EC2611D" w:rsidR="00C94F0C" w:rsidRPr="00C94F0C" w:rsidRDefault="002A5B77" w:rsidP="00C94F0C">
      <w:pPr>
        <w:spacing w:line="280" w:lineRule="exact"/>
        <w:rPr>
          <w:sz w:val="22"/>
          <w:szCs w:val="22"/>
          <w:lang w:eastAsia="en-AU"/>
        </w:rPr>
      </w:pPr>
      <w:r>
        <w:rPr>
          <w:sz w:val="22"/>
          <w:szCs w:val="22"/>
          <w:lang w:eastAsia="en-AU"/>
        </w:rPr>
        <w:t>The</w:t>
      </w:r>
      <w:r w:rsidR="00C94F0C" w:rsidRPr="00C94F0C">
        <w:rPr>
          <w:sz w:val="22"/>
          <w:szCs w:val="22"/>
          <w:lang w:eastAsia="en-AU"/>
        </w:rPr>
        <w:t xml:space="preserve"> primary issue raised by SEE providers that the dual assessment requirement is in fact detrimental to SEE participants</w:t>
      </w:r>
      <w:r>
        <w:rPr>
          <w:sz w:val="22"/>
          <w:szCs w:val="22"/>
          <w:lang w:eastAsia="en-AU"/>
        </w:rPr>
        <w:t xml:space="preserve"> could be addressed through </w:t>
      </w:r>
      <w:r w:rsidR="00C94F0C" w:rsidRPr="00C94F0C">
        <w:rPr>
          <w:sz w:val="22"/>
          <w:szCs w:val="22"/>
          <w:lang w:eastAsia="en-AU"/>
        </w:rPr>
        <w:t>consider</w:t>
      </w:r>
      <w:r>
        <w:rPr>
          <w:sz w:val="22"/>
          <w:szCs w:val="22"/>
          <w:lang w:eastAsia="en-AU"/>
        </w:rPr>
        <w:t>ing</w:t>
      </w:r>
      <w:r w:rsidR="00C94F0C" w:rsidRPr="00C94F0C">
        <w:rPr>
          <w:sz w:val="22"/>
          <w:szCs w:val="22"/>
          <w:lang w:eastAsia="en-AU"/>
        </w:rPr>
        <w:t xml:space="preserve"> a number of options:</w:t>
      </w:r>
    </w:p>
    <w:p w14:paraId="3D417FAF" w14:textId="18722BE6" w:rsidR="000B58EB" w:rsidRDefault="00C94F0C" w:rsidP="00C94F0C">
      <w:pPr>
        <w:numPr>
          <w:ilvl w:val="0"/>
          <w:numId w:val="12"/>
        </w:numPr>
        <w:spacing w:before="60" w:after="60" w:line="280" w:lineRule="exact"/>
        <w:rPr>
          <w:sz w:val="22"/>
          <w:szCs w:val="22"/>
          <w:lang w:eastAsia="en-AU"/>
        </w:rPr>
      </w:pPr>
      <w:r w:rsidRPr="00F43636">
        <w:rPr>
          <w:sz w:val="22"/>
          <w:szCs w:val="22"/>
          <w:lang w:eastAsia="en-AU"/>
        </w:rPr>
        <w:t>Removing the requirement to assess against the ACSF and relying on assessments against the accredited qualifications delivered by providers</w:t>
      </w:r>
      <w:r w:rsidR="00C5382E">
        <w:rPr>
          <w:sz w:val="22"/>
          <w:szCs w:val="22"/>
          <w:lang w:eastAsia="en-AU"/>
        </w:rPr>
        <w:t>.</w:t>
      </w:r>
    </w:p>
    <w:p w14:paraId="557F1082" w14:textId="6F0AC4DC" w:rsidR="00C94F0C" w:rsidRPr="00C94F0C" w:rsidRDefault="00C94F0C" w:rsidP="00C94F0C">
      <w:pPr>
        <w:numPr>
          <w:ilvl w:val="0"/>
          <w:numId w:val="12"/>
        </w:numPr>
        <w:spacing w:before="60" w:after="60" w:line="280" w:lineRule="exact"/>
        <w:rPr>
          <w:sz w:val="22"/>
          <w:szCs w:val="22"/>
          <w:lang w:eastAsia="en-AU"/>
        </w:rPr>
      </w:pPr>
      <w:r w:rsidRPr="00C94F0C">
        <w:rPr>
          <w:sz w:val="22"/>
          <w:szCs w:val="22"/>
          <w:lang w:eastAsia="en-AU"/>
        </w:rPr>
        <w:t>Reducing the frequency of assessments against the ACSF</w:t>
      </w:r>
      <w:r w:rsidR="00C5382E">
        <w:rPr>
          <w:sz w:val="22"/>
          <w:szCs w:val="22"/>
          <w:lang w:eastAsia="en-AU"/>
        </w:rPr>
        <w:t>.</w:t>
      </w:r>
    </w:p>
    <w:p w14:paraId="227919CC" w14:textId="0B2F0F81" w:rsidR="009B2154" w:rsidRPr="009B2154" w:rsidRDefault="009B2154" w:rsidP="009B2154">
      <w:pPr>
        <w:numPr>
          <w:ilvl w:val="0"/>
          <w:numId w:val="12"/>
        </w:numPr>
        <w:spacing w:before="60" w:after="60" w:line="280" w:lineRule="exact"/>
        <w:rPr>
          <w:sz w:val="22"/>
          <w:szCs w:val="22"/>
          <w:lang w:eastAsia="en-AU"/>
        </w:rPr>
      </w:pPr>
      <w:r w:rsidRPr="009B2154">
        <w:rPr>
          <w:sz w:val="22"/>
          <w:szCs w:val="22"/>
          <w:lang w:eastAsia="en-AU"/>
        </w:rPr>
        <w:t>Reducing the burden of the assessment task through more efficient instruments</w:t>
      </w:r>
      <w:r w:rsidR="00C5382E">
        <w:rPr>
          <w:sz w:val="22"/>
          <w:szCs w:val="22"/>
          <w:lang w:eastAsia="en-AU"/>
        </w:rPr>
        <w:t>.</w:t>
      </w:r>
    </w:p>
    <w:p w14:paraId="25164B49" w14:textId="1214645D" w:rsidR="00C94F0C" w:rsidRDefault="002A5B77" w:rsidP="00C94F0C">
      <w:pPr>
        <w:spacing w:line="280" w:lineRule="exact"/>
        <w:rPr>
          <w:sz w:val="22"/>
          <w:szCs w:val="22"/>
          <w:lang w:eastAsia="en-AU"/>
        </w:rPr>
      </w:pPr>
      <w:r>
        <w:rPr>
          <w:sz w:val="22"/>
          <w:szCs w:val="22"/>
          <w:lang w:eastAsia="en-AU"/>
        </w:rPr>
        <w:t>The</w:t>
      </w:r>
      <w:r w:rsidR="00C94F0C" w:rsidRPr="00C94F0C">
        <w:rPr>
          <w:sz w:val="22"/>
          <w:szCs w:val="22"/>
          <w:lang w:eastAsia="en-AU"/>
        </w:rPr>
        <w:t xml:space="preserve"> option of removing the requirement to assess against the ACSF in its entirety </w:t>
      </w:r>
      <w:r>
        <w:rPr>
          <w:sz w:val="22"/>
          <w:szCs w:val="22"/>
          <w:lang w:eastAsia="en-AU"/>
        </w:rPr>
        <w:t>could, however,</w:t>
      </w:r>
      <w:r w:rsidR="00C94F0C" w:rsidRPr="00C94F0C">
        <w:rPr>
          <w:sz w:val="22"/>
          <w:szCs w:val="22"/>
          <w:lang w:eastAsia="en-AU"/>
        </w:rPr>
        <w:t xml:space="preserve"> </w:t>
      </w:r>
      <w:r>
        <w:rPr>
          <w:sz w:val="22"/>
          <w:szCs w:val="22"/>
          <w:lang w:eastAsia="en-AU"/>
        </w:rPr>
        <w:t>pose significant risk to</w:t>
      </w:r>
      <w:r w:rsidR="00C94F0C" w:rsidRPr="00C94F0C">
        <w:rPr>
          <w:sz w:val="22"/>
          <w:szCs w:val="22"/>
          <w:lang w:eastAsia="en-AU"/>
        </w:rPr>
        <w:t xml:space="preserve"> an important quality assurance mechanism. </w:t>
      </w:r>
      <w:r w:rsidR="00F85720">
        <w:rPr>
          <w:sz w:val="22"/>
          <w:szCs w:val="22"/>
          <w:lang w:eastAsia="en-AU"/>
        </w:rPr>
        <w:t xml:space="preserve">Without the ACSF assessments the Department would lose the </w:t>
      </w:r>
      <w:r w:rsidR="00F85720" w:rsidRPr="00F85720">
        <w:rPr>
          <w:sz w:val="22"/>
          <w:szCs w:val="22"/>
          <w:lang w:eastAsia="en-AU"/>
        </w:rPr>
        <w:t xml:space="preserve">primary tool used to measure whether the </w:t>
      </w:r>
      <w:r w:rsidR="00535E39">
        <w:rPr>
          <w:sz w:val="22"/>
          <w:szCs w:val="22"/>
          <w:lang w:eastAsia="en-AU"/>
        </w:rPr>
        <w:t xml:space="preserve">SEE </w:t>
      </w:r>
      <w:r w:rsidR="00F85720" w:rsidRPr="00F85720">
        <w:rPr>
          <w:sz w:val="22"/>
          <w:szCs w:val="22"/>
          <w:lang w:eastAsia="en-AU"/>
        </w:rPr>
        <w:t xml:space="preserve">programme is meeting its objectives </w:t>
      </w:r>
      <w:r w:rsidR="00F85720">
        <w:rPr>
          <w:sz w:val="22"/>
          <w:szCs w:val="22"/>
          <w:lang w:eastAsia="en-AU"/>
        </w:rPr>
        <w:t>of improving clients</w:t>
      </w:r>
      <w:r w:rsidR="00F85720" w:rsidRPr="00F85720">
        <w:rPr>
          <w:sz w:val="22"/>
          <w:szCs w:val="22"/>
          <w:lang w:eastAsia="en-AU"/>
        </w:rPr>
        <w:t xml:space="preserve"> LLN</w:t>
      </w:r>
      <w:r w:rsidR="00F85720">
        <w:rPr>
          <w:sz w:val="22"/>
          <w:szCs w:val="22"/>
          <w:lang w:eastAsia="en-AU"/>
        </w:rPr>
        <w:t>, and would lose an important measure of provider performance.</w:t>
      </w:r>
    </w:p>
    <w:p w14:paraId="776C90D3" w14:textId="111014A3" w:rsidR="009B2154" w:rsidRDefault="00F85720" w:rsidP="00C94F0C">
      <w:pPr>
        <w:spacing w:line="280" w:lineRule="exact"/>
        <w:rPr>
          <w:sz w:val="22"/>
          <w:szCs w:val="22"/>
          <w:lang w:eastAsia="en-AU"/>
        </w:rPr>
      </w:pPr>
      <w:r>
        <w:rPr>
          <w:sz w:val="22"/>
          <w:szCs w:val="22"/>
          <w:lang w:eastAsia="en-AU"/>
        </w:rPr>
        <w:t>The frequency of assessments against the ACSF is determined by providers, based, in large part</w:t>
      </w:r>
      <w:r w:rsidR="00C5382E">
        <w:rPr>
          <w:sz w:val="22"/>
          <w:szCs w:val="22"/>
          <w:lang w:eastAsia="en-AU"/>
        </w:rPr>
        <w:t>,</w:t>
      </w:r>
      <w:r>
        <w:rPr>
          <w:sz w:val="22"/>
          <w:szCs w:val="22"/>
          <w:lang w:eastAsia="en-AU"/>
        </w:rPr>
        <w:t xml:space="preserve"> on KPI 2 and their attrition rate. This issue </w:t>
      </w:r>
      <w:r w:rsidR="00C5382E">
        <w:rPr>
          <w:sz w:val="22"/>
          <w:szCs w:val="22"/>
          <w:lang w:eastAsia="en-AU"/>
        </w:rPr>
        <w:t xml:space="preserve">is </w:t>
      </w:r>
      <w:r>
        <w:rPr>
          <w:sz w:val="22"/>
          <w:szCs w:val="22"/>
          <w:lang w:eastAsia="en-AU"/>
        </w:rPr>
        <w:t>discussed further in Section 7.1.5.</w:t>
      </w:r>
    </w:p>
    <w:p w14:paraId="676354DF" w14:textId="496EFADA" w:rsidR="001170BF" w:rsidRDefault="00C94F0C" w:rsidP="00C94F0C">
      <w:pPr>
        <w:spacing w:line="280" w:lineRule="exact"/>
        <w:rPr>
          <w:sz w:val="22"/>
          <w:szCs w:val="22"/>
          <w:lang w:eastAsia="en-AU"/>
        </w:rPr>
      </w:pPr>
      <w:r w:rsidRPr="00C94F0C">
        <w:rPr>
          <w:sz w:val="22"/>
          <w:szCs w:val="22"/>
          <w:lang w:eastAsia="en-AU"/>
        </w:rPr>
        <w:t>With respect to reducing the burden of the assessment task through more efficient instruments</w:t>
      </w:r>
      <w:r w:rsidR="00C5382E">
        <w:rPr>
          <w:sz w:val="22"/>
          <w:szCs w:val="22"/>
          <w:lang w:eastAsia="en-AU"/>
        </w:rPr>
        <w:t>,</w:t>
      </w:r>
      <w:r w:rsidRPr="00C94F0C">
        <w:rPr>
          <w:sz w:val="22"/>
          <w:szCs w:val="22"/>
          <w:lang w:eastAsia="en-AU"/>
        </w:rPr>
        <w:t xml:space="preserve"> the </w:t>
      </w:r>
      <w:r w:rsidR="008D0896">
        <w:rPr>
          <w:sz w:val="22"/>
          <w:szCs w:val="22"/>
          <w:lang w:eastAsia="en-AU"/>
        </w:rPr>
        <w:t>Australian</w:t>
      </w:r>
      <w:r w:rsidR="00C5382E">
        <w:rPr>
          <w:sz w:val="22"/>
          <w:szCs w:val="22"/>
          <w:lang w:eastAsia="en-AU"/>
        </w:rPr>
        <w:t xml:space="preserve"> G</w:t>
      </w:r>
      <w:r w:rsidRPr="00C94F0C">
        <w:rPr>
          <w:sz w:val="22"/>
          <w:szCs w:val="22"/>
          <w:lang w:eastAsia="en-AU"/>
        </w:rPr>
        <w:t xml:space="preserve">overnment has already made an investment in the development </w:t>
      </w:r>
      <w:r w:rsidRPr="001170BF">
        <w:rPr>
          <w:sz w:val="22"/>
          <w:szCs w:val="22"/>
          <w:lang w:eastAsia="en-AU"/>
        </w:rPr>
        <w:t>of</w:t>
      </w:r>
      <w:r w:rsidRPr="00E8274A">
        <w:rPr>
          <w:sz w:val="22"/>
          <w:szCs w:val="22"/>
          <w:lang w:eastAsia="en-AU"/>
        </w:rPr>
        <w:t xml:space="preserve"> </w:t>
      </w:r>
      <w:r w:rsidR="001170BF" w:rsidRPr="001170BF">
        <w:rPr>
          <w:sz w:val="22"/>
          <w:szCs w:val="22"/>
          <w:lang w:eastAsia="en-AU"/>
        </w:rPr>
        <w:t>the</w:t>
      </w:r>
      <w:r w:rsidR="001170BF">
        <w:rPr>
          <w:sz w:val="22"/>
          <w:szCs w:val="22"/>
          <w:lang w:eastAsia="en-AU"/>
        </w:rPr>
        <w:t xml:space="preserve"> online </w:t>
      </w:r>
      <w:r w:rsidRPr="00C94F0C">
        <w:rPr>
          <w:sz w:val="22"/>
          <w:szCs w:val="22"/>
          <w:lang w:eastAsia="en-AU"/>
        </w:rPr>
        <w:t xml:space="preserve">Foundation Skills Assessment Tool (FSAT). </w:t>
      </w:r>
    </w:p>
    <w:p w14:paraId="4FCF1520" w14:textId="52D4052D" w:rsidR="001170BF" w:rsidRDefault="00C94F0C" w:rsidP="00C94F0C">
      <w:pPr>
        <w:spacing w:line="280" w:lineRule="exact"/>
        <w:rPr>
          <w:sz w:val="22"/>
          <w:szCs w:val="22"/>
          <w:lang w:eastAsia="en-AU"/>
        </w:rPr>
      </w:pPr>
      <w:r w:rsidRPr="00C94F0C">
        <w:rPr>
          <w:sz w:val="22"/>
          <w:szCs w:val="22"/>
          <w:lang w:eastAsia="en-AU"/>
        </w:rPr>
        <w:t xml:space="preserve">The FSAT, currently being developed by the Australian Centre for </w:t>
      </w:r>
      <w:r w:rsidRPr="001170BF">
        <w:rPr>
          <w:sz w:val="22"/>
          <w:szCs w:val="22"/>
          <w:lang w:eastAsia="en-AU"/>
        </w:rPr>
        <w:t>Educational R</w:t>
      </w:r>
      <w:r w:rsidRPr="00C94F0C">
        <w:rPr>
          <w:sz w:val="22"/>
          <w:szCs w:val="22"/>
          <w:lang w:eastAsia="en-AU"/>
        </w:rPr>
        <w:t>esearch (ACER)</w:t>
      </w:r>
      <w:r w:rsidR="001170BF">
        <w:rPr>
          <w:sz w:val="22"/>
          <w:szCs w:val="22"/>
          <w:lang w:eastAsia="en-AU"/>
        </w:rPr>
        <w:t>,</w:t>
      </w:r>
      <w:r w:rsidRPr="00C94F0C">
        <w:rPr>
          <w:sz w:val="22"/>
          <w:szCs w:val="22"/>
          <w:lang w:eastAsia="en-AU"/>
        </w:rPr>
        <w:t xml:space="preserve"> will assist approved providers to assess a client’s foundation skill levels, and help identify any gaps in skills and knowledge. </w:t>
      </w:r>
    </w:p>
    <w:p w14:paraId="6352F427" w14:textId="335AFA8F" w:rsidR="00C94F0C" w:rsidRPr="00C94F0C" w:rsidRDefault="00C94F0C" w:rsidP="00C94F0C">
      <w:pPr>
        <w:spacing w:line="280" w:lineRule="exact"/>
        <w:rPr>
          <w:sz w:val="22"/>
          <w:szCs w:val="22"/>
          <w:lang w:eastAsia="en-AU"/>
        </w:rPr>
      </w:pPr>
      <w:r w:rsidRPr="00C94F0C">
        <w:rPr>
          <w:sz w:val="22"/>
          <w:szCs w:val="22"/>
          <w:lang w:eastAsia="en-AU"/>
        </w:rPr>
        <w:t xml:space="preserve">The FSAT will </w:t>
      </w:r>
      <w:r w:rsidR="009F56A6">
        <w:rPr>
          <w:sz w:val="22"/>
          <w:szCs w:val="22"/>
          <w:lang w:eastAsia="en-AU"/>
        </w:rPr>
        <w:t xml:space="preserve">be able to test an individual’s LLN performance against the ACSF and </w:t>
      </w:r>
      <w:r w:rsidRPr="00C94F0C">
        <w:rPr>
          <w:sz w:val="22"/>
          <w:szCs w:val="22"/>
          <w:lang w:eastAsia="en-AU"/>
        </w:rPr>
        <w:t xml:space="preserve">is therefore well suited for use as part of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assessments. </w:t>
      </w:r>
      <w:r w:rsidR="009F56A6">
        <w:rPr>
          <w:sz w:val="22"/>
          <w:szCs w:val="22"/>
          <w:lang w:eastAsia="en-AU"/>
        </w:rPr>
        <w:t xml:space="preserve">While much of the FSAT will be automated, </w:t>
      </w:r>
      <w:r w:rsidR="00535E39">
        <w:rPr>
          <w:sz w:val="22"/>
          <w:szCs w:val="22"/>
          <w:lang w:eastAsia="en-AU"/>
        </w:rPr>
        <w:t xml:space="preserve">SEE </w:t>
      </w:r>
      <w:r w:rsidR="009F56A6">
        <w:rPr>
          <w:sz w:val="22"/>
          <w:szCs w:val="22"/>
          <w:lang w:eastAsia="en-AU"/>
        </w:rPr>
        <w:t xml:space="preserve">providers will be able </w:t>
      </w:r>
      <w:r w:rsidR="009F56A6" w:rsidRPr="009F56A6">
        <w:rPr>
          <w:sz w:val="22"/>
          <w:szCs w:val="22"/>
          <w:lang w:eastAsia="en-AU"/>
        </w:rPr>
        <w:t>to define and tailor a</w:t>
      </w:r>
      <w:r w:rsidR="009F56A6">
        <w:rPr>
          <w:sz w:val="22"/>
          <w:szCs w:val="22"/>
          <w:lang w:eastAsia="en-AU"/>
        </w:rPr>
        <w:t>n</w:t>
      </w:r>
      <w:r w:rsidR="009F56A6" w:rsidRPr="009F56A6">
        <w:rPr>
          <w:sz w:val="22"/>
          <w:szCs w:val="22"/>
          <w:lang w:eastAsia="en-AU"/>
        </w:rPr>
        <w:t xml:space="preserve"> assessment against the relevant </w:t>
      </w:r>
      <w:r w:rsidR="009F56A6">
        <w:rPr>
          <w:sz w:val="22"/>
          <w:szCs w:val="22"/>
          <w:lang w:eastAsia="en-AU"/>
        </w:rPr>
        <w:t xml:space="preserve">ACSF </w:t>
      </w:r>
      <w:r w:rsidR="009F56A6" w:rsidRPr="009F56A6">
        <w:rPr>
          <w:sz w:val="22"/>
          <w:szCs w:val="22"/>
          <w:lang w:eastAsia="en-AU"/>
        </w:rPr>
        <w:t>skill areas</w:t>
      </w:r>
      <w:r w:rsidR="009F56A6">
        <w:rPr>
          <w:sz w:val="22"/>
          <w:szCs w:val="22"/>
          <w:lang w:eastAsia="en-AU"/>
        </w:rPr>
        <w:t>.</w:t>
      </w:r>
    </w:p>
    <w:p w14:paraId="7FBCC30C" w14:textId="21092527" w:rsidR="00C94F0C" w:rsidRPr="00C94F0C" w:rsidRDefault="001170BF" w:rsidP="00C94F0C">
      <w:pPr>
        <w:spacing w:line="280" w:lineRule="exact"/>
        <w:rPr>
          <w:sz w:val="22"/>
          <w:szCs w:val="22"/>
          <w:lang w:eastAsia="en-AU"/>
        </w:rPr>
      </w:pPr>
      <w:r>
        <w:rPr>
          <w:sz w:val="22"/>
          <w:szCs w:val="22"/>
          <w:lang w:eastAsia="en-AU"/>
        </w:rPr>
        <w:t>As the FSAT is a</w:t>
      </w:r>
      <w:r w:rsidR="00A84F72">
        <w:rPr>
          <w:sz w:val="22"/>
          <w:szCs w:val="22"/>
          <w:lang w:eastAsia="en-AU"/>
        </w:rPr>
        <w:t>n</w:t>
      </w:r>
      <w:r>
        <w:rPr>
          <w:sz w:val="22"/>
          <w:szCs w:val="22"/>
          <w:lang w:eastAsia="en-AU"/>
        </w:rPr>
        <w:t xml:space="preserve"> online tool which will require </w:t>
      </w:r>
      <w:r w:rsidR="00A84F72">
        <w:rPr>
          <w:sz w:val="22"/>
          <w:szCs w:val="22"/>
          <w:lang w:eastAsia="en-AU"/>
        </w:rPr>
        <w:t xml:space="preserve">little provider assessor time, the </w:t>
      </w:r>
      <w:r w:rsidR="00C94F0C" w:rsidRPr="00C94F0C">
        <w:rPr>
          <w:sz w:val="22"/>
          <w:szCs w:val="22"/>
          <w:lang w:eastAsia="en-AU"/>
        </w:rPr>
        <w:t xml:space="preserve">use of the FSAT </w:t>
      </w:r>
      <w:r w:rsidR="00C95B63">
        <w:rPr>
          <w:sz w:val="22"/>
          <w:szCs w:val="22"/>
          <w:lang w:eastAsia="en-AU"/>
        </w:rPr>
        <w:t>c</w:t>
      </w:r>
      <w:r w:rsidR="00C94F0C" w:rsidRPr="00C94F0C">
        <w:rPr>
          <w:sz w:val="22"/>
          <w:szCs w:val="22"/>
          <w:lang w:eastAsia="en-AU"/>
        </w:rPr>
        <w:t xml:space="preserve">ould have a material impact on the resourcing and time required for </w:t>
      </w:r>
      <w:r w:rsidR="00147674">
        <w:rPr>
          <w:sz w:val="22"/>
          <w:szCs w:val="22"/>
          <w:lang w:eastAsia="en-AU"/>
        </w:rPr>
        <w:t>SEE programme</w:t>
      </w:r>
      <w:r w:rsidR="006A28F2">
        <w:rPr>
          <w:sz w:val="22"/>
          <w:szCs w:val="22"/>
          <w:lang w:eastAsia="en-AU"/>
        </w:rPr>
        <w:t xml:space="preserve"> </w:t>
      </w:r>
      <w:r w:rsidR="00A84F72">
        <w:rPr>
          <w:sz w:val="22"/>
          <w:szCs w:val="22"/>
          <w:lang w:eastAsia="en-AU"/>
        </w:rPr>
        <w:t xml:space="preserve">ACSF </w:t>
      </w:r>
      <w:r w:rsidR="00C94F0C" w:rsidRPr="00C94F0C">
        <w:rPr>
          <w:sz w:val="22"/>
          <w:szCs w:val="22"/>
          <w:lang w:eastAsia="en-AU"/>
        </w:rPr>
        <w:t>assessments</w:t>
      </w:r>
      <w:r w:rsidR="00A84F72">
        <w:rPr>
          <w:sz w:val="22"/>
          <w:szCs w:val="22"/>
          <w:lang w:eastAsia="en-AU"/>
        </w:rPr>
        <w:t xml:space="preserve">. As such FSAT </w:t>
      </w:r>
      <w:r w:rsidR="00C94F0C" w:rsidRPr="00C94F0C">
        <w:rPr>
          <w:sz w:val="22"/>
          <w:szCs w:val="22"/>
          <w:lang w:eastAsia="en-AU"/>
        </w:rPr>
        <w:t xml:space="preserve">should be formally considered and defined in the next tender round of the </w:t>
      </w:r>
      <w:r w:rsidR="00147674">
        <w:rPr>
          <w:sz w:val="22"/>
          <w:szCs w:val="22"/>
          <w:lang w:eastAsia="en-AU"/>
        </w:rPr>
        <w:t>SEE programme</w:t>
      </w:r>
      <w:r w:rsidR="00C94F0C" w:rsidRPr="00C94F0C">
        <w:rPr>
          <w:sz w:val="22"/>
          <w:szCs w:val="22"/>
          <w:lang w:eastAsia="en-AU"/>
        </w:rPr>
        <w: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4594ECFF" w14:textId="77777777" w:rsidTr="00EA422F">
        <w:tc>
          <w:tcPr>
            <w:tcW w:w="5000" w:type="pct"/>
            <w:shd w:val="pct12" w:color="auto" w:fill="auto"/>
          </w:tcPr>
          <w:p w14:paraId="0793A105" w14:textId="5CD61ABA"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7</w:t>
            </w:r>
            <w:r w:rsidRPr="00C94F0C">
              <w:rPr>
                <w:rFonts w:asciiTheme="majorHAnsi" w:hAnsiTheme="majorHAnsi" w:cs="Arial"/>
                <w:noProof/>
                <w:sz w:val="20"/>
              </w:rPr>
              <w:fldChar w:fldCharType="end"/>
            </w:r>
          </w:p>
        </w:tc>
      </w:tr>
      <w:tr w:rsidR="00C94F0C" w:rsidRPr="00C94F0C" w14:paraId="6ED88490" w14:textId="77777777" w:rsidTr="00EA422F">
        <w:tc>
          <w:tcPr>
            <w:tcW w:w="5000" w:type="pct"/>
            <w:shd w:val="pct12" w:color="auto" w:fill="auto"/>
          </w:tcPr>
          <w:p w14:paraId="38076392" w14:textId="76E30868" w:rsidR="00C94F0C" w:rsidRPr="00C94F0C" w:rsidRDefault="00F85720" w:rsidP="00C94F0C">
            <w:pPr>
              <w:keepNext/>
              <w:keepLines/>
              <w:spacing w:before="80" w:after="40" w:line="220" w:lineRule="exact"/>
              <w:rPr>
                <w:sz w:val="20"/>
                <w:szCs w:val="22"/>
                <w:lang w:eastAsia="en-AU"/>
              </w:rPr>
            </w:pPr>
            <w:r w:rsidRPr="00F85720">
              <w:rPr>
                <w:sz w:val="20"/>
                <w:szCs w:val="22"/>
                <w:lang w:eastAsia="en-AU"/>
              </w:rPr>
              <w:t xml:space="preserve">Given the amount of assessment involved, the </w:t>
            </w:r>
            <w:r w:rsidR="00147674">
              <w:rPr>
                <w:sz w:val="20"/>
                <w:szCs w:val="22"/>
                <w:lang w:eastAsia="en-AU"/>
              </w:rPr>
              <w:t>SEE programme</w:t>
            </w:r>
            <w:r w:rsidRPr="00F85720">
              <w:rPr>
                <w:sz w:val="20"/>
                <w:szCs w:val="22"/>
                <w:lang w:eastAsia="en-AU"/>
              </w:rPr>
              <w:t xml:space="preserve"> would benefit from the adoption of a more efficient and easy to use ASCF assessment tool like the Foundation Skills Assessment Tool</w:t>
            </w:r>
            <w:r w:rsidR="00302024">
              <w:rPr>
                <w:sz w:val="20"/>
                <w:szCs w:val="22"/>
                <w:lang w:eastAsia="en-AU"/>
              </w:rPr>
              <w:t xml:space="preserve"> (FSAT)</w:t>
            </w:r>
            <w:r w:rsidRPr="00F85720">
              <w:rPr>
                <w:sz w:val="20"/>
                <w:szCs w:val="22"/>
                <w:lang w:eastAsia="en-AU"/>
              </w:rPr>
              <w:t>.</w:t>
            </w:r>
            <w:r>
              <w:rPr>
                <w:sz w:val="20"/>
                <w:szCs w:val="22"/>
                <w:lang w:eastAsia="en-AU"/>
              </w:rPr>
              <w:t xml:space="preserve"> </w:t>
            </w:r>
            <w:r w:rsidR="00C94F0C" w:rsidRPr="00C94F0C">
              <w:rPr>
                <w:sz w:val="20"/>
                <w:szCs w:val="22"/>
                <w:lang w:eastAsia="en-AU"/>
              </w:rPr>
              <w:t xml:space="preserve">The appropriate use of the FSAT </w:t>
            </w:r>
            <w:r w:rsidR="00E61620">
              <w:rPr>
                <w:sz w:val="20"/>
                <w:szCs w:val="22"/>
                <w:lang w:eastAsia="en-AU"/>
              </w:rPr>
              <w:t xml:space="preserve">should </w:t>
            </w:r>
            <w:r w:rsidR="00C94F0C" w:rsidRPr="00C94F0C">
              <w:rPr>
                <w:sz w:val="20"/>
                <w:szCs w:val="22"/>
                <w:lang w:eastAsia="en-AU"/>
              </w:rPr>
              <w:t>be formally considered and defined in the next tender round of the SEE programme.</w:t>
            </w:r>
          </w:p>
          <w:p w14:paraId="0E83BC39"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02411E52" wp14:editId="1734E5D1">
                  <wp:extent cx="481585" cy="234696"/>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714DB90C" w14:textId="77777777" w:rsidTr="00EA422F">
        <w:trPr>
          <w:trHeight w:hRule="exact" w:val="80"/>
        </w:trPr>
        <w:tc>
          <w:tcPr>
            <w:tcW w:w="5000" w:type="pct"/>
            <w:shd w:val="pct12" w:color="auto" w:fill="auto"/>
          </w:tcPr>
          <w:p w14:paraId="03626873" w14:textId="77777777" w:rsidR="00C94F0C" w:rsidRPr="00C94F0C" w:rsidRDefault="00C94F0C" w:rsidP="00C94F0C">
            <w:pPr>
              <w:spacing w:before="160"/>
            </w:pPr>
            <w:r w:rsidRPr="00C94F0C">
              <w:t xml:space="preserve"> </w:t>
            </w:r>
          </w:p>
        </w:tc>
      </w:tr>
    </w:tbl>
    <w:p w14:paraId="4DC1072E" w14:textId="77777777" w:rsidR="00C94F0C" w:rsidRPr="00C94F0C" w:rsidRDefault="00C94F0C" w:rsidP="00C94F0C">
      <w:pPr>
        <w:keepNext/>
        <w:numPr>
          <w:ilvl w:val="2"/>
          <w:numId w:val="20"/>
        </w:numPr>
        <w:spacing w:before="300" w:after="0" w:line="270" w:lineRule="exact"/>
        <w:outlineLvl w:val="2"/>
        <w:rPr>
          <w:rFonts w:asciiTheme="majorHAnsi" w:hAnsiTheme="majorHAnsi"/>
          <w:b/>
          <w:color w:val="9757A6" w:themeColor="text2"/>
          <w:sz w:val="22"/>
          <w:lang w:eastAsia="en-AU"/>
        </w:rPr>
      </w:pPr>
      <w:bookmarkStart w:id="164" w:name="_Ref408771369"/>
      <w:r w:rsidRPr="00C94F0C">
        <w:rPr>
          <w:rFonts w:asciiTheme="majorHAnsi" w:hAnsiTheme="majorHAnsi"/>
          <w:b/>
          <w:color w:val="9757A6" w:themeColor="text2"/>
          <w:sz w:val="22"/>
          <w:lang w:eastAsia="en-AU"/>
        </w:rPr>
        <w:t>Monitoring and reporting</w:t>
      </w:r>
      <w:bookmarkEnd w:id="164"/>
    </w:p>
    <w:p w14:paraId="299CDC7B" w14:textId="55D097F1" w:rsidR="00C94F0C" w:rsidRPr="00C94F0C" w:rsidRDefault="00C94F0C" w:rsidP="00C94F0C">
      <w:pPr>
        <w:spacing w:line="280" w:lineRule="exact"/>
        <w:rPr>
          <w:sz w:val="22"/>
          <w:szCs w:val="22"/>
          <w:lang w:eastAsia="en-AU"/>
        </w:rPr>
      </w:pPr>
      <w:r w:rsidRPr="00C94F0C">
        <w:rPr>
          <w:sz w:val="22"/>
          <w:szCs w:val="22"/>
          <w:lang w:eastAsia="en-AU"/>
        </w:rPr>
        <w:t xml:space="preserve">On the whole, SEE providers consider the monitoring and reporting requirements of the programme to be </w:t>
      </w:r>
      <w:r w:rsidR="008F7A43">
        <w:rPr>
          <w:sz w:val="22"/>
          <w:szCs w:val="22"/>
          <w:lang w:eastAsia="en-AU"/>
        </w:rPr>
        <w:t>unnecessarily</w:t>
      </w:r>
      <w:r w:rsidRPr="00C94F0C">
        <w:rPr>
          <w:sz w:val="22"/>
          <w:szCs w:val="22"/>
          <w:lang w:eastAsia="en-AU"/>
        </w:rPr>
        <w:t xml:space="preserve"> burden</w:t>
      </w:r>
      <w:r w:rsidR="008F7A43">
        <w:rPr>
          <w:sz w:val="22"/>
          <w:szCs w:val="22"/>
          <w:lang w:eastAsia="en-AU"/>
        </w:rPr>
        <w:t>some</w:t>
      </w:r>
      <w:r w:rsidRPr="00C94F0C">
        <w:rPr>
          <w:sz w:val="22"/>
          <w:szCs w:val="22"/>
          <w:lang w:eastAsia="en-AU"/>
        </w:rPr>
        <w:t xml:space="preserve">. Related to this, </w:t>
      </w:r>
      <w:r w:rsidR="00E6110C">
        <w:rPr>
          <w:sz w:val="22"/>
          <w:szCs w:val="22"/>
          <w:lang w:eastAsia="en-AU"/>
        </w:rPr>
        <w:t xml:space="preserve">there is </w:t>
      </w:r>
      <w:r w:rsidRPr="00C94F0C">
        <w:rPr>
          <w:sz w:val="22"/>
          <w:szCs w:val="22"/>
          <w:lang w:eastAsia="en-AU"/>
        </w:rPr>
        <w:t>the issue of having to assess against both accredited qualifications and the ACSF</w:t>
      </w:r>
      <w:r w:rsidR="00E6110C">
        <w:rPr>
          <w:sz w:val="22"/>
          <w:szCs w:val="22"/>
          <w:lang w:eastAsia="en-AU"/>
        </w:rPr>
        <w:t>,</w:t>
      </w:r>
      <w:r w:rsidRPr="00C94F0C">
        <w:rPr>
          <w:sz w:val="22"/>
          <w:szCs w:val="22"/>
          <w:lang w:eastAsia="en-AU"/>
        </w:rPr>
        <w:t xml:space="preserve"> </w:t>
      </w:r>
      <w:r w:rsidR="00E6110C">
        <w:rPr>
          <w:sz w:val="22"/>
          <w:szCs w:val="22"/>
          <w:lang w:eastAsia="en-AU"/>
        </w:rPr>
        <w:t xml:space="preserve">as </w:t>
      </w:r>
      <w:r w:rsidRPr="00C94F0C">
        <w:rPr>
          <w:sz w:val="22"/>
          <w:szCs w:val="22"/>
          <w:lang w:eastAsia="en-AU"/>
        </w:rPr>
        <w:t>discussed in the previous section. The following discussion centres on the program</w:t>
      </w:r>
      <w:r w:rsidR="00C4138C">
        <w:rPr>
          <w:sz w:val="22"/>
          <w:szCs w:val="22"/>
          <w:lang w:eastAsia="en-AU"/>
        </w:rPr>
        <w:t>me’</w:t>
      </w:r>
      <w:r w:rsidRPr="00C94F0C">
        <w:rPr>
          <w:sz w:val="22"/>
          <w:szCs w:val="22"/>
          <w:lang w:eastAsia="en-AU"/>
        </w:rPr>
        <w:t>s reporting requirements, the independent verification process, and the key performance indicators.</w:t>
      </w:r>
    </w:p>
    <w:p w14:paraId="01C31668"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Reporting</w:t>
      </w:r>
    </w:p>
    <w:p w14:paraId="343F49D8" w14:textId="77777777" w:rsidR="00C94F0C" w:rsidRPr="00C94F0C" w:rsidRDefault="00C94F0C" w:rsidP="00C94F0C">
      <w:pPr>
        <w:spacing w:line="280" w:lineRule="exact"/>
        <w:rPr>
          <w:sz w:val="22"/>
          <w:szCs w:val="22"/>
          <w:lang w:eastAsia="en-AU"/>
        </w:rPr>
      </w:pPr>
      <w:r w:rsidRPr="00C94F0C">
        <w:rPr>
          <w:sz w:val="22"/>
          <w:szCs w:val="22"/>
          <w:lang w:eastAsia="en-AU"/>
        </w:rPr>
        <w:t>SEE providers consider that there is significant scope to reduce the reporting burden by:</w:t>
      </w:r>
    </w:p>
    <w:p w14:paraId="7B00AC30" w14:textId="77777777" w:rsidR="00C94F0C" w:rsidRPr="00C94F0C" w:rsidRDefault="00C94F0C" w:rsidP="001540AD">
      <w:pPr>
        <w:numPr>
          <w:ilvl w:val="0"/>
          <w:numId w:val="30"/>
        </w:numPr>
        <w:spacing w:before="60" w:after="60" w:line="280" w:lineRule="exact"/>
        <w:rPr>
          <w:sz w:val="22"/>
          <w:szCs w:val="22"/>
          <w:lang w:eastAsia="en-AU"/>
        </w:rPr>
      </w:pPr>
      <w:r w:rsidRPr="00C94F0C">
        <w:rPr>
          <w:sz w:val="22"/>
          <w:szCs w:val="22"/>
          <w:lang w:eastAsia="en-AU"/>
        </w:rPr>
        <w:t>Reducing the duplication in data entry, where examples include:</w:t>
      </w:r>
    </w:p>
    <w:p w14:paraId="63DA95EC" w14:textId="77777777" w:rsidR="00C94F0C" w:rsidRPr="00C94F0C" w:rsidRDefault="00C94F0C" w:rsidP="001540AD">
      <w:pPr>
        <w:pStyle w:val="ListDash2"/>
      </w:pPr>
      <w:r w:rsidRPr="00C94F0C">
        <w:t>the need to report both attendance and absences</w:t>
      </w:r>
    </w:p>
    <w:p w14:paraId="53B6774B" w14:textId="0EE45AAC" w:rsidR="00C94F0C" w:rsidRPr="00C94F0C" w:rsidRDefault="00C94F0C" w:rsidP="001540AD">
      <w:pPr>
        <w:pStyle w:val="ListDash2"/>
      </w:pPr>
      <w:r w:rsidRPr="00C94F0C">
        <w:t xml:space="preserve">the need to maintain special attendance records for </w:t>
      </w:r>
      <w:r w:rsidR="00535E39">
        <w:t xml:space="preserve">the </w:t>
      </w:r>
      <w:r w:rsidRPr="00C94F0C">
        <w:t xml:space="preserve">SEE </w:t>
      </w:r>
      <w:r w:rsidR="00535E39">
        <w:t xml:space="preserve">programme </w:t>
      </w:r>
      <w:r w:rsidRPr="00C94F0C">
        <w:t>on top of the provider’s own systems simply to meet SEE contract requirements or to ensure compatibility with SEE Online</w:t>
      </w:r>
      <w:r w:rsidR="00C5382E">
        <w:t>.</w:t>
      </w:r>
    </w:p>
    <w:p w14:paraId="1A0B5C0E" w14:textId="77777777" w:rsidR="00C94F0C" w:rsidRPr="00C94F0C" w:rsidRDefault="00C94F0C" w:rsidP="00C94F0C">
      <w:pPr>
        <w:numPr>
          <w:ilvl w:val="0"/>
          <w:numId w:val="12"/>
        </w:numPr>
        <w:spacing w:before="60" w:after="60" w:line="280" w:lineRule="exact"/>
        <w:rPr>
          <w:sz w:val="22"/>
          <w:szCs w:val="22"/>
          <w:lang w:eastAsia="en-AU"/>
        </w:rPr>
      </w:pPr>
      <w:r w:rsidRPr="00C94F0C">
        <w:rPr>
          <w:sz w:val="22"/>
          <w:szCs w:val="22"/>
          <w:lang w:eastAsia="en-AU"/>
        </w:rPr>
        <w:t>Reducing the need for hard copy reporting and documentation, where examples include:</w:t>
      </w:r>
    </w:p>
    <w:p w14:paraId="40D73677" w14:textId="77777777" w:rsidR="00C94F0C" w:rsidRPr="00C94F0C" w:rsidRDefault="00C94F0C" w:rsidP="001540AD">
      <w:pPr>
        <w:pStyle w:val="ListDash2"/>
      </w:pPr>
      <w:r w:rsidRPr="00C94F0C">
        <w:t>the need to maintain a hard copy roll as well as a softcopy record in SEE online</w:t>
      </w:r>
    </w:p>
    <w:p w14:paraId="1B51419C" w14:textId="467C3DCF" w:rsidR="00C94F0C" w:rsidRPr="00C94F0C" w:rsidRDefault="00C94F0C" w:rsidP="001540AD">
      <w:pPr>
        <w:pStyle w:val="ListDash2"/>
      </w:pPr>
      <w:r w:rsidRPr="00C94F0C">
        <w:t>the need to print and retain hard copies of all documents already available on SEE online</w:t>
      </w:r>
      <w:r w:rsidR="00C5382E">
        <w:t>.</w:t>
      </w:r>
    </w:p>
    <w:p w14:paraId="174EB100" w14:textId="0839A781" w:rsidR="00C94F0C" w:rsidRPr="00C94F0C" w:rsidRDefault="00C94F0C" w:rsidP="00C94F0C">
      <w:pPr>
        <w:numPr>
          <w:ilvl w:val="0"/>
          <w:numId w:val="12"/>
        </w:numPr>
        <w:spacing w:before="60" w:after="60" w:line="280" w:lineRule="exact"/>
        <w:rPr>
          <w:sz w:val="22"/>
          <w:szCs w:val="22"/>
          <w:lang w:eastAsia="en-AU"/>
        </w:rPr>
      </w:pPr>
      <w:r w:rsidRPr="00C94F0C">
        <w:rPr>
          <w:sz w:val="22"/>
          <w:szCs w:val="22"/>
          <w:lang w:eastAsia="en-AU"/>
        </w:rPr>
        <w:t>Allowing most</w:t>
      </w:r>
      <w:r w:rsidR="00C5382E">
        <w:rPr>
          <w:sz w:val="22"/>
          <w:szCs w:val="22"/>
          <w:lang w:eastAsia="en-AU"/>
        </w:rPr>
        <w:t>,</w:t>
      </w:r>
      <w:r w:rsidRPr="00C94F0C">
        <w:rPr>
          <w:sz w:val="22"/>
          <w:szCs w:val="22"/>
          <w:lang w:eastAsia="en-AU"/>
        </w:rPr>
        <w:t xml:space="preserve"> if not all</w:t>
      </w:r>
      <w:r w:rsidR="00C5382E">
        <w:rPr>
          <w:sz w:val="22"/>
          <w:szCs w:val="22"/>
          <w:lang w:eastAsia="en-AU"/>
        </w:rPr>
        <w:t>,</w:t>
      </w:r>
      <w:r w:rsidRPr="00C94F0C">
        <w:rPr>
          <w:sz w:val="22"/>
          <w:szCs w:val="22"/>
          <w:lang w:eastAsia="en-AU"/>
        </w:rPr>
        <w:t xml:space="preserve"> reporting to </w:t>
      </w:r>
      <w:r w:rsidR="00C4138C">
        <w:rPr>
          <w:sz w:val="22"/>
          <w:szCs w:val="22"/>
          <w:lang w:eastAsia="en-AU"/>
        </w:rPr>
        <w:t xml:space="preserve">be </w:t>
      </w:r>
      <w:r w:rsidR="008F7A43">
        <w:rPr>
          <w:sz w:val="22"/>
          <w:szCs w:val="22"/>
          <w:lang w:eastAsia="en-AU"/>
        </w:rPr>
        <w:t>conducted</w:t>
      </w:r>
      <w:r w:rsidR="008F7A43" w:rsidRPr="00C94F0C">
        <w:rPr>
          <w:sz w:val="22"/>
          <w:szCs w:val="22"/>
          <w:lang w:eastAsia="en-AU"/>
        </w:rPr>
        <w:t xml:space="preserve"> </w:t>
      </w:r>
      <w:r w:rsidRPr="00C94F0C">
        <w:rPr>
          <w:sz w:val="22"/>
          <w:szCs w:val="22"/>
          <w:lang w:eastAsia="en-AU"/>
        </w:rPr>
        <w:t>via SEE online, for example</w:t>
      </w:r>
      <w:r w:rsidR="00C5382E">
        <w:rPr>
          <w:sz w:val="22"/>
          <w:szCs w:val="22"/>
          <w:lang w:eastAsia="en-AU"/>
        </w:rPr>
        <w:t>:</w:t>
      </w:r>
    </w:p>
    <w:p w14:paraId="40E910BC" w14:textId="71CE0E29" w:rsidR="00C94F0C" w:rsidRPr="00C94F0C" w:rsidRDefault="00C94F0C" w:rsidP="001540AD">
      <w:pPr>
        <w:pStyle w:val="ListDash2"/>
      </w:pPr>
      <w:r w:rsidRPr="00C94F0C">
        <w:t xml:space="preserve">Allowing providers to report on matters such as change of sites, courses or teacher details, and to submit an Initial Training Declaration via SEE </w:t>
      </w:r>
      <w:r w:rsidR="00C5382E">
        <w:t>O</w:t>
      </w:r>
      <w:r w:rsidRPr="00C94F0C">
        <w:t>nline</w:t>
      </w:r>
      <w:r w:rsidR="00C5382E">
        <w:t>.</w:t>
      </w:r>
    </w:p>
    <w:p w14:paraId="4833DDEE" w14:textId="5A532C2E" w:rsidR="00C94F0C" w:rsidRPr="00C94F0C" w:rsidRDefault="00C94F0C" w:rsidP="00C94F0C">
      <w:pPr>
        <w:numPr>
          <w:ilvl w:val="0"/>
          <w:numId w:val="12"/>
        </w:numPr>
        <w:spacing w:before="60" w:after="60" w:line="280" w:lineRule="exact"/>
        <w:rPr>
          <w:sz w:val="22"/>
          <w:szCs w:val="22"/>
          <w:lang w:eastAsia="en-AU"/>
        </w:rPr>
      </w:pPr>
      <w:r w:rsidRPr="00C94F0C">
        <w:rPr>
          <w:sz w:val="22"/>
          <w:szCs w:val="22"/>
          <w:lang w:eastAsia="en-AU"/>
        </w:rPr>
        <w:t xml:space="preserve">Increasing the flexibility of SEE Online to allow </w:t>
      </w:r>
      <w:r w:rsidR="00535E39">
        <w:rPr>
          <w:sz w:val="22"/>
          <w:szCs w:val="22"/>
          <w:lang w:eastAsia="en-AU"/>
        </w:rPr>
        <w:t xml:space="preserve">SEE </w:t>
      </w:r>
      <w:r w:rsidRPr="00C94F0C">
        <w:rPr>
          <w:sz w:val="22"/>
          <w:szCs w:val="22"/>
          <w:lang w:eastAsia="en-AU"/>
        </w:rPr>
        <w:t xml:space="preserve">providers to more easily extract relevant data and thereby allow </w:t>
      </w:r>
      <w:r w:rsidR="00535E39">
        <w:rPr>
          <w:sz w:val="22"/>
          <w:szCs w:val="22"/>
          <w:lang w:eastAsia="en-AU"/>
        </w:rPr>
        <w:t>them</w:t>
      </w:r>
      <w:r w:rsidR="00535E39" w:rsidRPr="00C94F0C">
        <w:rPr>
          <w:sz w:val="22"/>
          <w:szCs w:val="22"/>
          <w:lang w:eastAsia="en-AU"/>
        </w:rPr>
        <w:t xml:space="preserve"> </w:t>
      </w:r>
      <w:r w:rsidRPr="00C94F0C">
        <w:rPr>
          <w:sz w:val="22"/>
          <w:szCs w:val="22"/>
          <w:lang w:eastAsia="en-AU"/>
        </w:rPr>
        <w:t>to track and manage their own performance</w:t>
      </w:r>
      <w:r w:rsidR="00B34D2C">
        <w:rPr>
          <w:sz w:val="22"/>
          <w:szCs w:val="22"/>
          <w:lang w:eastAsia="en-AU"/>
        </w:rPr>
        <w:t xml:space="preserve"> (although </w:t>
      </w:r>
      <w:r w:rsidR="00535E39">
        <w:rPr>
          <w:sz w:val="22"/>
          <w:szCs w:val="22"/>
          <w:lang w:eastAsia="en-AU"/>
        </w:rPr>
        <w:t xml:space="preserve">SEE </w:t>
      </w:r>
      <w:r w:rsidR="00B34D2C">
        <w:rPr>
          <w:sz w:val="22"/>
          <w:szCs w:val="22"/>
          <w:lang w:eastAsia="en-AU"/>
        </w:rPr>
        <w:t>providers can request reports from the Department on their performance)</w:t>
      </w:r>
      <w:r w:rsidR="00302024">
        <w:rPr>
          <w:sz w:val="22"/>
          <w:szCs w:val="22"/>
          <w:lang w:eastAsia="en-AU"/>
        </w:rPr>
        <w:t>.</w:t>
      </w:r>
    </w:p>
    <w:p w14:paraId="08D5C0F1" w14:textId="3E61D9F5" w:rsidR="00C94F0C" w:rsidRPr="00C94F0C" w:rsidRDefault="00C94F0C" w:rsidP="00C94F0C">
      <w:pPr>
        <w:numPr>
          <w:ilvl w:val="0"/>
          <w:numId w:val="12"/>
        </w:numPr>
        <w:spacing w:before="60" w:after="60" w:line="280" w:lineRule="exact"/>
        <w:rPr>
          <w:sz w:val="22"/>
          <w:szCs w:val="22"/>
          <w:lang w:eastAsia="en-AU"/>
        </w:rPr>
      </w:pPr>
      <w:r w:rsidRPr="00C94F0C">
        <w:rPr>
          <w:sz w:val="22"/>
          <w:szCs w:val="22"/>
          <w:lang w:eastAsia="en-AU"/>
        </w:rPr>
        <w:t xml:space="preserve">Relying on the </w:t>
      </w:r>
      <w:r w:rsidR="00C80DE2">
        <w:rPr>
          <w:sz w:val="22"/>
          <w:szCs w:val="22"/>
          <w:lang w:eastAsia="en-AU"/>
        </w:rPr>
        <w:t>financial</w:t>
      </w:r>
      <w:r w:rsidR="00C80DE2" w:rsidRPr="00C94F0C">
        <w:rPr>
          <w:sz w:val="22"/>
          <w:szCs w:val="22"/>
          <w:lang w:eastAsia="en-AU"/>
        </w:rPr>
        <w:t xml:space="preserve"> </w:t>
      </w:r>
      <w:r w:rsidRPr="00C94F0C">
        <w:rPr>
          <w:sz w:val="22"/>
          <w:szCs w:val="22"/>
          <w:lang w:eastAsia="en-AU"/>
        </w:rPr>
        <w:t>incentives faced by SEE providers rather than regulating and requiring reports, for example:</w:t>
      </w:r>
    </w:p>
    <w:p w14:paraId="0B5789FD" w14:textId="1C9925A3" w:rsidR="00C94F0C" w:rsidRPr="00C94F0C" w:rsidRDefault="00C94F0C" w:rsidP="001540AD">
      <w:pPr>
        <w:pStyle w:val="ListDash2"/>
      </w:pPr>
      <w:r w:rsidRPr="00C94F0C">
        <w:t xml:space="preserve">Prescribing that </w:t>
      </w:r>
      <w:r w:rsidR="00535E39">
        <w:t xml:space="preserve">SEE </w:t>
      </w:r>
      <w:r w:rsidRPr="00C94F0C">
        <w:t xml:space="preserve">providers follow up on individual absences with the client and/or the relevant referring agency and to record detailed notes on the follow-up actions in the client file. </w:t>
      </w:r>
    </w:p>
    <w:p w14:paraId="3855575F" w14:textId="48CFB501" w:rsidR="00C94F0C" w:rsidRPr="00C94F0C" w:rsidRDefault="00C94F0C" w:rsidP="00C94F0C">
      <w:pPr>
        <w:numPr>
          <w:ilvl w:val="0"/>
          <w:numId w:val="12"/>
        </w:numPr>
        <w:spacing w:before="60" w:after="60" w:line="280" w:lineRule="exact"/>
        <w:rPr>
          <w:sz w:val="22"/>
          <w:szCs w:val="22"/>
          <w:lang w:eastAsia="en-AU"/>
        </w:rPr>
      </w:pPr>
      <w:r w:rsidRPr="00C94F0C">
        <w:rPr>
          <w:sz w:val="22"/>
          <w:szCs w:val="22"/>
          <w:lang w:eastAsia="en-AU"/>
        </w:rPr>
        <w:t xml:space="preserve">Ensuring that ongoing changes to </w:t>
      </w:r>
      <w:r w:rsidR="006A28F2">
        <w:rPr>
          <w:sz w:val="22"/>
          <w:szCs w:val="22"/>
          <w:lang w:eastAsia="en-AU"/>
        </w:rPr>
        <w:t xml:space="preserve">programme </w:t>
      </w:r>
      <w:r w:rsidRPr="00C94F0C">
        <w:rPr>
          <w:sz w:val="22"/>
          <w:szCs w:val="22"/>
          <w:lang w:eastAsia="en-AU"/>
        </w:rPr>
        <w:t>requirements are appropriately reflected in the reporting protocol, for example:</w:t>
      </w:r>
    </w:p>
    <w:p w14:paraId="3D05B4A6" w14:textId="3A4591EB" w:rsidR="00C94F0C" w:rsidRPr="00C94F0C" w:rsidRDefault="00535E39" w:rsidP="001540AD">
      <w:pPr>
        <w:pStyle w:val="ListDash2"/>
      </w:pPr>
      <w:r>
        <w:t xml:space="preserve">SEE </w:t>
      </w:r>
      <w:r w:rsidR="00C94F0C" w:rsidRPr="00C94F0C">
        <w:t>Providers report that the removal of the 200 hour blocks and milestones is not reflected in SEE Online because the system continues to require</w:t>
      </w:r>
      <w:r w:rsidR="00C80DE2">
        <w:t xml:space="preserve"> IPA</w:t>
      </w:r>
      <w:r w:rsidR="00C94F0C" w:rsidRPr="00C94F0C">
        <w:t xml:space="preserve"> data entry before a client completes 200 hours, otherwise the data is deemed overdue.</w:t>
      </w:r>
    </w:p>
    <w:p w14:paraId="1D064383" w14:textId="459356E4" w:rsidR="00C80DE2" w:rsidRDefault="00C94F0C" w:rsidP="00C94F0C">
      <w:pPr>
        <w:spacing w:line="280" w:lineRule="exact"/>
        <w:rPr>
          <w:sz w:val="22"/>
          <w:szCs w:val="22"/>
          <w:lang w:eastAsia="en-AU"/>
        </w:rPr>
      </w:pPr>
      <w:r w:rsidRPr="00C94F0C">
        <w:rPr>
          <w:sz w:val="22"/>
          <w:szCs w:val="22"/>
          <w:lang w:eastAsia="en-AU"/>
        </w:rPr>
        <w:t xml:space="preserve">This evaluation has not undertaken a detailed stocktake of the </w:t>
      </w:r>
      <w:r w:rsidR="00535E39">
        <w:rPr>
          <w:sz w:val="22"/>
          <w:szCs w:val="22"/>
          <w:lang w:eastAsia="en-AU"/>
        </w:rPr>
        <w:t xml:space="preserve">SEE </w:t>
      </w:r>
      <w:r w:rsidRPr="00C94F0C">
        <w:rPr>
          <w:sz w:val="22"/>
          <w:szCs w:val="22"/>
          <w:lang w:eastAsia="en-AU"/>
        </w:rPr>
        <w:t>programme</w:t>
      </w:r>
      <w:r w:rsidR="00535E39">
        <w:rPr>
          <w:sz w:val="22"/>
          <w:szCs w:val="22"/>
          <w:lang w:eastAsia="en-AU"/>
        </w:rPr>
        <w:t>’</w:t>
      </w:r>
      <w:r w:rsidRPr="00C94F0C">
        <w:rPr>
          <w:sz w:val="22"/>
          <w:szCs w:val="22"/>
          <w:lang w:eastAsia="en-AU"/>
        </w:rPr>
        <w:t>s reporting requirements</w:t>
      </w:r>
      <w:r w:rsidR="00C80DE2">
        <w:rPr>
          <w:sz w:val="22"/>
          <w:szCs w:val="22"/>
          <w:lang w:eastAsia="en-AU"/>
        </w:rPr>
        <w:t xml:space="preserve">. Aspects of the reporting discussed above, namely, the </w:t>
      </w:r>
      <w:r w:rsidR="00C80DE2" w:rsidRPr="00C80DE2">
        <w:rPr>
          <w:sz w:val="22"/>
          <w:szCs w:val="22"/>
          <w:lang w:eastAsia="en-AU"/>
        </w:rPr>
        <w:t>requirement to report attendance and non-attendance</w:t>
      </w:r>
      <w:r w:rsidR="00C80DE2">
        <w:rPr>
          <w:sz w:val="22"/>
          <w:szCs w:val="22"/>
          <w:lang w:eastAsia="en-AU"/>
        </w:rPr>
        <w:t xml:space="preserve"> and following up absences, are requirements related to social security policy for which </w:t>
      </w:r>
      <w:r w:rsidR="00535E39">
        <w:rPr>
          <w:sz w:val="22"/>
          <w:szCs w:val="22"/>
          <w:lang w:eastAsia="en-AU"/>
        </w:rPr>
        <w:t xml:space="preserve">SEE </w:t>
      </w:r>
      <w:r w:rsidR="00C80DE2">
        <w:rPr>
          <w:sz w:val="22"/>
          <w:szCs w:val="22"/>
          <w:lang w:eastAsia="en-AU"/>
        </w:rPr>
        <w:t xml:space="preserve">providers are financially compensated. </w:t>
      </w:r>
    </w:p>
    <w:p w14:paraId="1EF015AE" w14:textId="7EC6634E" w:rsidR="00C94F0C" w:rsidRDefault="00C80DE2" w:rsidP="00C94F0C">
      <w:pPr>
        <w:spacing w:line="280" w:lineRule="exact"/>
        <w:rPr>
          <w:sz w:val="22"/>
          <w:szCs w:val="22"/>
          <w:lang w:eastAsia="en-AU"/>
        </w:rPr>
      </w:pPr>
      <w:r>
        <w:rPr>
          <w:sz w:val="22"/>
          <w:szCs w:val="22"/>
          <w:lang w:eastAsia="en-AU"/>
        </w:rPr>
        <w:t>B</w:t>
      </w:r>
      <w:r w:rsidR="00C94F0C" w:rsidRPr="00C94F0C">
        <w:rPr>
          <w:sz w:val="22"/>
          <w:szCs w:val="22"/>
          <w:lang w:eastAsia="en-AU"/>
        </w:rPr>
        <w:t xml:space="preserve">ut based on their experience across various government </w:t>
      </w:r>
      <w:r w:rsidR="00956392">
        <w:rPr>
          <w:sz w:val="22"/>
          <w:szCs w:val="22"/>
          <w:lang w:eastAsia="en-AU"/>
        </w:rPr>
        <w:t>programmes</w:t>
      </w:r>
      <w:r w:rsidR="00C94F0C" w:rsidRPr="00C94F0C">
        <w:rPr>
          <w:sz w:val="22"/>
          <w:szCs w:val="22"/>
          <w:lang w:eastAsia="en-AU"/>
        </w:rPr>
        <w:t xml:space="preserve">, the consistent feedback from SEE providers is that the </w:t>
      </w:r>
      <w:r>
        <w:rPr>
          <w:sz w:val="22"/>
          <w:szCs w:val="22"/>
          <w:lang w:eastAsia="en-AU"/>
        </w:rPr>
        <w:t xml:space="preserve">reporting </w:t>
      </w:r>
      <w:r w:rsidR="00C94F0C" w:rsidRPr="00C94F0C">
        <w:rPr>
          <w:sz w:val="22"/>
          <w:szCs w:val="22"/>
          <w:lang w:eastAsia="en-AU"/>
        </w:rPr>
        <w:t xml:space="preserve">requirements </w:t>
      </w:r>
      <w:r>
        <w:rPr>
          <w:sz w:val="22"/>
          <w:szCs w:val="22"/>
          <w:lang w:eastAsia="en-AU"/>
        </w:rPr>
        <w:t xml:space="preserve">under the programme </w:t>
      </w:r>
      <w:r w:rsidR="00C94F0C" w:rsidRPr="00C94F0C">
        <w:rPr>
          <w:sz w:val="22"/>
          <w:szCs w:val="22"/>
          <w:lang w:eastAsia="en-AU"/>
        </w:rPr>
        <w:t xml:space="preserve">are generally out of step with contemporary good practice record keeping and the </w:t>
      </w:r>
      <w:r w:rsidR="009B75B4" w:rsidRPr="00896BBD">
        <w:rPr>
          <w:sz w:val="22"/>
          <w:szCs w:val="22"/>
          <w:lang w:eastAsia="en-AU"/>
        </w:rPr>
        <w:t>Australian</w:t>
      </w:r>
      <w:r w:rsidR="009B75B4">
        <w:rPr>
          <w:sz w:val="22"/>
          <w:szCs w:val="22"/>
          <w:lang w:eastAsia="en-AU"/>
        </w:rPr>
        <w:t xml:space="preserve"> </w:t>
      </w:r>
      <w:r w:rsidR="00C94F0C" w:rsidRPr="00C94F0C">
        <w:rPr>
          <w:sz w:val="22"/>
          <w:szCs w:val="22"/>
          <w:lang w:eastAsia="en-AU"/>
        </w:rPr>
        <w:t xml:space="preserve">Government’s policy of red tape reduction.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31224B" w14:paraId="6BECC6A1" w14:textId="77777777" w:rsidTr="00A45596">
        <w:tc>
          <w:tcPr>
            <w:tcW w:w="5000" w:type="pct"/>
            <w:shd w:val="pct12" w:color="auto" w:fill="auto"/>
          </w:tcPr>
          <w:p w14:paraId="1CA4736C" w14:textId="775A5858" w:rsidR="0031224B" w:rsidRDefault="0031224B" w:rsidP="00A45596">
            <w:pPr>
              <w:pStyle w:val="Caption"/>
              <w:spacing w:before="120" w:after="60"/>
              <w:ind w:left="1112" w:hanging="1112"/>
              <w:rPr>
                <w:rFonts w:ascii="Arial Bold" w:hAnsi="Arial Bold"/>
                <w:color w:val="000080"/>
              </w:rPr>
            </w:pPr>
            <w:r>
              <w:t xml:space="preserve">Recommendation </w:t>
            </w:r>
            <w:r w:rsidR="006A2396">
              <w:fldChar w:fldCharType="begin"/>
            </w:r>
            <w:r w:rsidR="006A2396">
              <w:instrText xml:space="preserve"> SEQ Recommendation \* ARABIC </w:instrText>
            </w:r>
            <w:r w:rsidR="006A2396">
              <w:fldChar w:fldCharType="separate"/>
            </w:r>
            <w:r w:rsidR="00294A5A">
              <w:rPr>
                <w:noProof/>
              </w:rPr>
              <w:t>8</w:t>
            </w:r>
            <w:r w:rsidR="006A2396">
              <w:rPr>
                <w:noProof/>
              </w:rPr>
              <w:fldChar w:fldCharType="end"/>
            </w:r>
          </w:p>
        </w:tc>
      </w:tr>
      <w:tr w:rsidR="0031224B" w14:paraId="3875AA80" w14:textId="77777777" w:rsidTr="00A45596">
        <w:tc>
          <w:tcPr>
            <w:tcW w:w="5000" w:type="pct"/>
            <w:shd w:val="pct12" w:color="auto" w:fill="auto"/>
          </w:tcPr>
          <w:p w14:paraId="758D0ADE" w14:textId="1BDCAC56" w:rsidR="0031224B" w:rsidRDefault="0031224B" w:rsidP="008C6ABE">
            <w:pPr>
              <w:pStyle w:val="BoxText"/>
            </w:pPr>
            <w:r w:rsidRPr="0048196F">
              <w:t xml:space="preserve">There should be a review of </w:t>
            </w:r>
            <w:r w:rsidR="00147674">
              <w:t>SEE programme</w:t>
            </w:r>
            <w:r w:rsidRPr="0048196F">
              <w:t xml:space="preserve"> administrative requirements with a view </w:t>
            </w:r>
            <w:r>
              <w:t>to r</w:t>
            </w:r>
            <w:r w:rsidRPr="0048196F">
              <w:t>educing the amount of data entry duplication and hard copy reporting</w:t>
            </w:r>
            <w:r>
              <w:t>.</w:t>
            </w:r>
          </w:p>
          <w:p w14:paraId="3EE6D492" w14:textId="31DEB431" w:rsidR="0031224B" w:rsidRDefault="0031224B" w:rsidP="00A45596">
            <w:pPr>
              <w:pStyle w:val="SmallDeltasRightAligned"/>
            </w:pPr>
            <w:r>
              <w:rPr>
                <w:noProof/>
                <w:lang w:eastAsia="en-AU"/>
              </w:rPr>
              <w:drawing>
                <wp:inline distT="0" distB="0" distL="0" distR="0" wp14:anchorId="4BF786D8" wp14:editId="71FCD705">
                  <wp:extent cx="481585" cy="23469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31224B" w14:paraId="3C420646" w14:textId="77777777" w:rsidTr="00A45596">
        <w:trPr>
          <w:trHeight w:hRule="exact" w:val="80"/>
        </w:trPr>
        <w:tc>
          <w:tcPr>
            <w:tcW w:w="5000" w:type="pct"/>
            <w:shd w:val="pct12" w:color="auto" w:fill="auto"/>
          </w:tcPr>
          <w:p w14:paraId="151AB297" w14:textId="77777777" w:rsidR="0031224B" w:rsidRDefault="0031224B">
            <w:pPr>
              <w:spacing w:before="160"/>
            </w:pPr>
            <w:r>
              <w:t xml:space="preserve"> </w:t>
            </w:r>
          </w:p>
        </w:tc>
      </w:tr>
    </w:tbl>
    <w:p w14:paraId="7B7C71B9"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Key performance indicators</w:t>
      </w:r>
    </w:p>
    <w:p w14:paraId="7023CB47" w14:textId="70274793" w:rsidR="00C94F0C" w:rsidRPr="00C94F0C" w:rsidRDefault="00C94F0C" w:rsidP="00C94F0C">
      <w:pPr>
        <w:spacing w:line="280" w:lineRule="exact"/>
        <w:rPr>
          <w:sz w:val="22"/>
          <w:szCs w:val="22"/>
          <w:lang w:eastAsia="en-AU"/>
        </w:rPr>
      </w:pPr>
      <w:r w:rsidRPr="00C94F0C">
        <w:rPr>
          <w:sz w:val="22"/>
          <w:szCs w:val="22"/>
          <w:lang w:eastAsia="en-AU"/>
        </w:rPr>
        <w:t>As discussed in Section</w:t>
      </w:r>
      <w:r w:rsidR="00173801">
        <w:rPr>
          <w:sz w:val="22"/>
          <w:szCs w:val="22"/>
          <w:lang w:eastAsia="en-AU"/>
        </w:rPr>
        <w:t xml:space="preserve"> </w:t>
      </w:r>
      <w:r w:rsidR="00173801">
        <w:rPr>
          <w:sz w:val="22"/>
          <w:szCs w:val="22"/>
          <w:lang w:eastAsia="en-AU"/>
        </w:rPr>
        <w:fldChar w:fldCharType="begin"/>
      </w:r>
      <w:r w:rsidR="00173801">
        <w:rPr>
          <w:sz w:val="22"/>
          <w:szCs w:val="22"/>
          <w:lang w:eastAsia="en-AU"/>
        </w:rPr>
        <w:instrText xml:space="preserve"> REF _Ref408691900 \r \h </w:instrText>
      </w:r>
      <w:r w:rsidR="00173801">
        <w:rPr>
          <w:sz w:val="22"/>
          <w:szCs w:val="22"/>
          <w:lang w:eastAsia="en-AU"/>
        </w:rPr>
      </w:r>
      <w:r w:rsidR="00173801">
        <w:rPr>
          <w:sz w:val="22"/>
          <w:szCs w:val="22"/>
          <w:lang w:eastAsia="en-AU"/>
        </w:rPr>
        <w:fldChar w:fldCharType="separate"/>
      </w:r>
      <w:r w:rsidR="00294A5A">
        <w:rPr>
          <w:sz w:val="22"/>
          <w:szCs w:val="22"/>
          <w:lang w:eastAsia="en-AU"/>
        </w:rPr>
        <w:t>6.2.4</w:t>
      </w:r>
      <w:r w:rsidR="00173801">
        <w:rPr>
          <w:sz w:val="22"/>
          <w:szCs w:val="22"/>
          <w:lang w:eastAsia="en-AU"/>
        </w:rPr>
        <w:fldChar w:fldCharType="end"/>
      </w:r>
      <w:r w:rsidR="00173801">
        <w:rPr>
          <w:sz w:val="22"/>
          <w:szCs w:val="22"/>
          <w:lang w:eastAsia="en-AU"/>
        </w:rPr>
        <w:t>,</w:t>
      </w:r>
      <w:r w:rsidRPr="00C94F0C">
        <w:rPr>
          <w:sz w:val="22"/>
          <w:szCs w:val="22"/>
          <w:lang w:eastAsia="en-AU"/>
        </w:rPr>
        <w:t xml:space="preserve"> </w:t>
      </w:r>
      <w:r w:rsidR="00AE0862">
        <w:rPr>
          <w:sz w:val="22"/>
          <w:szCs w:val="22"/>
          <w:lang w:eastAsia="en-AU"/>
        </w:rPr>
        <w:t>s</w:t>
      </w:r>
      <w:r w:rsidRPr="00C94F0C">
        <w:rPr>
          <w:sz w:val="22"/>
          <w:szCs w:val="22"/>
          <w:lang w:eastAsia="en-AU"/>
        </w:rPr>
        <w:t>takeholders – in the main SEE providers – highlight specific issues with respect to the KPIs 1 and 2.</w:t>
      </w:r>
    </w:p>
    <w:p w14:paraId="283A5369" w14:textId="77777777" w:rsidR="00C94F0C" w:rsidRPr="00C94F0C" w:rsidRDefault="00C94F0C" w:rsidP="00C94F0C">
      <w:pPr>
        <w:spacing w:line="280" w:lineRule="exact"/>
        <w:rPr>
          <w:b/>
          <w:sz w:val="22"/>
          <w:szCs w:val="22"/>
          <w:lang w:eastAsia="en-AU"/>
        </w:rPr>
      </w:pPr>
      <w:r w:rsidRPr="00C94F0C">
        <w:rPr>
          <w:b/>
          <w:sz w:val="22"/>
          <w:szCs w:val="22"/>
          <w:lang w:eastAsia="en-AU"/>
        </w:rPr>
        <w:t xml:space="preserve">KPI 1 – 90% of clients recommended for training actually commence training </w:t>
      </w:r>
    </w:p>
    <w:p w14:paraId="2A60FBA5" w14:textId="064A53F2" w:rsidR="006A0097" w:rsidRDefault="009F420D" w:rsidP="00C94F0C">
      <w:pPr>
        <w:spacing w:line="280" w:lineRule="exact"/>
        <w:rPr>
          <w:sz w:val="22"/>
          <w:szCs w:val="22"/>
          <w:lang w:eastAsia="en-AU"/>
        </w:rPr>
      </w:pPr>
      <w:r>
        <w:rPr>
          <w:sz w:val="22"/>
          <w:szCs w:val="22"/>
          <w:lang w:eastAsia="en-AU"/>
        </w:rPr>
        <w:t xml:space="preserve">KPI 1 aims to incentivise </w:t>
      </w:r>
      <w:r w:rsidR="00535E39">
        <w:rPr>
          <w:sz w:val="22"/>
          <w:szCs w:val="22"/>
          <w:lang w:eastAsia="en-AU"/>
        </w:rPr>
        <w:t xml:space="preserve">SEE </w:t>
      </w:r>
      <w:r>
        <w:rPr>
          <w:sz w:val="22"/>
          <w:szCs w:val="22"/>
          <w:lang w:eastAsia="en-AU"/>
        </w:rPr>
        <w:t xml:space="preserve">providers to keep potential clients engaged with the programme from the PTA process </w:t>
      </w:r>
      <w:r w:rsidR="00D845E6">
        <w:rPr>
          <w:sz w:val="22"/>
          <w:szCs w:val="22"/>
          <w:lang w:eastAsia="en-AU"/>
        </w:rPr>
        <w:t xml:space="preserve">through to </w:t>
      </w:r>
      <w:r>
        <w:rPr>
          <w:sz w:val="22"/>
          <w:szCs w:val="22"/>
          <w:lang w:eastAsia="en-AU"/>
        </w:rPr>
        <w:t>commencing the programme.</w:t>
      </w:r>
    </w:p>
    <w:p w14:paraId="718DC031" w14:textId="6C831505" w:rsidR="009F420D" w:rsidRDefault="009F420D" w:rsidP="00C94F0C">
      <w:pPr>
        <w:spacing w:line="280" w:lineRule="exact"/>
        <w:rPr>
          <w:sz w:val="22"/>
          <w:szCs w:val="22"/>
          <w:lang w:eastAsia="en-AU"/>
        </w:rPr>
      </w:pPr>
      <w:r>
        <w:rPr>
          <w:sz w:val="22"/>
          <w:szCs w:val="22"/>
          <w:lang w:eastAsia="en-AU"/>
        </w:rPr>
        <w:t xml:space="preserve">It could be argued that </w:t>
      </w:r>
      <w:r w:rsidR="00535E39">
        <w:rPr>
          <w:sz w:val="22"/>
          <w:szCs w:val="22"/>
          <w:lang w:eastAsia="en-AU"/>
        </w:rPr>
        <w:t xml:space="preserve">SEE </w:t>
      </w:r>
      <w:r>
        <w:rPr>
          <w:sz w:val="22"/>
          <w:szCs w:val="22"/>
          <w:lang w:eastAsia="en-AU"/>
        </w:rPr>
        <w:t xml:space="preserve">providers already have considerable financial incentive to keep potential clients engaged, as they receive payment for training hours once a client has commenced. </w:t>
      </w:r>
    </w:p>
    <w:p w14:paraId="7471AACC" w14:textId="43D2D23A" w:rsidR="009F420D" w:rsidRDefault="00535E39" w:rsidP="00C94F0C">
      <w:pPr>
        <w:spacing w:line="280" w:lineRule="exact"/>
        <w:rPr>
          <w:sz w:val="22"/>
          <w:szCs w:val="22"/>
          <w:lang w:eastAsia="en-AU"/>
        </w:rPr>
      </w:pPr>
      <w:r>
        <w:rPr>
          <w:sz w:val="22"/>
          <w:szCs w:val="22"/>
          <w:lang w:eastAsia="en-AU"/>
        </w:rPr>
        <w:t>SEE p</w:t>
      </w:r>
      <w:r w:rsidR="009F420D">
        <w:rPr>
          <w:sz w:val="22"/>
          <w:szCs w:val="22"/>
          <w:lang w:eastAsia="en-AU"/>
        </w:rPr>
        <w:t xml:space="preserve">rogramme administrators appear concerned that without KPI 1, </w:t>
      </w:r>
      <w:r w:rsidR="00D845E6">
        <w:rPr>
          <w:sz w:val="22"/>
          <w:szCs w:val="22"/>
          <w:lang w:eastAsia="en-AU"/>
        </w:rPr>
        <w:t>the relatively large PTA payment could lead to providers ensuring referrals are converted to PTAs but deprioritising ensuring clients commence post-PTA.</w:t>
      </w:r>
    </w:p>
    <w:p w14:paraId="5F6A85E4" w14:textId="61067108" w:rsidR="00D845E6" w:rsidRPr="00C94F0C" w:rsidRDefault="00D845E6" w:rsidP="00C94F0C">
      <w:pPr>
        <w:spacing w:line="280" w:lineRule="exact"/>
        <w:rPr>
          <w:sz w:val="22"/>
          <w:szCs w:val="22"/>
          <w:lang w:eastAsia="en-AU"/>
        </w:rPr>
      </w:pPr>
      <w:r>
        <w:rPr>
          <w:sz w:val="22"/>
          <w:szCs w:val="22"/>
          <w:lang w:eastAsia="en-AU"/>
        </w:rPr>
        <w:t>While t</w:t>
      </w:r>
      <w:r w:rsidRPr="00D845E6">
        <w:rPr>
          <w:sz w:val="22"/>
          <w:szCs w:val="22"/>
          <w:lang w:eastAsia="en-AU"/>
        </w:rPr>
        <w:t>here is a risk that the KPI acts as a disincentive to trying to engage disengaged and high needs clients such as youth or long term unemployed clients</w:t>
      </w:r>
      <w:r>
        <w:rPr>
          <w:sz w:val="22"/>
          <w:szCs w:val="22"/>
          <w:lang w:eastAsia="en-AU"/>
        </w:rPr>
        <w:t>, it must be balanced against the need to incentivise providers to encourage clients who are recommended for training to commence.</w:t>
      </w:r>
    </w:p>
    <w:p w14:paraId="091AA24D" w14:textId="77777777" w:rsidR="00C94F0C" w:rsidRPr="00C94F0C" w:rsidRDefault="00C94F0C" w:rsidP="00C94F0C">
      <w:pPr>
        <w:spacing w:line="280" w:lineRule="exact"/>
        <w:rPr>
          <w:b/>
          <w:sz w:val="22"/>
          <w:szCs w:val="22"/>
          <w:lang w:eastAsia="en-AU"/>
        </w:rPr>
      </w:pPr>
      <w:r w:rsidRPr="00C94F0C">
        <w:rPr>
          <w:b/>
          <w:sz w:val="22"/>
          <w:szCs w:val="22"/>
          <w:lang w:eastAsia="en-AU"/>
        </w:rPr>
        <w:t>KPI 2 – 80% of clients attain one ACSF indicator per full 100 hours of training</w:t>
      </w:r>
    </w:p>
    <w:p w14:paraId="56BE5732" w14:textId="10788D4B" w:rsidR="009F420D" w:rsidRDefault="009F420D" w:rsidP="00C94F0C">
      <w:pPr>
        <w:spacing w:line="280" w:lineRule="exact"/>
        <w:rPr>
          <w:sz w:val="22"/>
          <w:szCs w:val="22"/>
          <w:lang w:eastAsia="en-AU"/>
        </w:rPr>
      </w:pPr>
      <w:r>
        <w:rPr>
          <w:sz w:val="22"/>
          <w:szCs w:val="22"/>
          <w:lang w:eastAsia="en-AU"/>
        </w:rPr>
        <w:t xml:space="preserve">KPI 2 aims to measure the performance of providers in increasing the LLN skills of their clients. </w:t>
      </w:r>
    </w:p>
    <w:p w14:paraId="5DD10D55" w14:textId="3676117E" w:rsidR="00C94F0C" w:rsidRPr="00C94F0C" w:rsidRDefault="00C94F0C" w:rsidP="00C94F0C">
      <w:pPr>
        <w:spacing w:line="280" w:lineRule="exact"/>
        <w:rPr>
          <w:sz w:val="22"/>
          <w:szCs w:val="22"/>
          <w:lang w:eastAsia="en-AU"/>
        </w:rPr>
      </w:pPr>
      <w:r w:rsidRPr="00C94F0C">
        <w:rPr>
          <w:sz w:val="22"/>
          <w:szCs w:val="22"/>
          <w:lang w:eastAsia="en-AU"/>
        </w:rPr>
        <w:t xml:space="preserve">SEE providers </w:t>
      </w:r>
      <w:r w:rsidR="008F7A43">
        <w:rPr>
          <w:sz w:val="22"/>
          <w:szCs w:val="22"/>
          <w:lang w:eastAsia="en-AU"/>
        </w:rPr>
        <w:t xml:space="preserve">expressed concern that </w:t>
      </w:r>
      <w:r w:rsidRPr="00C94F0C">
        <w:rPr>
          <w:sz w:val="22"/>
          <w:szCs w:val="22"/>
          <w:lang w:eastAsia="en-AU"/>
        </w:rPr>
        <w:t xml:space="preserve">this measure does not reflect the natural rate of learning. </w:t>
      </w:r>
      <w:r w:rsidR="00C80DE2">
        <w:rPr>
          <w:sz w:val="22"/>
          <w:szCs w:val="22"/>
          <w:lang w:eastAsia="en-AU"/>
        </w:rPr>
        <w:t>‘</w:t>
      </w:r>
      <w:r w:rsidRPr="00C94F0C">
        <w:rPr>
          <w:sz w:val="22"/>
          <w:szCs w:val="22"/>
          <w:lang w:eastAsia="en-AU"/>
        </w:rPr>
        <w:t>Students do not improve in one ACSF indicator at a time as all skills are integrated both in teaching delivery and in learner development, nor do students improve skills at regular intervals</w:t>
      </w:r>
      <w:r w:rsidR="00C80DE2">
        <w:rPr>
          <w:sz w:val="22"/>
          <w:szCs w:val="22"/>
          <w:lang w:eastAsia="en-AU"/>
        </w:rPr>
        <w:t>’</w:t>
      </w:r>
      <w:r w:rsidRPr="00C94F0C">
        <w:rPr>
          <w:sz w:val="22"/>
          <w:szCs w:val="22"/>
          <w:lang w:eastAsia="en-AU"/>
        </w:rPr>
        <w:t xml:space="preserve"> (SEE provider confidential submission).  </w:t>
      </w:r>
    </w:p>
    <w:p w14:paraId="37F959E9" w14:textId="77777777" w:rsidR="00C94F0C" w:rsidRPr="00C94F0C" w:rsidRDefault="00C94F0C" w:rsidP="00C94F0C">
      <w:pPr>
        <w:spacing w:line="280" w:lineRule="exact"/>
        <w:rPr>
          <w:sz w:val="22"/>
          <w:szCs w:val="22"/>
          <w:lang w:eastAsia="en-AU"/>
        </w:rPr>
      </w:pPr>
      <w:r w:rsidRPr="00C94F0C">
        <w:rPr>
          <w:sz w:val="22"/>
          <w:szCs w:val="22"/>
          <w:lang w:eastAsia="en-AU"/>
        </w:rPr>
        <w:t xml:space="preserve">The uneven and often reduced rate of learning is particularly common for clients who come with a background of trauma and dislocation, lack basic literacy in their first language, have a disability or face other barriers. SEE providers cite this </w:t>
      </w:r>
      <w:r w:rsidR="001540AD">
        <w:rPr>
          <w:sz w:val="22"/>
          <w:szCs w:val="22"/>
          <w:lang w:eastAsia="en-AU"/>
        </w:rPr>
        <w:t>as a disincentive to accept pre</w:t>
      </w:r>
      <w:r w:rsidR="001540AD">
        <w:rPr>
          <w:sz w:val="22"/>
          <w:szCs w:val="22"/>
          <w:lang w:eastAsia="en-AU"/>
        </w:rPr>
        <w:noBreakHyphen/>
      </w:r>
      <w:r w:rsidRPr="00C94F0C">
        <w:rPr>
          <w:sz w:val="22"/>
          <w:szCs w:val="22"/>
          <w:lang w:eastAsia="en-AU"/>
        </w:rPr>
        <w:t>level 1 ACSF job seekers.</w:t>
      </w:r>
    </w:p>
    <w:p w14:paraId="73FB05ED"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 xml:space="preserve">While the pre level 1 ACSF learning outcomes were introduced in 2013 to address the needs of this cohort, such progression does not contribute towards our KPI 2 attainment within SEE.  This makes it difficult for this pre Level 1 ACSF job seekers to achieve the rate of attainment (1:100 hours training) required within the SEE program.  </w:t>
      </w:r>
    </w:p>
    <w:p w14:paraId="001F3D7A"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softHyphen/>
        <w:t>– Chisholm Institute submission</w:t>
      </w:r>
    </w:p>
    <w:p w14:paraId="498625D8" w14:textId="0572C0C8" w:rsidR="00C94F0C" w:rsidRPr="00C94F0C" w:rsidRDefault="00C94F0C" w:rsidP="00C94F0C">
      <w:pPr>
        <w:spacing w:line="280" w:lineRule="exact"/>
        <w:rPr>
          <w:sz w:val="22"/>
          <w:szCs w:val="22"/>
          <w:lang w:eastAsia="en-AU"/>
        </w:rPr>
      </w:pPr>
      <w:r w:rsidRPr="00C94F0C">
        <w:rPr>
          <w:sz w:val="22"/>
          <w:szCs w:val="22"/>
          <w:lang w:eastAsia="en-AU"/>
        </w:rPr>
        <w:t xml:space="preserve">With respect to those clients that are assessed at </w:t>
      </w:r>
      <w:r w:rsidR="001537C2">
        <w:rPr>
          <w:sz w:val="22"/>
          <w:szCs w:val="22"/>
          <w:lang w:eastAsia="en-AU"/>
        </w:rPr>
        <w:t>p</w:t>
      </w:r>
      <w:r w:rsidRPr="00C94F0C">
        <w:rPr>
          <w:sz w:val="22"/>
          <w:szCs w:val="22"/>
          <w:lang w:eastAsia="en-AU"/>
        </w:rPr>
        <w:t xml:space="preserve">re-level 1 at the outset, a number of SEE providers note that these job seekers are allowed to participate in the </w:t>
      </w:r>
      <w:r w:rsidR="006A28F2">
        <w:rPr>
          <w:sz w:val="22"/>
          <w:szCs w:val="22"/>
          <w:lang w:eastAsia="en-AU"/>
        </w:rPr>
        <w:t xml:space="preserve">programme </w:t>
      </w:r>
      <w:r w:rsidRPr="00C94F0C">
        <w:rPr>
          <w:sz w:val="22"/>
          <w:szCs w:val="22"/>
          <w:lang w:eastAsia="en-AU"/>
        </w:rPr>
        <w:t xml:space="preserve">but achievement of </w:t>
      </w:r>
      <w:r w:rsidR="001537C2">
        <w:rPr>
          <w:sz w:val="22"/>
          <w:szCs w:val="22"/>
          <w:lang w:eastAsia="en-AU"/>
        </w:rPr>
        <w:t>p</w:t>
      </w:r>
      <w:r w:rsidRPr="00C94F0C">
        <w:rPr>
          <w:sz w:val="22"/>
          <w:szCs w:val="22"/>
          <w:lang w:eastAsia="en-AU"/>
        </w:rPr>
        <w:t xml:space="preserve">re-level 1 outcomes is not currently accepted as progress for these cohorts. </w:t>
      </w:r>
      <w:r w:rsidR="006163D8">
        <w:rPr>
          <w:sz w:val="22"/>
          <w:szCs w:val="22"/>
          <w:lang w:eastAsia="en-AU"/>
        </w:rPr>
        <w:t xml:space="preserve">(The appropriateness of these job seekers participating in the programme is discussed in Section </w:t>
      </w:r>
      <w:r w:rsidR="004E058F">
        <w:rPr>
          <w:sz w:val="22"/>
          <w:szCs w:val="22"/>
          <w:lang w:eastAsia="en-AU"/>
        </w:rPr>
        <w:t>7.1.3.)</w:t>
      </w:r>
    </w:p>
    <w:p w14:paraId="3A66B5F9"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Pre-level ACSF achievement must be implemented as a level ‘outcome’. This would allow for appropriate teaching, learning and assessment of this cohort.</w:t>
      </w:r>
    </w:p>
    <w:p w14:paraId="115FE5E8"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Melbourne Polytechnic (NMIT) submission</w:t>
      </w:r>
    </w:p>
    <w:p w14:paraId="27039D98"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We suggest that consideration is given to modifying the attainment required, within this band only, from the current one ACSF indicator to the demonstration of increases in four Pre-Level 1 ACSF performance features within each 100 hours until the learner is able to demonstrate competence in that Core Skill at ACSF Level1.</w:t>
      </w:r>
    </w:p>
    <w:p w14:paraId="50C19F6B"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Jobs Australia submission</w:t>
      </w:r>
    </w:p>
    <w:p w14:paraId="15799D68" w14:textId="77777777" w:rsidR="00302024" w:rsidRDefault="00302024" w:rsidP="00C94F0C">
      <w:pPr>
        <w:spacing w:before="60" w:after="60" w:line="220" w:lineRule="exact"/>
        <w:ind w:left="567" w:right="567"/>
        <w:rPr>
          <w:sz w:val="18"/>
          <w:szCs w:val="22"/>
          <w:lang w:eastAsia="en-AU"/>
        </w:rPr>
      </w:pPr>
    </w:p>
    <w:p w14:paraId="759862E3" w14:textId="77777777" w:rsidR="00302024" w:rsidRDefault="00302024" w:rsidP="00C94F0C">
      <w:pPr>
        <w:spacing w:before="60" w:after="60" w:line="220" w:lineRule="exact"/>
        <w:ind w:left="567" w:right="567"/>
        <w:rPr>
          <w:sz w:val="18"/>
          <w:szCs w:val="22"/>
          <w:lang w:eastAsia="en-AU"/>
        </w:rPr>
      </w:pPr>
    </w:p>
    <w:p w14:paraId="7216A2EF" w14:textId="77777777" w:rsidR="00302024" w:rsidRDefault="00302024" w:rsidP="00C94F0C">
      <w:pPr>
        <w:spacing w:before="60" w:after="60" w:line="220" w:lineRule="exact"/>
        <w:ind w:left="567" w:right="567"/>
        <w:rPr>
          <w:sz w:val="18"/>
          <w:szCs w:val="22"/>
          <w:lang w:eastAsia="en-AU"/>
        </w:rPr>
      </w:pPr>
    </w:p>
    <w:p w14:paraId="6975B06B" w14:textId="77777777" w:rsidR="00302024" w:rsidRDefault="00302024" w:rsidP="00C94F0C">
      <w:pPr>
        <w:spacing w:before="60" w:after="60" w:line="220" w:lineRule="exact"/>
        <w:ind w:left="567" w:right="567"/>
        <w:rPr>
          <w:sz w:val="18"/>
          <w:szCs w:val="22"/>
          <w:lang w:eastAsia="en-AU"/>
        </w:rPr>
      </w:pPr>
    </w:p>
    <w:p w14:paraId="2F0DA57D"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While LWA believes the program can meet the needs of these clients due to the flexibility in delivery options, the outcomes would be significantly enhanced if providers were able to use the pre-level 1 supplement of the ACSF to record progress. As many of these learners, particularly those from an EAL background, come from a pre-literate background, the pre-level 1 supplement was designed to capture and record the significant learning that can be made at this level.</w:t>
      </w:r>
    </w:p>
    <w:p w14:paraId="3992692D"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LWA submission</w:t>
      </w:r>
    </w:p>
    <w:p w14:paraId="40D9C91A" w14:textId="6038097F" w:rsidR="00C94F0C" w:rsidRPr="00C94F0C" w:rsidRDefault="00C94F0C" w:rsidP="00C94F0C">
      <w:pPr>
        <w:spacing w:line="280" w:lineRule="exact"/>
        <w:rPr>
          <w:sz w:val="22"/>
          <w:szCs w:val="22"/>
          <w:lang w:eastAsia="en-AU"/>
        </w:rPr>
      </w:pPr>
      <w:r w:rsidRPr="00C94F0C">
        <w:rPr>
          <w:sz w:val="22"/>
          <w:szCs w:val="22"/>
          <w:lang w:eastAsia="en-AU"/>
        </w:rPr>
        <w:t xml:space="preserve">In addition, </w:t>
      </w:r>
      <w:r w:rsidR="008F7A43" w:rsidRPr="00C94F0C">
        <w:rPr>
          <w:sz w:val="22"/>
          <w:szCs w:val="22"/>
          <w:lang w:eastAsia="en-AU"/>
        </w:rPr>
        <w:t xml:space="preserve">some SEE providers are </w:t>
      </w:r>
      <w:r w:rsidR="008F7A43">
        <w:rPr>
          <w:sz w:val="22"/>
          <w:szCs w:val="22"/>
          <w:lang w:eastAsia="en-AU"/>
        </w:rPr>
        <w:t xml:space="preserve">continuing to </w:t>
      </w:r>
      <w:r w:rsidR="008F7A43" w:rsidRPr="00C94F0C">
        <w:rPr>
          <w:sz w:val="22"/>
          <w:szCs w:val="22"/>
          <w:lang w:eastAsia="en-AU"/>
        </w:rPr>
        <w:t xml:space="preserve">assess </w:t>
      </w:r>
      <w:r w:rsidR="00221649">
        <w:rPr>
          <w:sz w:val="22"/>
          <w:szCs w:val="22"/>
          <w:lang w:eastAsia="en-AU"/>
        </w:rPr>
        <w:t>client</w:t>
      </w:r>
      <w:r w:rsidR="008F7A43" w:rsidRPr="00C94F0C">
        <w:rPr>
          <w:sz w:val="22"/>
          <w:szCs w:val="22"/>
          <w:lang w:eastAsia="en-AU"/>
        </w:rPr>
        <w:t xml:space="preserve">s against one ACSF indicator per 100 hours </w:t>
      </w:r>
      <w:r w:rsidR="008F7A43">
        <w:rPr>
          <w:sz w:val="22"/>
          <w:szCs w:val="22"/>
          <w:lang w:eastAsia="en-AU"/>
        </w:rPr>
        <w:t>in order to mitigate the</w:t>
      </w:r>
      <w:r w:rsidR="008F7A43" w:rsidRPr="00C94F0C">
        <w:rPr>
          <w:sz w:val="22"/>
          <w:szCs w:val="22"/>
          <w:lang w:eastAsia="en-AU"/>
        </w:rPr>
        <w:t xml:space="preserve"> risk </w:t>
      </w:r>
      <w:r w:rsidR="008F7A43">
        <w:rPr>
          <w:sz w:val="22"/>
          <w:szCs w:val="22"/>
          <w:lang w:eastAsia="en-AU"/>
        </w:rPr>
        <w:t xml:space="preserve">of </w:t>
      </w:r>
      <w:r w:rsidR="008F7A43" w:rsidRPr="00C94F0C">
        <w:rPr>
          <w:sz w:val="22"/>
          <w:szCs w:val="22"/>
          <w:lang w:eastAsia="en-AU"/>
        </w:rPr>
        <w:t xml:space="preserve">high rates of withdrawals </w:t>
      </w:r>
      <w:r w:rsidR="008F7A43">
        <w:rPr>
          <w:sz w:val="22"/>
          <w:szCs w:val="22"/>
          <w:lang w:eastAsia="en-AU"/>
        </w:rPr>
        <w:t>amongst this cohort</w:t>
      </w:r>
      <w:r w:rsidRPr="00C94F0C">
        <w:rPr>
          <w:sz w:val="22"/>
          <w:szCs w:val="22"/>
          <w:lang w:eastAsia="en-AU"/>
        </w:rPr>
        <w:t xml:space="preserve">. They acknowledge that this does not reflect actual progress of LLN learners or best practice in LLN delivery/assessment.  </w:t>
      </w:r>
    </w:p>
    <w:p w14:paraId="7E04B78B"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 decision to remove the obligation of assessing every 200 hours in recognition of the fact that learners will achieve outcomes at different rates was commendable. However, in reality providers are now assessing every 100 hours to ensure they are not penalised if a learner leaves before completing what was previously known as the ‘200 hour block’.</w:t>
      </w:r>
    </w:p>
    <w:p w14:paraId="16024C2E" w14:textId="77777777" w:rsid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LWA submission</w:t>
      </w:r>
    </w:p>
    <w:p w14:paraId="29C33410" w14:textId="09D7DC08" w:rsidR="0031224B" w:rsidRDefault="0031224B" w:rsidP="00E8274A">
      <w:pPr>
        <w:pStyle w:val="BodyText"/>
      </w:pPr>
      <w:r>
        <w:t xml:space="preserve">The </w:t>
      </w:r>
      <w:r w:rsidR="00147674">
        <w:t>SEE programme</w:t>
      </w:r>
      <w:r>
        <w:t>’s approach to KPI 2 in the future will depend on the extent to which the programme is intended to provide training to low level clients, as addressed in Section</w:t>
      </w:r>
      <w:r w:rsidR="00535E39">
        <w:t> </w:t>
      </w:r>
      <w:r>
        <w:t>7.1.3.</w:t>
      </w:r>
    </w:p>
    <w:p w14:paraId="44405926" w14:textId="77777777" w:rsidR="00C1467A" w:rsidRDefault="00C1467A" w:rsidP="00E8274A">
      <w:pPr>
        <w:pStyle w:val="BodyText"/>
      </w:pPr>
      <w:r>
        <w:t>If the programme is not to target low level clients, there are two options:</w:t>
      </w:r>
    </w:p>
    <w:p w14:paraId="158DEE3F" w14:textId="065679CC" w:rsidR="00575B47" w:rsidRDefault="00C1467A" w:rsidP="00E8274A">
      <w:pPr>
        <w:pStyle w:val="ListDash"/>
      </w:pPr>
      <w:r>
        <w:t xml:space="preserve">Maintain the current approach which sees KPI 2 act as a soft cap on the number of low level clients in the programme, by dis-incentivising providers commencing too </w:t>
      </w:r>
      <w:r w:rsidR="00575B47">
        <w:t>high a proportion of</w:t>
      </w:r>
      <w:r>
        <w:t xml:space="preserve"> clients who will not be able to demonstrate the necessary speed of LLN improvement. </w:t>
      </w:r>
      <w:r w:rsidR="00575B47">
        <w:t>This risks reducing the ability of provider to specialise in low level clients.</w:t>
      </w:r>
    </w:p>
    <w:p w14:paraId="73B606CF" w14:textId="37A8E356" w:rsidR="0031224B" w:rsidRDefault="00575B47" w:rsidP="00E8274A">
      <w:pPr>
        <w:pStyle w:val="ListDash"/>
      </w:pPr>
      <w:r>
        <w:t xml:space="preserve">Tighten the </w:t>
      </w:r>
      <w:r w:rsidR="00C1467A">
        <w:t xml:space="preserve">eligibility criteria to prevent clients entering the programme </w:t>
      </w:r>
      <w:r>
        <w:t>at the pre-A</w:t>
      </w:r>
      <w:r w:rsidR="00AA4EB4">
        <w:t>CS</w:t>
      </w:r>
      <w:r>
        <w:t>F level</w:t>
      </w:r>
      <w:r w:rsidR="00470105">
        <w:t xml:space="preserve">, and maintain the current KPI allowing the flexibility of the 80 per cent target to be used by providers to account for uneven progress in target group clients. </w:t>
      </w:r>
    </w:p>
    <w:p w14:paraId="30F7A4C7" w14:textId="3920D408" w:rsidR="00575B47" w:rsidRPr="00C94F0C" w:rsidRDefault="00C1467A" w:rsidP="00E8274A">
      <w:pPr>
        <w:pStyle w:val="BodyText"/>
      </w:pPr>
      <w:r>
        <w:t xml:space="preserve">If the </w:t>
      </w:r>
      <w:r w:rsidR="00E17371">
        <w:t xml:space="preserve">SEE </w:t>
      </w:r>
      <w:r>
        <w:t xml:space="preserve">programme is to </w:t>
      </w:r>
      <w:r w:rsidR="00AA4EB4">
        <w:t>include pre-ACS</w:t>
      </w:r>
      <w:r>
        <w:t xml:space="preserve">F low level clients among its target groups, </w:t>
      </w:r>
      <w:r w:rsidR="00AA4EB4">
        <w:t>KPI</w:t>
      </w:r>
      <w:r w:rsidR="00E17371">
        <w:t> </w:t>
      </w:r>
      <w:r w:rsidR="00AA4EB4">
        <w:t>2 could be modified to include pre-ACSF attainment, or pre-ACSF could be excluded from KPI </w:t>
      </w:r>
      <w:r>
        <w:t xml:space="preserve">2 </w:t>
      </w:r>
      <w:r w:rsidR="00AA4EB4">
        <w:t>and another KP</w:t>
      </w:r>
      <w:r w:rsidR="0045598A">
        <w:t>I</w:t>
      </w:r>
      <w:r w:rsidR="00AA4EB4">
        <w:t xml:space="preserve"> could be developed to measure of pe</w:t>
      </w:r>
      <w:r w:rsidR="00470105">
        <w:t>rformance of providers with these</w:t>
      </w:r>
      <w:r w:rsidR="00AA4EB4">
        <w:t xml:space="preserve"> clients. </w:t>
      </w:r>
      <w:r w:rsidR="00575B47">
        <w:t xml:space="preserve">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48196F" w14:paraId="373BF917" w14:textId="77777777" w:rsidTr="00A45596">
        <w:tc>
          <w:tcPr>
            <w:tcW w:w="5000" w:type="pct"/>
            <w:shd w:val="pct12" w:color="auto" w:fill="auto"/>
          </w:tcPr>
          <w:p w14:paraId="0A13DE18" w14:textId="464930BE" w:rsidR="0048196F" w:rsidRDefault="0048196F" w:rsidP="00A45596">
            <w:pPr>
              <w:pStyle w:val="Caption"/>
              <w:spacing w:before="120" w:after="60"/>
              <w:ind w:left="1112" w:hanging="1112"/>
              <w:rPr>
                <w:rFonts w:ascii="Arial Bold" w:hAnsi="Arial Bold"/>
                <w:color w:val="000080"/>
              </w:rPr>
            </w:pPr>
            <w:r>
              <w:t xml:space="preserve">Recommendation </w:t>
            </w:r>
            <w:r w:rsidR="006A2396">
              <w:fldChar w:fldCharType="begin"/>
            </w:r>
            <w:r w:rsidR="006A2396">
              <w:instrText xml:space="preserve"> SEQ Recommendation \* ARABIC </w:instrText>
            </w:r>
            <w:r w:rsidR="006A2396">
              <w:fldChar w:fldCharType="separate"/>
            </w:r>
            <w:r w:rsidR="00294A5A">
              <w:rPr>
                <w:noProof/>
              </w:rPr>
              <w:t>9</w:t>
            </w:r>
            <w:r w:rsidR="006A2396">
              <w:rPr>
                <w:noProof/>
              </w:rPr>
              <w:fldChar w:fldCharType="end"/>
            </w:r>
          </w:p>
        </w:tc>
      </w:tr>
      <w:tr w:rsidR="0048196F" w14:paraId="6632D93B" w14:textId="77777777" w:rsidTr="00A45596">
        <w:tc>
          <w:tcPr>
            <w:tcW w:w="5000" w:type="pct"/>
            <w:shd w:val="pct12" w:color="auto" w:fill="auto"/>
          </w:tcPr>
          <w:p w14:paraId="22DBB920" w14:textId="78A983EB" w:rsidR="0031224B" w:rsidRDefault="00024926" w:rsidP="0031224B">
            <w:pPr>
              <w:pStyle w:val="BoxText"/>
            </w:pPr>
            <w:r w:rsidRPr="00024926">
              <w:t xml:space="preserve">The future shape of KPI 2 depends on whether job seekers with very low LLN skills are an intended target group of the </w:t>
            </w:r>
            <w:r w:rsidR="00147674">
              <w:t>SEE programme</w:t>
            </w:r>
            <w:r w:rsidRPr="00024926">
              <w:t xml:space="preserve"> (see Recommendation 4). If they are, KPI 2 could be modified to include pre-ACSF attainment.</w:t>
            </w:r>
          </w:p>
          <w:p w14:paraId="4450AE13" w14:textId="77777777" w:rsidR="0048196F" w:rsidRDefault="0048196F" w:rsidP="00A45596">
            <w:pPr>
              <w:pStyle w:val="SmallDeltasRightAligned"/>
            </w:pPr>
            <w:r>
              <w:rPr>
                <w:noProof/>
                <w:lang w:eastAsia="en-AU"/>
              </w:rPr>
              <w:drawing>
                <wp:inline distT="0" distB="0" distL="0" distR="0" wp14:anchorId="2CE55D57" wp14:editId="763A9E6E">
                  <wp:extent cx="481585" cy="23469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48196F" w14:paraId="5A73F0AF" w14:textId="77777777" w:rsidTr="00A45596">
        <w:trPr>
          <w:trHeight w:hRule="exact" w:val="80"/>
        </w:trPr>
        <w:tc>
          <w:tcPr>
            <w:tcW w:w="5000" w:type="pct"/>
            <w:shd w:val="pct12" w:color="auto" w:fill="auto"/>
          </w:tcPr>
          <w:p w14:paraId="47C48D77" w14:textId="77777777" w:rsidR="0048196F" w:rsidRDefault="0048196F">
            <w:pPr>
              <w:spacing w:before="160"/>
            </w:pPr>
            <w:r>
              <w:t xml:space="preserve"> </w:t>
            </w:r>
          </w:p>
        </w:tc>
      </w:tr>
    </w:tbl>
    <w:p w14:paraId="0887911B" w14:textId="60464B50" w:rsidR="00F43636" w:rsidRDefault="00024926" w:rsidP="00E8274A">
      <w:pPr>
        <w:pStyle w:val="BodyText"/>
      </w:pPr>
      <w:r>
        <w:t xml:space="preserve">To address concerns about over assessment caused by clients unexpectedly leaving the </w:t>
      </w:r>
      <w:r w:rsidR="00E17371">
        <w:t xml:space="preserve">SEE </w:t>
      </w:r>
      <w:r>
        <w:t>programme close but prior to an assessment, the Department should better promote techniques providers can use to mitigate against this having an impact on their KPI performance. For example, by using course work produced by the client before they left the programme in the LOA.</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024926" w14:paraId="1547DBF3" w14:textId="77777777" w:rsidTr="00E8274A">
        <w:tc>
          <w:tcPr>
            <w:tcW w:w="5000" w:type="pct"/>
            <w:shd w:val="pct12" w:color="auto" w:fill="auto"/>
          </w:tcPr>
          <w:p w14:paraId="1D851373" w14:textId="77777777" w:rsidR="00024926" w:rsidRDefault="00024926" w:rsidP="00E8274A">
            <w:pPr>
              <w:pStyle w:val="Caption"/>
              <w:spacing w:before="120" w:after="60"/>
              <w:ind w:left="1112" w:hanging="1112"/>
              <w:rPr>
                <w:rFonts w:ascii="Arial Bold" w:hAnsi="Arial Bold"/>
                <w:color w:val="000080"/>
              </w:rPr>
            </w:pPr>
            <w:r>
              <w:t xml:space="preserve">Recommendation </w:t>
            </w:r>
            <w:r w:rsidR="006A2396">
              <w:fldChar w:fldCharType="begin"/>
            </w:r>
            <w:r w:rsidR="006A2396">
              <w:instrText xml:space="preserve"> SEQ Recommendation \* ARABIC </w:instrText>
            </w:r>
            <w:r w:rsidR="006A2396">
              <w:fldChar w:fldCharType="separate"/>
            </w:r>
            <w:r w:rsidR="00294A5A">
              <w:rPr>
                <w:noProof/>
              </w:rPr>
              <w:t>10</w:t>
            </w:r>
            <w:r w:rsidR="006A2396">
              <w:rPr>
                <w:noProof/>
              </w:rPr>
              <w:fldChar w:fldCharType="end"/>
            </w:r>
          </w:p>
        </w:tc>
      </w:tr>
      <w:tr w:rsidR="00024926" w14:paraId="7E320247" w14:textId="77777777" w:rsidTr="00E8274A">
        <w:tc>
          <w:tcPr>
            <w:tcW w:w="5000" w:type="pct"/>
            <w:shd w:val="pct12" w:color="auto" w:fill="auto"/>
          </w:tcPr>
          <w:p w14:paraId="00CDC376" w14:textId="40D11B3A" w:rsidR="00024926" w:rsidRDefault="00024926">
            <w:pPr>
              <w:pStyle w:val="BoxText"/>
            </w:pPr>
            <w:r>
              <w:t xml:space="preserve">The </w:t>
            </w:r>
            <w:r w:rsidR="00DA6265" w:rsidRPr="00DA6265">
              <w:t xml:space="preserve">Australian Government </w:t>
            </w:r>
            <w:r>
              <w:t>should better promote techniques providers can use to mitigate</w:t>
            </w:r>
            <w:r w:rsidRPr="0048196F">
              <w:t xml:space="preserve"> </w:t>
            </w:r>
            <w:r>
              <w:t>against over</w:t>
            </w:r>
            <w:r>
              <w:noBreakHyphen/>
              <w:t xml:space="preserve">assessment. </w:t>
            </w:r>
          </w:p>
          <w:p w14:paraId="70D03299" w14:textId="77777777" w:rsidR="00024926" w:rsidRDefault="00024926" w:rsidP="00E8274A">
            <w:pPr>
              <w:pStyle w:val="SmallDeltasRightAligned"/>
            </w:pPr>
            <w:r>
              <w:rPr>
                <w:noProof/>
                <w:lang w:eastAsia="en-AU"/>
              </w:rPr>
              <w:drawing>
                <wp:inline distT="0" distB="0" distL="0" distR="0" wp14:anchorId="1A38635E" wp14:editId="0048CF04">
                  <wp:extent cx="481585" cy="23469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24926" w14:paraId="7379943A" w14:textId="77777777" w:rsidTr="00E8274A">
        <w:trPr>
          <w:trHeight w:hRule="exact" w:val="80"/>
        </w:trPr>
        <w:tc>
          <w:tcPr>
            <w:tcW w:w="5000" w:type="pct"/>
            <w:shd w:val="pct12" w:color="auto" w:fill="auto"/>
          </w:tcPr>
          <w:p w14:paraId="5F8E5C58" w14:textId="77777777" w:rsidR="00024926" w:rsidRDefault="00024926">
            <w:pPr>
              <w:spacing w:before="160"/>
            </w:pPr>
            <w:r>
              <w:t xml:space="preserve"> </w:t>
            </w:r>
          </w:p>
        </w:tc>
      </w:tr>
    </w:tbl>
    <w:p w14:paraId="71313DC6"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 xml:space="preserve">Independent Verification </w:t>
      </w:r>
    </w:p>
    <w:p w14:paraId="091BD68F" w14:textId="66020B91" w:rsidR="00C94F0C" w:rsidRPr="00C94F0C" w:rsidRDefault="00C94F0C" w:rsidP="00C94F0C">
      <w:pPr>
        <w:spacing w:line="280" w:lineRule="exact"/>
        <w:rPr>
          <w:sz w:val="22"/>
          <w:szCs w:val="22"/>
          <w:lang w:eastAsia="en-AU"/>
        </w:rPr>
      </w:pPr>
      <w:r w:rsidRPr="00C94F0C">
        <w:rPr>
          <w:sz w:val="22"/>
          <w:szCs w:val="22"/>
          <w:lang w:eastAsia="en-AU"/>
        </w:rPr>
        <w:t xml:space="preserve">The Independent Verification process </w:t>
      </w:r>
      <w:r w:rsidR="00FC0F95">
        <w:rPr>
          <w:sz w:val="22"/>
          <w:szCs w:val="22"/>
          <w:lang w:eastAsia="en-AU"/>
        </w:rPr>
        <w:t>was generally well</w:t>
      </w:r>
      <w:r w:rsidRPr="00C94F0C">
        <w:rPr>
          <w:sz w:val="22"/>
          <w:szCs w:val="22"/>
          <w:lang w:eastAsia="en-AU"/>
        </w:rPr>
        <w:t xml:space="preserve"> accepted </w:t>
      </w:r>
      <w:r w:rsidR="00FC0F95">
        <w:rPr>
          <w:sz w:val="22"/>
          <w:szCs w:val="22"/>
          <w:lang w:eastAsia="en-AU"/>
        </w:rPr>
        <w:t>as an</w:t>
      </w:r>
      <w:r w:rsidR="00FC0F95" w:rsidRPr="00C94F0C">
        <w:rPr>
          <w:sz w:val="22"/>
          <w:szCs w:val="22"/>
          <w:lang w:eastAsia="en-AU"/>
        </w:rPr>
        <w:t xml:space="preserve"> </w:t>
      </w:r>
      <w:r w:rsidRPr="00C94F0C">
        <w:rPr>
          <w:sz w:val="22"/>
          <w:szCs w:val="22"/>
          <w:lang w:eastAsia="en-AU"/>
        </w:rPr>
        <w:t xml:space="preserve">appropriate part of the </w:t>
      </w:r>
      <w:r w:rsidR="00147674">
        <w:rPr>
          <w:sz w:val="22"/>
          <w:szCs w:val="22"/>
          <w:lang w:eastAsia="en-AU"/>
        </w:rPr>
        <w:t>SEE programme</w:t>
      </w:r>
      <w:r w:rsidR="00FC0F95">
        <w:rPr>
          <w:sz w:val="22"/>
          <w:szCs w:val="22"/>
          <w:lang w:eastAsia="en-AU"/>
        </w:rPr>
        <w:t>, as exemplified below</w:t>
      </w:r>
      <w:r w:rsidRPr="00C94F0C">
        <w:rPr>
          <w:sz w:val="22"/>
          <w:szCs w:val="22"/>
          <w:lang w:eastAsia="en-AU"/>
        </w:rPr>
        <w:t xml:space="preserve">. </w:t>
      </w:r>
    </w:p>
    <w:p w14:paraId="0C02E8B8"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 external verification protocol is well designed. It is clear, transparent and consistent. All providers know in advance approximate time frames for annual verification and are given adequate notice of the type of verification (on site or off site). The time frame to get files submitted is reasonable and the time frame for the report to come back from the external verifier is also consistent and reasonable.</w:t>
      </w:r>
    </w:p>
    <w:p w14:paraId="66A69A3B"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Confidential submission</w:t>
      </w:r>
    </w:p>
    <w:p w14:paraId="2077BCE6" w14:textId="2996629B" w:rsidR="00C94F0C" w:rsidRPr="00C94F0C" w:rsidRDefault="00C94F0C" w:rsidP="00C94F0C">
      <w:pPr>
        <w:spacing w:line="280" w:lineRule="exact"/>
        <w:rPr>
          <w:sz w:val="22"/>
          <w:szCs w:val="22"/>
          <w:lang w:eastAsia="en-AU"/>
        </w:rPr>
      </w:pPr>
      <w:r w:rsidRPr="00C94F0C">
        <w:rPr>
          <w:sz w:val="22"/>
          <w:szCs w:val="22"/>
          <w:lang w:eastAsia="en-AU"/>
        </w:rPr>
        <w:t xml:space="preserve">The primary issues raised by SEE providers with respect to the </w:t>
      </w:r>
      <w:r w:rsidR="001B4B80" w:rsidRPr="00C94F0C">
        <w:rPr>
          <w:sz w:val="22"/>
          <w:szCs w:val="22"/>
          <w:lang w:eastAsia="en-AU"/>
        </w:rPr>
        <w:t xml:space="preserve">Independent Verification </w:t>
      </w:r>
      <w:r w:rsidRPr="00C94F0C">
        <w:rPr>
          <w:sz w:val="22"/>
          <w:szCs w:val="22"/>
          <w:lang w:eastAsia="en-AU"/>
        </w:rPr>
        <w:t xml:space="preserve">process </w:t>
      </w:r>
      <w:r w:rsidR="00FC0F95">
        <w:rPr>
          <w:sz w:val="22"/>
          <w:szCs w:val="22"/>
          <w:lang w:eastAsia="en-AU"/>
        </w:rPr>
        <w:t>were</w:t>
      </w:r>
      <w:r w:rsidR="00FC0F95" w:rsidRPr="00C94F0C">
        <w:rPr>
          <w:sz w:val="22"/>
          <w:szCs w:val="22"/>
          <w:lang w:eastAsia="en-AU"/>
        </w:rPr>
        <w:t xml:space="preserve"> </w:t>
      </w:r>
      <w:r w:rsidRPr="00C94F0C">
        <w:rPr>
          <w:sz w:val="22"/>
          <w:szCs w:val="22"/>
          <w:lang w:eastAsia="en-AU"/>
        </w:rPr>
        <w:t>two-fold:</w:t>
      </w:r>
    </w:p>
    <w:p w14:paraId="2C9699E0" w14:textId="77777777" w:rsidR="00C94F0C" w:rsidRPr="001540AD" w:rsidRDefault="00C94F0C" w:rsidP="001540AD">
      <w:pPr>
        <w:pStyle w:val="ListNumber"/>
        <w:numPr>
          <w:ilvl w:val="0"/>
          <w:numId w:val="36"/>
        </w:numPr>
      </w:pPr>
      <w:r w:rsidRPr="001540AD">
        <w:t>The documentation associated with the PTA reporting is significant, solely for the purposes of ensuring sufficient material to allow for the Independent Verification process.</w:t>
      </w:r>
    </w:p>
    <w:p w14:paraId="2899E371" w14:textId="77777777" w:rsidR="00C94F0C" w:rsidRPr="00C94F0C" w:rsidRDefault="00C94F0C" w:rsidP="001540AD">
      <w:pPr>
        <w:numPr>
          <w:ilvl w:val="0"/>
          <w:numId w:val="30"/>
        </w:numPr>
        <w:spacing w:before="60" w:after="60" w:line="280" w:lineRule="exact"/>
        <w:rPr>
          <w:sz w:val="22"/>
          <w:szCs w:val="22"/>
          <w:lang w:eastAsia="en-AU"/>
        </w:rPr>
      </w:pPr>
      <w:r w:rsidRPr="00C94F0C">
        <w:rPr>
          <w:sz w:val="22"/>
          <w:szCs w:val="22"/>
          <w:lang w:eastAsia="en-AU"/>
        </w:rPr>
        <w:t>The requirements and expectations of Independent Verification can be inconsistent, opaque and poorly documented or communicated to providers.</w:t>
      </w:r>
    </w:p>
    <w:p w14:paraId="32B74151"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 Independent Verification goal posts are not transparent and seem to keep shifting.  After many years of reporting against the ACSF many teaching professionals find that some performance criteria and their requirements are less than clear, and can only be discovered through the verification process. Interpretation of these criteria seems to vary from one verification to the next.  Verification would be more effective if there was more room for supportive feedback between verifications.  Feedback and instructions for Independent Verifications are provided through LWA Newsletters and ACSF Moderation sessions.  However, only a limited number of teachers from each provider are able to attend the Moderation workshops.  It would be helpful to have all guidelines available in one accessible document.</w:t>
      </w:r>
    </w:p>
    <w:p w14:paraId="3B517D0B"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SEE provider confidential submission</w:t>
      </w:r>
    </w:p>
    <w:p w14:paraId="4036E6D0" w14:textId="5873A2BB" w:rsidR="00C94F0C" w:rsidRPr="00C94F0C" w:rsidRDefault="00470105" w:rsidP="00E8274A">
      <w:pPr>
        <w:pStyle w:val="BodyText"/>
      </w:pPr>
      <w:r>
        <w:t xml:space="preserve">Providers consulted as part of this evaluation were keen to receive greater guidance on how they could best meet the audit requirements of the IV process.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0F142FDA" w14:textId="77777777" w:rsidTr="00EA422F">
        <w:tc>
          <w:tcPr>
            <w:tcW w:w="5000" w:type="pct"/>
            <w:shd w:val="pct12" w:color="auto" w:fill="auto"/>
          </w:tcPr>
          <w:p w14:paraId="15418EE9" w14:textId="2A4EA536"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11</w:t>
            </w:r>
            <w:r w:rsidRPr="00C94F0C">
              <w:rPr>
                <w:rFonts w:asciiTheme="majorHAnsi" w:hAnsiTheme="majorHAnsi" w:cs="Arial"/>
                <w:noProof/>
                <w:sz w:val="20"/>
              </w:rPr>
              <w:fldChar w:fldCharType="end"/>
            </w:r>
          </w:p>
        </w:tc>
      </w:tr>
      <w:tr w:rsidR="00C94F0C" w:rsidRPr="00C94F0C" w14:paraId="22B08456" w14:textId="77777777" w:rsidTr="00EA422F">
        <w:tc>
          <w:tcPr>
            <w:tcW w:w="5000" w:type="pct"/>
            <w:shd w:val="pct12" w:color="auto" w:fill="auto"/>
          </w:tcPr>
          <w:p w14:paraId="56A41409" w14:textId="6A8E3EAB" w:rsidR="00267E50" w:rsidRPr="00267E50" w:rsidRDefault="004D59FC" w:rsidP="00E8274A">
            <w:pPr>
              <w:pStyle w:val="BoxText"/>
            </w:pPr>
            <w:r w:rsidRPr="004D59FC">
              <w:t xml:space="preserve">The Independent Verification is a beneficial part of the </w:t>
            </w:r>
            <w:r w:rsidR="00147674">
              <w:t>SEE programme</w:t>
            </w:r>
            <w:r w:rsidRPr="004D59FC">
              <w:t xml:space="preserve"> and </w:t>
            </w:r>
            <w:r w:rsidR="00302024">
              <w:t xml:space="preserve">the </w:t>
            </w:r>
            <w:r w:rsidR="00DA6265" w:rsidRPr="00DA6265">
              <w:t xml:space="preserve">Australian Government </w:t>
            </w:r>
            <w:r w:rsidRPr="004D59FC">
              <w:t>should look to improve the consistency and communication around the process and the expectations of assessors.</w:t>
            </w:r>
            <w:r w:rsidR="00267E50">
              <w:t xml:space="preserve"> </w:t>
            </w:r>
          </w:p>
          <w:p w14:paraId="6FA18677"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22886357" wp14:editId="6557BAF9">
                  <wp:extent cx="481585" cy="234696"/>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49958896" w14:textId="77777777" w:rsidTr="00EA422F">
        <w:trPr>
          <w:trHeight w:hRule="exact" w:val="80"/>
        </w:trPr>
        <w:tc>
          <w:tcPr>
            <w:tcW w:w="5000" w:type="pct"/>
            <w:shd w:val="pct12" w:color="auto" w:fill="auto"/>
          </w:tcPr>
          <w:p w14:paraId="68D18984" w14:textId="77777777" w:rsidR="00C94F0C" w:rsidRPr="00C94F0C" w:rsidRDefault="00C94F0C" w:rsidP="00C94F0C">
            <w:pPr>
              <w:spacing w:before="160"/>
            </w:pPr>
            <w:r w:rsidRPr="00C94F0C">
              <w:t xml:space="preserve"> </w:t>
            </w:r>
          </w:p>
        </w:tc>
      </w:tr>
    </w:tbl>
    <w:p w14:paraId="08A5B118" w14:textId="77777777" w:rsidR="00C94F0C" w:rsidRPr="00C94F0C" w:rsidRDefault="00C94F0C" w:rsidP="00C94F0C">
      <w:pPr>
        <w:keepNext/>
        <w:numPr>
          <w:ilvl w:val="2"/>
          <w:numId w:val="20"/>
        </w:numPr>
        <w:spacing w:before="300" w:after="0" w:line="270" w:lineRule="exact"/>
        <w:outlineLvl w:val="2"/>
        <w:rPr>
          <w:rFonts w:asciiTheme="majorHAnsi" w:hAnsiTheme="majorHAnsi"/>
          <w:b/>
          <w:color w:val="9757A6" w:themeColor="text2"/>
          <w:sz w:val="22"/>
          <w:lang w:eastAsia="en-AU"/>
        </w:rPr>
      </w:pPr>
      <w:bookmarkStart w:id="165" w:name="_Ref408675106"/>
      <w:r w:rsidRPr="00C94F0C">
        <w:rPr>
          <w:rFonts w:asciiTheme="majorHAnsi" w:hAnsiTheme="majorHAnsi"/>
          <w:b/>
          <w:color w:val="9757A6" w:themeColor="text2"/>
          <w:sz w:val="22"/>
          <w:lang w:eastAsia="en-AU"/>
        </w:rPr>
        <w:t>Improving client outcomes</w:t>
      </w:r>
      <w:bookmarkEnd w:id="165"/>
    </w:p>
    <w:p w14:paraId="0B292104" w14:textId="77777777" w:rsidR="00C94F0C" w:rsidRPr="00C94F0C" w:rsidRDefault="00C94F0C" w:rsidP="00C94F0C">
      <w:pPr>
        <w:spacing w:line="280" w:lineRule="exact"/>
        <w:rPr>
          <w:sz w:val="22"/>
          <w:szCs w:val="22"/>
          <w:lang w:eastAsia="en-AU"/>
        </w:rPr>
      </w:pPr>
      <w:r w:rsidRPr="00C94F0C">
        <w:rPr>
          <w:sz w:val="22"/>
          <w:szCs w:val="22"/>
          <w:lang w:eastAsia="en-AU"/>
        </w:rPr>
        <w:t>In the 2004 Review of the LLNP, the DEST highlighted the importance of flexibility in the programme in order to cater to diverse needs.</w:t>
      </w:r>
    </w:p>
    <w:p w14:paraId="43E452D8"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International literature suggests the importance of allowing the flexibility of adjusting programmes to meet individual needs. Consequently, efforts should be made to strengthen and support innovative programmes to address the language, literacy and numeracy needs of clients who currently show poor outcomes under LLNP, such as Indigenous Australians, younger males and people with disabilities.</w:t>
      </w:r>
    </w:p>
    <w:p w14:paraId="294B11BF" w14:textId="6E0723D9" w:rsidR="00C94F0C" w:rsidRPr="00C94F0C" w:rsidRDefault="00C94F0C" w:rsidP="00C94F0C">
      <w:pPr>
        <w:spacing w:line="280" w:lineRule="exact"/>
        <w:rPr>
          <w:sz w:val="22"/>
          <w:szCs w:val="22"/>
          <w:lang w:eastAsia="en-AU"/>
        </w:rPr>
      </w:pPr>
      <w:r w:rsidRPr="00C94F0C">
        <w:rPr>
          <w:sz w:val="22"/>
          <w:szCs w:val="22"/>
          <w:lang w:eastAsia="en-AU"/>
        </w:rPr>
        <w:t xml:space="preserve">Stakeholders generally agree that the </w:t>
      </w:r>
      <w:r w:rsidR="00147674">
        <w:rPr>
          <w:sz w:val="22"/>
          <w:szCs w:val="22"/>
          <w:lang w:eastAsia="en-AU"/>
        </w:rPr>
        <w:t>SEE programme</w:t>
      </w:r>
      <w:r w:rsidR="006A28F2">
        <w:rPr>
          <w:sz w:val="22"/>
          <w:szCs w:val="22"/>
          <w:lang w:eastAsia="en-AU"/>
        </w:rPr>
        <w:t xml:space="preserve"> </w:t>
      </w:r>
      <w:r w:rsidRPr="00C94F0C">
        <w:rPr>
          <w:sz w:val="22"/>
          <w:szCs w:val="22"/>
          <w:lang w:eastAsia="en-AU"/>
        </w:rPr>
        <w:t>has the potential to have a significant impact on a large proportion of participants in preparing them for further study or employment.</w:t>
      </w:r>
    </w:p>
    <w:p w14:paraId="3FF487BB"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 xml:space="preserve">The SEE Program is very effective in providing students with the language, literacy and numeracy that contribute to further education, training and employment. It enables students who would not otherwise be able to afford course fees, to study English language and improve their chances of being accepted into VET courses and finding employment. </w:t>
      </w:r>
    </w:p>
    <w:p w14:paraId="2307E561"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Melbourne Polytechnic (NMIT) submission</w:t>
      </w:r>
    </w:p>
    <w:p w14:paraId="00F788EB"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Flexibility to include VET units</w:t>
      </w:r>
    </w:p>
    <w:p w14:paraId="334C4835" w14:textId="03C41F92" w:rsidR="00C94F0C" w:rsidRPr="00C94F0C" w:rsidRDefault="00C94F0C" w:rsidP="00C94F0C">
      <w:pPr>
        <w:spacing w:line="280" w:lineRule="exact"/>
        <w:rPr>
          <w:sz w:val="22"/>
          <w:szCs w:val="22"/>
          <w:lang w:eastAsia="en-AU"/>
        </w:rPr>
      </w:pPr>
      <w:r w:rsidRPr="00C94F0C">
        <w:rPr>
          <w:sz w:val="22"/>
          <w:szCs w:val="22"/>
          <w:lang w:eastAsia="en-AU"/>
        </w:rPr>
        <w:t xml:space="preserve">Because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is based on the ACSF and does not prescribe any compulsory curricula, </w:t>
      </w:r>
      <w:r w:rsidR="00E17371">
        <w:rPr>
          <w:sz w:val="22"/>
          <w:szCs w:val="22"/>
          <w:lang w:eastAsia="en-AU"/>
        </w:rPr>
        <w:t xml:space="preserve">SEE </w:t>
      </w:r>
      <w:r w:rsidRPr="00C94F0C">
        <w:rPr>
          <w:sz w:val="22"/>
          <w:szCs w:val="22"/>
          <w:lang w:eastAsia="en-AU"/>
        </w:rPr>
        <w:t>providers have the flexibility to include other VET units.</w:t>
      </w:r>
    </w:p>
    <w:p w14:paraId="107AF2DF"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Flexibility of SEE means that for level 2+ ACSF we can deliver vocational tasters and some units of competence from VET Cert I and II.  This exposure give job seekers a better idea of what is involved in different industries which informs their future learning and vocational goals.</w:t>
      </w:r>
    </w:p>
    <w:p w14:paraId="57C41D47"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GoTAFE, Chisholm Institute and LfE joint submission</w:t>
      </w:r>
    </w:p>
    <w:p w14:paraId="19A42132" w14:textId="77777777" w:rsidR="00C94F0C" w:rsidRPr="00C94F0C" w:rsidRDefault="00C94F0C" w:rsidP="00C94F0C">
      <w:pPr>
        <w:spacing w:line="280" w:lineRule="exact"/>
        <w:rPr>
          <w:sz w:val="22"/>
          <w:szCs w:val="22"/>
          <w:lang w:eastAsia="en-AU"/>
        </w:rPr>
      </w:pPr>
      <w:r w:rsidRPr="00C94F0C">
        <w:rPr>
          <w:sz w:val="22"/>
          <w:szCs w:val="22"/>
          <w:lang w:eastAsia="en-AU"/>
        </w:rPr>
        <w:t>As it was intended, the removal of 200 hour blocks of training and specific Complementary Training (CT) and Advanced Vocationally Oriented Courses (AVOC) have also improved programme flexibility.</w:t>
      </w:r>
    </w:p>
    <w:p w14:paraId="489A48A4" w14:textId="35951E0F" w:rsidR="00C94F0C" w:rsidRPr="00C94F0C" w:rsidRDefault="002411A4" w:rsidP="00C94F0C">
      <w:pPr>
        <w:spacing w:line="280" w:lineRule="exact"/>
        <w:rPr>
          <w:sz w:val="22"/>
          <w:szCs w:val="22"/>
          <w:lang w:eastAsia="en-AU"/>
        </w:rPr>
      </w:pPr>
      <w:r>
        <w:rPr>
          <w:sz w:val="22"/>
          <w:szCs w:val="22"/>
          <w:lang w:eastAsia="en-AU"/>
        </w:rPr>
        <w:t>A</w:t>
      </w:r>
      <w:r w:rsidR="00C94F0C" w:rsidRPr="00C94F0C">
        <w:rPr>
          <w:sz w:val="22"/>
          <w:szCs w:val="22"/>
          <w:lang w:eastAsia="en-AU"/>
        </w:rPr>
        <w:t xml:space="preserve"> barrier to greater inclusion of a wider range of VET units </w:t>
      </w:r>
      <w:r>
        <w:rPr>
          <w:sz w:val="22"/>
          <w:szCs w:val="22"/>
          <w:lang w:eastAsia="en-AU"/>
        </w:rPr>
        <w:t xml:space="preserve">is </w:t>
      </w:r>
      <w:r w:rsidR="00C94F0C" w:rsidRPr="00C94F0C">
        <w:rPr>
          <w:sz w:val="22"/>
          <w:szCs w:val="22"/>
          <w:lang w:eastAsia="en-AU"/>
        </w:rPr>
        <w:t xml:space="preserve">the minimum teacher qualification requirements </w:t>
      </w:r>
      <w:r>
        <w:rPr>
          <w:sz w:val="22"/>
          <w:szCs w:val="22"/>
          <w:lang w:eastAsia="en-AU"/>
        </w:rPr>
        <w:t xml:space="preserve">and this is discussed further </w:t>
      </w:r>
      <w:r w:rsidR="00C94F0C" w:rsidRPr="00C94F0C">
        <w:rPr>
          <w:sz w:val="22"/>
          <w:szCs w:val="22"/>
          <w:lang w:eastAsia="en-AU"/>
        </w:rPr>
        <w:t>below.</w:t>
      </w:r>
    </w:p>
    <w:p w14:paraId="61E18E5F" w14:textId="77777777" w:rsidR="00C94F0C" w:rsidRPr="00C94F0C" w:rsidRDefault="00C94F0C" w:rsidP="00C94F0C">
      <w:pPr>
        <w:keepNext/>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Study modes</w:t>
      </w:r>
    </w:p>
    <w:p w14:paraId="251FC7B4" w14:textId="009644BB" w:rsidR="00C94F0C" w:rsidRPr="00C94F0C" w:rsidRDefault="00C94F0C" w:rsidP="00C94F0C">
      <w:pPr>
        <w:spacing w:line="280" w:lineRule="exact"/>
        <w:rPr>
          <w:sz w:val="22"/>
          <w:szCs w:val="22"/>
          <w:lang w:eastAsia="en-AU"/>
        </w:rPr>
      </w:pPr>
      <w:r w:rsidRPr="00C94F0C">
        <w:rPr>
          <w:sz w:val="22"/>
          <w:szCs w:val="22"/>
          <w:lang w:eastAsia="en-AU"/>
        </w:rPr>
        <w:t>As set</w:t>
      </w:r>
      <w:r w:rsidR="00C4138C">
        <w:rPr>
          <w:sz w:val="22"/>
          <w:szCs w:val="22"/>
          <w:lang w:eastAsia="en-AU"/>
        </w:rPr>
        <w:t xml:space="preserve"> out</w:t>
      </w:r>
      <w:r w:rsidRPr="00C94F0C">
        <w:rPr>
          <w:sz w:val="22"/>
          <w:szCs w:val="22"/>
          <w:lang w:eastAsia="en-AU"/>
        </w:rPr>
        <w:t xml:space="preserve"> in </w:t>
      </w:r>
      <w:r w:rsidR="00BD274A">
        <w:rPr>
          <w:sz w:val="22"/>
          <w:szCs w:val="22"/>
          <w:lang w:eastAsia="en-AU"/>
        </w:rPr>
        <w:t>S</w:t>
      </w:r>
      <w:r w:rsidRPr="00C94F0C">
        <w:rPr>
          <w:sz w:val="22"/>
          <w:szCs w:val="22"/>
          <w:lang w:eastAsia="en-AU"/>
        </w:rPr>
        <w:t xml:space="preserve">ection </w:t>
      </w:r>
      <w:r w:rsidRPr="00C94F0C">
        <w:rPr>
          <w:sz w:val="22"/>
          <w:szCs w:val="22"/>
          <w:lang w:eastAsia="en-AU"/>
        </w:rPr>
        <w:fldChar w:fldCharType="begin"/>
      </w:r>
      <w:r w:rsidRPr="00C94F0C">
        <w:rPr>
          <w:sz w:val="22"/>
          <w:szCs w:val="22"/>
          <w:lang w:eastAsia="en-AU"/>
        </w:rPr>
        <w:instrText xml:space="preserve"> REF _Ref408510723 \r \h </w:instrText>
      </w:r>
      <w:r w:rsidRPr="00C94F0C">
        <w:rPr>
          <w:sz w:val="22"/>
          <w:szCs w:val="22"/>
          <w:lang w:eastAsia="en-AU"/>
        </w:rPr>
      </w:r>
      <w:r w:rsidRPr="00C94F0C">
        <w:rPr>
          <w:sz w:val="22"/>
          <w:szCs w:val="22"/>
          <w:lang w:eastAsia="en-AU"/>
        </w:rPr>
        <w:fldChar w:fldCharType="separate"/>
      </w:r>
      <w:r w:rsidR="00294A5A">
        <w:rPr>
          <w:sz w:val="22"/>
          <w:szCs w:val="22"/>
          <w:lang w:eastAsia="en-AU"/>
        </w:rPr>
        <w:t>2.2.2</w:t>
      </w:r>
      <w:r w:rsidRPr="00C94F0C">
        <w:rPr>
          <w:sz w:val="22"/>
          <w:szCs w:val="22"/>
          <w:lang w:eastAsia="en-AU"/>
        </w:rPr>
        <w:fldChar w:fldCharType="end"/>
      </w:r>
      <w:r w:rsidRPr="00C94F0C">
        <w:rPr>
          <w:sz w:val="22"/>
          <w:szCs w:val="22"/>
          <w:lang w:eastAsia="en-AU"/>
        </w:rPr>
        <w:t xml:space="preserv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training can be delivered through face-to-face classes, small group training classes, distance mode and a mix of classroom and distance mode. In addition, participants are eligible to participate in work experience during their training. </w:t>
      </w:r>
    </w:p>
    <w:p w14:paraId="4F3CFB2A" w14:textId="3B73086E" w:rsidR="00C94F0C" w:rsidRPr="00C94F0C" w:rsidRDefault="00C94F0C" w:rsidP="00C94F0C">
      <w:pPr>
        <w:spacing w:line="280" w:lineRule="exact"/>
        <w:rPr>
          <w:sz w:val="22"/>
          <w:szCs w:val="22"/>
          <w:lang w:eastAsia="en-AU"/>
        </w:rPr>
      </w:pPr>
      <w:r w:rsidRPr="00C94F0C">
        <w:rPr>
          <w:sz w:val="22"/>
          <w:szCs w:val="22"/>
          <w:lang w:eastAsia="en-AU"/>
        </w:rPr>
        <w:t xml:space="preserve">Despite this, in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training is primarily delivered face-to-face – only 11 per cent of SEE </w:t>
      </w:r>
      <w:r w:rsidR="00276A03">
        <w:rPr>
          <w:sz w:val="22"/>
          <w:szCs w:val="22"/>
          <w:lang w:eastAsia="en-AU"/>
        </w:rPr>
        <w:t xml:space="preserve">programme </w:t>
      </w:r>
      <w:r w:rsidRPr="00C94F0C">
        <w:rPr>
          <w:sz w:val="22"/>
          <w:szCs w:val="22"/>
          <w:lang w:eastAsia="en-AU"/>
        </w:rPr>
        <w:t>clients participate in mixed mode and/or work experience (see Section</w:t>
      </w:r>
      <w:r w:rsidR="00E17371">
        <w:rPr>
          <w:sz w:val="22"/>
          <w:szCs w:val="22"/>
          <w:lang w:eastAsia="en-AU"/>
        </w:rPr>
        <w:t> </w:t>
      </w:r>
      <w:r w:rsidRPr="00C94F0C">
        <w:rPr>
          <w:sz w:val="22"/>
          <w:szCs w:val="22"/>
          <w:lang w:eastAsia="en-AU"/>
        </w:rPr>
        <w:fldChar w:fldCharType="begin"/>
      </w:r>
      <w:r w:rsidRPr="00C94F0C">
        <w:rPr>
          <w:sz w:val="22"/>
          <w:szCs w:val="22"/>
          <w:lang w:eastAsia="en-AU"/>
        </w:rPr>
        <w:instrText xml:space="preserve"> REF _Ref408511573 \r \h </w:instrText>
      </w:r>
      <w:r w:rsidRPr="00C94F0C">
        <w:rPr>
          <w:sz w:val="22"/>
          <w:szCs w:val="22"/>
          <w:lang w:eastAsia="en-AU"/>
        </w:rPr>
      </w:r>
      <w:r w:rsidRPr="00C94F0C">
        <w:rPr>
          <w:sz w:val="22"/>
          <w:szCs w:val="22"/>
          <w:lang w:eastAsia="en-AU"/>
        </w:rPr>
        <w:fldChar w:fldCharType="separate"/>
      </w:r>
      <w:r w:rsidR="00294A5A">
        <w:rPr>
          <w:sz w:val="22"/>
          <w:szCs w:val="22"/>
          <w:lang w:eastAsia="en-AU"/>
        </w:rPr>
        <w:t>5.1</w:t>
      </w:r>
      <w:r w:rsidRPr="00C94F0C">
        <w:rPr>
          <w:sz w:val="22"/>
          <w:szCs w:val="22"/>
          <w:lang w:eastAsia="en-AU"/>
        </w:rPr>
        <w:fldChar w:fldCharType="end"/>
      </w:r>
      <w:r w:rsidRPr="00C94F0C">
        <w:rPr>
          <w:sz w:val="22"/>
          <w:szCs w:val="22"/>
          <w:lang w:eastAsia="en-AU"/>
        </w:rPr>
        <w:t xml:space="preserve">). </w:t>
      </w:r>
    </w:p>
    <w:p w14:paraId="717C4BA1" w14:textId="74A471AC" w:rsidR="00C94F0C" w:rsidRPr="00C94F0C" w:rsidRDefault="00C94F0C" w:rsidP="00C94F0C">
      <w:pPr>
        <w:spacing w:line="280" w:lineRule="exact"/>
        <w:rPr>
          <w:sz w:val="22"/>
          <w:szCs w:val="22"/>
          <w:lang w:eastAsia="en-AU"/>
        </w:rPr>
      </w:pPr>
      <w:r w:rsidRPr="00C94F0C">
        <w:rPr>
          <w:sz w:val="22"/>
          <w:szCs w:val="22"/>
          <w:lang w:eastAsia="en-AU"/>
        </w:rPr>
        <w:t xml:space="preserve">Some </w:t>
      </w:r>
      <w:r w:rsidR="00E17371">
        <w:rPr>
          <w:sz w:val="22"/>
          <w:szCs w:val="22"/>
          <w:lang w:eastAsia="en-AU"/>
        </w:rPr>
        <w:t xml:space="preserve">SEE </w:t>
      </w:r>
      <w:r w:rsidRPr="00C94F0C">
        <w:rPr>
          <w:sz w:val="22"/>
          <w:szCs w:val="22"/>
          <w:lang w:eastAsia="en-AU"/>
        </w:rPr>
        <w:t xml:space="preserve">providers consider the </w:t>
      </w:r>
      <w:r w:rsidR="008C57D1" w:rsidRPr="00C94F0C">
        <w:rPr>
          <w:sz w:val="22"/>
          <w:szCs w:val="22"/>
          <w:lang w:eastAsia="en-AU"/>
        </w:rPr>
        <w:t xml:space="preserve">lack of additional non-class-based modes </w:t>
      </w:r>
      <w:r w:rsidRPr="00C94F0C">
        <w:rPr>
          <w:sz w:val="22"/>
          <w:szCs w:val="22"/>
          <w:lang w:eastAsia="en-AU"/>
        </w:rPr>
        <w:t xml:space="preserve">to be a constraint on the </w:t>
      </w:r>
      <w:r w:rsidR="00E17371">
        <w:rPr>
          <w:sz w:val="22"/>
          <w:szCs w:val="22"/>
          <w:lang w:eastAsia="en-AU"/>
        </w:rPr>
        <w:t xml:space="preserve">SEE </w:t>
      </w:r>
      <w:r w:rsidRPr="00C94F0C">
        <w:rPr>
          <w:sz w:val="22"/>
          <w:szCs w:val="22"/>
          <w:lang w:eastAsia="en-AU"/>
        </w:rPr>
        <w:t>programme that means that other modes cannot be use</w:t>
      </w:r>
      <w:r w:rsidR="008C57D1">
        <w:rPr>
          <w:sz w:val="22"/>
          <w:szCs w:val="22"/>
          <w:lang w:eastAsia="en-AU"/>
        </w:rPr>
        <w:t>d</w:t>
      </w:r>
      <w:r w:rsidRPr="00C94F0C">
        <w:rPr>
          <w:sz w:val="22"/>
          <w:szCs w:val="22"/>
          <w:lang w:eastAsia="en-AU"/>
        </w:rPr>
        <w:t xml:space="preserve"> where appropriate or necessary. </w:t>
      </w:r>
      <w:r w:rsidR="00E17371">
        <w:rPr>
          <w:sz w:val="22"/>
          <w:szCs w:val="22"/>
          <w:lang w:eastAsia="en-AU"/>
        </w:rPr>
        <w:t>Also,</w:t>
      </w:r>
      <w:r w:rsidR="00E17371" w:rsidRPr="00C94F0C">
        <w:rPr>
          <w:sz w:val="22"/>
          <w:szCs w:val="22"/>
          <w:lang w:eastAsia="en-AU"/>
        </w:rPr>
        <w:t xml:space="preserve"> </w:t>
      </w:r>
      <w:r w:rsidR="00E17371">
        <w:rPr>
          <w:sz w:val="22"/>
          <w:szCs w:val="22"/>
          <w:lang w:eastAsia="en-AU"/>
        </w:rPr>
        <w:t xml:space="preserve">some consider </w:t>
      </w:r>
      <w:r w:rsidR="00E7089F">
        <w:rPr>
          <w:sz w:val="22"/>
          <w:szCs w:val="22"/>
          <w:lang w:eastAsia="en-AU"/>
        </w:rPr>
        <w:t>they need more</w:t>
      </w:r>
      <w:r w:rsidRPr="00C94F0C">
        <w:rPr>
          <w:sz w:val="22"/>
          <w:szCs w:val="22"/>
          <w:lang w:eastAsia="en-AU"/>
        </w:rPr>
        <w:t xml:space="preserve"> the flexibility to incorporate e-learning, independent project-based work, or independent group activities.</w:t>
      </w:r>
    </w:p>
    <w:p w14:paraId="486E435E"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 100% Face to Face (FtF) component of SEE does not allow for mixed-mode methods of teaching and learning…</w:t>
      </w:r>
    </w:p>
    <w:p w14:paraId="491B4BEF"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Melbourne Polytechnic (NMIT) submission</w:t>
      </w:r>
    </w:p>
    <w:p w14:paraId="373CE10C"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It is imperative SEE clients receive face-to-face contact for engagement and training. The use of technology and digital learning enhances the training experience.</w:t>
      </w:r>
    </w:p>
    <w:p w14:paraId="35925F4E"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SEE provider confidential submission</w:t>
      </w:r>
    </w:p>
    <w:p w14:paraId="4B5EF3EC"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Swinburne offers classroom- based learning. Many students in the Initial stream of SEE, in particular, need and prefer this kind of delivery.</w:t>
      </w:r>
    </w:p>
    <w:p w14:paraId="14C0949B"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However, it would also be beneficial to be able to offer other modes of delivery from Swinburne, to increase the flexibility of our delivery and to cater to all student needs.</w:t>
      </w:r>
    </w:p>
    <w:p w14:paraId="3B11B90E"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Swinburne submission</w:t>
      </w:r>
    </w:p>
    <w:p w14:paraId="31F51126" w14:textId="0F00FAEB" w:rsidR="00C94F0C" w:rsidRPr="00C94F0C" w:rsidRDefault="00C94F0C" w:rsidP="00C94F0C">
      <w:pPr>
        <w:spacing w:line="280" w:lineRule="exact"/>
        <w:rPr>
          <w:sz w:val="22"/>
          <w:szCs w:val="22"/>
          <w:lang w:eastAsia="en-AU"/>
        </w:rPr>
      </w:pPr>
      <w:r w:rsidRPr="00C94F0C">
        <w:rPr>
          <w:sz w:val="22"/>
          <w:szCs w:val="22"/>
          <w:lang w:eastAsia="en-AU"/>
        </w:rPr>
        <w:t xml:space="preserve">On the other hand, other </w:t>
      </w:r>
      <w:r w:rsidR="00E17371">
        <w:rPr>
          <w:sz w:val="22"/>
          <w:szCs w:val="22"/>
          <w:lang w:eastAsia="en-AU"/>
        </w:rPr>
        <w:t xml:space="preserve">SEE </w:t>
      </w:r>
      <w:r w:rsidRPr="00C94F0C">
        <w:rPr>
          <w:sz w:val="22"/>
          <w:szCs w:val="22"/>
          <w:lang w:eastAsia="en-AU"/>
        </w:rPr>
        <w:t>providers argue that</w:t>
      </w:r>
      <w:r w:rsidR="00E17371">
        <w:rPr>
          <w:sz w:val="22"/>
          <w:szCs w:val="22"/>
          <w:lang w:eastAsia="en-AU"/>
        </w:rPr>
        <w:t>,</w:t>
      </w:r>
      <w:r w:rsidRPr="00C94F0C">
        <w:rPr>
          <w:sz w:val="22"/>
          <w:szCs w:val="22"/>
          <w:lang w:eastAsia="en-AU"/>
        </w:rPr>
        <w:t xml:space="preserve"> for disadvantaged learners with low LLN skills, study modes that are not in person and face-to-face are not likely to be appropriate or effective.</w:t>
      </w:r>
    </w:p>
    <w:p w14:paraId="219FA816"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Classroom based learning is the preferred method. Most SEE clients are not independent learners and need the support /guidance of classroom approach. Also they benefit from interacting with other students and developing communication and learning skills.</w:t>
      </w:r>
    </w:p>
    <w:p w14:paraId="05002033" w14:textId="2DD2BB68" w:rsidR="00C94F0C" w:rsidRPr="00C94F0C" w:rsidRDefault="00173801" w:rsidP="00C94F0C">
      <w:pPr>
        <w:spacing w:before="60" w:after="60" w:line="220" w:lineRule="exact"/>
        <w:ind w:left="567" w:right="567"/>
        <w:jc w:val="right"/>
        <w:rPr>
          <w:i/>
          <w:sz w:val="18"/>
          <w:szCs w:val="22"/>
          <w:lang w:eastAsia="en-AU"/>
        </w:rPr>
      </w:pPr>
      <w:r>
        <w:rPr>
          <w:i/>
          <w:sz w:val="18"/>
          <w:szCs w:val="22"/>
          <w:lang w:eastAsia="en-AU"/>
        </w:rPr>
        <w:t>– Chisholm Institute submission</w:t>
      </w:r>
    </w:p>
    <w:p w14:paraId="70DFED96" w14:textId="2400A42D" w:rsidR="00C94F0C" w:rsidRPr="00C94F0C" w:rsidRDefault="00C94F0C" w:rsidP="00C94F0C">
      <w:pPr>
        <w:spacing w:line="280" w:lineRule="exact"/>
        <w:rPr>
          <w:sz w:val="22"/>
          <w:szCs w:val="22"/>
          <w:lang w:eastAsia="en-AU"/>
        </w:rPr>
      </w:pPr>
      <w:r w:rsidRPr="00C94F0C">
        <w:rPr>
          <w:sz w:val="22"/>
          <w:szCs w:val="22"/>
          <w:lang w:eastAsia="en-AU"/>
        </w:rPr>
        <w:t xml:space="preserve">Work experience is a key feature of the </w:t>
      </w:r>
      <w:r w:rsidR="00147674">
        <w:rPr>
          <w:sz w:val="22"/>
          <w:szCs w:val="22"/>
          <w:lang w:eastAsia="en-AU"/>
        </w:rPr>
        <w:t>SEE programme</w:t>
      </w:r>
      <w:r w:rsidR="006A28F2">
        <w:rPr>
          <w:sz w:val="22"/>
          <w:szCs w:val="22"/>
          <w:lang w:eastAsia="en-AU"/>
        </w:rPr>
        <w:t xml:space="preserve"> </w:t>
      </w:r>
      <w:r w:rsidRPr="00C94F0C">
        <w:rPr>
          <w:sz w:val="22"/>
          <w:szCs w:val="22"/>
          <w:lang w:eastAsia="en-AU"/>
        </w:rPr>
        <w:t>that prepares participants for transitions into employment.</w:t>
      </w:r>
    </w:p>
    <w:p w14:paraId="59AA8203" w14:textId="0BA53376" w:rsidR="00C94F0C" w:rsidRPr="00C94F0C" w:rsidRDefault="00C94F0C" w:rsidP="00E7051B">
      <w:pPr>
        <w:keepNext/>
        <w:spacing w:before="60" w:after="60" w:line="220" w:lineRule="exact"/>
        <w:ind w:left="567" w:right="567"/>
        <w:rPr>
          <w:sz w:val="18"/>
          <w:szCs w:val="22"/>
          <w:lang w:eastAsia="en-AU"/>
        </w:rPr>
      </w:pPr>
      <w:r w:rsidRPr="00C94F0C">
        <w:rPr>
          <w:sz w:val="18"/>
          <w:szCs w:val="22"/>
          <w:lang w:eastAsia="en-AU"/>
        </w:rPr>
        <w:t>SEE promotes the use of work observation and Work Experience. As some of our job seekers have not worked in Australia these provide an important introduction to the actual workplace rather than the simulated workplace of the classroom.</w:t>
      </w:r>
    </w:p>
    <w:p w14:paraId="7D4A83EE" w14:textId="220B4F9F"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w:t>
      </w:r>
      <w:r w:rsidR="00EB549D">
        <w:rPr>
          <w:i/>
          <w:sz w:val="18"/>
          <w:szCs w:val="22"/>
          <w:lang w:eastAsia="en-AU"/>
        </w:rPr>
        <w:t xml:space="preserve"> SEE provider confidential submission</w:t>
      </w:r>
    </w:p>
    <w:p w14:paraId="2EB42F4F" w14:textId="447365EA" w:rsidR="00C94F0C" w:rsidRPr="00C94F0C" w:rsidRDefault="00C94F0C" w:rsidP="00C94F0C">
      <w:pPr>
        <w:spacing w:line="280" w:lineRule="exact"/>
        <w:rPr>
          <w:sz w:val="22"/>
          <w:szCs w:val="22"/>
          <w:lang w:eastAsia="en-AU"/>
        </w:rPr>
      </w:pPr>
      <w:r w:rsidRPr="00C94F0C">
        <w:rPr>
          <w:sz w:val="22"/>
          <w:szCs w:val="22"/>
          <w:lang w:eastAsia="en-AU"/>
        </w:rPr>
        <w:t xml:space="preserve">However, the take up rate of work experience is generally low due to the significant challenges faced by providers in </w:t>
      </w:r>
      <w:r w:rsidR="00BD274A">
        <w:rPr>
          <w:sz w:val="22"/>
          <w:szCs w:val="22"/>
          <w:lang w:eastAsia="en-AU"/>
        </w:rPr>
        <w:t>arranging</w:t>
      </w:r>
      <w:r w:rsidRPr="00C94F0C">
        <w:rPr>
          <w:sz w:val="22"/>
          <w:szCs w:val="22"/>
          <w:lang w:eastAsia="en-AU"/>
        </w:rPr>
        <w:t xml:space="preserve"> suitable opportunities with employers. This is a common challenge across the VET system and not unique to the </w:t>
      </w:r>
      <w:r w:rsidR="00147674">
        <w:rPr>
          <w:sz w:val="22"/>
          <w:szCs w:val="22"/>
          <w:lang w:eastAsia="en-AU"/>
        </w:rPr>
        <w:t>SEE programme</w:t>
      </w:r>
      <w:r w:rsidRPr="00C94F0C">
        <w:rPr>
          <w:sz w:val="22"/>
          <w:szCs w:val="22"/>
          <w:lang w:eastAsia="en-AU"/>
        </w:rPr>
        <w:t>.</w:t>
      </w:r>
    </w:p>
    <w:p w14:paraId="5187A843"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Due to the amount of administrative effort required per individual e.g. mapping work placement to ACSF outcomes, reporting on placement outcomes, placement visits etc., it is a financially unviable for SEE providers. For work experience to be a meaningful and beneficial experience for both the employer and client, clear linkages need to be made between the client’s employment pathway and the business needs of the host employer. This requires dedicated focus on individual placements, which in turn requires additional resourcing and therefore additional investment for work experience programs to be delivered within SEE.</w:t>
      </w:r>
    </w:p>
    <w:p w14:paraId="5C4F05E1"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MTC submission</w:t>
      </w:r>
    </w:p>
    <w:p w14:paraId="5EA16606" w14:textId="1F2196BA" w:rsidR="00C94F0C" w:rsidRDefault="00C94F0C" w:rsidP="00C94F0C">
      <w:pPr>
        <w:spacing w:line="280" w:lineRule="exact"/>
        <w:rPr>
          <w:sz w:val="22"/>
          <w:szCs w:val="22"/>
          <w:lang w:eastAsia="en-AU"/>
        </w:rPr>
      </w:pPr>
      <w:r w:rsidRPr="00C94F0C">
        <w:rPr>
          <w:sz w:val="22"/>
          <w:szCs w:val="22"/>
          <w:lang w:eastAsia="en-AU"/>
        </w:rPr>
        <w:t xml:space="preserve">The removal of the requirement to seek prior approval for a </w:t>
      </w:r>
      <w:r w:rsidR="00E17371">
        <w:rPr>
          <w:sz w:val="22"/>
          <w:szCs w:val="22"/>
          <w:lang w:eastAsia="en-AU"/>
        </w:rPr>
        <w:t xml:space="preserve">SEE </w:t>
      </w:r>
      <w:r w:rsidR="00276A03">
        <w:rPr>
          <w:sz w:val="22"/>
          <w:szCs w:val="22"/>
          <w:lang w:eastAsia="en-AU"/>
        </w:rPr>
        <w:t xml:space="preserve">programme </w:t>
      </w:r>
      <w:r w:rsidRPr="00C94F0C">
        <w:rPr>
          <w:sz w:val="22"/>
          <w:szCs w:val="22"/>
          <w:lang w:eastAsia="en-AU"/>
        </w:rPr>
        <w:t>client to undertake work experience has alleviated some of the administrative burden in this area, but delivery of work experience nonetheless remains a challenge.</w:t>
      </w:r>
    </w:p>
    <w:p w14:paraId="0F77F95C" w14:textId="70F7496F" w:rsidR="00E7089F" w:rsidRPr="00C94F0C" w:rsidRDefault="00E7089F" w:rsidP="00C94F0C">
      <w:pPr>
        <w:spacing w:line="280" w:lineRule="exact"/>
        <w:rPr>
          <w:sz w:val="22"/>
          <w:szCs w:val="22"/>
          <w:lang w:eastAsia="en-AU"/>
        </w:rPr>
      </w:pPr>
      <w:r>
        <w:rPr>
          <w:sz w:val="22"/>
          <w:szCs w:val="22"/>
          <w:lang w:eastAsia="en-AU"/>
        </w:rPr>
        <w:t xml:space="preserve">In other areas, </w:t>
      </w:r>
      <w:r w:rsidR="00E17371">
        <w:rPr>
          <w:sz w:val="22"/>
          <w:szCs w:val="22"/>
          <w:lang w:eastAsia="en-AU"/>
        </w:rPr>
        <w:t xml:space="preserve">SEE </w:t>
      </w:r>
      <w:r>
        <w:rPr>
          <w:sz w:val="22"/>
          <w:szCs w:val="22"/>
          <w:lang w:eastAsia="en-AU"/>
        </w:rPr>
        <w:t xml:space="preserve">providers may lack the understanding of how to take advantage of the flexibility they have under the </w:t>
      </w:r>
      <w:r w:rsidR="00147674">
        <w:rPr>
          <w:sz w:val="22"/>
          <w:szCs w:val="22"/>
          <w:lang w:eastAsia="en-AU"/>
        </w:rPr>
        <w:t>SEE programme</w:t>
      </w:r>
      <w:r>
        <w:rPr>
          <w:sz w:val="22"/>
          <w:szCs w:val="22"/>
          <w:lang w:eastAsia="en-AU"/>
        </w:rPr>
        <w:t xml:space="preserve">. Particularly considering the recent significant increase in the number of </w:t>
      </w:r>
      <w:r w:rsidR="00E17371">
        <w:rPr>
          <w:sz w:val="22"/>
          <w:szCs w:val="22"/>
          <w:lang w:eastAsia="en-AU"/>
        </w:rPr>
        <w:t xml:space="preserve">SEE </w:t>
      </w:r>
      <w:r>
        <w:rPr>
          <w:sz w:val="22"/>
          <w:szCs w:val="22"/>
          <w:lang w:eastAsia="en-AU"/>
        </w:rPr>
        <w:t xml:space="preserve">providers, the Department may need to increase its communication with providers around programme delivery flexibility and supports. </w:t>
      </w:r>
    </w:p>
    <w:p w14:paraId="70D3D37C"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Teacher qualification requirements</w:t>
      </w:r>
    </w:p>
    <w:p w14:paraId="09653E0D" w14:textId="6182BC43" w:rsidR="00C94F0C" w:rsidRPr="00C94F0C" w:rsidRDefault="00C94F0C" w:rsidP="00C94F0C">
      <w:pPr>
        <w:spacing w:line="280" w:lineRule="exact"/>
        <w:rPr>
          <w:sz w:val="22"/>
          <w:szCs w:val="22"/>
          <w:lang w:eastAsia="en-AU"/>
        </w:rPr>
      </w:pPr>
      <w:r w:rsidRPr="00C94F0C">
        <w:rPr>
          <w:sz w:val="22"/>
          <w:szCs w:val="22"/>
          <w:lang w:eastAsia="en-AU"/>
        </w:rPr>
        <w:t xml:space="preserve">The </w:t>
      </w:r>
      <w:r w:rsidR="00147674">
        <w:rPr>
          <w:sz w:val="22"/>
          <w:szCs w:val="22"/>
          <w:lang w:eastAsia="en-AU"/>
        </w:rPr>
        <w:t>SEE programme</w:t>
      </w:r>
      <w:r w:rsidR="006A28F2">
        <w:rPr>
          <w:sz w:val="22"/>
          <w:szCs w:val="22"/>
          <w:lang w:eastAsia="en-AU"/>
        </w:rPr>
        <w:t xml:space="preserve"> </w:t>
      </w:r>
      <w:r w:rsidRPr="00C94F0C">
        <w:rPr>
          <w:sz w:val="22"/>
          <w:szCs w:val="22"/>
          <w:lang w:eastAsia="en-AU"/>
        </w:rPr>
        <w:t>requires that teachers and assessors must have:</w:t>
      </w:r>
    </w:p>
    <w:p w14:paraId="0C0A31E5" w14:textId="77777777" w:rsidR="00C94F0C" w:rsidRPr="00C94F0C" w:rsidRDefault="00C94F0C" w:rsidP="00EA422F">
      <w:pPr>
        <w:pStyle w:val="ListDash"/>
      </w:pPr>
      <w:r w:rsidRPr="00C94F0C">
        <w:t xml:space="preserve">a minimum three-year undergraduate degree </w:t>
      </w:r>
    </w:p>
    <w:p w14:paraId="7E28E85E" w14:textId="77777777" w:rsidR="00C94F0C" w:rsidRPr="00C94F0C" w:rsidRDefault="00C94F0C" w:rsidP="00EA422F">
      <w:pPr>
        <w:pStyle w:val="ListDash"/>
      </w:pPr>
      <w:r w:rsidRPr="00C94F0C">
        <w:t>and either:</w:t>
      </w:r>
    </w:p>
    <w:p w14:paraId="0267579C" w14:textId="77777777" w:rsidR="00C94F0C" w:rsidRPr="00C94F0C" w:rsidRDefault="00C94F0C" w:rsidP="00EA422F">
      <w:pPr>
        <w:pStyle w:val="ListDash2"/>
      </w:pPr>
      <w:r w:rsidRPr="00C94F0C">
        <w:t>a Certificate IV in Training and Assessment and at least 100 hours teaching English as a Second Language (ESL) or adult literacy/numeracy OR</w:t>
      </w:r>
    </w:p>
    <w:p w14:paraId="5198C015" w14:textId="77777777" w:rsidR="00C94F0C" w:rsidRPr="00C94F0C" w:rsidRDefault="00C94F0C" w:rsidP="00EA422F">
      <w:pPr>
        <w:pStyle w:val="ListDash2"/>
      </w:pPr>
      <w:r w:rsidRPr="00C94F0C">
        <w:t>a specialist adult literacy qualifications OR</w:t>
      </w:r>
    </w:p>
    <w:p w14:paraId="6C0DB940" w14:textId="77777777" w:rsidR="00C94F0C" w:rsidRPr="00C94F0C" w:rsidRDefault="00C94F0C" w:rsidP="00EA422F">
      <w:pPr>
        <w:pStyle w:val="ListDash2"/>
      </w:pPr>
      <w:r w:rsidRPr="00C94F0C">
        <w:t>a recognised specialist TESOL qualification.</w:t>
      </w:r>
    </w:p>
    <w:p w14:paraId="09B91429" w14:textId="6F7D527E" w:rsidR="005E7221" w:rsidRDefault="005E7221" w:rsidP="00E8274A">
      <w:pPr>
        <w:pStyle w:val="BodyText"/>
      </w:pPr>
      <w:r w:rsidRPr="00B44BDE">
        <w:t xml:space="preserve">The </w:t>
      </w:r>
      <w:r w:rsidR="00147674">
        <w:t>SEE programme</w:t>
      </w:r>
      <w:r w:rsidRPr="00B44BDE">
        <w:t xml:space="preserve"> justifiably requires that teachers and assessors are </w:t>
      </w:r>
      <w:r w:rsidR="005249E5">
        <w:t>well</w:t>
      </w:r>
      <w:r w:rsidRPr="00B44BDE">
        <w:t xml:space="preserve"> qualified. </w:t>
      </w:r>
      <w:r>
        <w:t>Some of the providers consulted for this evaluation support the current teacher qualification requirement, as did most providers which responded to the 2012 LLNP Discussion Paper.</w:t>
      </w:r>
    </w:p>
    <w:p w14:paraId="6588B200" w14:textId="3EAB541F" w:rsidR="00C94F0C" w:rsidRPr="00C94F0C" w:rsidRDefault="005E7221" w:rsidP="00E8274A">
      <w:pPr>
        <w:pStyle w:val="BodyText"/>
      </w:pPr>
      <w:r w:rsidRPr="00B44BDE">
        <w:t>However, some</w:t>
      </w:r>
      <w:r>
        <w:t xml:space="preserve"> </w:t>
      </w:r>
      <w:r w:rsidR="00C94F0C" w:rsidRPr="00C94F0C">
        <w:t xml:space="preserve">SEE providers consider these requirements to be </w:t>
      </w:r>
      <w:r w:rsidR="002411A4">
        <w:t>overly restrictive, especially in remote areas</w:t>
      </w:r>
      <w:r w:rsidR="00C94F0C" w:rsidRPr="00C94F0C">
        <w:t>, citing that:</w:t>
      </w:r>
    </w:p>
    <w:p w14:paraId="48219D9D" w14:textId="77777777" w:rsidR="00C94F0C" w:rsidRPr="00EA422F" w:rsidRDefault="00C94F0C" w:rsidP="001540AD">
      <w:pPr>
        <w:pStyle w:val="ListNumber"/>
        <w:numPr>
          <w:ilvl w:val="0"/>
          <w:numId w:val="35"/>
        </w:numPr>
      </w:pPr>
      <w:r w:rsidRPr="00EA422F">
        <w:t>individuals possessing VET sector qualifications and experience as well as an undergraduate degree are generally uncommon</w:t>
      </w:r>
    </w:p>
    <w:p w14:paraId="4CA8744A" w14:textId="77777777" w:rsidR="00C94F0C" w:rsidRPr="00C94F0C" w:rsidRDefault="00C94F0C" w:rsidP="00C94F0C">
      <w:pPr>
        <w:numPr>
          <w:ilvl w:val="0"/>
          <w:numId w:val="12"/>
        </w:numPr>
        <w:spacing w:before="60" w:after="60" w:line="280" w:lineRule="exact"/>
        <w:rPr>
          <w:sz w:val="22"/>
          <w:szCs w:val="22"/>
          <w:lang w:eastAsia="en-AU"/>
        </w:rPr>
      </w:pPr>
      <w:r w:rsidRPr="00C94F0C">
        <w:rPr>
          <w:sz w:val="22"/>
          <w:szCs w:val="22"/>
          <w:lang w:eastAsia="en-AU"/>
        </w:rPr>
        <w:t>the undergraduate qualification required can be in any field or discipline unrelated to education, adult learning or LLN.</w:t>
      </w:r>
    </w:p>
    <w:p w14:paraId="75821611" w14:textId="59C922CE" w:rsidR="00C94F0C" w:rsidRPr="00C94F0C" w:rsidRDefault="00C94F0C" w:rsidP="00C94F0C">
      <w:pPr>
        <w:spacing w:line="280" w:lineRule="exact"/>
        <w:rPr>
          <w:sz w:val="22"/>
          <w:szCs w:val="22"/>
          <w:lang w:eastAsia="en-AU"/>
        </w:rPr>
      </w:pPr>
      <w:r w:rsidRPr="00C94F0C">
        <w:rPr>
          <w:sz w:val="22"/>
          <w:szCs w:val="22"/>
          <w:lang w:eastAsia="en-AU"/>
        </w:rPr>
        <w:t xml:space="preserve">Recruitment difficulties faced by </w:t>
      </w:r>
      <w:r w:rsidR="00E17371">
        <w:rPr>
          <w:sz w:val="22"/>
          <w:szCs w:val="22"/>
          <w:lang w:eastAsia="en-AU"/>
        </w:rPr>
        <w:t xml:space="preserve">SEE </w:t>
      </w:r>
      <w:r w:rsidRPr="00C94F0C">
        <w:rPr>
          <w:sz w:val="22"/>
          <w:szCs w:val="22"/>
          <w:lang w:eastAsia="en-AU"/>
        </w:rPr>
        <w:t xml:space="preserve">providers cannot be solely attributed to these minimum qualification requirements. In its submission, Jobs Australia takes the view that </w:t>
      </w:r>
      <w:r w:rsidR="00683115">
        <w:rPr>
          <w:sz w:val="22"/>
          <w:szCs w:val="22"/>
          <w:lang w:eastAsia="en-AU"/>
        </w:rPr>
        <w:t>‘</w:t>
      </w:r>
      <w:r w:rsidRPr="00C94F0C">
        <w:rPr>
          <w:sz w:val="22"/>
          <w:szCs w:val="22"/>
          <w:lang w:eastAsia="en-AU"/>
        </w:rPr>
        <w:t>the ongoing recruitment difficulties faced by SEE providers are essentially part of a much broader issue of workforce shortages.</w:t>
      </w:r>
      <w:r w:rsidR="00683115">
        <w:rPr>
          <w:sz w:val="22"/>
          <w:szCs w:val="22"/>
          <w:lang w:eastAsia="en-AU"/>
        </w:rPr>
        <w:t>’</w:t>
      </w:r>
    </w:p>
    <w:p w14:paraId="1A958C8E" w14:textId="14491FDE" w:rsidR="00C94F0C" w:rsidRPr="00C94F0C" w:rsidRDefault="00C94F0C" w:rsidP="00C94F0C">
      <w:pPr>
        <w:spacing w:line="280" w:lineRule="exact"/>
        <w:rPr>
          <w:sz w:val="22"/>
          <w:szCs w:val="22"/>
          <w:lang w:eastAsia="en-AU"/>
        </w:rPr>
      </w:pPr>
      <w:r w:rsidRPr="00C94F0C">
        <w:rPr>
          <w:sz w:val="22"/>
          <w:szCs w:val="22"/>
          <w:lang w:eastAsia="en-AU"/>
        </w:rPr>
        <w:t xml:space="preserve">The key issue for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is whether the benefits of these teacher qualification requirements exceed the costs. The costs of the qualification requirements are twofold. First, some locations may not have access to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due to the lack of staff; to an extent, this may be ameliorated by the ability for providers to apply for a waiver in remote areas. Second, the ability of </w:t>
      </w:r>
      <w:r w:rsidR="00E17371">
        <w:rPr>
          <w:sz w:val="22"/>
          <w:szCs w:val="22"/>
          <w:lang w:eastAsia="en-AU"/>
        </w:rPr>
        <w:t xml:space="preserve">SEE </w:t>
      </w:r>
      <w:r w:rsidRPr="00C94F0C">
        <w:rPr>
          <w:sz w:val="22"/>
          <w:szCs w:val="22"/>
          <w:lang w:eastAsia="en-AU"/>
        </w:rPr>
        <w:t>providers to embed vocational units – which as discussed above are critical to support transitions into further study and work – may be curtailed by the costs and impracticalities of needing to have either:</w:t>
      </w:r>
    </w:p>
    <w:p w14:paraId="763DD928" w14:textId="63A9B736" w:rsidR="00C94F0C" w:rsidRPr="00C94F0C" w:rsidRDefault="00C94F0C" w:rsidP="00EA422F">
      <w:pPr>
        <w:pStyle w:val="ListDash"/>
      </w:pPr>
      <w:r w:rsidRPr="00C94F0C">
        <w:t>a suitably qualified and experienced staff with current industry experience in the relevant area as well as the specific minimum qualifications</w:t>
      </w:r>
      <w:r w:rsidR="00E17371">
        <w:t>, or</w:t>
      </w:r>
      <w:r w:rsidRPr="00C94F0C">
        <w:t xml:space="preserve"> </w:t>
      </w:r>
    </w:p>
    <w:p w14:paraId="3DC0CEDD" w14:textId="5DA33453" w:rsidR="00C94F0C" w:rsidRPr="00C94F0C" w:rsidRDefault="00C94F0C" w:rsidP="00EA422F">
      <w:pPr>
        <w:pStyle w:val="ListDash"/>
      </w:pPr>
      <w:r w:rsidRPr="00C94F0C">
        <w:t>both an experience VET train</w:t>
      </w:r>
      <w:r w:rsidR="008645F5">
        <w:t>er</w:t>
      </w:r>
      <w:r w:rsidRPr="00C94F0C">
        <w:t xml:space="preserve"> and a SEE qualified teacher in the class at the same time in order to comply.</w:t>
      </w:r>
    </w:p>
    <w:p w14:paraId="4DC6F563" w14:textId="00E689D5" w:rsidR="005E7221" w:rsidRDefault="00C94F0C" w:rsidP="00C94F0C">
      <w:pPr>
        <w:spacing w:line="280" w:lineRule="exact"/>
        <w:rPr>
          <w:sz w:val="22"/>
          <w:szCs w:val="22"/>
          <w:lang w:eastAsia="en-AU"/>
        </w:rPr>
      </w:pPr>
      <w:r w:rsidRPr="00C94F0C">
        <w:rPr>
          <w:sz w:val="22"/>
          <w:szCs w:val="22"/>
          <w:lang w:eastAsia="en-AU"/>
        </w:rPr>
        <w:t xml:space="preserve">In summary, a key strength of </w:t>
      </w:r>
      <w:r w:rsidR="00E17371">
        <w:rPr>
          <w:sz w:val="22"/>
          <w:szCs w:val="22"/>
          <w:lang w:eastAsia="en-AU"/>
        </w:rPr>
        <w:t xml:space="preserve">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is </w:t>
      </w:r>
      <w:r w:rsidR="00E17371">
        <w:rPr>
          <w:sz w:val="22"/>
          <w:szCs w:val="22"/>
          <w:lang w:eastAsia="en-AU"/>
        </w:rPr>
        <w:t>the a</w:t>
      </w:r>
      <w:r w:rsidR="00E17371" w:rsidRPr="00C94F0C">
        <w:rPr>
          <w:sz w:val="22"/>
          <w:szCs w:val="22"/>
          <w:lang w:eastAsia="en-AU"/>
        </w:rPr>
        <w:t xml:space="preserve">bility </w:t>
      </w:r>
      <w:r w:rsidRPr="00C94F0C">
        <w:rPr>
          <w:sz w:val="22"/>
          <w:szCs w:val="22"/>
          <w:lang w:eastAsia="en-AU"/>
        </w:rPr>
        <w:t xml:space="preserve">of providers to incorporate a range of VET units as part of their LLN delivery to ensure that participants are better prepared for employment and/or further study. </w:t>
      </w:r>
      <w:r w:rsidR="005E7221">
        <w:rPr>
          <w:sz w:val="22"/>
          <w:szCs w:val="22"/>
          <w:lang w:eastAsia="en-AU"/>
        </w:rPr>
        <w:t>T</w:t>
      </w:r>
      <w:r w:rsidR="005E7221" w:rsidRPr="00B44BDE">
        <w:rPr>
          <w:sz w:val="22"/>
          <w:szCs w:val="22"/>
          <w:lang w:eastAsia="en-AU"/>
        </w:rPr>
        <w:t xml:space="preserve">he minimum undergraduate qualification requirements </w:t>
      </w:r>
      <w:r w:rsidR="005E7221">
        <w:rPr>
          <w:sz w:val="22"/>
          <w:szCs w:val="22"/>
          <w:lang w:eastAsia="en-AU"/>
        </w:rPr>
        <w:t xml:space="preserve">may </w:t>
      </w:r>
      <w:r w:rsidR="005E7221" w:rsidRPr="00B44BDE">
        <w:rPr>
          <w:sz w:val="22"/>
          <w:szCs w:val="22"/>
          <w:lang w:eastAsia="en-AU"/>
        </w:rPr>
        <w:t>l</w:t>
      </w:r>
      <w:r w:rsidR="005E7221">
        <w:rPr>
          <w:sz w:val="22"/>
          <w:szCs w:val="22"/>
          <w:lang w:eastAsia="en-AU"/>
        </w:rPr>
        <w:t xml:space="preserve">imit this </w:t>
      </w:r>
      <w:r w:rsidR="005249E5">
        <w:rPr>
          <w:sz w:val="22"/>
          <w:szCs w:val="22"/>
          <w:lang w:eastAsia="en-AU"/>
        </w:rPr>
        <w:t>flexibility</w:t>
      </w:r>
      <w:r w:rsidR="005E7221">
        <w:rPr>
          <w:sz w:val="22"/>
          <w:szCs w:val="22"/>
          <w:lang w:eastAsia="en-AU"/>
        </w:rPr>
        <w:t xml:space="preserve"> as in many cases non-SEE specialist VET teachers lack undergraduate qualifications</w:t>
      </w:r>
      <w:r w:rsidR="005E7221" w:rsidRPr="00B44BDE">
        <w:rPr>
          <w:sz w:val="22"/>
          <w:szCs w:val="22"/>
          <w:lang w:eastAsia="en-AU"/>
        </w:rPr>
        <w:t>.</w:t>
      </w:r>
      <w:r w:rsidR="005E7221">
        <w:rPr>
          <w:sz w:val="22"/>
          <w:szCs w:val="22"/>
          <w:lang w:eastAsia="en-AU"/>
        </w:rPr>
        <w:t xml:space="preserve"> While team teaching by SEE and vocational </w:t>
      </w:r>
      <w:r w:rsidR="005E7221" w:rsidRPr="00694F87">
        <w:rPr>
          <w:sz w:val="22"/>
          <w:szCs w:val="22"/>
          <w:lang w:eastAsia="en-AU"/>
        </w:rPr>
        <w:t>teachers</w:t>
      </w:r>
      <w:r w:rsidR="005E7221">
        <w:rPr>
          <w:sz w:val="22"/>
          <w:szCs w:val="22"/>
          <w:lang w:eastAsia="en-AU"/>
        </w:rPr>
        <w:t xml:space="preserve"> does take place, this adds to the cost of </w:t>
      </w:r>
      <w:r w:rsidR="005E7221" w:rsidRPr="00B44BDE">
        <w:rPr>
          <w:sz w:val="22"/>
          <w:szCs w:val="22"/>
          <w:lang w:eastAsia="en-AU"/>
        </w:rPr>
        <w:t>incorporat</w:t>
      </w:r>
      <w:r w:rsidR="009B75B4">
        <w:rPr>
          <w:sz w:val="22"/>
          <w:szCs w:val="22"/>
          <w:lang w:eastAsia="en-AU"/>
        </w:rPr>
        <w:t>ing</w:t>
      </w:r>
      <w:r w:rsidR="005E7221" w:rsidRPr="00B44BDE">
        <w:rPr>
          <w:sz w:val="22"/>
          <w:szCs w:val="22"/>
          <w:lang w:eastAsia="en-AU"/>
        </w:rPr>
        <w:t xml:space="preserve"> a range of VET units</w:t>
      </w:r>
      <w:r w:rsidR="005E7221">
        <w:rPr>
          <w:sz w:val="22"/>
          <w:szCs w:val="22"/>
          <w:lang w:eastAsia="en-AU"/>
        </w:rPr>
        <w:t xml:space="preserve"> in </w:t>
      </w:r>
      <w:r w:rsidR="00DA2158">
        <w:rPr>
          <w:sz w:val="22"/>
          <w:szCs w:val="22"/>
          <w:lang w:eastAsia="en-AU"/>
        </w:rPr>
        <w:t xml:space="preserve">the </w:t>
      </w:r>
      <w:r w:rsidR="005E7221">
        <w:rPr>
          <w:sz w:val="22"/>
          <w:szCs w:val="22"/>
          <w:lang w:eastAsia="en-AU"/>
        </w:rPr>
        <w:t>SEE</w:t>
      </w:r>
      <w:r w:rsidR="00DA2158">
        <w:rPr>
          <w:sz w:val="22"/>
          <w:szCs w:val="22"/>
          <w:lang w:eastAsia="en-AU"/>
        </w:rPr>
        <w:t xml:space="preserve"> programme</w:t>
      </w:r>
      <w:r w:rsidR="005E7221">
        <w:rPr>
          <w:sz w:val="22"/>
          <w:szCs w:val="22"/>
          <w:lang w:eastAsia="en-AU"/>
        </w:rPr>
        <w:t>.</w:t>
      </w:r>
    </w:p>
    <w:p w14:paraId="0A7CB4E1" w14:textId="38EF3AE1" w:rsidR="00C94F0C" w:rsidRPr="00C94F0C" w:rsidRDefault="00C94F0C" w:rsidP="00C94F0C">
      <w:pPr>
        <w:spacing w:line="280" w:lineRule="exact"/>
        <w:rPr>
          <w:sz w:val="22"/>
          <w:szCs w:val="22"/>
          <w:lang w:eastAsia="en-AU"/>
        </w:rPr>
      </w:pPr>
      <w:r w:rsidRPr="00C94F0C">
        <w:rPr>
          <w:sz w:val="22"/>
          <w:szCs w:val="22"/>
          <w:lang w:eastAsia="en-AU"/>
        </w:rPr>
        <w:t xml:space="preserve">The evaluation has not been able to definitively determine whether the most appropriate course of action would be to amend </w:t>
      </w:r>
      <w:r w:rsidR="005E7221">
        <w:rPr>
          <w:sz w:val="22"/>
          <w:szCs w:val="22"/>
          <w:lang w:eastAsia="en-AU"/>
        </w:rPr>
        <w:t xml:space="preserve">the </w:t>
      </w:r>
      <w:r w:rsidR="005E7221" w:rsidRPr="005E7221">
        <w:rPr>
          <w:sz w:val="22"/>
          <w:szCs w:val="22"/>
          <w:lang w:eastAsia="en-AU"/>
        </w:rPr>
        <w:t xml:space="preserve">teacher qualification </w:t>
      </w:r>
      <w:r w:rsidRPr="00C94F0C">
        <w:rPr>
          <w:sz w:val="22"/>
          <w:szCs w:val="22"/>
          <w:lang w:eastAsia="en-AU"/>
        </w:rPr>
        <w:t xml:space="preserve">requirements, allow for discretionary waivers, or for some requirements to be removed completely. As such, further research is required to comprehensively assess whether the </w:t>
      </w:r>
      <w:r w:rsidR="00E17371">
        <w:rPr>
          <w:sz w:val="22"/>
          <w:szCs w:val="22"/>
          <w:lang w:eastAsia="en-AU"/>
        </w:rPr>
        <w:t>aggregate</w:t>
      </w:r>
      <w:r w:rsidRPr="00C94F0C">
        <w:rPr>
          <w:sz w:val="22"/>
          <w:szCs w:val="22"/>
          <w:lang w:eastAsia="en-AU"/>
        </w:rPr>
        <w:t xml:space="preserve"> </w:t>
      </w:r>
      <w:r w:rsidR="00DA2158">
        <w:rPr>
          <w:sz w:val="22"/>
          <w:szCs w:val="22"/>
          <w:lang w:eastAsia="en-AU"/>
        </w:rPr>
        <w:t xml:space="preserve">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requirements strike the right balance between ensuring quality whilst not unduly restricting provider flexibility and innovation.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7570BBDE" w14:textId="77777777" w:rsidTr="00EA422F">
        <w:tc>
          <w:tcPr>
            <w:tcW w:w="5000" w:type="pct"/>
            <w:shd w:val="pct12" w:color="auto" w:fill="auto"/>
          </w:tcPr>
          <w:p w14:paraId="6D33C09A" w14:textId="285A8D25"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12</w:t>
            </w:r>
            <w:r w:rsidRPr="00C94F0C">
              <w:rPr>
                <w:rFonts w:asciiTheme="majorHAnsi" w:hAnsiTheme="majorHAnsi" w:cs="Arial"/>
                <w:noProof/>
                <w:sz w:val="20"/>
              </w:rPr>
              <w:fldChar w:fldCharType="end"/>
            </w:r>
          </w:p>
        </w:tc>
      </w:tr>
      <w:tr w:rsidR="00C94F0C" w:rsidRPr="00C94F0C" w14:paraId="1C8EFDBA" w14:textId="77777777" w:rsidTr="00EA422F">
        <w:tc>
          <w:tcPr>
            <w:tcW w:w="5000" w:type="pct"/>
            <w:shd w:val="pct12" w:color="auto" w:fill="auto"/>
          </w:tcPr>
          <w:p w14:paraId="4D4A0814" w14:textId="05C4B744" w:rsidR="00C94F0C" w:rsidRPr="00C94F0C" w:rsidRDefault="005E7221" w:rsidP="00AA5E17">
            <w:pPr>
              <w:keepNext/>
              <w:keepLines/>
              <w:spacing w:before="80" w:after="40" w:line="220" w:lineRule="exact"/>
              <w:rPr>
                <w:sz w:val="20"/>
                <w:szCs w:val="22"/>
                <w:lang w:eastAsia="en-AU"/>
              </w:rPr>
            </w:pPr>
            <w:r w:rsidRPr="005E7221">
              <w:rPr>
                <w:sz w:val="20"/>
                <w:szCs w:val="22"/>
                <w:lang w:eastAsia="en-AU"/>
              </w:rPr>
              <w:t xml:space="preserve">The </w:t>
            </w:r>
            <w:r w:rsidR="00DA6265" w:rsidRPr="00DA6265">
              <w:rPr>
                <w:sz w:val="20"/>
                <w:szCs w:val="22"/>
                <w:lang w:eastAsia="en-AU"/>
              </w:rPr>
              <w:t xml:space="preserve">Australian Government </w:t>
            </w:r>
            <w:r w:rsidRPr="005E7221">
              <w:rPr>
                <w:sz w:val="20"/>
                <w:szCs w:val="22"/>
                <w:lang w:eastAsia="en-AU"/>
              </w:rPr>
              <w:t xml:space="preserve">should undertake further research to comprehensively assess whether the </w:t>
            </w:r>
            <w:r w:rsidR="00147674">
              <w:rPr>
                <w:sz w:val="20"/>
                <w:szCs w:val="22"/>
                <w:lang w:eastAsia="en-AU"/>
              </w:rPr>
              <w:t>SEE programme</w:t>
            </w:r>
            <w:r w:rsidRPr="005E7221">
              <w:rPr>
                <w:sz w:val="20"/>
                <w:szCs w:val="22"/>
                <w:lang w:eastAsia="en-AU"/>
              </w:rPr>
              <w:t xml:space="preserve"> teacher qualification requirements strike the right overall balance between ensuring quality while not unduly restricting provider flexibility and innovation, particularly in relation to vocational units</w:t>
            </w:r>
            <w:r w:rsidR="00C94F0C" w:rsidRPr="00C94F0C">
              <w:rPr>
                <w:sz w:val="20"/>
                <w:szCs w:val="22"/>
                <w:lang w:eastAsia="en-AU"/>
              </w:rPr>
              <w:t>.</w:t>
            </w:r>
          </w:p>
          <w:p w14:paraId="2C24D869"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1063EB1F" wp14:editId="643FCC31">
                  <wp:extent cx="481585" cy="234696"/>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40CDD176" w14:textId="77777777" w:rsidTr="00EA422F">
        <w:trPr>
          <w:trHeight w:hRule="exact" w:val="80"/>
        </w:trPr>
        <w:tc>
          <w:tcPr>
            <w:tcW w:w="5000" w:type="pct"/>
            <w:shd w:val="pct12" w:color="auto" w:fill="auto"/>
          </w:tcPr>
          <w:p w14:paraId="34A88A49" w14:textId="77777777" w:rsidR="00C94F0C" w:rsidRPr="00C94F0C" w:rsidRDefault="00C94F0C" w:rsidP="00C94F0C">
            <w:pPr>
              <w:spacing w:before="160"/>
            </w:pPr>
            <w:r w:rsidRPr="00C94F0C">
              <w:t xml:space="preserve"> </w:t>
            </w:r>
          </w:p>
        </w:tc>
      </w:tr>
    </w:tbl>
    <w:p w14:paraId="32E96586" w14:textId="77777777" w:rsidR="00C94F0C" w:rsidRPr="00C94F0C" w:rsidRDefault="00C94F0C" w:rsidP="00C94F0C">
      <w:pPr>
        <w:keepNext/>
        <w:numPr>
          <w:ilvl w:val="2"/>
          <w:numId w:val="20"/>
        </w:numPr>
        <w:spacing w:before="300" w:after="0" w:line="270" w:lineRule="exact"/>
        <w:outlineLvl w:val="2"/>
        <w:rPr>
          <w:rFonts w:asciiTheme="majorHAnsi" w:hAnsiTheme="majorHAnsi"/>
          <w:b/>
          <w:color w:val="9757A6" w:themeColor="text2"/>
          <w:sz w:val="22"/>
          <w:lang w:eastAsia="en-AU"/>
        </w:rPr>
      </w:pPr>
      <w:bookmarkStart w:id="166" w:name="_Ref408676856"/>
      <w:r w:rsidRPr="00C94F0C">
        <w:rPr>
          <w:rFonts w:asciiTheme="majorHAnsi" w:hAnsiTheme="majorHAnsi"/>
          <w:b/>
          <w:color w:val="9757A6" w:themeColor="text2"/>
          <w:sz w:val="22"/>
          <w:lang w:eastAsia="en-AU"/>
        </w:rPr>
        <w:t>The adequacy of the training allocation</w:t>
      </w:r>
      <w:bookmarkEnd w:id="166"/>
    </w:p>
    <w:p w14:paraId="7AAA409A" w14:textId="55D93393" w:rsidR="00C94F0C" w:rsidRPr="00C94F0C" w:rsidRDefault="00C94F0C" w:rsidP="00C94F0C">
      <w:pPr>
        <w:spacing w:line="280" w:lineRule="exact"/>
        <w:rPr>
          <w:sz w:val="22"/>
          <w:szCs w:val="22"/>
          <w:lang w:eastAsia="en-AU"/>
        </w:rPr>
      </w:pPr>
      <w:r w:rsidRPr="00C94F0C">
        <w:rPr>
          <w:sz w:val="22"/>
          <w:szCs w:val="22"/>
          <w:lang w:eastAsia="en-AU"/>
        </w:rPr>
        <w:t>Few stakeholders express</w:t>
      </w:r>
      <w:r w:rsidR="001E7FD5">
        <w:rPr>
          <w:sz w:val="22"/>
          <w:szCs w:val="22"/>
          <w:lang w:eastAsia="en-AU"/>
        </w:rPr>
        <w:t>ed any</w:t>
      </w:r>
      <w:r w:rsidRPr="00C94F0C">
        <w:rPr>
          <w:sz w:val="22"/>
          <w:szCs w:val="22"/>
          <w:lang w:eastAsia="en-AU"/>
        </w:rPr>
        <w:t xml:space="preserve"> concerns regarding the allocation of 800 hours per SEE participant, except in the case of </w:t>
      </w:r>
      <w:r w:rsidR="00221649">
        <w:rPr>
          <w:sz w:val="22"/>
          <w:szCs w:val="22"/>
          <w:lang w:eastAsia="en-AU"/>
        </w:rPr>
        <w:t>client</w:t>
      </w:r>
      <w:r w:rsidRPr="00C94F0C">
        <w:rPr>
          <w:sz w:val="22"/>
          <w:szCs w:val="22"/>
          <w:lang w:eastAsia="en-AU"/>
        </w:rPr>
        <w:t xml:space="preserve">s from non-English speaking backgrounds that commence at </w:t>
      </w:r>
      <w:r w:rsidR="001537C2">
        <w:rPr>
          <w:sz w:val="22"/>
          <w:szCs w:val="22"/>
          <w:lang w:eastAsia="en-AU"/>
        </w:rPr>
        <w:t>p</w:t>
      </w:r>
      <w:r w:rsidRPr="00C94F0C">
        <w:rPr>
          <w:sz w:val="22"/>
          <w:szCs w:val="22"/>
          <w:lang w:eastAsia="en-AU"/>
        </w:rPr>
        <w:t>re</w:t>
      </w:r>
      <w:r w:rsidR="001537C2">
        <w:rPr>
          <w:sz w:val="22"/>
          <w:szCs w:val="22"/>
          <w:lang w:eastAsia="en-AU"/>
        </w:rPr>
        <w:noBreakHyphen/>
        <w:t>l</w:t>
      </w:r>
      <w:r w:rsidRPr="00C94F0C">
        <w:rPr>
          <w:sz w:val="22"/>
          <w:szCs w:val="22"/>
          <w:lang w:eastAsia="en-AU"/>
        </w:rPr>
        <w:t xml:space="preserve">evel 1 on the ACSF benchmarks. For these clients, </w:t>
      </w:r>
      <w:r w:rsidR="00A021D7">
        <w:rPr>
          <w:sz w:val="22"/>
          <w:szCs w:val="22"/>
          <w:lang w:eastAsia="en-AU"/>
        </w:rPr>
        <w:t xml:space="preserve">SEE </w:t>
      </w:r>
      <w:r w:rsidRPr="00C94F0C">
        <w:rPr>
          <w:sz w:val="22"/>
          <w:szCs w:val="22"/>
          <w:lang w:eastAsia="en-AU"/>
        </w:rPr>
        <w:t xml:space="preserve">providers advocated for either an increased up front allocation or the option of waiving the </w:t>
      </w:r>
      <w:r w:rsidR="00CF7500">
        <w:rPr>
          <w:sz w:val="22"/>
          <w:szCs w:val="22"/>
          <w:lang w:eastAsia="en-AU"/>
        </w:rPr>
        <w:t>six</w:t>
      </w:r>
      <w:r w:rsidR="00CF7500" w:rsidRPr="00C94F0C">
        <w:rPr>
          <w:sz w:val="22"/>
          <w:szCs w:val="22"/>
          <w:lang w:eastAsia="en-AU"/>
        </w:rPr>
        <w:t xml:space="preserve"> </w:t>
      </w:r>
      <w:r w:rsidRPr="00C94F0C">
        <w:rPr>
          <w:sz w:val="22"/>
          <w:szCs w:val="22"/>
          <w:lang w:eastAsia="en-AU"/>
        </w:rPr>
        <w:t xml:space="preserve">month waiting period between completion and the issue of a re-referral. Most stakeholders </w:t>
      </w:r>
      <w:r w:rsidR="001E7FD5">
        <w:rPr>
          <w:sz w:val="22"/>
          <w:szCs w:val="22"/>
          <w:lang w:eastAsia="en-AU"/>
        </w:rPr>
        <w:t>considered</w:t>
      </w:r>
      <w:r w:rsidR="001E7FD5" w:rsidRPr="00C94F0C">
        <w:rPr>
          <w:sz w:val="22"/>
          <w:szCs w:val="22"/>
          <w:lang w:eastAsia="en-AU"/>
        </w:rPr>
        <w:t xml:space="preserve"> </w:t>
      </w:r>
      <w:r w:rsidRPr="00C94F0C">
        <w:rPr>
          <w:sz w:val="22"/>
          <w:szCs w:val="22"/>
          <w:lang w:eastAsia="en-AU"/>
        </w:rPr>
        <w:t xml:space="preserve">that the </w:t>
      </w:r>
      <w:r w:rsidR="00CF7500">
        <w:rPr>
          <w:sz w:val="22"/>
          <w:szCs w:val="22"/>
          <w:lang w:eastAsia="en-AU"/>
        </w:rPr>
        <w:t>six</w:t>
      </w:r>
      <w:r w:rsidR="00CF7500" w:rsidRPr="00C94F0C">
        <w:rPr>
          <w:sz w:val="22"/>
          <w:szCs w:val="22"/>
          <w:lang w:eastAsia="en-AU"/>
        </w:rPr>
        <w:t xml:space="preserve"> </w:t>
      </w:r>
      <w:r w:rsidRPr="00C94F0C">
        <w:rPr>
          <w:sz w:val="22"/>
          <w:szCs w:val="22"/>
          <w:lang w:eastAsia="en-AU"/>
        </w:rPr>
        <w:t xml:space="preserve">month waiting period is </w:t>
      </w:r>
      <w:r w:rsidR="001E7FD5">
        <w:rPr>
          <w:sz w:val="22"/>
          <w:szCs w:val="22"/>
          <w:lang w:eastAsia="en-AU"/>
        </w:rPr>
        <w:t xml:space="preserve">in fact </w:t>
      </w:r>
      <w:r w:rsidRPr="00C94F0C">
        <w:rPr>
          <w:sz w:val="22"/>
          <w:szCs w:val="22"/>
          <w:lang w:eastAsia="en-AU"/>
        </w:rPr>
        <w:t>generally detrimental to the educational outcomes of those with very low levels of LLN</w:t>
      </w:r>
      <w:r w:rsidR="0035457A">
        <w:rPr>
          <w:sz w:val="22"/>
          <w:szCs w:val="22"/>
          <w:lang w:eastAsia="en-AU"/>
        </w:rPr>
        <w:t xml:space="preserve"> (that is, pre-ACSF level 1)</w:t>
      </w:r>
      <w:r w:rsidRPr="00C94F0C">
        <w:rPr>
          <w:sz w:val="22"/>
          <w:szCs w:val="22"/>
          <w:lang w:eastAsia="en-AU"/>
        </w:rPr>
        <w:t>.</w:t>
      </w:r>
    </w:p>
    <w:p w14:paraId="707D4456" w14:textId="698997A8"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Pre-Level 1 and level 1 clients (especially if English is not their first language) need to access more than 800 hours training. For these clients upon completion of the 800 hours the  6 month break between training should be waived, as many job seekers at this level are unlikely to gain sustainable employment and their LLN skills are likely to regress away from training.</w:t>
      </w:r>
    </w:p>
    <w:p w14:paraId="10B382C4"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GoTAFE, Chisholm Institute and LfE joint submission</w:t>
      </w:r>
    </w:p>
    <w:p w14:paraId="51AC65DB"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Clients who commence SEE learning at Pre Level 1 or level 1 may benefit from extra hours without needing to wait six months for re-referral.</w:t>
      </w:r>
    </w:p>
    <w:p w14:paraId="5DCC556E"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Melbourne Polytechnic (NMIT) submission</w:t>
      </w:r>
    </w:p>
    <w:p w14:paraId="02F632C2" w14:textId="086C564F"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 xml:space="preserve">Clients who enter at pre-Level 1 ACSF typically require in excess of 800 hours of training to make discernible progress.  At the end of 800 hours of training in SEE, job seekers must have a six month break before they can be re-referred to SEE.  In that time it is likely that the job seekers skills will regress.  We recommend that for Pre-Level 1 ACSF clients, this imposed break from SEE training should not be enforced and these students should be able to access two continuous blocks of 800 hours.   </w:t>
      </w:r>
    </w:p>
    <w:p w14:paraId="3A05EF21"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softHyphen/>
        <w:t>– Chisholm Institute submission</w:t>
      </w:r>
    </w:p>
    <w:p w14:paraId="10B396BE"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SEE providers report that while SEE is well designed to address these learning needs the time this group of job seekers needs to progress through the ACSF skill levels is considerable. The 800 hours may be enough to get them started with the process of learning basic skills but it will not be sufficient to give them skill levels adequate for getting and keeping a job. Nor will it generally be sufficient time for them to achieve the eight full ACSF indicators which is the programme benchmark for achievement by the end of the 800 hours of training.</w:t>
      </w:r>
    </w:p>
    <w:p w14:paraId="54AAA1A8"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Jobs Australia submission</w:t>
      </w:r>
    </w:p>
    <w:p w14:paraId="3108916F" w14:textId="5E8C05C2" w:rsidR="00C94F0C" w:rsidRPr="00C94F0C" w:rsidRDefault="00C94F0C" w:rsidP="00C94F0C">
      <w:pPr>
        <w:spacing w:line="280" w:lineRule="exact"/>
        <w:rPr>
          <w:sz w:val="22"/>
          <w:szCs w:val="22"/>
          <w:lang w:eastAsia="en-AU"/>
        </w:rPr>
      </w:pPr>
      <w:r w:rsidRPr="00C94F0C">
        <w:rPr>
          <w:sz w:val="22"/>
          <w:szCs w:val="22"/>
          <w:lang w:eastAsia="en-AU"/>
        </w:rPr>
        <w:t>As discussed in Section</w:t>
      </w:r>
      <w:r w:rsidR="00173801">
        <w:rPr>
          <w:sz w:val="22"/>
          <w:szCs w:val="22"/>
          <w:lang w:eastAsia="en-AU"/>
        </w:rPr>
        <w:t xml:space="preserve"> </w:t>
      </w:r>
      <w:r w:rsidR="00173801">
        <w:rPr>
          <w:sz w:val="22"/>
          <w:szCs w:val="22"/>
          <w:lang w:eastAsia="en-AU"/>
        </w:rPr>
        <w:fldChar w:fldCharType="begin"/>
      </w:r>
      <w:r w:rsidR="00173801">
        <w:rPr>
          <w:sz w:val="22"/>
          <w:szCs w:val="22"/>
          <w:lang w:eastAsia="en-AU"/>
        </w:rPr>
        <w:instrText xml:space="preserve"> REF _Ref408569760 \r \h </w:instrText>
      </w:r>
      <w:r w:rsidR="00173801">
        <w:rPr>
          <w:sz w:val="22"/>
          <w:szCs w:val="22"/>
          <w:lang w:eastAsia="en-AU"/>
        </w:rPr>
      </w:r>
      <w:r w:rsidR="00173801">
        <w:rPr>
          <w:sz w:val="22"/>
          <w:szCs w:val="22"/>
          <w:lang w:eastAsia="en-AU"/>
        </w:rPr>
        <w:fldChar w:fldCharType="separate"/>
      </w:r>
      <w:r w:rsidR="00294A5A">
        <w:rPr>
          <w:sz w:val="22"/>
          <w:szCs w:val="22"/>
          <w:lang w:eastAsia="en-AU"/>
        </w:rPr>
        <w:t>7.1.3</w:t>
      </w:r>
      <w:r w:rsidR="00173801">
        <w:rPr>
          <w:sz w:val="22"/>
          <w:szCs w:val="22"/>
          <w:lang w:eastAsia="en-AU"/>
        </w:rPr>
        <w:fldChar w:fldCharType="end"/>
      </w:r>
      <w:r w:rsidRPr="00173801">
        <w:rPr>
          <w:sz w:val="22"/>
          <w:szCs w:val="22"/>
          <w:lang w:eastAsia="en-AU"/>
        </w:rPr>
        <w:t>,</w:t>
      </w:r>
      <w:r w:rsidRPr="00C94F0C">
        <w:rPr>
          <w:sz w:val="22"/>
          <w:szCs w:val="22"/>
          <w:lang w:eastAsia="en-AU"/>
        </w:rPr>
        <w:t xml:space="preserve"> the key issue for the </w:t>
      </w:r>
      <w:r w:rsidR="00147674">
        <w:rPr>
          <w:sz w:val="22"/>
          <w:szCs w:val="22"/>
          <w:lang w:eastAsia="en-AU"/>
        </w:rPr>
        <w:t>SEE programme</w:t>
      </w:r>
      <w:r w:rsidR="006A28F2">
        <w:rPr>
          <w:sz w:val="22"/>
          <w:szCs w:val="22"/>
          <w:lang w:eastAsia="en-AU"/>
        </w:rPr>
        <w:t xml:space="preserve"> </w:t>
      </w:r>
      <w:r w:rsidRPr="00C94F0C">
        <w:rPr>
          <w:sz w:val="22"/>
          <w:szCs w:val="22"/>
          <w:lang w:eastAsia="en-AU"/>
        </w:rPr>
        <w:t>in this respect is whether or not it is in fact intended to cater to job seekers with very low LLN skills.</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5509982C" w14:textId="77777777" w:rsidTr="00EA422F">
        <w:tc>
          <w:tcPr>
            <w:tcW w:w="5000" w:type="pct"/>
            <w:shd w:val="pct12" w:color="auto" w:fill="auto"/>
          </w:tcPr>
          <w:p w14:paraId="30C01C47" w14:textId="618AECA7"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13</w:t>
            </w:r>
            <w:r w:rsidRPr="00C94F0C">
              <w:rPr>
                <w:rFonts w:asciiTheme="majorHAnsi" w:hAnsiTheme="majorHAnsi" w:cs="Arial"/>
                <w:noProof/>
                <w:sz w:val="20"/>
              </w:rPr>
              <w:fldChar w:fldCharType="end"/>
            </w:r>
          </w:p>
        </w:tc>
      </w:tr>
      <w:tr w:rsidR="00C94F0C" w:rsidRPr="00C94F0C" w14:paraId="1D53F4FB" w14:textId="77777777" w:rsidTr="00EA422F">
        <w:tc>
          <w:tcPr>
            <w:tcW w:w="5000" w:type="pct"/>
            <w:shd w:val="pct12" w:color="auto" w:fill="auto"/>
          </w:tcPr>
          <w:p w14:paraId="6C1FBBA7" w14:textId="66A03157" w:rsidR="00C94F0C" w:rsidRPr="00C94F0C" w:rsidRDefault="00C94F0C" w:rsidP="00C94F0C">
            <w:pPr>
              <w:keepNext/>
              <w:keepLines/>
              <w:spacing w:before="80" w:after="40" w:line="220" w:lineRule="exact"/>
              <w:rPr>
                <w:sz w:val="20"/>
                <w:szCs w:val="22"/>
                <w:lang w:eastAsia="en-AU"/>
              </w:rPr>
            </w:pPr>
            <w:r w:rsidRPr="00C94F0C">
              <w:rPr>
                <w:sz w:val="20"/>
                <w:szCs w:val="22"/>
                <w:lang w:eastAsia="en-AU"/>
              </w:rPr>
              <w:t xml:space="preserve">The requirement that SEE </w:t>
            </w:r>
            <w:r w:rsidR="00276A03">
              <w:rPr>
                <w:sz w:val="20"/>
                <w:szCs w:val="22"/>
                <w:lang w:eastAsia="en-AU"/>
              </w:rPr>
              <w:t xml:space="preserve">programme </w:t>
            </w:r>
            <w:r w:rsidRPr="00C94F0C">
              <w:rPr>
                <w:sz w:val="20"/>
                <w:szCs w:val="22"/>
                <w:lang w:eastAsia="en-AU"/>
              </w:rPr>
              <w:t xml:space="preserve">clients who have completed 800 hours must wait </w:t>
            </w:r>
            <w:r w:rsidRPr="00CF7500">
              <w:rPr>
                <w:sz w:val="20"/>
                <w:szCs w:val="22"/>
                <w:lang w:eastAsia="en-AU"/>
              </w:rPr>
              <w:t>six</w:t>
            </w:r>
            <w:r w:rsidRPr="00C94F0C">
              <w:rPr>
                <w:sz w:val="20"/>
                <w:szCs w:val="22"/>
                <w:lang w:eastAsia="en-AU"/>
              </w:rPr>
              <w:t xml:space="preserve"> months before recommencing </w:t>
            </w:r>
            <w:r w:rsidR="00A021D7">
              <w:rPr>
                <w:sz w:val="20"/>
                <w:szCs w:val="22"/>
                <w:lang w:eastAsia="en-AU"/>
              </w:rPr>
              <w:t xml:space="preserve">the </w:t>
            </w:r>
            <w:r w:rsidRPr="00C94F0C">
              <w:rPr>
                <w:sz w:val="20"/>
                <w:szCs w:val="22"/>
                <w:lang w:eastAsia="en-AU"/>
              </w:rPr>
              <w:t xml:space="preserve">SEE </w:t>
            </w:r>
            <w:r w:rsidR="00A021D7">
              <w:rPr>
                <w:sz w:val="20"/>
                <w:szCs w:val="22"/>
                <w:lang w:eastAsia="en-AU"/>
              </w:rPr>
              <w:t xml:space="preserve">programme </w:t>
            </w:r>
            <w:r w:rsidRPr="00C94F0C">
              <w:rPr>
                <w:sz w:val="20"/>
                <w:szCs w:val="22"/>
                <w:lang w:eastAsia="en-AU"/>
              </w:rPr>
              <w:t xml:space="preserve">should be </w:t>
            </w:r>
            <w:r w:rsidR="00B233A7">
              <w:rPr>
                <w:sz w:val="20"/>
                <w:szCs w:val="22"/>
                <w:lang w:eastAsia="en-AU"/>
              </w:rPr>
              <w:t>reviewed</w:t>
            </w:r>
            <w:r w:rsidR="00B233A7" w:rsidRPr="00C94F0C">
              <w:rPr>
                <w:sz w:val="20"/>
                <w:szCs w:val="22"/>
                <w:lang w:eastAsia="en-AU"/>
              </w:rPr>
              <w:t xml:space="preserve"> </w:t>
            </w:r>
            <w:r w:rsidRPr="00C94F0C">
              <w:rPr>
                <w:sz w:val="20"/>
                <w:szCs w:val="22"/>
                <w:lang w:eastAsia="en-AU"/>
              </w:rPr>
              <w:t>for clients with low scores across the ACSF core skills.</w:t>
            </w:r>
          </w:p>
          <w:p w14:paraId="186EF68C" w14:textId="77777777" w:rsidR="00C94F0C" w:rsidRPr="00C94F0C" w:rsidRDefault="00C94F0C" w:rsidP="00C94F0C">
            <w:pPr>
              <w:keepNext/>
              <w:keepLines/>
              <w:spacing w:before="80" w:after="40" w:line="220" w:lineRule="exact"/>
              <w:rPr>
                <w:sz w:val="20"/>
                <w:szCs w:val="22"/>
                <w:lang w:eastAsia="en-AU"/>
              </w:rPr>
            </w:pPr>
            <w:r w:rsidRPr="00C94F0C">
              <w:rPr>
                <w:sz w:val="20"/>
                <w:szCs w:val="22"/>
                <w:lang w:eastAsia="en-AU"/>
              </w:rPr>
              <w:t xml:space="preserve">The </w:t>
            </w:r>
            <w:r w:rsidRPr="00CF7500">
              <w:rPr>
                <w:sz w:val="20"/>
                <w:szCs w:val="22"/>
                <w:lang w:eastAsia="en-AU"/>
              </w:rPr>
              <w:t>six</w:t>
            </w:r>
            <w:r w:rsidRPr="00C94F0C">
              <w:rPr>
                <w:sz w:val="20"/>
                <w:szCs w:val="22"/>
                <w:lang w:eastAsia="en-AU"/>
              </w:rPr>
              <w:t xml:space="preserve"> month requirement should remain for other clients to encourage clients to test their improved LLN skills in the job market. </w:t>
            </w:r>
          </w:p>
          <w:p w14:paraId="73F51C84"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7E895C06" wp14:editId="769C456B">
                  <wp:extent cx="481585" cy="234696"/>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06E514D3" w14:textId="77777777" w:rsidTr="00EA422F">
        <w:trPr>
          <w:trHeight w:hRule="exact" w:val="80"/>
        </w:trPr>
        <w:tc>
          <w:tcPr>
            <w:tcW w:w="5000" w:type="pct"/>
            <w:shd w:val="pct12" w:color="auto" w:fill="auto"/>
          </w:tcPr>
          <w:p w14:paraId="38EA12EE" w14:textId="77777777" w:rsidR="00C94F0C" w:rsidRPr="00C94F0C" w:rsidRDefault="00C94F0C" w:rsidP="00C94F0C">
            <w:pPr>
              <w:spacing w:before="160"/>
            </w:pPr>
            <w:r w:rsidRPr="00C94F0C">
              <w:t xml:space="preserve"> </w:t>
            </w:r>
          </w:p>
        </w:tc>
      </w:tr>
    </w:tbl>
    <w:p w14:paraId="1D5C8665" w14:textId="11947E15" w:rsidR="00C94F0C" w:rsidRPr="00C94F0C" w:rsidRDefault="00C94F0C" w:rsidP="00C94F0C">
      <w:pPr>
        <w:keepNext/>
        <w:numPr>
          <w:ilvl w:val="1"/>
          <w:numId w:val="20"/>
        </w:numPr>
        <w:pBdr>
          <w:bottom w:val="single" w:sz="8" w:space="1" w:color="BFBFBF" w:themeColor="background1" w:themeShade="BF"/>
        </w:pBdr>
        <w:spacing w:before="300" w:after="60" w:line="340" w:lineRule="exact"/>
        <w:outlineLvl w:val="1"/>
        <w:rPr>
          <w:rFonts w:asciiTheme="majorHAnsi" w:hAnsiTheme="majorHAnsi"/>
          <w:b/>
          <w:color w:val="9757A6" w:themeColor="text2"/>
          <w:kern w:val="36"/>
          <w:sz w:val="28"/>
          <w:lang w:eastAsia="en-AU"/>
        </w:rPr>
      </w:pPr>
      <w:bookmarkStart w:id="167" w:name="_Ref408663324"/>
      <w:r w:rsidRPr="00C94F0C">
        <w:rPr>
          <w:rFonts w:asciiTheme="majorHAnsi" w:hAnsiTheme="majorHAnsi"/>
          <w:b/>
          <w:color w:val="9757A6" w:themeColor="text2"/>
          <w:kern w:val="36"/>
          <w:sz w:val="28"/>
          <w:lang w:eastAsia="en-AU"/>
        </w:rPr>
        <w:t xml:space="preserve">Improvements to </w:t>
      </w:r>
      <w:r w:rsidR="006A28F2">
        <w:rPr>
          <w:rFonts w:asciiTheme="majorHAnsi" w:hAnsiTheme="majorHAnsi"/>
          <w:b/>
          <w:color w:val="9757A6" w:themeColor="text2"/>
          <w:kern w:val="36"/>
          <w:sz w:val="28"/>
          <w:lang w:eastAsia="en-AU"/>
        </w:rPr>
        <w:t xml:space="preserve">programme </w:t>
      </w:r>
      <w:r w:rsidRPr="00C94F0C">
        <w:rPr>
          <w:rFonts w:asciiTheme="majorHAnsi" w:hAnsiTheme="majorHAnsi"/>
          <w:b/>
          <w:color w:val="9757A6" w:themeColor="text2"/>
          <w:kern w:val="36"/>
          <w:sz w:val="28"/>
          <w:lang w:eastAsia="en-AU"/>
        </w:rPr>
        <w:t>design and efficiency</w:t>
      </w:r>
      <w:bookmarkEnd w:id="167"/>
    </w:p>
    <w:p w14:paraId="019C9CD3" w14:textId="3CC5DBBD" w:rsidR="00C94F0C" w:rsidRPr="00C94F0C" w:rsidRDefault="00C94F0C" w:rsidP="00C94F0C">
      <w:pPr>
        <w:spacing w:line="280" w:lineRule="exact"/>
        <w:rPr>
          <w:sz w:val="22"/>
          <w:szCs w:val="22"/>
          <w:lang w:eastAsia="en-AU"/>
        </w:rPr>
      </w:pPr>
      <w:r w:rsidRPr="00C94F0C">
        <w:rPr>
          <w:sz w:val="22"/>
          <w:szCs w:val="22"/>
          <w:lang w:eastAsia="en-AU"/>
        </w:rPr>
        <w:t xml:space="preserve">Further improvements to the </w:t>
      </w:r>
      <w:r w:rsidR="00147674">
        <w:rPr>
          <w:sz w:val="22"/>
          <w:szCs w:val="22"/>
          <w:lang w:eastAsia="en-AU"/>
        </w:rPr>
        <w:t>SEE programme</w:t>
      </w:r>
      <w:r w:rsidR="006A28F2">
        <w:rPr>
          <w:sz w:val="22"/>
          <w:szCs w:val="22"/>
          <w:lang w:eastAsia="en-AU"/>
        </w:rPr>
        <w:t xml:space="preserve"> </w:t>
      </w:r>
      <w:r w:rsidRPr="00C94F0C">
        <w:rPr>
          <w:sz w:val="22"/>
          <w:szCs w:val="22"/>
          <w:lang w:eastAsia="en-AU"/>
        </w:rPr>
        <w:t>design and efficiency spans three key areas:</w:t>
      </w:r>
    </w:p>
    <w:p w14:paraId="52DF27AA" w14:textId="673E5DC0" w:rsidR="00C94F0C" w:rsidRPr="00EA422F" w:rsidRDefault="00C94F0C" w:rsidP="001540AD">
      <w:pPr>
        <w:pStyle w:val="ListNumber"/>
        <w:numPr>
          <w:ilvl w:val="0"/>
          <w:numId w:val="34"/>
        </w:numPr>
      </w:pPr>
      <w:r w:rsidRPr="00EA422F">
        <w:t>Making the most of the multi-provider model</w:t>
      </w:r>
      <w:r w:rsidR="004F233C">
        <w:t>.</w:t>
      </w:r>
    </w:p>
    <w:p w14:paraId="560186B0" w14:textId="5E9F7EB1" w:rsidR="00C94F0C" w:rsidRPr="00C94F0C" w:rsidRDefault="001E7FD5" w:rsidP="001540AD">
      <w:pPr>
        <w:numPr>
          <w:ilvl w:val="0"/>
          <w:numId w:val="30"/>
        </w:numPr>
        <w:spacing w:before="60" w:after="60" w:line="280" w:lineRule="exact"/>
        <w:rPr>
          <w:sz w:val="22"/>
          <w:szCs w:val="22"/>
          <w:lang w:eastAsia="en-AU"/>
        </w:rPr>
      </w:pPr>
      <w:r>
        <w:rPr>
          <w:sz w:val="22"/>
          <w:szCs w:val="22"/>
          <w:lang w:eastAsia="en-AU"/>
        </w:rPr>
        <w:t>Accounting for</w:t>
      </w:r>
      <w:r w:rsidRPr="00C94F0C">
        <w:rPr>
          <w:sz w:val="22"/>
          <w:szCs w:val="22"/>
          <w:lang w:eastAsia="en-AU"/>
        </w:rPr>
        <w:t xml:space="preserve"> </w:t>
      </w:r>
      <w:r w:rsidR="00C94F0C" w:rsidRPr="00C94F0C">
        <w:rPr>
          <w:sz w:val="22"/>
          <w:szCs w:val="22"/>
          <w:lang w:eastAsia="en-AU"/>
        </w:rPr>
        <w:t>the challenges of remote delivery</w:t>
      </w:r>
      <w:r w:rsidR="004F233C">
        <w:rPr>
          <w:sz w:val="22"/>
          <w:szCs w:val="22"/>
          <w:lang w:eastAsia="en-AU"/>
        </w:rPr>
        <w:t>.</w:t>
      </w:r>
    </w:p>
    <w:p w14:paraId="1398F74A" w14:textId="27CC3461" w:rsidR="00C94F0C" w:rsidRPr="00C94F0C" w:rsidRDefault="00C94F0C" w:rsidP="001540AD">
      <w:pPr>
        <w:numPr>
          <w:ilvl w:val="0"/>
          <w:numId w:val="30"/>
        </w:numPr>
        <w:spacing w:before="60" w:after="60" w:line="280" w:lineRule="exact"/>
        <w:rPr>
          <w:sz w:val="22"/>
          <w:szCs w:val="22"/>
          <w:lang w:eastAsia="en-AU"/>
        </w:rPr>
      </w:pPr>
      <w:r w:rsidRPr="00C94F0C">
        <w:rPr>
          <w:sz w:val="22"/>
          <w:szCs w:val="22"/>
          <w:lang w:eastAsia="en-AU"/>
        </w:rPr>
        <w:t>Positioning SEE for the future</w:t>
      </w:r>
      <w:r w:rsidR="004F233C">
        <w:rPr>
          <w:sz w:val="22"/>
          <w:szCs w:val="22"/>
          <w:lang w:eastAsia="en-AU"/>
        </w:rPr>
        <w:t>.</w:t>
      </w:r>
    </w:p>
    <w:p w14:paraId="6E539431" w14:textId="77777777" w:rsidR="00C94F0C" w:rsidRPr="00C94F0C" w:rsidRDefault="00C94F0C" w:rsidP="00C94F0C">
      <w:pPr>
        <w:keepNext/>
        <w:numPr>
          <w:ilvl w:val="2"/>
          <w:numId w:val="20"/>
        </w:numPr>
        <w:spacing w:before="300" w:after="0" w:line="270" w:lineRule="exact"/>
        <w:outlineLvl w:val="2"/>
        <w:rPr>
          <w:rFonts w:asciiTheme="majorHAnsi" w:hAnsiTheme="majorHAnsi"/>
          <w:b/>
          <w:color w:val="9757A6" w:themeColor="text2"/>
          <w:sz w:val="22"/>
          <w:lang w:eastAsia="en-AU"/>
        </w:rPr>
      </w:pPr>
      <w:bookmarkStart w:id="168" w:name="_Ref408769437"/>
      <w:r w:rsidRPr="00C94F0C">
        <w:rPr>
          <w:rFonts w:asciiTheme="majorHAnsi" w:hAnsiTheme="majorHAnsi"/>
          <w:b/>
          <w:color w:val="9757A6" w:themeColor="text2"/>
          <w:sz w:val="22"/>
          <w:lang w:eastAsia="en-AU"/>
        </w:rPr>
        <w:t>Making the most of the multi-provider model</w:t>
      </w:r>
      <w:bookmarkEnd w:id="168"/>
    </w:p>
    <w:p w14:paraId="1769127D" w14:textId="41F5EE15" w:rsidR="00C94F0C" w:rsidRPr="00C94F0C" w:rsidRDefault="004F233C" w:rsidP="00C94F0C">
      <w:pPr>
        <w:spacing w:line="280" w:lineRule="exact"/>
        <w:rPr>
          <w:sz w:val="22"/>
          <w:szCs w:val="22"/>
          <w:lang w:eastAsia="en-AU"/>
        </w:rPr>
      </w:pPr>
      <w:r>
        <w:rPr>
          <w:sz w:val="22"/>
          <w:szCs w:val="22"/>
          <w:lang w:eastAsia="en-AU"/>
        </w:rPr>
        <w:t xml:space="preserve">The </w:t>
      </w:r>
      <w:r w:rsidR="00147674">
        <w:rPr>
          <w:sz w:val="22"/>
          <w:szCs w:val="22"/>
          <w:lang w:eastAsia="en-AU"/>
        </w:rPr>
        <w:t>SEE programme</w:t>
      </w:r>
      <w:r w:rsidR="00C94F0C" w:rsidRPr="00C94F0C">
        <w:rPr>
          <w:sz w:val="22"/>
          <w:szCs w:val="22"/>
          <w:lang w:eastAsia="en-AU"/>
        </w:rPr>
        <w:t>’s multi-provider model was expanded in 2013 based on the following rationale:</w:t>
      </w:r>
    </w:p>
    <w:p w14:paraId="34F71476"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 change is intended to create an environment of improved quality training delivery, as the market will be more responsive to demand within a geographic area. The multi-provider model will also allow the Government to provide greater coverage within a SDA as some providers may be stretched and unable to service the whole area. If provider performance is poor, geographical coverage is limited or the current provider goes out of business, the department will have the option to select another suitable provider to service the required area. This will facilitate increased program assurance, accountability and continuation of service delivery.</w:t>
      </w:r>
    </w:p>
    <w:p w14:paraId="05D8BE8C" w14:textId="0A20CE7A"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xml:space="preserve">– </w:t>
      </w:r>
      <w:r w:rsidR="00147674">
        <w:rPr>
          <w:i/>
          <w:sz w:val="18"/>
          <w:szCs w:val="22"/>
          <w:lang w:eastAsia="en-AU"/>
        </w:rPr>
        <w:t xml:space="preserve">SEE </w:t>
      </w:r>
      <w:r w:rsidR="007A143E">
        <w:rPr>
          <w:i/>
          <w:sz w:val="18"/>
          <w:szCs w:val="22"/>
          <w:lang w:eastAsia="en-AU"/>
        </w:rPr>
        <w:t>p</w:t>
      </w:r>
      <w:r w:rsidR="00147674">
        <w:rPr>
          <w:i/>
          <w:sz w:val="18"/>
          <w:szCs w:val="22"/>
          <w:lang w:eastAsia="en-AU"/>
        </w:rPr>
        <w:t>rogramme</w:t>
      </w:r>
      <w:r w:rsidR="006A28F2">
        <w:rPr>
          <w:i/>
          <w:sz w:val="18"/>
          <w:szCs w:val="22"/>
          <w:lang w:eastAsia="en-AU"/>
        </w:rPr>
        <w:t xml:space="preserve"> </w:t>
      </w:r>
      <w:r w:rsidR="007A143E">
        <w:rPr>
          <w:i/>
          <w:sz w:val="18"/>
          <w:szCs w:val="22"/>
          <w:lang w:eastAsia="en-AU"/>
        </w:rPr>
        <w:t>c</w:t>
      </w:r>
      <w:r w:rsidRPr="00C94F0C">
        <w:rPr>
          <w:i/>
          <w:sz w:val="18"/>
          <w:szCs w:val="22"/>
          <w:lang w:eastAsia="en-AU"/>
        </w:rPr>
        <w:t xml:space="preserve">hanges </w:t>
      </w:r>
      <w:r w:rsidR="007A143E">
        <w:rPr>
          <w:i/>
          <w:sz w:val="18"/>
          <w:szCs w:val="22"/>
          <w:lang w:eastAsia="en-AU"/>
        </w:rPr>
        <w:t>s</w:t>
      </w:r>
      <w:r w:rsidRPr="00C94F0C">
        <w:rPr>
          <w:i/>
          <w:sz w:val="18"/>
          <w:szCs w:val="22"/>
          <w:lang w:eastAsia="en-AU"/>
        </w:rPr>
        <w:t xml:space="preserve">ummary </w:t>
      </w:r>
      <w:r w:rsidR="007A143E">
        <w:rPr>
          <w:i/>
          <w:sz w:val="18"/>
          <w:szCs w:val="22"/>
          <w:lang w:eastAsia="en-AU"/>
        </w:rPr>
        <w:t>d</w:t>
      </w:r>
      <w:r w:rsidRPr="00C94F0C">
        <w:rPr>
          <w:i/>
          <w:sz w:val="18"/>
          <w:szCs w:val="22"/>
          <w:lang w:eastAsia="en-AU"/>
        </w:rPr>
        <w:t>ocument</w:t>
      </w:r>
    </w:p>
    <w:p w14:paraId="6712C5DE" w14:textId="18B8B313" w:rsidR="00C94F0C" w:rsidRPr="00C94F0C" w:rsidRDefault="001E7FD5" w:rsidP="00C94F0C">
      <w:pPr>
        <w:spacing w:line="280" w:lineRule="exact"/>
        <w:rPr>
          <w:sz w:val="22"/>
          <w:szCs w:val="22"/>
          <w:lang w:eastAsia="en-AU"/>
        </w:rPr>
      </w:pPr>
      <w:r>
        <w:rPr>
          <w:sz w:val="22"/>
          <w:szCs w:val="22"/>
          <w:lang w:eastAsia="en-AU"/>
        </w:rPr>
        <w:t>T</w:t>
      </w:r>
      <w:r w:rsidR="00C94F0C" w:rsidRPr="00C94F0C">
        <w:rPr>
          <w:sz w:val="22"/>
          <w:szCs w:val="22"/>
          <w:lang w:eastAsia="en-AU"/>
        </w:rPr>
        <w:t xml:space="preserve">he </w:t>
      </w:r>
      <w:r w:rsidR="009B75B4" w:rsidRPr="00C94F0C">
        <w:rPr>
          <w:sz w:val="22"/>
          <w:szCs w:val="22"/>
          <w:lang w:eastAsia="en-AU"/>
        </w:rPr>
        <w:t>multi</w:t>
      </w:r>
      <w:r w:rsidR="009B75B4">
        <w:rPr>
          <w:sz w:val="22"/>
          <w:szCs w:val="22"/>
          <w:lang w:eastAsia="en-AU"/>
        </w:rPr>
        <w:t>-</w:t>
      </w:r>
      <w:r w:rsidR="00C94F0C" w:rsidRPr="00C94F0C">
        <w:rPr>
          <w:sz w:val="22"/>
          <w:szCs w:val="22"/>
          <w:lang w:eastAsia="en-AU"/>
        </w:rPr>
        <w:t xml:space="preserve">provider model has delivered some key benefits to the </w:t>
      </w:r>
      <w:r w:rsidR="00147674">
        <w:rPr>
          <w:sz w:val="22"/>
          <w:szCs w:val="22"/>
          <w:lang w:eastAsia="en-AU"/>
        </w:rPr>
        <w:t>SEE programme</w:t>
      </w:r>
      <w:r w:rsidR="00C94F0C" w:rsidRPr="00C94F0C">
        <w:rPr>
          <w:sz w:val="22"/>
          <w:szCs w:val="22"/>
          <w:lang w:eastAsia="en-AU"/>
        </w:rPr>
        <w:t xml:space="preserve">, particularly in terms of overall capacity and coverage. It is clear that having more than one </w:t>
      </w:r>
      <w:r w:rsidR="00A021D7">
        <w:rPr>
          <w:sz w:val="22"/>
          <w:szCs w:val="22"/>
          <w:lang w:eastAsia="en-AU"/>
        </w:rPr>
        <w:t xml:space="preserve">SEE </w:t>
      </w:r>
      <w:r w:rsidR="00C94F0C" w:rsidRPr="00C94F0C">
        <w:rPr>
          <w:sz w:val="22"/>
          <w:szCs w:val="22"/>
          <w:lang w:eastAsia="en-AU"/>
        </w:rPr>
        <w:t xml:space="preserve">provider in a given area has also allowed improved management of </w:t>
      </w:r>
      <w:r w:rsidR="00A021D7">
        <w:rPr>
          <w:sz w:val="22"/>
          <w:szCs w:val="22"/>
          <w:lang w:eastAsia="en-AU"/>
        </w:rPr>
        <w:t xml:space="preserve">SEE </w:t>
      </w:r>
      <w:r w:rsidR="00C94F0C" w:rsidRPr="00C94F0C">
        <w:rPr>
          <w:sz w:val="22"/>
          <w:szCs w:val="22"/>
          <w:lang w:eastAsia="en-AU"/>
        </w:rPr>
        <w:t>provider performance and promoted continuity of delivery.</w:t>
      </w:r>
    </w:p>
    <w:p w14:paraId="563DBAA7" w14:textId="525ACE6C" w:rsidR="00C94F0C" w:rsidRPr="00C94F0C" w:rsidRDefault="00C94F0C" w:rsidP="00C94F0C">
      <w:pPr>
        <w:spacing w:line="280" w:lineRule="exact"/>
        <w:rPr>
          <w:sz w:val="22"/>
          <w:szCs w:val="22"/>
          <w:lang w:eastAsia="en-AU"/>
        </w:rPr>
      </w:pPr>
      <w:r w:rsidRPr="00C94F0C">
        <w:rPr>
          <w:sz w:val="22"/>
          <w:szCs w:val="22"/>
          <w:lang w:eastAsia="en-AU"/>
        </w:rPr>
        <w:t>However, there is much less evidence of the multi-provider model delivering benefits in terms of improved training quality and responsiveness to client needs. The primary issue</w:t>
      </w:r>
      <w:r w:rsidR="001E7FD5">
        <w:rPr>
          <w:sz w:val="22"/>
          <w:szCs w:val="22"/>
          <w:lang w:eastAsia="en-AU"/>
        </w:rPr>
        <w:t>s</w:t>
      </w:r>
      <w:r w:rsidRPr="00C94F0C">
        <w:rPr>
          <w:sz w:val="22"/>
          <w:szCs w:val="22"/>
          <w:lang w:eastAsia="en-AU"/>
        </w:rPr>
        <w:t xml:space="preserve"> that ha</w:t>
      </w:r>
      <w:r w:rsidR="008645F5">
        <w:rPr>
          <w:sz w:val="22"/>
          <w:szCs w:val="22"/>
          <w:lang w:eastAsia="en-AU"/>
        </w:rPr>
        <w:t>ve</w:t>
      </w:r>
      <w:r w:rsidRPr="00C94F0C">
        <w:rPr>
          <w:sz w:val="22"/>
          <w:szCs w:val="22"/>
          <w:lang w:eastAsia="en-AU"/>
        </w:rPr>
        <w:t xml:space="preserve"> limited the performance of the programme in this regard ha</w:t>
      </w:r>
      <w:r w:rsidR="001E7FD5">
        <w:rPr>
          <w:sz w:val="22"/>
          <w:szCs w:val="22"/>
          <w:lang w:eastAsia="en-AU"/>
        </w:rPr>
        <w:t xml:space="preserve">ve </w:t>
      </w:r>
      <w:r w:rsidRPr="00C94F0C">
        <w:rPr>
          <w:sz w:val="22"/>
          <w:szCs w:val="22"/>
          <w:lang w:eastAsia="en-AU"/>
        </w:rPr>
        <w:t>been:</w:t>
      </w:r>
    </w:p>
    <w:p w14:paraId="192E6CD1" w14:textId="76F8FC8D" w:rsidR="00C94F0C" w:rsidRPr="00EA422F" w:rsidRDefault="00C94F0C" w:rsidP="001540AD">
      <w:pPr>
        <w:pStyle w:val="ListNumber"/>
        <w:numPr>
          <w:ilvl w:val="0"/>
          <w:numId w:val="33"/>
        </w:numPr>
      </w:pPr>
      <w:r w:rsidRPr="00EA422F">
        <w:t xml:space="preserve">The absence of an informed consumer or purchaser in either Referring Agencies or their clients </w:t>
      </w:r>
      <w:r w:rsidRPr="00EA422F">
        <w:softHyphen/>
        <w:t xml:space="preserve">– </w:t>
      </w:r>
      <w:r w:rsidR="00EB549D">
        <w:t>a</w:t>
      </w:r>
      <w:r w:rsidRPr="00EA422F">
        <w:t>s discussed in Section</w:t>
      </w:r>
      <w:r w:rsidR="00163BA3">
        <w:t xml:space="preserve"> </w:t>
      </w:r>
      <w:r w:rsidR="00163BA3">
        <w:fldChar w:fldCharType="begin"/>
      </w:r>
      <w:r w:rsidR="00163BA3">
        <w:instrText xml:space="preserve"> REF _Ref408512683 \r \h </w:instrText>
      </w:r>
      <w:r w:rsidR="00163BA3">
        <w:fldChar w:fldCharType="separate"/>
      </w:r>
      <w:r w:rsidR="00294A5A">
        <w:t>4.1.3</w:t>
      </w:r>
      <w:r w:rsidR="00163BA3">
        <w:fldChar w:fldCharType="end"/>
      </w:r>
      <w:r w:rsidRPr="00EA422F">
        <w:t xml:space="preserve">, Referring Agencies have been surprisingly poorly informed purchasers of the </w:t>
      </w:r>
      <w:r w:rsidR="00147674">
        <w:t>SEE programme</w:t>
      </w:r>
      <w:r w:rsidR="004F233C">
        <w:t>.</w:t>
      </w:r>
    </w:p>
    <w:p w14:paraId="251140BB" w14:textId="77777777" w:rsidR="00C94F0C" w:rsidRPr="00C94F0C" w:rsidRDefault="00C94F0C" w:rsidP="001540AD">
      <w:pPr>
        <w:numPr>
          <w:ilvl w:val="0"/>
          <w:numId w:val="30"/>
        </w:numPr>
        <w:spacing w:before="60" w:after="60" w:line="280" w:lineRule="exact"/>
        <w:rPr>
          <w:sz w:val="22"/>
          <w:szCs w:val="22"/>
          <w:lang w:eastAsia="en-AU"/>
        </w:rPr>
      </w:pPr>
      <w:r w:rsidRPr="00C94F0C">
        <w:rPr>
          <w:sz w:val="22"/>
          <w:szCs w:val="22"/>
          <w:lang w:eastAsia="en-AU"/>
        </w:rPr>
        <w:t>The limits on competition due to the infrequent updating of notional budgets which ultimately act as a brake on competition.</w:t>
      </w:r>
    </w:p>
    <w:p w14:paraId="21ECFF42" w14:textId="77777777" w:rsidR="00C94F0C" w:rsidRPr="00C94F0C" w:rsidRDefault="00C94F0C" w:rsidP="00C94F0C">
      <w:pPr>
        <w:spacing w:line="280" w:lineRule="exact"/>
        <w:rPr>
          <w:sz w:val="22"/>
          <w:szCs w:val="22"/>
          <w:lang w:eastAsia="en-AU"/>
        </w:rPr>
      </w:pPr>
      <w:r w:rsidRPr="00C94F0C">
        <w:rPr>
          <w:sz w:val="22"/>
          <w:szCs w:val="22"/>
          <w:lang w:eastAsia="en-AU"/>
        </w:rPr>
        <w:t>There are a number of possible improvements that could be made in response to both of these issues.</w:t>
      </w:r>
    </w:p>
    <w:p w14:paraId="1C0938BB"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Improving informed choice</w:t>
      </w:r>
    </w:p>
    <w:p w14:paraId="28D228CA" w14:textId="0599FABD" w:rsidR="00C94F0C" w:rsidRPr="00C94F0C" w:rsidRDefault="00C94F0C" w:rsidP="00C94F0C">
      <w:pPr>
        <w:spacing w:line="280" w:lineRule="exact"/>
        <w:rPr>
          <w:sz w:val="22"/>
          <w:szCs w:val="22"/>
          <w:lang w:eastAsia="en-AU"/>
        </w:rPr>
      </w:pPr>
      <w:r w:rsidRPr="00C94F0C">
        <w:rPr>
          <w:sz w:val="22"/>
          <w:szCs w:val="22"/>
          <w:lang w:eastAsia="en-AU"/>
        </w:rPr>
        <w:t xml:space="preserve">Improving the knowledge </w:t>
      </w:r>
      <w:r w:rsidR="001E7FD5">
        <w:rPr>
          <w:sz w:val="22"/>
          <w:szCs w:val="22"/>
          <w:lang w:eastAsia="en-AU"/>
        </w:rPr>
        <w:t xml:space="preserve">and awareness </w:t>
      </w:r>
      <w:r w:rsidRPr="00C94F0C">
        <w:rPr>
          <w:sz w:val="22"/>
          <w:szCs w:val="22"/>
          <w:lang w:eastAsia="en-AU"/>
        </w:rPr>
        <w:t xml:space="preserve">of Referring Agencies is a significant challenge but it appears likely that changes to the next iteration of the employment services contract </w:t>
      </w:r>
      <w:r w:rsidR="001E7FD5">
        <w:rPr>
          <w:sz w:val="22"/>
          <w:szCs w:val="22"/>
          <w:lang w:eastAsia="en-AU"/>
        </w:rPr>
        <w:t>c</w:t>
      </w:r>
      <w:r w:rsidRPr="00C94F0C">
        <w:rPr>
          <w:sz w:val="22"/>
          <w:szCs w:val="22"/>
          <w:lang w:eastAsia="en-AU"/>
        </w:rPr>
        <w:t xml:space="preserve">ould improve the incentives for Referring Agencies to understand and subsequently refer to the </w:t>
      </w:r>
      <w:r w:rsidR="00147674">
        <w:rPr>
          <w:sz w:val="22"/>
          <w:szCs w:val="22"/>
          <w:lang w:eastAsia="en-AU"/>
        </w:rPr>
        <w:t>SEE programme</w:t>
      </w:r>
      <w:r w:rsidRPr="00C94F0C">
        <w:rPr>
          <w:sz w:val="22"/>
          <w:szCs w:val="22"/>
          <w:lang w:eastAsia="en-AU"/>
        </w:rPr>
        <w:t xml:space="preserve">. </w:t>
      </w:r>
    </w:p>
    <w:p w14:paraId="21739278" w14:textId="28F2CCC9" w:rsidR="00C94F0C" w:rsidRPr="00C94F0C" w:rsidRDefault="00C94F0C" w:rsidP="00C94F0C">
      <w:pPr>
        <w:spacing w:line="280" w:lineRule="exact"/>
        <w:rPr>
          <w:sz w:val="22"/>
          <w:szCs w:val="22"/>
          <w:lang w:eastAsia="en-AU"/>
        </w:rPr>
      </w:pPr>
      <w:r w:rsidRPr="00C94F0C">
        <w:rPr>
          <w:sz w:val="22"/>
          <w:szCs w:val="22"/>
          <w:lang w:eastAsia="en-AU"/>
        </w:rPr>
        <w:t>This may not</w:t>
      </w:r>
      <w:r w:rsidR="001E7FD5">
        <w:rPr>
          <w:sz w:val="22"/>
          <w:szCs w:val="22"/>
          <w:lang w:eastAsia="en-AU"/>
        </w:rPr>
        <w:t>,</w:t>
      </w:r>
      <w:r w:rsidRPr="00C94F0C">
        <w:rPr>
          <w:sz w:val="22"/>
          <w:szCs w:val="22"/>
          <w:lang w:eastAsia="en-AU"/>
        </w:rPr>
        <w:t xml:space="preserve"> </w:t>
      </w:r>
      <w:r w:rsidR="001E7FD5" w:rsidRPr="00C94F0C">
        <w:rPr>
          <w:sz w:val="22"/>
          <w:szCs w:val="22"/>
          <w:lang w:eastAsia="en-AU"/>
        </w:rPr>
        <w:t>however,</w:t>
      </w:r>
      <w:r w:rsidR="001E7FD5">
        <w:rPr>
          <w:sz w:val="22"/>
          <w:szCs w:val="22"/>
          <w:lang w:eastAsia="en-AU"/>
        </w:rPr>
        <w:t xml:space="preserve"> </w:t>
      </w:r>
      <w:r w:rsidRPr="00C94F0C">
        <w:rPr>
          <w:sz w:val="22"/>
          <w:szCs w:val="22"/>
          <w:lang w:eastAsia="en-AU"/>
        </w:rPr>
        <w:t xml:space="preserve">overcome the issue of high staff turnover and therefore low levels of corporate </w:t>
      </w:r>
      <w:r w:rsidRPr="00DA2158">
        <w:rPr>
          <w:sz w:val="22"/>
          <w:szCs w:val="22"/>
          <w:lang w:eastAsia="en-AU"/>
        </w:rPr>
        <w:t>knowledge within Referring Agencies. The issue</w:t>
      </w:r>
      <w:r w:rsidR="00DA2158" w:rsidRPr="00DA2158">
        <w:rPr>
          <w:sz w:val="22"/>
          <w:szCs w:val="22"/>
          <w:lang w:eastAsia="en-AU"/>
        </w:rPr>
        <w:t>s</w:t>
      </w:r>
      <w:r w:rsidRPr="00DA2158">
        <w:rPr>
          <w:sz w:val="22"/>
          <w:szCs w:val="22"/>
          <w:lang w:eastAsia="en-AU"/>
        </w:rPr>
        <w:t xml:space="preserve"> of information asymmetry </w:t>
      </w:r>
      <w:r w:rsidR="00DA2158" w:rsidRPr="00DA2158">
        <w:rPr>
          <w:sz w:val="22"/>
          <w:szCs w:val="22"/>
          <w:lang w:eastAsia="en-AU"/>
        </w:rPr>
        <w:t xml:space="preserve">and </w:t>
      </w:r>
      <w:r w:rsidRPr="00DA2158">
        <w:rPr>
          <w:sz w:val="22"/>
          <w:szCs w:val="22"/>
          <w:lang w:eastAsia="en-AU"/>
        </w:rPr>
        <w:t xml:space="preserve">informed choice </w:t>
      </w:r>
      <w:r w:rsidR="001E7FD5" w:rsidRPr="00DA2158">
        <w:rPr>
          <w:sz w:val="22"/>
          <w:szCs w:val="22"/>
          <w:lang w:eastAsia="en-AU"/>
        </w:rPr>
        <w:t>may be</w:t>
      </w:r>
      <w:r w:rsidR="001E7FD5">
        <w:rPr>
          <w:sz w:val="22"/>
          <w:szCs w:val="22"/>
          <w:lang w:eastAsia="en-AU"/>
        </w:rPr>
        <w:t xml:space="preserve"> addressed </w:t>
      </w:r>
      <w:r w:rsidRPr="00C94F0C">
        <w:rPr>
          <w:sz w:val="22"/>
          <w:szCs w:val="22"/>
          <w:lang w:eastAsia="en-AU"/>
        </w:rPr>
        <w:t xml:space="preserve">by providing Referring Agencies and their clients </w:t>
      </w:r>
      <w:r w:rsidR="001E7FD5">
        <w:rPr>
          <w:sz w:val="22"/>
          <w:szCs w:val="22"/>
          <w:lang w:eastAsia="en-AU"/>
        </w:rPr>
        <w:t>with</w:t>
      </w:r>
      <w:r w:rsidRPr="00C94F0C">
        <w:rPr>
          <w:sz w:val="22"/>
          <w:szCs w:val="22"/>
          <w:lang w:eastAsia="en-AU"/>
        </w:rPr>
        <w:t xml:space="preserve"> better information regarding their options including:</w:t>
      </w:r>
    </w:p>
    <w:p w14:paraId="69C6CB33" w14:textId="745B7AF8" w:rsidR="00C94F0C" w:rsidRPr="00C94F0C" w:rsidRDefault="00C94F0C" w:rsidP="00EA422F">
      <w:pPr>
        <w:pStyle w:val="ListDash"/>
      </w:pPr>
      <w:r w:rsidRPr="00C94F0C">
        <w:t>A listing of local SEE providers and their delivery locations and class options and schedules</w:t>
      </w:r>
      <w:r w:rsidR="004F233C">
        <w:t>.</w:t>
      </w:r>
    </w:p>
    <w:p w14:paraId="0A6E59EB" w14:textId="00BA958E" w:rsidR="00C94F0C" w:rsidRPr="00C94F0C" w:rsidRDefault="00C94F0C" w:rsidP="00EA422F">
      <w:pPr>
        <w:pStyle w:val="ListDash"/>
      </w:pPr>
      <w:r w:rsidRPr="00C94F0C">
        <w:t xml:space="preserve">Key characteristics of each </w:t>
      </w:r>
      <w:r w:rsidR="00A021D7">
        <w:t xml:space="preserve">SEE </w:t>
      </w:r>
      <w:r w:rsidRPr="00C94F0C">
        <w:t>provider including cohort specific class, and available vocational units</w:t>
      </w:r>
      <w:r w:rsidR="004F233C">
        <w:t>.</w:t>
      </w:r>
    </w:p>
    <w:p w14:paraId="467C3F8C" w14:textId="77777777" w:rsidR="00C94F0C" w:rsidRPr="00C94F0C" w:rsidRDefault="00C94F0C" w:rsidP="00EA422F">
      <w:pPr>
        <w:pStyle w:val="ListDash"/>
      </w:pPr>
      <w:r w:rsidRPr="00C94F0C">
        <w:t>Data on SEE provider performance such as retention rates, average class sizes, and average hours participants spend in work experience.</w:t>
      </w:r>
    </w:p>
    <w:p w14:paraId="279EBA06" w14:textId="18EF97F4" w:rsidR="00C94F0C" w:rsidRPr="00C94F0C" w:rsidRDefault="00C94F0C" w:rsidP="00C94F0C">
      <w:pPr>
        <w:spacing w:line="280" w:lineRule="exact"/>
        <w:rPr>
          <w:sz w:val="22"/>
          <w:szCs w:val="22"/>
          <w:lang w:eastAsia="en-AU"/>
        </w:rPr>
      </w:pPr>
      <w:r w:rsidRPr="00C94F0C">
        <w:rPr>
          <w:sz w:val="22"/>
          <w:szCs w:val="22"/>
          <w:lang w:eastAsia="en-AU"/>
        </w:rPr>
        <w:t xml:space="preserve">To this end, the government should work with stakeholders to develop and implement an information and communications strategy for clients and Referring Agencies. This could comprise a range of information delivery channels including via integration with manuals and systems for Referring Agencies and online. Where possible, </w:t>
      </w:r>
      <w:r w:rsidR="00A45A13" w:rsidRPr="00A45A13">
        <w:rPr>
          <w:sz w:val="22"/>
          <w:szCs w:val="22"/>
          <w:lang w:eastAsia="en-AU"/>
        </w:rPr>
        <w:t>information on providers</w:t>
      </w:r>
      <w:r w:rsidR="00A45A13" w:rsidRPr="00A45A13" w:rsidDel="00A45A13">
        <w:rPr>
          <w:sz w:val="22"/>
          <w:szCs w:val="22"/>
          <w:lang w:eastAsia="en-AU"/>
        </w:rPr>
        <w:t xml:space="preserve"> </w:t>
      </w:r>
      <w:r w:rsidRPr="00C94F0C">
        <w:rPr>
          <w:sz w:val="22"/>
          <w:szCs w:val="22"/>
          <w:lang w:eastAsia="en-AU"/>
        </w:rPr>
        <w:t>should draw on the data already collected by the Department as part of administration of the programme and therefore avoid the burden of any additional data collection.</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0725C208" w14:textId="77777777" w:rsidTr="00EA422F">
        <w:tc>
          <w:tcPr>
            <w:tcW w:w="5000" w:type="pct"/>
            <w:shd w:val="pct12" w:color="auto" w:fill="auto"/>
          </w:tcPr>
          <w:p w14:paraId="0F533BB2" w14:textId="00ADEA18"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14</w:t>
            </w:r>
            <w:r w:rsidRPr="00C94F0C">
              <w:rPr>
                <w:rFonts w:asciiTheme="majorHAnsi" w:hAnsiTheme="majorHAnsi" w:cs="Arial"/>
                <w:noProof/>
                <w:sz w:val="20"/>
              </w:rPr>
              <w:fldChar w:fldCharType="end"/>
            </w:r>
          </w:p>
        </w:tc>
      </w:tr>
      <w:tr w:rsidR="00C94F0C" w:rsidRPr="00C94F0C" w14:paraId="2D3F93D2" w14:textId="77777777" w:rsidTr="00EA422F">
        <w:tc>
          <w:tcPr>
            <w:tcW w:w="5000" w:type="pct"/>
            <w:shd w:val="pct12" w:color="auto" w:fill="auto"/>
          </w:tcPr>
          <w:p w14:paraId="4E916062" w14:textId="13EDF73A" w:rsidR="00C94F0C" w:rsidRPr="00C94F0C" w:rsidRDefault="00C94F0C" w:rsidP="00C94F0C">
            <w:pPr>
              <w:keepNext/>
              <w:keepLines/>
              <w:spacing w:before="80" w:after="40" w:line="220" w:lineRule="exact"/>
              <w:rPr>
                <w:sz w:val="20"/>
                <w:szCs w:val="22"/>
                <w:lang w:eastAsia="en-AU"/>
              </w:rPr>
            </w:pPr>
            <w:r w:rsidRPr="00C94F0C">
              <w:rPr>
                <w:sz w:val="20"/>
                <w:szCs w:val="22"/>
                <w:lang w:eastAsia="en-AU"/>
              </w:rPr>
              <w:t xml:space="preserve">To improve the level of competition in the multi-provider model, the </w:t>
            </w:r>
            <w:r w:rsidR="008C22F8" w:rsidRPr="008C22F8">
              <w:rPr>
                <w:sz w:val="20"/>
                <w:szCs w:val="22"/>
                <w:lang w:eastAsia="en-AU"/>
              </w:rPr>
              <w:t xml:space="preserve">Australian Government </w:t>
            </w:r>
            <w:r w:rsidRPr="00C94F0C">
              <w:rPr>
                <w:sz w:val="20"/>
                <w:szCs w:val="22"/>
                <w:lang w:eastAsia="en-AU"/>
              </w:rPr>
              <w:t>should work with stakeholders to develop and implement</w:t>
            </w:r>
            <w:r w:rsidRPr="00C94F0C">
              <w:t xml:space="preserve"> </w:t>
            </w:r>
            <w:r w:rsidRPr="00C94F0C">
              <w:rPr>
                <w:sz w:val="20"/>
                <w:szCs w:val="22"/>
                <w:lang w:eastAsia="en-AU"/>
              </w:rPr>
              <w:t>an information and communications strategy that will deliver relevant information regarding the options of SEE providers that are available, and thereby promote informed choice by Referring Agencies and their clients.</w:t>
            </w:r>
          </w:p>
          <w:p w14:paraId="3A2B6146"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642001CB" wp14:editId="3AF1C68D">
                  <wp:extent cx="481585" cy="23469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300B6CB5" w14:textId="77777777" w:rsidTr="00EA422F">
        <w:trPr>
          <w:trHeight w:hRule="exact" w:val="80"/>
        </w:trPr>
        <w:tc>
          <w:tcPr>
            <w:tcW w:w="5000" w:type="pct"/>
            <w:shd w:val="pct12" w:color="auto" w:fill="auto"/>
          </w:tcPr>
          <w:p w14:paraId="7B16AD83" w14:textId="77777777" w:rsidR="00C94F0C" w:rsidRPr="00C94F0C" w:rsidRDefault="00C94F0C" w:rsidP="00C94F0C">
            <w:pPr>
              <w:spacing w:before="160"/>
            </w:pPr>
            <w:r w:rsidRPr="00C94F0C">
              <w:t xml:space="preserve"> </w:t>
            </w:r>
          </w:p>
        </w:tc>
      </w:tr>
    </w:tbl>
    <w:p w14:paraId="415627CE"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Adapting the model of notional budgets to be more predictable for providers and responsive to changes in client demand</w:t>
      </w:r>
    </w:p>
    <w:p w14:paraId="1128BEE4" w14:textId="73C72563" w:rsidR="00D77E4E" w:rsidRDefault="00923815" w:rsidP="00E8274A">
      <w:pPr>
        <w:pStyle w:val="BodyText"/>
      </w:pPr>
      <w:r w:rsidRPr="00923815">
        <w:t>The current approach to allocating and/or adjusting notional budgets</w:t>
      </w:r>
      <w:r w:rsidR="00D77E4E">
        <w:t xml:space="preserve"> in the </w:t>
      </w:r>
      <w:r w:rsidR="00147674">
        <w:t>SEE programme</w:t>
      </w:r>
      <w:r w:rsidR="00D77E4E">
        <w:t xml:space="preserve"> is as follows:</w:t>
      </w:r>
    </w:p>
    <w:p w14:paraId="1D19B51D" w14:textId="56B6C0B6" w:rsidR="00CD42D8" w:rsidRDefault="00CD42D8" w:rsidP="00E8274A">
      <w:pPr>
        <w:pStyle w:val="ListNumber"/>
        <w:numPr>
          <w:ilvl w:val="0"/>
          <w:numId w:val="39"/>
        </w:numPr>
      </w:pPr>
      <w:r>
        <w:t xml:space="preserve">In the annual </w:t>
      </w:r>
      <w:r w:rsidR="008D0896">
        <w:t>Australian Government</w:t>
      </w:r>
      <w:r>
        <w:t xml:space="preserve"> Budget process, </w:t>
      </w:r>
      <w:r w:rsidR="002B57F8">
        <w:t xml:space="preserve">the </w:t>
      </w:r>
      <w:r w:rsidR="00147674">
        <w:t>SEE programme</w:t>
      </w:r>
      <w:r w:rsidR="002B57F8">
        <w:t xml:space="preserve"> receives a capped </w:t>
      </w:r>
      <w:r>
        <w:t>allocation</w:t>
      </w:r>
      <w:r w:rsidR="002B57F8">
        <w:t>.</w:t>
      </w:r>
    </w:p>
    <w:p w14:paraId="1424F1EB" w14:textId="083581A9" w:rsidR="00D77E4E" w:rsidRDefault="00D77E4E" w:rsidP="00E8274A">
      <w:pPr>
        <w:pStyle w:val="ListNumber"/>
        <w:numPr>
          <w:ilvl w:val="0"/>
          <w:numId w:val="39"/>
        </w:numPr>
      </w:pPr>
      <w:r>
        <w:t>At the beginning of the financial year SEE providers are allocated a nominal budget for the financial year</w:t>
      </w:r>
      <w:r w:rsidR="002B57F8">
        <w:t>, based on total programme funding, previous performance, forecast demand and other factors.</w:t>
      </w:r>
    </w:p>
    <w:p w14:paraId="658D6C87" w14:textId="6CABAF19" w:rsidR="00D77E4E" w:rsidRDefault="00D77E4E" w:rsidP="00E8274A">
      <w:pPr>
        <w:pStyle w:val="ListNumber"/>
        <w:numPr>
          <w:ilvl w:val="0"/>
          <w:numId w:val="39"/>
        </w:numPr>
      </w:pPr>
      <w:r>
        <w:t xml:space="preserve">Six months into the financial year, SEE providers can request an increase in their nominal budget if they believe they are likely to exceed their budget for the financial year. </w:t>
      </w:r>
      <w:r w:rsidR="00FC69A9">
        <w:t xml:space="preserve">Whether this request is met is determined by expenditure trends in the </w:t>
      </w:r>
      <w:r w:rsidR="00A021D7">
        <w:t xml:space="preserve">SEE </w:t>
      </w:r>
      <w:r w:rsidR="00FC69A9">
        <w:t>provider</w:t>
      </w:r>
      <w:r w:rsidR="00224055">
        <w:t>’</w:t>
      </w:r>
      <w:r w:rsidR="00FC69A9">
        <w:t xml:space="preserve">s SDA and in the </w:t>
      </w:r>
      <w:r w:rsidR="00147674">
        <w:t>SEE programme</w:t>
      </w:r>
      <w:r w:rsidR="00A021D7">
        <w:t xml:space="preserve"> overall</w:t>
      </w:r>
      <w:r w:rsidR="00FC69A9">
        <w:t xml:space="preserve">. Just as some </w:t>
      </w:r>
      <w:r w:rsidR="00A021D7">
        <w:t xml:space="preserve">SEE </w:t>
      </w:r>
      <w:r w:rsidR="00FC69A9">
        <w:t xml:space="preserve">providers can </w:t>
      </w:r>
      <w:r w:rsidR="00A021D7">
        <w:t xml:space="preserve">have </w:t>
      </w:r>
      <w:r w:rsidR="00FC69A9">
        <w:t xml:space="preserve">an increase in their nominal budget at this point, others can </w:t>
      </w:r>
      <w:r w:rsidR="00A021D7">
        <w:t xml:space="preserve">have </w:t>
      </w:r>
      <w:r w:rsidR="00FC69A9">
        <w:t>their nominal budget decreased.</w:t>
      </w:r>
    </w:p>
    <w:p w14:paraId="7FAE2496" w14:textId="23A6643D" w:rsidR="00FC69A9" w:rsidRDefault="00FC69A9" w:rsidP="00E8274A">
      <w:pPr>
        <w:pStyle w:val="ListNumber"/>
        <w:numPr>
          <w:ilvl w:val="0"/>
          <w:numId w:val="39"/>
        </w:numPr>
      </w:pPr>
      <w:r>
        <w:t xml:space="preserve">At the beginning of the next financial year, the process starts afresh. </w:t>
      </w:r>
    </w:p>
    <w:p w14:paraId="2141F1B0" w14:textId="5CA587B8" w:rsidR="00C94F0C" w:rsidRPr="00D77E4E" w:rsidRDefault="00FC69A9" w:rsidP="00E8274A">
      <w:pPr>
        <w:pStyle w:val="BodyText"/>
      </w:pPr>
      <w:r>
        <w:t xml:space="preserve">Stakeholders identify issues for both </w:t>
      </w:r>
      <w:r w:rsidR="00C94F0C" w:rsidRPr="00D77E4E">
        <w:t>providers and clients</w:t>
      </w:r>
      <w:r>
        <w:t xml:space="preserve"> in this approach</w:t>
      </w:r>
      <w:r w:rsidR="00C94F0C" w:rsidRPr="00D77E4E">
        <w:t>:</w:t>
      </w:r>
    </w:p>
    <w:p w14:paraId="79E1BD55" w14:textId="01CB6905" w:rsidR="00C94F0C" w:rsidRPr="00C94F0C" w:rsidRDefault="00C94F0C" w:rsidP="00EA422F">
      <w:pPr>
        <w:pStyle w:val="ListDash"/>
      </w:pPr>
      <w:r w:rsidRPr="00C94F0C">
        <w:t xml:space="preserve">From the perspective of </w:t>
      </w:r>
      <w:r w:rsidR="00A021D7">
        <w:t xml:space="preserve">SEE </w:t>
      </w:r>
      <w:r w:rsidRPr="00C94F0C">
        <w:t>providers, they generally face a ‘cliff edge’ in terms of future funding and do not have any certainty regarding forward levels of funding as the</w:t>
      </w:r>
      <w:r w:rsidR="00FC69A9">
        <w:t>y</w:t>
      </w:r>
      <w:r w:rsidRPr="00C94F0C">
        <w:t xml:space="preserve"> approach the end of </w:t>
      </w:r>
      <w:r w:rsidR="00FC69A9">
        <w:t>each six</w:t>
      </w:r>
      <w:r w:rsidRPr="00C94F0C">
        <w:t xml:space="preserve"> month cycle. Some </w:t>
      </w:r>
      <w:r w:rsidR="00A021D7">
        <w:t xml:space="preserve">SEE </w:t>
      </w:r>
      <w:r w:rsidRPr="00C94F0C">
        <w:t>providers also report delays in terms of being notified in a timely manner of updates to notional budgets.</w:t>
      </w:r>
    </w:p>
    <w:p w14:paraId="64296242" w14:textId="0D3BF1D0" w:rsidR="00C94F0C" w:rsidRPr="00C94F0C" w:rsidRDefault="00C94F0C" w:rsidP="00EA422F">
      <w:pPr>
        <w:pStyle w:val="ListDash"/>
      </w:pPr>
      <w:r w:rsidRPr="00C94F0C">
        <w:t xml:space="preserve">From the perspective of clients, </w:t>
      </w:r>
      <w:r w:rsidR="00A021D7">
        <w:t xml:space="preserve">voicing </w:t>
      </w:r>
      <w:r w:rsidRPr="00C94F0C">
        <w:t xml:space="preserve">satisfaction and/or dissatisfaction with the delivery of training by SEE providers </w:t>
      </w:r>
      <w:r w:rsidR="00A021D7">
        <w:t xml:space="preserve">may </w:t>
      </w:r>
      <w:r w:rsidR="008A16C0">
        <w:t>have an impact</w:t>
      </w:r>
      <w:r w:rsidRPr="00C94F0C">
        <w:t xml:space="preserve"> </w:t>
      </w:r>
      <w:r w:rsidR="008A16C0">
        <w:t xml:space="preserve">through </w:t>
      </w:r>
      <w:r w:rsidRPr="00C94F0C">
        <w:t xml:space="preserve">a financial signal to providers </w:t>
      </w:r>
      <w:r w:rsidR="00A021D7">
        <w:t xml:space="preserve">but </w:t>
      </w:r>
      <w:r w:rsidRPr="00C94F0C">
        <w:t xml:space="preserve">with a significant lag. The dampening of this signal to </w:t>
      </w:r>
      <w:r w:rsidR="00A021D7">
        <w:t xml:space="preserve">SEE </w:t>
      </w:r>
      <w:r w:rsidRPr="00C94F0C">
        <w:t xml:space="preserve">providers does not </w:t>
      </w:r>
      <w:r w:rsidR="008A16C0">
        <w:t>necessarily translate</w:t>
      </w:r>
      <w:r w:rsidR="008A16C0" w:rsidRPr="00C94F0C">
        <w:t xml:space="preserve"> </w:t>
      </w:r>
      <w:r w:rsidRPr="00C94F0C">
        <w:t xml:space="preserve">well </w:t>
      </w:r>
      <w:r w:rsidR="008A16C0">
        <w:t>into</w:t>
      </w:r>
      <w:r w:rsidR="008A16C0" w:rsidRPr="00C94F0C">
        <w:t xml:space="preserve"> </w:t>
      </w:r>
      <w:r w:rsidR="008A16C0">
        <w:t>immediate</w:t>
      </w:r>
      <w:r w:rsidR="008A16C0" w:rsidRPr="00C94F0C">
        <w:t xml:space="preserve"> </w:t>
      </w:r>
      <w:r w:rsidRPr="00C94F0C">
        <w:t>responsiveness to client needs</w:t>
      </w:r>
      <w:r w:rsidR="008A16C0">
        <w:t>.</w:t>
      </w:r>
      <w:r w:rsidRPr="00C94F0C">
        <w:t xml:space="preserve"> and </w:t>
      </w:r>
      <w:r w:rsidR="008A16C0">
        <w:t xml:space="preserve">when applied also </w:t>
      </w:r>
      <w:r w:rsidRPr="00C94F0C">
        <w:t>limits the</w:t>
      </w:r>
      <w:r w:rsidR="00A021D7">
        <w:t>ir</w:t>
      </w:r>
      <w:r w:rsidRPr="00C94F0C">
        <w:t xml:space="preserve"> ability to meet client needs where demand exceeds their notional budget.</w:t>
      </w:r>
    </w:p>
    <w:p w14:paraId="22AB6BE6" w14:textId="79A1EDE6"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In order to manage the notional budget we have to decline eligible clients, including our own exiting AMEP clients, and suggest that they be referred to our competitors. This is turn can have an impact on future referrals from those referring agencies once the notional budget is increased or the new financial year commences.  We have had an increase in referrals in our SDA due to dissatisfaction with another SEE provider from both clients and referring agencies. However, we have yet to be given a reallocation of notional budget to help us cater for this increase in our business.</w:t>
      </w:r>
    </w:p>
    <w:p w14:paraId="25571BF1"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SEE provider confidential submission</w:t>
      </w:r>
    </w:p>
    <w:p w14:paraId="19D7A7AC"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 capped funding model has restrained the growth in some areas of higher need and the programme may benefit from a timely process to move funding between SDAs to meet emerging client need for the target groups.</w:t>
      </w:r>
    </w:p>
    <w:p w14:paraId="01483107"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Confidential submission</w:t>
      </w:r>
    </w:p>
    <w:p w14:paraId="7D56CA93" w14:textId="6F5AE138" w:rsidR="00FC69A9" w:rsidRDefault="00B44D4F" w:rsidP="00C94F0C">
      <w:pPr>
        <w:spacing w:line="280" w:lineRule="exact"/>
        <w:rPr>
          <w:sz w:val="22"/>
          <w:szCs w:val="22"/>
          <w:lang w:eastAsia="en-AU"/>
        </w:rPr>
      </w:pPr>
      <w:r>
        <w:rPr>
          <w:sz w:val="22"/>
          <w:szCs w:val="22"/>
          <w:lang w:eastAsia="en-AU"/>
        </w:rPr>
        <w:t>T</w:t>
      </w:r>
      <w:r w:rsidR="00FC69A9">
        <w:rPr>
          <w:sz w:val="22"/>
          <w:szCs w:val="22"/>
          <w:lang w:eastAsia="en-AU"/>
        </w:rPr>
        <w:t xml:space="preserve">he annual nominal budget allocation to </w:t>
      </w:r>
      <w:r w:rsidR="008A16C0">
        <w:rPr>
          <w:sz w:val="22"/>
          <w:szCs w:val="22"/>
          <w:lang w:eastAsia="en-AU"/>
        </w:rPr>
        <w:t xml:space="preserve">SEE </w:t>
      </w:r>
      <w:r w:rsidR="00FC69A9">
        <w:rPr>
          <w:sz w:val="22"/>
          <w:szCs w:val="22"/>
          <w:lang w:eastAsia="en-AU"/>
        </w:rPr>
        <w:t xml:space="preserve">providers is based on the Department’s measurement of </w:t>
      </w:r>
      <w:r w:rsidR="008A16C0">
        <w:rPr>
          <w:sz w:val="22"/>
          <w:szCs w:val="22"/>
          <w:lang w:eastAsia="en-AU"/>
        </w:rPr>
        <w:t xml:space="preserve">their </w:t>
      </w:r>
      <w:r>
        <w:rPr>
          <w:sz w:val="22"/>
          <w:szCs w:val="22"/>
          <w:lang w:eastAsia="en-AU"/>
        </w:rPr>
        <w:t xml:space="preserve">quality, ensuring </w:t>
      </w:r>
      <w:r w:rsidR="008A16C0">
        <w:rPr>
          <w:sz w:val="22"/>
          <w:szCs w:val="22"/>
          <w:lang w:eastAsia="en-AU"/>
        </w:rPr>
        <w:t xml:space="preserve">they </w:t>
      </w:r>
      <w:r>
        <w:rPr>
          <w:sz w:val="22"/>
          <w:szCs w:val="22"/>
          <w:lang w:eastAsia="en-AU"/>
        </w:rPr>
        <w:t xml:space="preserve">are rewarded for strong performance in keeping clients engaged and delivering LLN outcomes. </w:t>
      </w:r>
    </w:p>
    <w:p w14:paraId="6829664E" w14:textId="4D6033F7" w:rsidR="00B44D4F" w:rsidRDefault="00B44D4F" w:rsidP="00C94F0C">
      <w:pPr>
        <w:spacing w:line="280" w:lineRule="exact"/>
        <w:rPr>
          <w:sz w:val="22"/>
          <w:szCs w:val="22"/>
          <w:lang w:eastAsia="en-AU"/>
        </w:rPr>
      </w:pPr>
      <w:r>
        <w:rPr>
          <w:sz w:val="22"/>
          <w:szCs w:val="22"/>
          <w:lang w:eastAsia="en-AU"/>
        </w:rPr>
        <w:t xml:space="preserve">The mid-financial year reallocation, while taking into account </w:t>
      </w:r>
      <w:r w:rsidR="008A16C0">
        <w:rPr>
          <w:sz w:val="22"/>
          <w:szCs w:val="22"/>
          <w:lang w:eastAsia="en-AU"/>
        </w:rPr>
        <w:t xml:space="preserve">SEE </w:t>
      </w:r>
      <w:r>
        <w:rPr>
          <w:sz w:val="22"/>
          <w:szCs w:val="22"/>
          <w:lang w:eastAsia="en-AU"/>
        </w:rPr>
        <w:t xml:space="preserve">provider quality, also considers the quantum of </w:t>
      </w:r>
      <w:r w:rsidR="009252C1">
        <w:rPr>
          <w:sz w:val="22"/>
          <w:szCs w:val="22"/>
          <w:lang w:eastAsia="en-AU"/>
        </w:rPr>
        <w:t xml:space="preserve">each </w:t>
      </w:r>
      <w:r>
        <w:rPr>
          <w:sz w:val="22"/>
          <w:szCs w:val="22"/>
          <w:lang w:eastAsia="en-AU"/>
        </w:rPr>
        <w:t>provider</w:t>
      </w:r>
      <w:r w:rsidR="009252C1">
        <w:rPr>
          <w:sz w:val="22"/>
          <w:szCs w:val="22"/>
          <w:lang w:eastAsia="en-AU"/>
        </w:rPr>
        <w:t>’s</w:t>
      </w:r>
      <w:r>
        <w:rPr>
          <w:sz w:val="22"/>
          <w:szCs w:val="22"/>
          <w:lang w:eastAsia="en-AU"/>
        </w:rPr>
        <w:t xml:space="preserve"> </w:t>
      </w:r>
      <w:r w:rsidR="00147674">
        <w:rPr>
          <w:sz w:val="22"/>
          <w:szCs w:val="22"/>
          <w:lang w:eastAsia="en-AU"/>
        </w:rPr>
        <w:t>SEE programme</w:t>
      </w:r>
      <w:r>
        <w:rPr>
          <w:sz w:val="22"/>
          <w:szCs w:val="22"/>
          <w:lang w:eastAsia="en-AU"/>
        </w:rPr>
        <w:t xml:space="preserve"> delivery in the first six months of the financial year and likely demand for that provider’s services in the second half of the financial year. </w:t>
      </w:r>
    </w:p>
    <w:p w14:paraId="5753F411" w14:textId="2CC50584" w:rsidR="0089696C" w:rsidRDefault="00B72A16" w:rsidP="00C94F0C">
      <w:pPr>
        <w:spacing w:line="280" w:lineRule="exact"/>
        <w:rPr>
          <w:sz w:val="22"/>
          <w:szCs w:val="22"/>
          <w:lang w:eastAsia="en-AU"/>
        </w:rPr>
      </w:pPr>
      <w:r>
        <w:rPr>
          <w:sz w:val="22"/>
          <w:szCs w:val="22"/>
          <w:lang w:eastAsia="en-AU"/>
        </w:rPr>
        <w:t xml:space="preserve">Moving some or all of the </w:t>
      </w:r>
      <w:r w:rsidR="00147674">
        <w:rPr>
          <w:sz w:val="22"/>
          <w:szCs w:val="22"/>
          <w:lang w:eastAsia="en-AU"/>
        </w:rPr>
        <w:t>SEE programme</w:t>
      </w:r>
      <w:r>
        <w:rPr>
          <w:sz w:val="22"/>
          <w:szCs w:val="22"/>
          <w:lang w:eastAsia="en-AU"/>
        </w:rPr>
        <w:t xml:space="preserve"> nominal budget allocation to a more regular rolling budget</w:t>
      </w:r>
      <w:r w:rsidR="00C94F0C" w:rsidRPr="00C94F0C">
        <w:rPr>
          <w:sz w:val="22"/>
          <w:szCs w:val="22"/>
          <w:lang w:eastAsia="en-AU"/>
        </w:rPr>
        <w:t xml:space="preserve"> </w:t>
      </w:r>
      <w:r w:rsidR="00655594">
        <w:rPr>
          <w:sz w:val="22"/>
          <w:szCs w:val="22"/>
          <w:lang w:eastAsia="en-AU"/>
        </w:rPr>
        <w:t>c</w:t>
      </w:r>
      <w:r w:rsidR="00C94F0C" w:rsidRPr="00C94F0C">
        <w:rPr>
          <w:sz w:val="22"/>
          <w:szCs w:val="22"/>
          <w:lang w:eastAsia="en-AU"/>
        </w:rPr>
        <w:t xml:space="preserve">ould address </w:t>
      </w:r>
      <w:r w:rsidR="0089696C">
        <w:rPr>
          <w:sz w:val="22"/>
          <w:szCs w:val="22"/>
          <w:lang w:eastAsia="en-AU"/>
        </w:rPr>
        <w:t xml:space="preserve">the </w:t>
      </w:r>
      <w:r w:rsidR="00A77374">
        <w:rPr>
          <w:sz w:val="22"/>
          <w:szCs w:val="22"/>
          <w:lang w:eastAsia="en-AU"/>
        </w:rPr>
        <w:t xml:space="preserve">two </w:t>
      </w:r>
      <w:r w:rsidR="00C94F0C" w:rsidRPr="00C94F0C">
        <w:rPr>
          <w:sz w:val="22"/>
          <w:szCs w:val="22"/>
          <w:lang w:eastAsia="en-AU"/>
        </w:rPr>
        <w:t xml:space="preserve">issues </w:t>
      </w:r>
      <w:r w:rsidR="0089696C">
        <w:rPr>
          <w:sz w:val="22"/>
          <w:szCs w:val="22"/>
          <w:lang w:eastAsia="en-AU"/>
        </w:rPr>
        <w:t>identified</w:t>
      </w:r>
      <w:r>
        <w:rPr>
          <w:sz w:val="22"/>
          <w:szCs w:val="22"/>
          <w:lang w:eastAsia="en-AU"/>
        </w:rPr>
        <w:t xml:space="preserve"> above. For example, the Department could consider</w:t>
      </w:r>
      <w:r w:rsidR="0089696C">
        <w:rPr>
          <w:sz w:val="22"/>
          <w:szCs w:val="22"/>
          <w:lang w:eastAsia="en-AU"/>
        </w:rPr>
        <w:t>:</w:t>
      </w:r>
    </w:p>
    <w:p w14:paraId="47B76BED" w14:textId="0651C0DF" w:rsidR="00391E25" w:rsidRDefault="008F7D76" w:rsidP="00E8274A">
      <w:pPr>
        <w:pStyle w:val="ListDash"/>
      </w:pPr>
      <w:r>
        <w:t>Replac</w:t>
      </w:r>
      <w:r w:rsidR="00B72A16">
        <w:t>ing</w:t>
      </w:r>
      <w:r>
        <w:t xml:space="preserve"> the mid-financial year reallocation with a monthly </w:t>
      </w:r>
      <w:r w:rsidR="00C94F0C" w:rsidRPr="00C94F0C">
        <w:t xml:space="preserve">rolling </w:t>
      </w:r>
      <w:r w:rsidR="00A548B6">
        <w:t xml:space="preserve">six </w:t>
      </w:r>
      <w:r w:rsidR="00C94F0C" w:rsidRPr="00C94F0C">
        <w:t xml:space="preserve">month </w:t>
      </w:r>
      <w:r w:rsidR="00B44D4F">
        <w:t xml:space="preserve">nominal </w:t>
      </w:r>
      <w:r w:rsidR="00C94F0C" w:rsidRPr="00C94F0C">
        <w:t>budget</w:t>
      </w:r>
      <w:r w:rsidR="00391E25">
        <w:t xml:space="preserve">. This would be similar to the current approach, except that instead </w:t>
      </w:r>
      <w:r w:rsidR="005C3E45">
        <w:t xml:space="preserve">of </w:t>
      </w:r>
      <w:r w:rsidR="00391E25">
        <w:t xml:space="preserve">carrying out one large reallocation of nominal budgets </w:t>
      </w:r>
      <w:r w:rsidR="0089696C">
        <w:t>at the six month point</w:t>
      </w:r>
      <w:r w:rsidR="00391E25">
        <w:t xml:space="preserve">, nominal budgets would be reallocated monthly in much smaller quantum. </w:t>
      </w:r>
      <w:r>
        <w:t>This would remove the ‘cliff edge’ providers currently face mid-financial year.</w:t>
      </w:r>
    </w:p>
    <w:p w14:paraId="76E9BE57" w14:textId="7EB67473" w:rsidR="00B72A16" w:rsidRDefault="008F7D76" w:rsidP="00E8274A">
      <w:pPr>
        <w:pStyle w:val="ListDash"/>
      </w:pPr>
      <w:r w:rsidRPr="00DA2158">
        <w:t xml:space="preserve">To take </w:t>
      </w:r>
      <w:r w:rsidR="00871CC6" w:rsidRPr="00DA2158">
        <w:t xml:space="preserve">this </w:t>
      </w:r>
      <w:r w:rsidRPr="00DA2158">
        <w:t>approach on</w:t>
      </w:r>
      <w:r>
        <w:t xml:space="preserve">e step further, </w:t>
      </w:r>
      <w:r w:rsidR="005C3E45">
        <w:t xml:space="preserve">the allocation </w:t>
      </w:r>
      <w:r w:rsidR="0089696C">
        <w:t xml:space="preserve">that currently takes place </w:t>
      </w:r>
      <w:r w:rsidR="005C3E45">
        <w:t xml:space="preserve">at the beginning of the financial year </w:t>
      </w:r>
      <w:r>
        <w:t xml:space="preserve">could also be moved to </w:t>
      </w:r>
      <w:r w:rsidR="00B72A16">
        <w:t xml:space="preserve">a </w:t>
      </w:r>
      <w:r w:rsidRPr="00C94F0C">
        <w:t xml:space="preserve">rolling </w:t>
      </w:r>
      <w:r>
        <w:t xml:space="preserve">approach. As the annual allocation is based on </w:t>
      </w:r>
      <w:r w:rsidR="008A16C0">
        <w:t xml:space="preserve">SEE </w:t>
      </w:r>
      <w:r w:rsidR="009252C1">
        <w:t>provider quality</w:t>
      </w:r>
      <w:r>
        <w:t xml:space="preserve">, moving this allocation to a rolling budget </w:t>
      </w:r>
      <w:r w:rsidR="005249E5">
        <w:t>may</w:t>
      </w:r>
      <w:r>
        <w:t xml:space="preserve"> require </w:t>
      </w:r>
      <w:r w:rsidR="005249E5">
        <w:t xml:space="preserve">relevant </w:t>
      </w:r>
      <w:r>
        <w:t>KPIs to be measured more regularly</w:t>
      </w:r>
      <w:r w:rsidR="00B72A16">
        <w:t>.</w:t>
      </w:r>
    </w:p>
    <w:p w14:paraId="55FEE0F7" w14:textId="62DDD9E8" w:rsidR="00C94F0C" w:rsidRPr="00C94F0C" w:rsidRDefault="00B72A16" w:rsidP="00E8274A">
      <w:pPr>
        <w:pStyle w:val="BodyText"/>
      </w:pPr>
      <w:r>
        <w:t xml:space="preserve">When combined, these two measures would eliminate the </w:t>
      </w:r>
      <w:r w:rsidR="008A16C0">
        <w:t>uncertainty</w:t>
      </w:r>
      <w:r w:rsidRPr="00B72A16">
        <w:t xml:space="preserve"> </w:t>
      </w:r>
      <w:r w:rsidR="008A16C0">
        <w:t xml:space="preserve">that SEE </w:t>
      </w:r>
      <w:r w:rsidRPr="00B72A16">
        <w:t>providers currently face mid-financial year</w:t>
      </w:r>
      <w:r>
        <w:t xml:space="preserve"> and at the end of the financial year</w:t>
      </w:r>
      <w:r w:rsidRPr="00B72A16">
        <w:t>.</w:t>
      </w:r>
      <w:r>
        <w:t xml:space="preserve"> It would mean </w:t>
      </w:r>
      <w:r w:rsidR="008A16C0">
        <w:t xml:space="preserve">SEE </w:t>
      </w:r>
      <w:r w:rsidR="00A77374">
        <w:t>providers’</w:t>
      </w:r>
      <w:r>
        <w:t xml:space="preserve"> nominal budget would be updated regularly </w:t>
      </w:r>
      <w:r w:rsidR="00A77374">
        <w:t xml:space="preserve">(monthly based on enrolment levels and monthly or quarterly based on provider quality) </w:t>
      </w:r>
      <w:r>
        <w:t xml:space="preserve">to reflect their KPI performance over the previous </w:t>
      </w:r>
      <w:r w:rsidR="00171E64">
        <w:t>12 </w:t>
      </w:r>
      <w:r>
        <w:t>months</w:t>
      </w:r>
      <w:r w:rsidR="005249E5">
        <w:t>,</w:t>
      </w:r>
      <w:r>
        <w:t xml:space="preserve"> demand for their services</w:t>
      </w:r>
      <w:r w:rsidR="005249E5">
        <w:t xml:space="preserve"> in a given region, and the level of funding available.</w:t>
      </w:r>
    </w:p>
    <w:p w14:paraId="2E0948F6" w14:textId="77777777" w:rsidR="00C94F0C" w:rsidRPr="00C94F0C" w:rsidRDefault="00C94F0C" w:rsidP="00C94F0C">
      <w:pPr>
        <w:spacing w:line="280" w:lineRule="exact"/>
        <w:rPr>
          <w:sz w:val="22"/>
          <w:szCs w:val="22"/>
          <w:lang w:eastAsia="en-AU"/>
        </w:rPr>
      </w:pPr>
      <w:r w:rsidRPr="00C94F0C">
        <w:rPr>
          <w:sz w:val="22"/>
          <w:szCs w:val="22"/>
          <w:lang w:eastAsia="en-AU"/>
        </w:rPr>
        <w:t>There are of course a large number of possible variants on the rolling budget model and a range of key design features that would need to be developed, tested and implemented.</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11478DE4" w14:textId="77777777" w:rsidTr="00EA422F">
        <w:tc>
          <w:tcPr>
            <w:tcW w:w="5000" w:type="pct"/>
            <w:shd w:val="pct12" w:color="auto" w:fill="auto"/>
          </w:tcPr>
          <w:p w14:paraId="3540C80E" w14:textId="10FA934E"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15</w:t>
            </w:r>
            <w:r w:rsidRPr="00C94F0C">
              <w:rPr>
                <w:rFonts w:asciiTheme="majorHAnsi" w:hAnsiTheme="majorHAnsi" w:cs="Arial"/>
                <w:noProof/>
                <w:sz w:val="20"/>
              </w:rPr>
              <w:fldChar w:fldCharType="end"/>
            </w:r>
          </w:p>
        </w:tc>
      </w:tr>
      <w:tr w:rsidR="00C94F0C" w:rsidRPr="00C94F0C" w14:paraId="7EB99463" w14:textId="77777777" w:rsidTr="00EA422F">
        <w:tc>
          <w:tcPr>
            <w:tcW w:w="5000" w:type="pct"/>
            <w:shd w:val="pct12" w:color="auto" w:fill="auto"/>
          </w:tcPr>
          <w:p w14:paraId="10576BF2" w14:textId="1FD59AE4" w:rsidR="00EA0738" w:rsidRDefault="00112C69" w:rsidP="00163BA3">
            <w:pPr>
              <w:pStyle w:val="BoxText"/>
            </w:pPr>
            <w:r w:rsidRPr="00112C69">
              <w:t>The</w:t>
            </w:r>
            <w:r w:rsidR="004D59FC">
              <w:t xml:space="preserve"> notional</w:t>
            </w:r>
            <w:r w:rsidRPr="00112C69">
              <w:t xml:space="preserve"> budget model should be</w:t>
            </w:r>
            <w:r w:rsidR="004D59FC">
              <w:t xml:space="preserve"> enhanc</w:t>
            </w:r>
            <w:r w:rsidRPr="00112C69">
              <w:t xml:space="preserve">ed to address where possible the uncertainty currently faced by SEE providers and facilitate better forward planning. </w:t>
            </w:r>
            <w:r w:rsidR="00EA0738">
              <w:t>Specific c</w:t>
            </w:r>
            <w:r w:rsidRPr="00112C69">
              <w:t>onsideration should be given to</w:t>
            </w:r>
            <w:r w:rsidR="00171E64">
              <w:t xml:space="preserve"> m</w:t>
            </w:r>
            <w:r w:rsidR="00171E64" w:rsidRPr="00171E64">
              <w:t xml:space="preserve">oving some or all of the </w:t>
            </w:r>
            <w:r w:rsidR="00147674">
              <w:t>SEE programme</w:t>
            </w:r>
            <w:r w:rsidR="00171E64" w:rsidRPr="00171E64">
              <w:t xml:space="preserve"> nominal budget allocation to a more regular rolling budget</w:t>
            </w:r>
            <w:r w:rsidR="00171E64">
              <w:t>.</w:t>
            </w:r>
          </w:p>
          <w:p w14:paraId="59F09CBB"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685AE816" wp14:editId="02867E2B">
                  <wp:extent cx="481585" cy="234696"/>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02100AD7" w14:textId="77777777" w:rsidTr="00EA422F">
        <w:trPr>
          <w:trHeight w:hRule="exact" w:val="80"/>
        </w:trPr>
        <w:tc>
          <w:tcPr>
            <w:tcW w:w="5000" w:type="pct"/>
            <w:shd w:val="pct12" w:color="auto" w:fill="auto"/>
          </w:tcPr>
          <w:p w14:paraId="307E8DBB" w14:textId="77777777" w:rsidR="00C94F0C" w:rsidRPr="00C94F0C" w:rsidRDefault="00C94F0C" w:rsidP="00C94F0C">
            <w:pPr>
              <w:spacing w:before="160"/>
            </w:pPr>
            <w:r w:rsidRPr="00C94F0C">
              <w:t xml:space="preserve"> </w:t>
            </w:r>
          </w:p>
        </w:tc>
      </w:tr>
    </w:tbl>
    <w:p w14:paraId="3C7C8DA8" w14:textId="77777777" w:rsidR="00C94F0C" w:rsidRPr="00C94F0C" w:rsidRDefault="00C94F0C" w:rsidP="00C94F0C">
      <w:pPr>
        <w:keepNext/>
        <w:numPr>
          <w:ilvl w:val="4"/>
          <w:numId w:val="20"/>
        </w:numPr>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Potential lack of viability for multiple providers in regional areas</w:t>
      </w:r>
    </w:p>
    <w:p w14:paraId="11533EAD" w14:textId="6CB734E4" w:rsidR="00C94F0C" w:rsidRPr="00C94F0C" w:rsidRDefault="00C94F0C" w:rsidP="00C94F0C">
      <w:pPr>
        <w:spacing w:line="280" w:lineRule="exact"/>
        <w:rPr>
          <w:sz w:val="22"/>
          <w:szCs w:val="22"/>
          <w:lang w:eastAsia="en-AU"/>
        </w:rPr>
      </w:pPr>
      <w:r w:rsidRPr="00C94F0C">
        <w:rPr>
          <w:sz w:val="22"/>
          <w:szCs w:val="22"/>
          <w:lang w:eastAsia="en-AU"/>
        </w:rPr>
        <w:t xml:space="preserve">As discussed in Section </w:t>
      </w:r>
      <w:r w:rsidRPr="00C94F0C">
        <w:rPr>
          <w:sz w:val="22"/>
          <w:szCs w:val="22"/>
          <w:lang w:eastAsia="en-AU"/>
        </w:rPr>
        <w:fldChar w:fldCharType="begin"/>
      </w:r>
      <w:r w:rsidRPr="00C94F0C">
        <w:rPr>
          <w:sz w:val="22"/>
          <w:szCs w:val="22"/>
          <w:lang w:eastAsia="en-AU"/>
        </w:rPr>
        <w:instrText xml:space="preserve"> REF _Ref408512124 \r \h </w:instrText>
      </w:r>
      <w:r w:rsidRPr="00C94F0C">
        <w:rPr>
          <w:sz w:val="22"/>
          <w:szCs w:val="22"/>
          <w:lang w:eastAsia="en-AU"/>
        </w:rPr>
      </w:r>
      <w:r w:rsidRPr="00C94F0C">
        <w:rPr>
          <w:sz w:val="22"/>
          <w:szCs w:val="22"/>
          <w:lang w:eastAsia="en-AU"/>
        </w:rPr>
        <w:fldChar w:fldCharType="separate"/>
      </w:r>
      <w:r w:rsidR="00294A5A">
        <w:rPr>
          <w:sz w:val="22"/>
          <w:szCs w:val="22"/>
          <w:lang w:eastAsia="en-AU"/>
        </w:rPr>
        <w:t>4.1.1</w:t>
      </w:r>
      <w:r w:rsidRPr="00C94F0C">
        <w:rPr>
          <w:sz w:val="22"/>
          <w:szCs w:val="22"/>
          <w:lang w:eastAsia="en-AU"/>
        </w:rPr>
        <w:fldChar w:fldCharType="end"/>
      </w:r>
      <w:r w:rsidRPr="00C94F0C">
        <w:rPr>
          <w:sz w:val="22"/>
          <w:szCs w:val="22"/>
          <w:lang w:eastAsia="en-AU"/>
        </w:rPr>
        <w:t xml:space="preserve">, stakeholders </w:t>
      </w:r>
      <w:r w:rsidR="00655594">
        <w:rPr>
          <w:sz w:val="22"/>
          <w:szCs w:val="22"/>
          <w:lang w:eastAsia="en-AU"/>
        </w:rPr>
        <w:t>consistently raised concerns</w:t>
      </w:r>
      <w:r w:rsidRPr="00C94F0C">
        <w:rPr>
          <w:sz w:val="22"/>
          <w:szCs w:val="22"/>
          <w:lang w:eastAsia="en-AU"/>
        </w:rPr>
        <w:t xml:space="preserve"> regarding the lack of viability of multiple </w:t>
      </w:r>
      <w:r w:rsidR="008A16C0">
        <w:rPr>
          <w:sz w:val="22"/>
          <w:szCs w:val="22"/>
          <w:lang w:eastAsia="en-AU"/>
        </w:rPr>
        <w:t xml:space="preserve">SEE </w:t>
      </w:r>
      <w:r w:rsidRPr="00C94F0C">
        <w:rPr>
          <w:sz w:val="22"/>
          <w:szCs w:val="22"/>
          <w:lang w:eastAsia="en-AU"/>
        </w:rPr>
        <w:t xml:space="preserve">providers in many regional SDAs. </w:t>
      </w:r>
    </w:p>
    <w:p w14:paraId="419838C2" w14:textId="60A3ECC6"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 xml:space="preserve">The decision to introduce a multi-provider model into SDAs where there is a limited number of eligible job seekers, however, has adversely impacted the financial viability of particular SEE sites. This impact has been further exacerbated as a result of changes to eligibility criteria in the SEE Contract e.g. </w:t>
      </w:r>
      <w:r w:rsidR="00CF7500">
        <w:rPr>
          <w:sz w:val="18"/>
          <w:szCs w:val="22"/>
          <w:lang w:eastAsia="en-AU"/>
        </w:rPr>
        <w:t>job seeker</w:t>
      </w:r>
      <w:r w:rsidRPr="00C94F0C">
        <w:rPr>
          <w:sz w:val="18"/>
          <w:szCs w:val="22"/>
          <w:lang w:eastAsia="en-AU"/>
        </w:rPr>
        <w:t>s not on payments, or on Carer’s payment no longer eligible.</w:t>
      </w:r>
    </w:p>
    <w:p w14:paraId="07C63004"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MTC submission</w:t>
      </w:r>
    </w:p>
    <w:p w14:paraId="592CAC25" w14:textId="4BFF5C0E" w:rsidR="00C94F0C" w:rsidRPr="00C94F0C" w:rsidRDefault="00A548B6" w:rsidP="00C94F0C">
      <w:pPr>
        <w:spacing w:before="60" w:after="60" w:line="220" w:lineRule="exact"/>
        <w:ind w:left="567" w:right="567"/>
        <w:rPr>
          <w:sz w:val="18"/>
          <w:szCs w:val="22"/>
          <w:lang w:eastAsia="en-AU"/>
        </w:rPr>
      </w:pPr>
      <w:r>
        <w:rPr>
          <w:sz w:val="18"/>
          <w:szCs w:val="22"/>
          <w:lang w:eastAsia="en-AU"/>
        </w:rPr>
        <w:t>I</w:t>
      </w:r>
      <w:r w:rsidR="00C94F0C" w:rsidRPr="00C94F0C">
        <w:rPr>
          <w:sz w:val="18"/>
          <w:szCs w:val="22"/>
          <w:lang w:eastAsia="en-AU"/>
        </w:rPr>
        <w:t>n some Service Delivery Areas where client needs and programme objectives are not being met; alternative service providers need to be considered. Community consultation and demographic analysis may find that more than one provider is not necessary in some SDAs.</w:t>
      </w:r>
    </w:p>
    <w:p w14:paraId="21D4E51B"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SEE provider confidential submission</w:t>
      </w:r>
    </w:p>
    <w:p w14:paraId="7F65F23B"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The multi-provider model has resulted in greater competition in our Service Delivery Area but the Notional Budget Allocation needs to be reviewed more often than twice a year to allow for reallocation of funding based on each provider’s service delivery patterns and performance.  Alternatively, there could be no cap on budget for the financial year, as with the AMEP, with each provider able to deliver to the level of referrals they receive.</w:t>
      </w:r>
    </w:p>
    <w:p w14:paraId="050AAED5"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SEE provider confidential submission</w:t>
      </w:r>
    </w:p>
    <w:p w14:paraId="05E1DC5A" w14:textId="4B7501B1" w:rsidR="00C94F0C" w:rsidRPr="00C94F0C" w:rsidRDefault="00C94F0C" w:rsidP="00C94F0C">
      <w:pPr>
        <w:spacing w:line="280" w:lineRule="exact"/>
        <w:rPr>
          <w:sz w:val="22"/>
          <w:szCs w:val="22"/>
          <w:lang w:eastAsia="en-AU"/>
        </w:rPr>
      </w:pPr>
      <w:r w:rsidRPr="00C94F0C">
        <w:rPr>
          <w:sz w:val="22"/>
          <w:szCs w:val="22"/>
          <w:lang w:eastAsia="en-AU"/>
        </w:rPr>
        <w:t xml:space="preserve">In weighing up the costs and benefits of the </w:t>
      </w:r>
      <w:r w:rsidR="00871CC6" w:rsidRPr="00C94F0C">
        <w:rPr>
          <w:sz w:val="22"/>
          <w:szCs w:val="22"/>
          <w:lang w:eastAsia="en-AU"/>
        </w:rPr>
        <w:t>multi</w:t>
      </w:r>
      <w:r w:rsidR="00871CC6">
        <w:rPr>
          <w:sz w:val="22"/>
          <w:szCs w:val="22"/>
          <w:lang w:eastAsia="en-AU"/>
        </w:rPr>
        <w:t>-</w:t>
      </w:r>
      <w:r w:rsidRPr="00C94F0C">
        <w:rPr>
          <w:sz w:val="22"/>
          <w:szCs w:val="22"/>
          <w:lang w:eastAsia="en-AU"/>
        </w:rPr>
        <w:t xml:space="preserve">provider model in regional areas where the scale of demand is limited, it is likely that </w:t>
      </w:r>
      <w:r w:rsidR="008A16C0">
        <w:rPr>
          <w:sz w:val="22"/>
          <w:szCs w:val="22"/>
          <w:lang w:eastAsia="en-AU"/>
        </w:rPr>
        <w:t xml:space="preserve">SEE </w:t>
      </w:r>
      <w:r w:rsidRPr="00C94F0C">
        <w:rPr>
          <w:sz w:val="22"/>
          <w:szCs w:val="22"/>
          <w:lang w:eastAsia="en-AU"/>
        </w:rPr>
        <w:t xml:space="preserve">programme participants would be better off with a single stable provider with sufficient scale to support cost-effective delivery. However, such assessments will need to be made on a case-by-case basis. </w:t>
      </w:r>
    </w:p>
    <w:p w14:paraId="44CF1A4C" w14:textId="555409B6" w:rsidR="00C94F0C" w:rsidRPr="00C94F0C" w:rsidRDefault="00C94F0C" w:rsidP="00C94F0C">
      <w:pPr>
        <w:spacing w:line="280" w:lineRule="exact"/>
        <w:rPr>
          <w:sz w:val="22"/>
          <w:szCs w:val="22"/>
          <w:lang w:eastAsia="en-AU"/>
        </w:rPr>
      </w:pPr>
      <w:r w:rsidRPr="00C94F0C">
        <w:rPr>
          <w:sz w:val="22"/>
          <w:szCs w:val="22"/>
          <w:lang w:eastAsia="en-AU"/>
        </w:rPr>
        <w:t xml:space="preserve">In order to support such assessments, a framework </w:t>
      </w:r>
      <w:r w:rsidR="00655594">
        <w:rPr>
          <w:sz w:val="22"/>
          <w:szCs w:val="22"/>
          <w:lang w:eastAsia="en-AU"/>
        </w:rPr>
        <w:t xml:space="preserve">is required </w:t>
      </w:r>
      <w:r w:rsidRPr="00C94F0C">
        <w:rPr>
          <w:sz w:val="22"/>
          <w:szCs w:val="22"/>
          <w:lang w:eastAsia="en-AU"/>
        </w:rPr>
        <w:t>to assess the viability of multiple competing SEE providers based on a range of relevant factors including:</w:t>
      </w:r>
    </w:p>
    <w:p w14:paraId="5830B8E3" w14:textId="4C6631C2" w:rsidR="00C94F0C" w:rsidRPr="00C94F0C" w:rsidRDefault="00C94F0C" w:rsidP="00C94F0C">
      <w:pPr>
        <w:pStyle w:val="ListDash"/>
      </w:pPr>
      <w:r w:rsidRPr="00C94F0C">
        <w:t>the level of expected numbers of eligible job</w:t>
      </w:r>
      <w:r w:rsidR="00871CC6">
        <w:t xml:space="preserve"> </w:t>
      </w:r>
      <w:r w:rsidRPr="00C94F0C">
        <w:t>seekers based on forecast economic and labour market conditions</w:t>
      </w:r>
    </w:p>
    <w:p w14:paraId="6031D027" w14:textId="77777777" w:rsidR="00C94F0C" w:rsidRPr="00C94F0C" w:rsidRDefault="00C94F0C" w:rsidP="00C94F0C">
      <w:pPr>
        <w:pStyle w:val="ListDash"/>
      </w:pPr>
      <w:r w:rsidRPr="00C94F0C">
        <w:t>historical and expected levels of referral activity from Referral Agencies including the impact of any changes to contracts for employment services providers</w:t>
      </w:r>
    </w:p>
    <w:p w14:paraId="720B5363" w14:textId="77777777" w:rsidR="00C94F0C" w:rsidRPr="00C94F0C" w:rsidRDefault="00C94F0C" w:rsidP="00C94F0C">
      <w:pPr>
        <w:pStyle w:val="ListDash"/>
      </w:pPr>
      <w:r w:rsidRPr="00C94F0C">
        <w:t xml:space="preserve">the population density of the region </w:t>
      </w:r>
    </w:p>
    <w:p w14:paraId="378AFA65" w14:textId="77777777" w:rsidR="00C94F0C" w:rsidRPr="00C94F0C" w:rsidRDefault="00C94F0C" w:rsidP="00C94F0C">
      <w:pPr>
        <w:pStyle w:val="ListDash"/>
      </w:pPr>
      <w:r w:rsidRPr="00C94F0C">
        <w:t>the costs of delivery</w:t>
      </w:r>
    </w:p>
    <w:p w14:paraId="69B4D13A" w14:textId="77777777" w:rsidR="00C94F0C" w:rsidRPr="00C94F0C" w:rsidRDefault="00C94F0C" w:rsidP="00C94F0C">
      <w:pPr>
        <w:pStyle w:val="ListDash"/>
      </w:pPr>
      <w:r w:rsidRPr="00C94F0C">
        <w:t>the presence of established prospective providers in the region</w:t>
      </w:r>
    </w:p>
    <w:p w14:paraId="58CB846C" w14:textId="77777777" w:rsidR="00C94F0C" w:rsidRPr="00C94F0C" w:rsidRDefault="00C94F0C" w:rsidP="00C94F0C">
      <w:pPr>
        <w:pStyle w:val="ListDash"/>
      </w:pPr>
      <w:r w:rsidRPr="00C94F0C">
        <w:t>experience from other areas of government service delivery.</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6FA7ED03" w14:textId="77777777" w:rsidTr="00EA422F">
        <w:tc>
          <w:tcPr>
            <w:tcW w:w="5000" w:type="pct"/>
            <w:shd w:val="pct12" w:color="auto" w:fill="auto"/>
          </w:tcPr>
          <w:p w14:paraId="38E2CB8F" w14:textId="2F443FB4"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16</w:t>
            </w:r>
            <w:r w:rsidRPr="00C94F0C">
              <w:rPr>
                <w:rFonts w:asciiTheme="majorHAnsi" w:hAnsiTheme="majorHAnsi" w:cs="Arial"/>
                <w:noProof/>
                <w:sz w:val="20"/>
              </w:rPr>
              <w:fldChar w:fldCharType="end"/>
            </w:r>
          </w:p>
        </w:tc>
      </w:tr>
      <w:tr w:rsidR="00C94F0C" w:rsidRPr="00C94F0C" w14:paraId="41142B73" w14:textId="77777777" w:rsidTr="00EA422F">
        <w:tc>
          <w:tcPr>
            <w:tcW w:w="5000" w:type="pct"/>
            <w:shd w:val="pct12" w:color="auto" w:fill="auto"/>
          </w:tcPr>
          <w:p w14:paraId="6B817735" w14:textId="46607099" w:rsidR="00491FD4" w:rsidRDefault="00491FD4" w:rsidP="00163BA3">
            <w:pPr>
              <w:pStyle w:val="BoxText"/>
            </w:pPr>
            <w:r w:rsidRPr="00491FD4">
              <w:t xml:space="preserve">A framework should be developed to assess and determine the viability of the multi-provider model in all regions across Australia, but especially where there are low levels of likely demand for the </w:t>
            </w:r>
            <w:r w:rsidR="00147674">
              <w:t>SEE programme</w:t>
            </w:r>
            <w:r w:rsidRPr="00491FD4">
              <w:t xml:space="preserve">. </w:t>
            </w:r>
          </w:p>
          <w:p w14:paraId="45614EAD" w14:textId="77777777" w:rsidR="00C94F0C" w:rsidRPr="00C94F0C" w:rsidRDefault="00C94F0C" w:rsidP="00C94F0C">
            <w:pPr>
              <w:spacing w:before="0" w:after="0" w:line="240" w:lineRule="auto"/>
              <w:ind w:left="113"/>
              <w:jc w:val="right"/>
            </w:pPr>
            <w:r w:rsidRPr="00C94F0C">
              <w:rPr>
                <w:noProof/>
                <w:lang w:eastAsia="en-AU"/>
              </w:rPr>
              <w:drawing>
                <wp:inline distT="0" distB="0" distL="0" distR="0" wp14:anchorId="7CA2F9DB" wp14:editId="13583648">
                  <wp:extent cx="481585" cy="234696"/>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7B4C7F85" w14:textId="77777777" w:rsidTr="00EA422F">
        <w:trPr>
          <w:trHeight w:hRule="exact" w:val="80"/>
        </w:trPr>
        <w:tc>
          <w:tcPr>
            <w:tcW w:w="5000" w:type="pct"/>
            <w:shd w:val="pct12" w:color="auto" w:fill="auto"/>
          </w:tcPr>
          <w:p w14:paraId="3DD3A422" w14:textId="77777777" w:rsidR="00C94F0C" w:rsidRPr="00C94F0C" w:rsidRDefault="00C94F0C" w:rsidP="00C94F0C">
            <w:pPr>
              <w:spacing w:before="160"/>
            </w:pPr>
            <w:r w:rsidRPr="00C94F0C">
              <w:t xml:space="preserve"> </w:t>
            </w:r>
          </w:p>
        </w:tc>
      </w:tr>
    </w:tbl>
    <w:p w14:paraId="329B2B2A" w14:textId="4DB715CA" w:rsidR="004D59FC" w:rsidRDefault="004D59FC" w:rsidP="00E8274A">
      <w:pPr>
        <w:pStyle w:val="BodyText"/>
      </w:pPr>
      <w:r w:rsidRPr="00C94F0C">
        <w:t>As part of this assessment</w:t>
      </w:r>
      <w:r w:rsidR="001B7719">
        <w:t>,</w:t>
      </w:r>
      <w:r w:rsidRPr="00C94F0C">
        <w:t xml:space="preserve"> </w:t>
      </w:r>
      <w:r>
        <w:t>consideration should also be given to</w:t>
      </w:r>
      <w:r w:rsidRPr="00C94F0C">
        <w:t xml:space="preserve"> whether the boundaries for SEE SDAs </w:t>
      </w:r>
      <w:r>
        <w:t xml:space="preserve">should be aligned </w:t>
      </w:r>
      <w:r w:rsidRPr="00C94F0C">
        <w:t>with the revised boundaries of the employment services contracts</w:t>
      </w:r>
      <w:r w:rsidR="001B7719">
        <w:t>,</w:t>
      </w:r>
      <w:r w:rsidRPr="00C94F0C">
        <w:t xml:space="preserve"> and whether some areas should be merged to increase their footprint and thereby increase the potential for the </w:t>
      </w:r>
      <w:r w:rsidR="00871CC6" w:rsidRPr="00C94F0C">
        <w:t>multi</w:t>
      </w:r>
      <w:r w:rsidR="00871CC6">
        <w:t>-</w:t>
      </w:r>
      <w:r w:rsidRPr="00C94F0C">
        <w:t>provider model to be successful.</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4D59FC" w14:paraId="3DA7B97D" w14:textId="77777777" w:rsidTr="00E8274A">
        <w:tc>
          <w:tcPr>
            <w:tcW w:w="5000" w:type="pct"/>
            <w:shd w:val="pct12" w:color="auto" w:fill="auto"/>
          </w:tcPr>
          <w:p w14:paraId="28B4DDA5" w14:textId="77777777" w:rsidR="004D59FC" w:rsidRDefault="004D59FC" w:rsidP="00E8274A">
            <w:pPr>
              <w:pStyle w:val="Caption"/>
              <w:spacing w:before="120" w:after="60"/>
              <w:ind w:left="1112" w:hanging="1112"/>
              <w:rPr>
                <w:rFonts w:ascii="Arial Bold" w:hAnsi="Arial Bold"/>
                <w:color w:val="000080"/>
              </w:rPr>
            </w:pPr>
            <w:r>
              <w:t xml:space="preserve">Recommendation </w:t>
            </w:r>
            <w:r w:rsidR="006A2396">
              <w:fldChar w:fldCharType="begin"/>
            </w:r>
            <w:r w:rsidR="006A2396">
              <w:instrText xml:space="preserve"> SEQ Recommendation \* ARABIC </w:instrText>
            </w:r>
            <w:r w:rsidR="006A2396">
              <w:fldChar w:fldCharType="separate"/>
            </w:r>
            <w:r w:rsidR="00294A5A">
              <w:rPr>
                <w:noProof/>
              </w:rPr>
              <w:t>17</w:t>
            </w:r>
            <w:r w:rsidR="006A2396">
              <w:rPr>
                <w:noProof/>
              </w:rPr>
              <w:fldChar w:fldCharType="end"/>
            </w:r>
          </w:p>
        </w:tc>
      </w:tr>
      <w:tr w:rsidR="004D59FC" w14:paraId="76613C00" w14:textId="77777777" w:rsidTr="00E8274A">
        <w:tc>
          <w:tcPr>
            <w:tcW w:w="5000" w:type="pct"/>
            <w:shd w:val="pct12" w:color="auto" w:fill="auto"/>
          </w:tcPr>
          <w:p w14:paraId="6683D33D" w14:textId="056E525A" w:rsidR="004D59FC" w:rsidRDefault="004D59FC">
            <w:pPr>
              <w:pStyle w:val="BoxText"/>
            </w:pPr>
            <w:r w:rsidRPr="004D59FC">
              <w:t xml:space="preserve">The </w:t>
            </w:r>
            <w:r w:rsidR="00801D92" w:rsidRPr="00801D92">
              <w:t xml:space="preserve">Australian Government </w:t>
            </w:r>
            <w:r w:rsidRPr="004D59FC">
              <w:t xml:space="preserve">should align the SEE </w:t>
            </w:r>
            <w:r w:rsidR="00015725">
              <w:t xml:space="preserve">programme </w:t>
            </w:r>
            <w:r w:rsidRPr="004D59FC">
              <w:t xml:space="preserve">SDAs with the revised boundaries of the employment services contracts. To aid the multi-provider model, where necessary the revised SDAs should be merged to allow for viable provision by more than one </w:t>
            </w:r>
            <w:r w:rsidR="001B7719">
              <w:t xml:space="preserve">SEE </w:t>
            </w:r>
            <w:r w:rsidRPr="004D59FC">
              <w:t>provider, in accordance with the framework proposed in Recommendation 16</w:t>
            </w:r>
            <w:r>
              <w:t>.</w:t>
            </w:r>
          </w:p>
          <w:p w14:paraId="6A4BBB67" w14:textId="77777777" w:rsidR="004D59FC" w:rsidRDefault="004D59FC" w:rsidP="00E8274A">
            <w:pPr>
              <w:pStyle w:val="SmallDeltasRightAligned"/>
            </w:pPr>
            <w:r>
              <w:rPr>
                <w:noProof/>
                <w:lang w:eastAsia="en-AU"/>
              </w:rPr>
              <w:drawing>
                <wp:inline distT="0" distB="0" distL="0" distR="0" wp14:anchorId="35548F07" wp14:editId="07FFDB09">
                  <wp:extent cx="481585" cy="23469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4D59FC" w14:paraId="5BB1213A" w14:textId="77777777" w:rsidTr="00E8274A">
        <w:trPr>
          <w:trHeight w:hRule="exact" w:val="80"/>
        </w:trPr>
        <w:tc>
          <w:tcPr>
            <w:tcW w:w="5000" w:type="pct"/>
            <w:shd w:val="pct12" w:color="auto" w:fill="auto"/>
          </w:tcPr>
          <w:p w14:paraId="0B47C730" w14:textId="77777777" w:rsidR="004D59FC" w:rsidRDefault="004D59FC">
            <w:pPr>
              <w:spacing w:before="160"/>
            </w:pPr>
            <w:r>
              <w:t xml:space="preserve"> </w:t>
            </w:r>
          </w:p>
        </w:tc>
      </w:tr>
    </w:tbl>
    <w:p w14:paraId="40C502FC" w14:textId="77777777" w:rsidR="00C94F0C" w:rsidRPr="00C94F0C" w:rsidRDefault="00C94F0C" w:rsidP="00C94F0C">
      <w:pPr>
        <w:keepNext/>
        <w:numPr>
          <w:ilvl w:val="2"/>
          <w:numId w:val="20"/>
        </w:numPr>
        <w:spacing w:before="300" w:after="0" w:line="270" w:lineRule="exact"/>
        <w:outlineLvl w:val="2"/>
        <w:rPr>
          <w:rFonts w:asciiTheme="majorHAnsi" w:hAnsiTheme="majorHAnsi"/>
          <w:b/>
          <w:color w:val="9757A6" w:themeColor="text2"/>
          <w:sz w:val="22"/>
          <w:lang w:eastAsia="en-AU"/>
        </w:rPr>
      </w:pPr>
      <w:r w:rsidRPr="00C94F0C">
        <w:rPr>
          <w:rFonts w:asciiTheme="majorHAnsi" w:hAnsiTheme="majorHAnsi"/>
          <w:b/>
          <w:color w:val="9757A6" w:themeColor="text2"/>
          <w:sz w:val="22"/>
          <w:lang w:eastAsia="en-AU"/>
        </w:rPr>
        <w:t>Responding to the challenges of remote delivery</w:t>
      </w:r>
    </w:p>
    <w:p w14:paraId="61104627" w14:textId="77777777" w:rsidR="00C94F0C" w:rsidRPr="00C94F0C" w:rsidRDefault="00C94F0C" w:rsidP="00C94F0C">
      <w:pPr>
        <w:keepNext/>
        <w:numPr>
          <w:ilvl w:val="4"/>
          <w:numId w:val="29"/>
        </w:numPr>
        <w:tabs>
          <w:tab w:val="num" w:pos="360"/>
        </w:tabs>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Recognising the challenges of remote delivery</w:t>
      </w:r>
    </w:p>
    <w:p w14:paraId="48602062" w14:textId="3A4F5FBE" w:rsidR="00C94F0C" w:rsidRPr="00C94F0C" w:rsidRDefault="00C94F0C" w:rsidP="00C94F0C">
      <w:pPr>
        <w:spacing w:line="280" w:lineRule="exact"/>
        <w:rPr>
          <w:sz w:val="22"/>
          <w:szCs w:val="22"/>
          <w:lang w:eastAsia="en-AU"/>
        </w:rPr>
      </w:pPr>
      <w:r w:rsidRPr="00C94F0C">
        <w:rPr>
          <w:sz w:val="22"/>
          <w:szCs w:val="22"/>
          <w:lang w:eastAsia="en-AU"/>
        </w:rPr>
        <w:t xml:space="preserve">In the consultations with stakeholders from remote locations, it is clear that the requirements of SEE </w:t>
      </w:r>
      <w:r w:rsidR="001B7719">
        <w:rPr>
          <w:sz w:val="22"/>
          <w:szCs w:val="22"/>
          <w:lang w:eastAsia="en-AU"/>
        </w:rPr>
        <w:t xml:space="preserve">programme </w:t>
      </w:r>
      <w:r w:rsidRPr="00C94F0C">
        <w:rPr>
          <w:sz w:val="22"/>
          <w:szCs w:val="22"/>
          <w:lang w:eastAsia="en-AU"/>
        </w:rPr>
        <w:t xml:space="preserve">delivery in such regions </w:t>
      </w:r>
      <w:r w:rsidR="00F93B44">
        <w:rPr>
          <w:sz w:val="22"/>
          <w:szCs w:val="22"/>
          <w:lang w:eastAsia="en-AU"/>
        </w:rPr>
        <w:t>are</w:t>
      </w:r>
      <w:r w:rsidR="00F93B44" w:rsidRPr="00C94F0C">
        <w:rPr>
          <w:sz w:val="22"/>
          <w:szCs w:val="22"/>
          <w:lang w:eastAsia="en-AU"/>
        </w:rPr>
        <w:t xml:space="preserve"> </w:t>
      </w:r>
      <w:r w:rsidRPr="00C94F0C">
        <w:rPr>
          <w:sz w:val="22"/>
          <w:szCs w:val="22"/>
          <w:lang w:eastAsia="en-AU"/>
        </w:rPr>
        <w:t xml:space="preserve">substantially different from </w:t>
      </w:r>
      <w:r w:rsidR="00F93B44">
        <w:rPr>
          <w:sz w:val="22"/>
          <w:szCs w:val="22"/>
          <w:lang w:eastAsia="en-AU"/>
        </w:rPr>
        <w:t>those</w:t>
      </w:r>
      <w:r w:rsidR="00F93B44" w:rsidRPr="00C94F0C">
        <w:rPr>
          <w:sz w:val="22"/>
          <w:szCs w:val="22"/>
          <w:lang w:eastAsia="en-AU"/>
        </w:rPr>
        <w:t xml:space="preserve"> </w:t>
      </w:r>
      <w:r w:rsidRPr="00C94F0C">
        <w:rPr>
          <w:sz w:val="22"/>
          <w:szCs w:val="22"/>
          <w:lang w:eastAsia="en-AU"/>
        </w:rPr>
        <w:t>of regional and metropolitan areas</w:t>
      </w:r>
      <w:r w:rsidR="00F93B44">
        <w:rPr>
          <w:sz w:val="22"/>
          <w:szCs w:val="22"/>
          <w:lang w:eastAsia="en-AU"/>
        </w:rPr>
        <w:t>, namely</w:t>
      </w:r>
      <w:r w:rsidRPr="00C94F0C">
        <w:rPr>
          <w:sz w:val="22"/>
          <w:szCs w:val="22"/>
          <w:lang w:eastAsia="en-AU"/>
        </w:rPr>
        <w:t>:</w:t>
      </w:r>
    </w:p>
    <w:p w14:paraId="2AC71DC1" w14:textId="583BCF52" w:rsidR="00C94F0C" w:rsidRPr="00C94F0C" w:rsidRDefault="00C94F0C" w:rsidP="00EA422F">
      <w:pPr>
        <w:pStyle w:val="ListDash"/>
      </w:pPr>
      <w:r w:rsidRPr="00C94F0C">
        <w:t>Differences in the client cohort with the majority of clients in regional areas being of Indigenous background</w:t>
      </w:r>
      <w:r w:rsidR="004F233C">
        <w:t>.</w:t>
      </w:r>
    </w:p>
    <w:p w14:paraId="33CD39E6" w14:textId="098D744E" w:rsidR="00C94F0C" w:rsidRPr="00C94F0C" w:rsidRDefault="00C94F0C" w:rsidP="00EA422F">
      <w:pPr>
        <w:pStyle w:val="ListDash"/>
      </w:pPr>
      <w:r w:rsidRPr="00C94F0C">
        <w:t>Significant challenges in the securing suitably qualified staff</w:t>
      </w:r>
      <w:r w:rsidR="004F233C">
        <w:t>.</w:t>
      </w:r>
    </w:p>
    <w:p w14:paraId="6332FCA7" w14:textId="12B37CF3" w:rsidR="00C94F0C" w:rsidRPr="00C94F0C" w:rsidRDefault="00C94F0C" w:rsidP="00EA422F">
      <w:pPr>
        <w:pStyle w:val="ListDash"/>
      </w:pPr>
      <w:r w:rsidRPr="00C94F0C">
        <w:t>The significant costs associated with remote delivery</w:t>
      </w:r>
      <w:r w:rsidR="004F233C">
        <w:t>.</w:t>
      </w:r>
    </w:p>
    <w:p w14:paraId="3613732D" w14:textId="0ACD3AFD" w:rsidR="00C94F0C" w:rsidRPr="00C94F0C" w:rsidRDefault="00C94F0C" w:rsidP="00EA422F">
      <w:pPr>
        <w:pStyle w:val="ListDash"/>
      </w:pPr>
      <w:r w:rsidRPr="00C94F0C">
        <w:t>The lack of viable levels of demand in many cases</w:t>
      </w:r>
      <w:r w:rsidR="004F233C">
        <w:t>.</w:t>
      </w:r>
    </w:p>
    <w:p w14:paraId="23365D64" w14:textId="4867DA6D" w:rsidR="00C94F0C" w:rsidRPr="00DA2158" w:rsidRDefault="00C94F0C" w:rsidP="00EA422F">
      <w:pPr>
        <w:pStyle w:val="ListDash"/>
      </w:pPr>
      <w:r w:rsidRPr="00C94F0C">
        <w:t>A different set of Referring Agencies, namely Remote Jobs and Communities Programme (</w:t>
      </w:r>
      <w:r w:rsidRPr="00DA2158">
        <w:t>RJCP) providers.</w:t>
      </w:r>
    </w:p>
    <w:p w14:paraId="77A98936" w14:textId="1218CD79" w:rsidR="00C94F0C" w:rsidRPr="00C94F0C" w:rsidRDefault="00C94F0C" w:rsidP="00C94F0C">
      <w:pPr>
        <w:spacing w:line="280" w:lineRule="exact"/>
        <w:rPr>
          <w:sz w:val="22"/>
          <w:szCs w:val="22"/>
          <w:lang w:eastAsia="en-AU"/>
        </w:rPr>
      </w:pPr>
      <w:r w:rsidRPr="00C94F0C">
        <w:rPr>
          <w:sz w:val="22"/>
          <w:szCs w:val="22"/>
          <w:lang w:eastAsia="en-AU"/>
        </w:rPr>
        <w:t xml:space="preserve">As noted in </w:t>
      </w:r>
      <w:r w:rsidR="00173801">
        <w:rPr>
          <w:sz w:val="22"/>
          <w:szCs w:val="22"/>
          <w:lang w:eastAsia="en-AU"/>
        </w:rPr>
        <w:t xml:space="preserve">Section </w:t>
      </w:r>
      <w:r w:rsidR="00173801">
        <w:rPr>
          <w:sz w:val="22"/>
          <w:szCs w:val="22"/>
          <w:lang w:eastAsia="en-AU"/>
        </w:rPr>
        <w:fldChar w:fldCharType="begin"/>
      </w:r>
      <w:r w:rsidR="00173801">
        <w:rPr>
          <w:sz w:val="22"/>
          <w:szCs w:val="22"/>
          <w:lang w:eastAsia="en-AU"/>
        </w:rPr>
        <w:instrText xml:space="preserve"> REF _Ref408771765 \r \h </w:instrText>
      </w:r>
      <w:r w:rsidR="00173801">
        <w:rPr>
          <w:sz w:val="22"/>
          <w:szCs w:val="22"/>
          <w:lang w:eastAsia="en-AU"/>
        </w:rPr>
      </w:r>
      <w:r w:rsidR="00173801">
        <w:rPr>
          <w:sz w:val="22"/>
          <w:szCs w:val="22"/>
          <w:lang w:eastAsia="en-AU"/>
        </w:rPr>
        <w:fldChar w:fldCharType="separate"/>
      </w:r>
      <w:r w:rsidR="00294A5A">
        <w:rPr>
          <w:sz w:val="22"/>
          <w:szCs w:val="22"/>
          <w:lang w:eastAsia="en-AU"/>
        </w:rPr>
        <w:t>4.2.2</w:t>
      </w:r>
      <w:r w:rsidR="00173801">
        <w:rPr>
          <w:sz w:val="22"/>
          <w:szCs w:val="22"/>
          <w:lang w:eastAsia="en-AU"/>
        </w:rPr>
        <w:fldChar w:fldCharType="end"/>
      </w:r>
      <w:r w:rsidR="00173801">
        <w:rPr>
          <w:sz w:val="22"/>
          <w:szCs w:val="22"/>
          <w:lang w:eastAsia="en-AU"/>
        </w:rPr>
        <w:t xml:space="preserve">, </w:t>
      </w:r>
      <w:r w:rsidRPr="00C94F0C">
        <w:rPr>
          <w:sz w:val="22"/>
          <w:szCs w:val="22"/>
          <w:lang w:eastAsia="en-AU"/>
        </w:rPr>
        <w:t xml:space="preserve">around 3 per cent of SEE </w:t>
      </w:r>
      <w:r w:rsidR="001B7719">
        <w:rPr>
          <w:sz w:val="22"/>
          <w:szCs w:val="22"/>
          <w:lang w:eastAsia="en-AU"/>
        </w:rPr>
        <w:t xml:space="preserve">programme </w:t>
      </w:r>
      <w:r w:rsidRPr="00C94F0C">
        <w:rPr>
          <w:sz w:val="22"/>
          <w:szCs w:val="22"/>
          <w:lang w:eastAsia="en-AU"/>
        </w:rPr>
        <w:t xml:space="preserve">commencements take place in remote or very remote Australia. </w:t>
      </w:r>
    </w:p>
    <w:p w14:paraId="3E01CC30" w14:textId="53336EA0" w:rsidR="00C94F0C" w:rsidRPr="00C94F0C" w:rsidRDefault="00C94F0C" w:rsidP="00C94F0C">
      <w:pPr>
        <w:keepNext/>
        <w:numPr>
          <w:ilvl w:val="4"/>
          <w:numId w:val="29"/>
        </w:numPr>
        <w:tabs>
          <w:tab w:val="num" w:pos="360"/>
        </w:tabs>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 xml:space="preserve">The alignment of the </w:t>
      </w:r>
      <w:r w:rsidR="00147674">
        <w:rPr>
          <w:rFonts w:asciiTheme="majorHAnsi" w:hAnsiTheme="majorHAnsi"/>
          <w:b/>
          <w:i/>
          <w:color w:val="9757A6"/>
          <w:sz w:val="20"/>
          <w:szCs w:val="22"/>
          <w:lang w:eastAsia="en-AU"/>
        </w:rPr>
        <w:t>SEE programme</w:t>
      </w:r>
      <w:r w:rsidR="006A28F2">
        <w:rPr>
          <w:rFonts w:asciiTheme="majorHAnsi" w:hAnsiTheme="majorHAnsi"/>
          <w:b/>
          <w:i/>
          <w:color w:val="9757A6"/>
          <w:sz w:val="20"/>
          <w:szCs w:val="22"/>
          <w:lang w:eastAsia="en-AU"/>
        </w:rPr>
        <w:t xml:space="preserve"> </w:t>
      </w:r>
      <w:r w:rsidRPr="00C94F0C">
        <w:rPr>
          <w:rFonts w:asciiTheme="majorHAnsi" w:hAnsiTheme="majorHAnsi"/>
          <w:b/>
          <w:i/>
          <w:color w:val="9757A6"/>
          <w:sz w:val="20"/>
          <w:szCs w:val="22"/>
          <w:lang w:eastAsia="en-AU"/>
        </w:rPr>
        <w:t>and RJCP</w:t>
      </w:r>
    </w:p>
    <w:p w14:paraId="660312BF" w14:textId="2E11DBF3" w:rsidR="00C94F0C" w:rsidRPr="00C94F0C" w:rsidRDefault="00C94F0C" w:rsidP="00C94F0C">
      <w:pPr>
        <w:spacing w:line="280" w:lineRule="exact"/>
        <w:rPr>
          <w:sz w:val="22"/>
          <w:szCs w:val="22"/>
          <w:lang w:eastAsia="en-AU"/>
        </w:rPr>
      </w:pPr>
      <w:r w:rsidRPr="00C94F0C">
        <w:rPr>
          <w:sz w:val="22"/>
          <w:szCs w:val="22"/>
          <w:lang w:eastAsia="en-AU"/>
        </w:rPr>
        <w:t>SEE providers in remote regions</w:t>
      </w:r>
      <w:r w:rsidR="003E1563">
        <w:rPr>
          <w:sz w:val="22"/>
          <w:szCs w:val="22"/>
          <w:lang w:eastAsia="en-AU"/>
        </w:rPr>
        <w:t xml:space="preserve"> </w:t>
      </w:r>
      <w:r w:rsidRPr="00C94F0C">
        <w:rPr>
          <w:sz w:val="22"/>
          <w:szCs w:val="22"/>
          <w:lang w:eastAsia="en-AU"/>
        </w:rPr>
        <w:t>highlight</w:t>
      </w:r>
      <w:r w:rsidR="003E1563">
        <w:rPr>
          <w:sz w:val="22"/>
          <w:szCs w:val="22"/>
          <w:lang w:eastAsia="en-AU"/>
        </w:rPr>
        <w:t>ed</w:t>
      </w:r>
      <w:r w:rsidRPr="00C94F0C">
        <w:rPr>
          <w:sz w:val="22"/>
          <w:szCs w:val="22"/>
          <w:lang w:eastAsia="en-AU"/>
        </w:rPr>
        <w:t xml:space="preserve"> </w:t>
      </w:r>
      <w:r w:rsidR="003E1563">
        <w:rPr>
          <w:sz w:val="22"/>
          <w:szCs w:val="22"/>
          <w:lang w:eastAsia="en-AU"/>
        </w:rPr>
        <w:t>difficulties in establishing</w:t>
      </w:r>
      <w:r w:rsidRPr="00C94F0C">
        <w:rPr>
          <w:sz w:val="22"/>
          <w:szCs w:val="22"/>
          <w:lang w:eastAsia="en-AU"/>
        </w:rPr>
        <w:t xml:space="preserve"> working </w:t>
      </w:r>
      <w:r w:rsidR="003E1563">
        <w:rPr>
          <w:sz w:val="22"/>
          <w:szCs w:val="22"/>
          <w:lang w:eastAsia="en-AU"/>
        </w:rPr>
        <w:t xml:space="preserve">relationships </w:t>
      </w:r>
      <w:r w:rsidRPr="00C94F0C">
        <w:rPr>
          <w:sz w:val="22"/>
          <w:szCs w:val="22"/>
          <w:lang w:eastAsia="en-AU"/>
        </w:rPr>
        <w:t xml:space="preserve">with the </w:t>
      </w:r>
      <w:r w:rsidRPr="00DA2158">
        <w:rPr>
          <w:sz w:val="22"/>
          <w:szCs w:val="22"/>
          <w:lang w:eastAsia="en-AU"/>
        </w:rPr>
        <w:t>RJCP</w:t>
      </w:r>
      <w:r w:rsidR="00871CC6" w:rsidRPr="00DA2158">
        <w:rPr>
          <w:sz w:val="22"/>
          <w:szCs w:val="22"/>
          <w:lang w:eastAsia="en-AU"/>
        </w:rPr>
        <w:t xml:space="preserve"> </w:t>
      </w:r>
      <w:r w:rsidRPr="00DA2158">
        <w:rPr>
          <w:sz w:val="22"/>
          <w:szCs w:val="22"/>
          <w:lang w:eastAsia="en-AU"/>
        </w:rPr>
        <w:t>providers</w:t>
      </w:r>
      <w:r w:rsidRPr="00C94F0C">
        <w:rPr>
          <w:sz w:val="22"/>
          <w:szCs w:val="22"/>
          <w:lang w:eastAsia="en-AU"/>
        </w:rPr>
        <w:t xml:space="preserve"> that have been appointed to support job seekers and employers in 60 remote regions across Australia. In particular</w:t>
      </w:r>
      <w:r w:rsidR="003E1563" w:rsidRPr="00E8274A">
        <w:rPr>
          <w:sz w:val="22"/>
        </w:rPr>
        <w:t xml:space="preserve"> RJCP providers</w:t>
      </w:r>
      <w:r w:rsidRPr="00C94F0C">
        <w:rPr>
          <w:sz w:val="22"/>
          <w:szCs w:val="22"/>
          <w:lang w:eastAsia="en-AU"/>
        </w:rPr>
        <w:t>:</w:t>
      </w:r>
    </w:p>
    <w:p w14:paraId="1EF303E7" w14:textId="6E14C68C" w:rsidR="00C94F0C" w:rsidRPr="00C94F0C" w:rsidRDefault="004F233C" w:rsidP="00EA422F">
      <w:pPr>
        <w:pStyle w:val="ListDash"/>
      </w:pPr>
      <w:r>
        <w:t xml:space="preserve">Have </w:t>
      </w:r>
      <w:r w:rsidR="00C94F0C" w:rsidRPr="00C94F0C">
        <w:t>only been contracted since 2013 and ha</w:t>
      </w:r>
      <w:r w:rsidR="003E1563">
        <w:t>ve</w:t>
      </w:r>
      <w:r w:rsidR="00C94F0C" w:rsidRPr="00C94F0C">
        <w:t xml:space="preserve"> been focused on establish</w:t>
      </w:r>
      <w:r w:rsidR="003E1563">
        <w:t xml:space="preserve">ing a broader range of other </w:t>
      </w:r>
      <w:r w:rsidR="00956392">
        <w:t>programmes</w:t>
      </w:r>
      <w:r w:rsidR="00C94F0C" w:rsidRPr="00C94F0C">
        <w:t xml:space="preserve"> in </w:t>
      </w:r>
      <w:r w:rsidR="003E1563">
        <w:t xml:space="preserve">their </w:t>
      </w:r>
      <w:r w:rsidR="00C94F0C" w:rsidRPr="00C94F0C">
        <w:t>remote areas</w:t>
      </w:r>
      <w:r>
        <w:t>.</w:t>
      </w:r>
    </w:p>
    <w:p w14:paraId="6BE97893" w14:textId="034D4CA5" w:rsidR="00C94F0C" w:rsidRPr="00C94F0C" w:rsidRDefault="004F233C" w:rsidP="00EA422F">
      <w:pPr>
        <w:pStyle w:val="ListDash"/>
      </w:pPr>
      <w:r>
        <w:t xml:space="preserve">Have </w:t>
      </w:r>
      <w:r w:rsidR="003E1563">
        <w:t>had l</w:t>
      </w:r>
      <w:r w:rsidR="00C94F0C" w:rsidRPr="00C94F0C">
        <w:t>ow levels of awareness and understand</w:t>
      </w:r>
      <w:r w:rsidR="003E1563">
        <w:t>ing</w:t>
      </w:r>
      <w:r w:rsidR="00C94F0C" w:rsidRPr="00C94F0C">
        <w:t xml:space="preserve"> of </w:t>
      </w:r>
      <w:r w:rsidR="001B7719">
        <w:t xml:space="preserve">the </w:t>
      </w:r>
      <w:r w:rsidR="003E1563">
        <w:t>SEE</w:t>
      </w:r>
      <w:r w:rsidR="001B7719">
        <w:t xml:space="preserve"> programme</w:t>
      </w:r>
      <w:r w:rsidR="003E1563">
        <w:t xml:space="preserve">, </w:t>
      </w:r>
      <w:r w:rsidR="00C94F0C" w:rsidRPr="00C94F0C">
        <w:t xml:space="preserve">consistent with the broader feedback provided on Referring Agencies, as discussed in Section </w:t>
      </w:r>
      <w:r w:rsidR="00C94F0C" w:rsidRPr="00C94F0C">
        <w:fldChar w:fldCharType="begin"/>
      </w:r>
      <w:r w:rsidR="00C94F0C" w:rsidRPr="00C94F0C">
        <w:instrText xml:space="preserve"> REF _Ref408569760 \r \h </w:instrText>
      </w:r>
      <w:r w:rsidR="00C94F0C" w:rsidRPr="00C94F0C">
        <w:fldChar w:fldCharType="separate"/>
      </w:r>
      <w:r w:rsidR="00294A5A">
        <w:t>7.1.3</w:t>
      </w:r>
      <w:r w:rsidR="00C94F0C" w:rsidRPr="00C94F0C">
        <w:fldChar w:fldCharType="end"/>
      </w:r>
      <w:r>
        <w:t>.</w:t>
      </w:r>
      <w:r w:rsidR="00C94F0C" w:rsidRPr="00C94F0C">
        <w:t xml:space="preserve"> </w:t>
      </w:r>
    </w:p>
    <w:p w14:paraId="76C3A06D" w14:textId="7E2FD31D" w:rsidR="00C94F0C" w:rsidRPr="00C94F0C" w:rsidRDefault="004F233C" w:rsidP="00EA422F">
      <w:pPr>
        <w:pStyle w:val="ListDash"/>
      </w:pPr>
      <w:r>
        <w:t>D</w:t>
      </w:r>
      <w:r w:rsidR="00D1081D">
        <w:t>o not have</w:t>
      </w:r>
      <w:r w:rsidR="00C94F0C" w:rsidRPr="00C94F0C">
        <w:t xml:space="preserve"> </w:t>
      </w:r>
      <w:r w:rsidR="003E1563">
        <w:t xml:space="preserve">explicit </w:t>
      </w:r>
      <w:r w:rsidR="00C94F0C" w:rsidRPr="00C94F0C">
        <w:t xml:space="preserve">incentives to refer to the </w:t>
      </w:r>
      <w:r w:rsidR="00147674">
        <w:t>SEE programme</w:t>
      </w:r>
      <w:r w:rsidR="00AA5E17">
        <w:t xml:space="preserve"> (like all referring agencies)</w:t>
      </w:r>
      <w:r w:rsidR="00C94F0C" w:rsidRPr="00C94F0C">
        <w:t xml:space="preserve">, consistent with the discussion in Section </w:t>
      </w:r>
      <w:r w:rsidR="00C94F0C" w:rsidRPr="00C94F0C">
        <w:fldChar w:fldCharType="begin"/>
      </w:r>
      <w:r w:rsidR="00C94F0C" w:rsidRPr="00C94F0C">
        <w:instrText xml:space="preserve"> REF _Ref408569760 \r \h </w:instrText>
      </w:r>
      <w:r w:rsidR="00C94F0C" w:rsidRPr="00C94F0C">
        <w:fldChar w:fldCharType="separate"/>
      </w:r>
      <w:r w:rsidR="00294A5A">
        <w:t>7.1.3</w:t>
      </w:r>
      <w:r w:rsidR="00C94F0C" w:rsidRPr="00C94F0C">
        <w:fldChar w:fldCharType="end"/>
      </w:r>
      <w:r w:rsidR="00C94F0C" w:rsidRPr="00C94F0C">
        <w:t xml:space="preserve">. </w:t>
      </w:r>
    </w:p>
    <w:p w14:paraId="49EE6DB5" w14:textId="77777777" w:rsidR="00C94F0C" w:rsidRPr="00C94F0C" w:rsidRDefault="00C94F0C" w:rsidP="00C94F0C">
      <w:pPr>
        <w:spacing w:before="60" w:after="60" w:line="220" w:lineRule="exact"/>
        <w:ind w:left="567" w:right="567"/>
        <w:rPr>
          <w:sz w:val="18"/>
          <w:szCs w:val="22"/>
          <w:lang w:eastAsia="en-AU"/>
        </w:rPr>
      </w:pPr>
      <w:r w:rsidRPr="00C94F0C">
        <w:rPr>
          <w:sz w:val="18"/>
          <w:szCs w:val="22"/>
          <w:lang w:eastAsia="en-AU"/>
        </w:rPr>
        <w:t>In areas where SEE providers have been working to deliver the programme to Indigenous job seekers receiving services under the Remote Jobs and Communities Program (RJCP), providers report that long delays occurred while RJCP, itself a new approach to service delivery, was being established. This has had various negative results on the capacity of providers to deliver SEE as effectively as planned at the outset of this contract period. In particular, providers have reported poor flows of referrals to the programme, even though the evidence indicates that there are considerable numbers of job seekers in RJCP who need, and have the capacity to benefit from, the training SEE provides.</w:t>
      </w:r>
    </w:p>
    <w:p w14:paraId="5AF3992F" w14:textId="77777777" w:rsidR="00C94F0C" w:rsidRPr="00C94F0C" w:rsidRDefault="00C94F0C" w:rsidP="00C94F0C">
      <w:pPr>
        <w:spacing w:before="60" w:after="60" w:line="220" w:lineRule="exact"/>
        <w:ind w:left="567" w:right="567"/>
        <w:jc w:val="right"/>
        <w:rPr>
          <w:i/>
          <w:sz w:val="18"/>
          <w:szCs w:val="22"/>
          <w:lang w:eastAsia="en-AU"/>
        </w:rPr>
      </w:pPr>
      <w:r w:rsidRPr="00C94F0C">
        <w:rPr>
          <w:i/>
          <w:sz w:val="18"/>
          <w:szCs w:val="22"/>
          <w:lang w:eastAsia="en-AU"/>
        </w:rPr>
        <w:t>– Jobs Australia submission</w:t>
      </w:r>
    </w:p>
    <w:p w14:paraId="4E489782" w14:textId="029D8FFA" w:rsidR="00C94F0C" w:rsidRPr="00C94F0C" w:rsidRDefault="00C94F0C" w:rsidP="00C94F0C">
      <w:pPr>
        <w:spacing w:line="280" w:lineRule="exact"/>
        <w:rPr>
          <w:sz w:val="22"/>
          <w:szCs w:val="22"/>
          <w:lang w:eastAsia="en-AU"/>
        </w:rPr>
      </w:pPr>
      <w:r w:rsidRPr="00C94F0C">
        <w:rPr>
          <w:sz w:val="22"/>
          <w:szCs w:val="22"/>
          <w:lang w:eastAsia="en-AU"/>
        </w:rPr>
        <w:t xml:space="preserve">Given that the RJCP was established specifically to provide a streamlined employment-servicing arrangement through a single, local point of contact, it would appear that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does not have the benefit of being a part of this streamlined arrangement. As a result, the </w:t>
      </w:r>
      <w:r w:rsidR="00147674">
        <w:rPr>
          <w:sz w:val="22"/>
          <w:szCs w:val="22"/>
          <w:lang w:eastAsia="en-AU"/>
        </w:rPr>
        <w:t>SEE programme</w:t>
      </w:r>
      <w:r w:rsidR="006A28F2">
        <w:rPr>
          <w:sz w:val="22"/>
          <w:szCs w:val="22"/>
          <w:lang w:eastAsia="en-AU"/>
        </w:rPr>
        <w:t xml:space="preserve"> </w:t>
      </w:r>
      <w:r w:rsidR="003E1563">
        <w:rPr>
          <w:sz w:val="22"/>
          <w:szCs w:val="22"/>
          <w:lang w:eastAsia="en-AU"/>
        </w:rPr>
        <w:t>may</w:t>
      </w:r>
      <w:r w:rsidR="003E1563" w:rsidRPr="00C94F0C">
        <w:rPr>
          <w:sz w:val="22"/>
          <w:szCs w:val="22"/>
          <w:lang w:eastAsia="en-AU"/>
        </w:rPr>
        <w:t xml:space="preserve"> </w:t>
      </w:r>
      <w:r w:rsidRPr="00C94F0C">
        <w:rPr>
          <w:sz w:val="22"/>
          <w:szCs w:val="22"/>
          <w:lang w:eastAsia="en-AU"/>
        </w:rPr>
        <w:t xml:space="preserve">also </w:t>
      </w:r>
      <w:r w:rsidR="003E1563">
        <w:rPr>
          <w:sz w:val="22"/>
          <w:szCs w:val="22"/>
          <w:lang w:eastAsia="en-AU"/>
        </w:rPr>
        <w:t xml:space="preserve">be </w:t>
      </w:r>
      <w:r w:rsidRPr="00C94F0C">
        <w:rPr>
          <w:sz w:val="22"/>
          <w:szCs w:val="22"/>
          <w:lang w:eastAsia="en-AU"/>
        </w:rPr>
        <w:t xml:space="preserve">isolated </w:t>
      </w:r>
      <w:r w:rsidR="003E1563">
        <w:rPr>
          <w:sz w:val="22"/>
          <w:szCs w:val="22"/>
          <w:lang w:eastAsia="en-AU"/>
        </w:rPr>
        <w:t xml:space="preserve">within </w:t>
      </w:r>
      <w:r w:rsidRPr="00C94F0C">
        <w:rPr>
          <w:sz w:val="22"/>
          <w:szCs w:val="22"/>
          <w:lang w:eastAsia="en-AU"/>
        </w:rPr>
        <w:t>the range of other programmes offered through RJCP providers including the Remote Youth Leadership and Development Corps, Community Development Employment Projects, Community Action Plans, and the Community Development Fund.</w:t>
      </w:r>
    </w:p>
    <w:p w14:paraId="51E94498" w14:textId="71A9102E" w:rsidR="00C94F0C" w:rsidRPr="00C94F0C" w:rsidRDefault="00C94F0C" w:rsidP="00C94F0C">
      <w:pPr>
        <w:spacing w:line="280" w:lineRule="exact"/>
        <w:rPr>
          <w:sz w:val="22"/>
          <w:szCs w:val="22"/>
          <w:lang w:eastAsia="en-AU"/>
        </w:rPr>
      </w:pPr>
      <w:r w:rsidRPr="00C94F0C">
        <w:rPr>
          <w:sz w:val="22"/>
          <w:szCs w:val="22"/>
          <w:lang w:eastAsia="en-AU"/>
        </w:rPr>
        <w:t xml:space="preserve">In addition, the </w:t>
      </w:r>
      <w:r w:rsidR="00147674">
        <w:rPr>
          <w:sz w:val="22"/>
          <w:szCs w:val="22"/>
          <w:lang w:eastAsia="en-AU"/>
        </w:rPr>
        <w:t>SEE programme</w:t>
      </w:r>
      <w:r w:rsidR="006A28F2">
        <w:rPr>
          <w:sz w:val="22"/>
          <w:szCs w:val="22"/>
          <w:lang w:eastAsia="en-AU"/>
        </w:rPr>
        <w:t xml:space="preserve"> </w:t>
      </w:r>
      <w:r w:rsidRPr="00C94F0C">
        <w:rPr>
          <w:sz w:val="22"/>
          <w:szCs w:val="22"/>
          <w:lang w:eastAsia="en-AU"/>
        </w:rPr>
        <w:t xml:space="preserve">may duplicate the function of the Participation Account administered by RJCP providers, which allows them to purchase assistance – including building foundation skills such as literacy and numeracy, work habits and basic life skills –according to the needs of individuals, communities and local employers. Such assistance </w:t>
      </w:r>
      <w:r w:rsidR="00D1081D">
        <w:rPr>
          <w:sz w:val="22"/>
          <w:szCs w:val="22"/>
          <w:lang w:eastAsia="en-AU"/>
        </w:rPr>
        <w:t>is</w:t>
      </w:r>
      <w:r w:rsidR="00D1081D" w:rsidRPr="00C94F0C">
        <w:rPr>
          <w:sz w:val="22"/>
          <w:szCs w:val="22"/>
          <w:lang w:eastAsia="en-AU"/>
        </w:rPr>
        <w:t xml:space="preserve"> </w:t>
      </w:r>
      <w:r w:rsidRPr="00C94F0C">
        <w:rPr>
          <w:sz w:val="22"/>
          <w:szCs w:val="22"/>
          <w:lang w:eastAsia="en-AU"/>
        </w:rPr>
        <w:t>based on commercial agreements between RJCP providers a</w:t>
      </w:r>
      <w:r w:rsidR="00D1081D">
        <w:rPr>
          <w:sz w:val="22"/>
          <w:szCs w:val="22"/>
          <w:lang w:eastAsia="en-AU"/>
        </w:rPr>
        <w:t>nd</w:t>
      </w:r>
      <w:r w:rsidRPr="00C94F0C">
        <w:rPr>
          <w:sz w:val="22"/>
          <w:szCs w:val="22"/>
          <w:lang w:eastAsia="en-AU"/>
        </w:rPr>
        <w:t xml:space="preserve"> suitable external organisations in their regions.</w:t>
      </w:r>
    </w:p>
    <w:p w14:paraId="7CF96A69" w14:textId="606899CC" w:rsidR="00C94F0C" w:rsidRPr="00C94F0C" w:rsidRDefault="00C94F0C" w:rsidP="00C94F0C">
      <w:pPr>
        <w:spacing w:line="280" w:lineRule="exact"/>
        <w:rPr>
          <w:sz w:val="22"/>
          <w:szCs w:val="22"/>
          <w:lang w:eastAsia="en-AU"/>
        </w:rPr>
      </w:pPr>
      <w:r w:rsidRPr="00C94F0C">
        <w:rPr>
          <w:sz w:val="22"/>
          <w:szCs w:val="22"/>
          <w:lang w:eastAsia="en-AU"/>
        </w:rPr>
        <w:t xml:space="preserve">It appears that the rationale for introducing the RJCP and RJCP providers would also apply to the design and delivery of </w:t>
      </w:r>
      <w:r w:rsidR="001B7719">
        <w:rPr>
          <w:sz w:val="22"/>
          <w:szCs w:val="22"/>
          <w:lang w:eastAsia="en-AU"/>
        </w:rPr>
        <w:t xml:space="preserve">the </w:t>
      </w:r>
      <w:r w:rsidRPr="00C94F0C">
        <w:rPr>
          <w:sz w:val="22"/>
          <w:szCs w:val="22"/>
          <w:lang w:eastAsia="en-AU"/>
        </w:rPr>
        <w:t xml:space="preserve">SEE </w:t>
      </w:r>
      <w:r w:rsidR="001B7719">
        <w:rPr>
          <w:sz w:val="22"/>
          <w:szCs w:val="22"/>
          <w:lang w:eastAsia="en-AU"/>
        </w:rPr>
        <w:t xml:space="preserve">programme </w:t>
      </w:r>
      <w:r w:rsidRPr="00C94F0C">
        <w:rPr>
          <w:sz w:val="22"/>
          <w:szCs w:val="22"/>
          <w:lang w:eastAsia="en-AU"/>
        </w:rPr>
        <w:t>in remote areas. Arguments that led to the RJCP model include the need for simple and flexible employment and participation services, greater responsiveness to the needs of local communities and employers, improved engagement through a permanent presence in remote areas, and greater community ownership</w:t>
      </w:r>
      <w:r w:rsidR="00CC2D40">
        <w:rPr>
          <w:sz w:val="22"/>
          <w:szCs w:val="22"/>
          <w:lang w:eastAsia="en-AU"/>
        </w:rPr>
        <w:t xml:space="preserve"> </w:t>
      </w:r>
      <w:sdt>
        <w:sdtPr>
          <w:rPr>
            <w:sz w:val="22"/>
            <w:szCs w:val="22"/>
            <w:lang w:eastAsia="en-AU"/>
          </w:rPr>
          <w:id w:val="-1107190089"/>
          <w:citation/>
        </w:sdtPr>
        <w:sdtEndPr/>
        <w:sdtContent>
          <w:r w:rsidR="00CC2D40">
            <w:rPr>
              <w:sz w:val="22"/>
              <w:szCs w:val="22"/>
              <w:lang w:eastAsia="en-AU"/>
            </w:rPr>
            <w:fldChar w:fldCharType="begin"/>
          </w:r>
          <w:r w:rsidR="00CC2D40">
            <w:rPr>
              <w:sz w:val="22"/>
              <w:szCs w:val="22"/>
              <w:lang w:eastAsia="en-AU"/>
            </w:rPr>
            <w:instrText xml:space="preserve"> CITATION Aus139 \l 3081 </w:instrText>
          </w:r>
          <w:r w:rsidR="00CC2D40">
            <w:rPr>
              <w:sz w:val="22"/>
              <w:szCs w:val="22"/>
              <w:lang w:eastAsia="en-AU"/>
            </w:rPr>
            <w:fldChar w:fldCharType="separate"/>
          </w:r>
          <w:r w:rsidR="00B66B50" w:rsidRPr="00B66B50">
            <w:rPr>
              <w:noProof/>
              <w:sz w:val="22"/>
              <w:szCs w:val="22"/>
              <w:lang w:eastAsia="en-AU"/>
            </w:rPr>
            <w:t>(Australian Government, 2013)</w:t>
          </w:r>
          <w:r w:rsidR="00CC2D40">
            <w:rPr>
              <w:sz w:val="22"/>
              <w:szCs w:val="22"/>
              <w:lang w:eastAsia="en-AU"/>
            </w:rPr>
            <w:fldChar w:fldCharType="end"/>
          </w:r>
        </w:sdtContent>
      </w:sdt>
      <w:r w:rsidRPr="00C94F0C">
        <w:rPr>
          <w:sz w:val="22"/>
          <w:szCs w:val="22"/>
          <w:lang w:eastAsia="en-AU"/>
        </w:rPr>
        <w:t>.</w:t>
      </w:r>
    </w:p>
    <w:p w14:paraId="07742D44" w14:textId="77777777" w:rsidR="00C94F0C" w:rsidRPr="00C94F0C" w:rsidRDefault="00C94F0C" w:rsidP="00C94F0C">
      <w:pPr>
        <w:keepNext/>
        <w:numPr>
          <w:ilvl w:val="4"/>
          <w:numId w:val="29"/>
        </w:numPr>
        <w:tabs>
          <w:tab w:val="num" w:pos="360"/>
        </w:tabs>
        <w:spacing w:before="300" w:after="20" w:line="280" w:lineRule="exact"/>
        <w:outlineLvl w:val="4"/>
        <w:rPr>
          <w:rFonts w:asciiTheme="majorHAnsi" w:hAnsiTheme="majorHAnsi"/>
          <w:b/>
          <w:i/>
          <w:color w:val="9757A6"/>
          <w:sz w:val="20"/>
          <w:szCs w:val="22"/>
          <w:lang w:eastAsia="en-AU"/>
        </w:rPr>
      </w:pPr>
      <w:r w:rsidRPr="00C94F0C">
        <w:rPr>
          <w:rFonts w:asciiTheme="majorHAnsi" w:hAnsiTheme="majorHAnsi"/>
          <w:b/>
          <w:i/>
          <w:color w:val="9757A6"/>
          <w:sz w:val="20"/>
          <w:szCs w:val="22"/>
          <w:lang w:eastAsia="en-AU"/>
        </w:rPr>
        <w:t>Revisiting the model for SEE remote delivery</w:t>
      </w:r>
    </w:p>
    <w:p w14:paraId="0EF94B92" w14:textId="73FD7C8F" w:rsidR="00C94F0C" w:rsidRPr="00C94F0C" w:rsidRDefault="00C94F0C" w:rsidP="00C94F0C">
      <w:pPr>
        <w:spacing w:line="280" w:lineRule="exact"/>
        <w:rPr>
          <w:sz w:val="22"/>
          <w:szCs w:val="22"/>
          <w:lang w:eastAsia="en-AU"/>
        </w:rPr>
      </w:pPr>
      <w:r w:rsidRPr="00C94F0C">
        <w:rPr>
          <w:sz w:val="22"/>
          <w:szCs w:val="22"/>
          <w:lang w:eastAsia="en-AU"/>
        </w:rPr>
        <w:t xml:space="preserve">As a result of the feedback from the </w:t>
      </w:r>
      <w:r w:rsidRPr="00C94F0C">
        <w:rPr>
          <w:i/>
          <w:sz w:val="22"/>
          <w:szCs w:val="22"/>
          <w:lang w:eastAsia="en-AU"/>
        </w:rPr>
        <w:t xml:space="preserve">Creating a more flexible LLNP in 2013-16 </w:t>
      </w:r>
      <w:r w:rsidRPr="00C94F0C">
        <w:rPr>
          <w:sz w:val="22"/>
          <w:szCs w:val="22"/>
          <w:lang w:eastAsia="en-AU"/>
        </w:rPr>
        <w:t xml:space="preserve">discussion paper process, the Department considered changes to the </w:t>
      </w:r>
      <w:r w:rsidR="001B7719">
        <w:rPr>
          <w:sz w:val="22"/>
          <w:szCs w:val="22"/>
          <w:lang w:eastAsia="en-AU"/>
        </w:rPr>
        <w:t xml:space="preserve">SEE </w:t>
      </w:r>
      <w:r w:rsidRPr="00C94F0C">
        <w:rPr>
          <w:sz w:val="22"/>
          <w:szCs w:val="22"/>
          <w:lang w:eastAsia="en-AU"/>
        </w:rPr>
        <w:t xml:space="preserve">programme and at the time concluded that </w:t>
      </w:r>
      <w:r w:rsidR="001B7719">
        <w:rPr>
          <w:sz w:val="22"/>
          <w:szCs w:val="22"/>
          <w:lang w:eastAsia="en-AU"/>
        </w:rPr>
        <w:t>these</w:t>
      </w:r>
      <w:r w:rsidRPr="00C94F0C">
        <w:rPr>
          <w:sz w:val="22"/>
          <w:szCs w:val="22"/>
          <w:lang w:eastAsia="en-AU"/>
        </w:rPr>
        <w:t xml:space="preserve"> would largely address many of the remote issues that have been raised in the past. It would appear that in fact many of these issues remain and relate primarily to the alignment between the </w:t>
      </w:r>
      <w:r w:rsidR="00147674">
        <w:rPr>
          <w:sz w:val="22"/>
          <w:szCs w:val="22"/>
          <w:lang w:eastAsia="en-AU"/>
        </w:rPr>
        <w:t>SEE programme</w:t>
      </w:r>
      <w:r w:rsidR="006A28F2">
        <w:rPr>
          <w:sz w:val="22"/>
          <w:szCs w:val="22"/>
          <w:lang w:eastAsia="en-AU"/>
        </w:rPr>
        <w:t xml:space="preserve"> </w:t>
      </w:r>
      <w:r w:rsidRPr="00C94F0C">
        <w:rPr>
          <w:sz w:val="22"/>
          <w:szCs w:val="22"/>
          <w:lang w:eastAsia="en-AU"/>
        </w:rPr>
        <w:t>and RJCP.</w:t>
      </w:r>
    </w:p>
    <w:p w14:paraId="59D1F6FF" w14:textId="03FF1B6A" w:rsidR="00C94F0C" w:rsidRPr="00C94F0C" w:rsidRDefault="00C94F0C">
      <w:pPr>
        <w:spacing w:line="280" w:lineRule="exact"/>
        <w:rPr>
          <w:sz w:val="22"/>
          <w:szCs w:val="22"/>
          <w:lang w:eastAsia="en-AU"/>
        </w:rPr>
      </w:pPr>
      <w:r w:rsidRPr="00C94F0C">
        <w:rPr>
          <w:sz w:val="22"/>
          <w:szCs w:val="22"/>
          <w:lang w:eastAsia="en-AU"/>
        </w:rPr>
        <w:t>Significant changes to the approach to remote delivery are unlikely to be possible in the current contract period</w:t>
      </w:r>
      <w:r w:rsidR="00137CAC">
        <w:rPr>
          <w:sz w:val="22"/>
          <w:szCs w:val="22"/>
          <w:lang w:eastAsia="en-AU"/>
        </w:rPr>
        <w:t>.</w:t>
      </w:r>
      <w:r w:rsidRPr="00C94F0C">
        <w:rPr>
          <w:sz w:val="22"/>
          <w:szCs w:val="22"/>
          <w:lang w:eastAsia="en-AU"/>
        </w:rPr>
        <w:t xml:space="preserve"> </w:t>
      </w:r>
      <w:r w:rsidR="00137CAC">
        <w:rPr>
          <w:sz w:val="22"/>
          <w:szCs w:val="22"/>
          <w:lang w:eastAsia="en-AU"/>
        </w:rPr>
        <w:t>I</w:t>
      </w:r>
      <w:r w:rsidRPr="00C94F0C">
        <w:rPr>
          <w:sz w:val="22"/>
          <w:szCs w:val="22"/>
          <w:lang w:eastAsia="en-AU"/>
        </w:rPr>
        <w:t xml:space="preserve">n advance of the next contract period, the </w:t>
      </w:r>
      <w:r w:rsidR="00147674">
        <w:rPr>
          <w:sz w:val="22"/>
          <w:szCs w:val="22"/>
          <w:lang w:eastAsia="en-AU"/>
        </w:rPr>
        <w:t>SEE programme</w:t>
      </w:r>
      <w:r w:rsidR="006A28F2">
        <w:rPr>
          <w:sz w:val="22"/>
          <w:szCs w:val="22"/>
          <w:lang w:eastAsia="en-AU"/>
        </w:rPr>
        <w:t xml:space="preserve"> </w:t>
      </w:r>
      <w:r w:rsidRPr="00C94F0C">
        <w:rPr>
          <w:sz w:val="22"/>
          <w:szCs w:val="22"/>
          <w:lang w:eastAsia="en-AU"/>
        </w:rPr>
        <w:t>should revisit the current model for remote delivery</w:t>
      </w:r>
      <w:r w:rsidR="003E1563">
        <w:rPr>
          <w:sz w:val="22"/>
          <w:szCs w:val="22"/>
          <w:lang w:eastAsia="en-AU"/>
        </w:rPr>
        <w:t>, first to</w:t>
      </w:r>
      <w:r w:rsidRPr="00C94F0C">
        <w:rPr>
          <w:sz w:val="22"/>
          <w:szCs w:val="22"/>
          <w:lang w:eastAsia="en-AU"/>
        </w:rPr>
        <w:t xml:space="preserve"> determine whether the LLN needs of eligible job</w:t>
      </w:r>
      <w:r w:rsidR="00871CC6">
        <w:rPr>
          <w:sz w:val="22"/>
          <w:szCs w:val="22"/>
          <w:lang w:eastAsia="en-AU"/>
        </w:rPr>
        <w:t xml:space="preserve"> </w:t>
      </w:r>
      <w:r w:rsidRPr="00C94F0C">
        <w:rPr>
          <w:sz w:val="22"/>
          <w:szCs w:val="22"/>
          <w:lang w:eastAsia="en-AU"/>
        </w:rPr>
        <w:t xml:space="preserve">seekers in remote regions </w:t>
      </w:r>
      <w:r w:rsidR="003E1563">
        <w:rPr>
          <w:sz w:val="22"/>
          <w:szCs w:val="22"/>
          <w:lang w:eastAsia="en-AU"/>
        </w:rPr>
        <w:t>will</w:t>
      </w:r>
      <w:r w:rsidRPr="00C94F0C">
        <w:rPr>
          <w:sz w:val="22"/>
          <w:szCs w:val="22"/>
          <w:lang w:eastAsia="en-AU"/>
        </w:rPr>
        <w:t xml:space="preserve"> be adequately met by the training secured by RJCP providers through their Participation Accounts. </w:t>
      </w:r>
      <w:r w:rsidR="00F72C7F">
        <w:rPr>
          <w:sz w:val="22"/>
          <w:szCs w:val="22"/>
          <w:lang w:eastAsia="en-AU"/>
        </w:rPr>
        <w:t>While recently</w:t>
      </w:r>
      <w:r w:rsidR="00F72C7F" w:rsidRPr="00F72C7F">
        <w:rPr>
          <w:sz w:val="22"/>
          <w:szCs w:val="22"/>
          <w:lang w:eastAsia="en-AU"/>
        </w:rPr>
        <w:t xml:space="preserve"> </w:t>
      </w:r>
      <w:r w:rsidR="00F72C7F">
        <w:rPr>
          <w:sz w:val="22"/>
          <w:szCs w:val="22"/>
          <w:lang w:eastAsia="en-AU"/>
        </w:rPr>
        <w:t>the size of Participation Accounts has been reduced, if LLN needs can be me</w:t>
      </w:r>
      <w:r w:rsidR="0065045B">
        <w:rPr>
          <w:sz w:val="22"/>
          <w:szCs w:val="22"/>
          <w:lang w:eastAsia="en-AU"/>
        </w:rPr>
        <w:t>et</w:t>
      </w:r>
      <w:r w:rsidR="00F72C7F">
        <w:rPr>
          <w:sz w:val="22"/>
          <w:szCs w:val="22"/>
          <w:lang w:eastAsia="en-AU"/>
        </w:rPr>
        <w:t xml:space="preserve"> through the Participation Accounts </w:t>
      </w:r>
      <w:r w:rsidRPr="00C94F0C">
        <w:rPr>
          <w:sz w:val="22"/>
          <w:szCs w:val="22"/>
          <w:lang w:eastAsia="en-AU"/>
        </w:rPr>
        <w:t xml:space="preserve">there would be no need for </w:t>
      </w:r>
      <w:r w:rsidR="001B7719">
        <w:rPr>
          <w:sz w:val="22"/>
          <w:szCs w:val="22"/>
          <w:lang w:eastAsia="en-AU"/>
        </w:rPr>
        <w:t xml:space="preserve">the </w:t>
      </w:r>
      <w:r w:rsidRPr="00C94F0C">
        <w:rPr>
          <w:sz w:val="22"/>
          <w:szCs w:val="22"/>
          <w:lang w:eastAsia="en-AU"/>
        </w:rPr>
        <w:t xml:space="preserve">SEE </w:t>
      </w:r>
      <w:r w:rsidR="001B7719">
        <w:rPr>
          <w:sz w:val="22"/>
          <w:szCs w:val="22"/>
          <w:lang w:eastAsia="en-AU"/>
        </w:rPr>
        <w:t xml:space="preserve">programme </w:t>
      </w:r>
      <w:r w:rsidR="0065045B">
        <w:rPr>
          <w:sz w:val="22"/>
          <w:szCs w:val="22"/>
          <w:lang w:eastAsia="en-AU"/>
        </w:rPr>
        <w:t xml:space="preserve">to provide </w:t>
      </w:r>
      <w:r w:rsidRPr="00C94F0C">
        <w:rPr>
          <w:sz w:val="22"/>
          <w:szCs w:val="22"/>
          <w:lang w:eastAsia="en-AU"/>
        </w:rPr>
        <w:t>duplicate</w:t>
      </w:r>
      <w:r w:rsidR="0065045B">
        <w:rPr>
          <w:sz w:val="22"/>
          <w:szCs w:val="22"/>
          <w:lang w:eastAsia="en-AU"/>
        </w:rPr>
        <w:t xml:space="preserve"> services</w:t>
      </w:r>
      <w:r w:rsidRPr="00C94F0C">
        <w:rPr>
          <w:sz w:val="22"/>
          <w:szCs w:val="22"/>
          <w:lang w:eastAsia="en-AU"/>
        </w:rPr>
        <w:t xml:space="preserve"> in remote locations.</w:t>
      </w:r>
    </w:p>
    <w:p w14:paraId="66FD846D" w14:textId="2A91B34B" w:rsidR="00C94F0C" w:rsidRPr="00C94F0C" w:rsidRDefault="00C94F0C" w:rsidP="00C94F0C">
      <w:pPr>
        <w:spacing w:line="280" w:lineRule="exact"/>
        <w:rPr>
          <w:sz w:val="22"/>
          <w:szCs w:val="22"/>
          <w:lang w:eastAsia="en-AU"/>
        </w:rPr>
      </w:pPr>
      <w:r w:rsidRPr="00C94F0C">
        <w:rPr>
          <w:sz w:val="22"/>
          <w:szCs w:val="22"/>
          <w:lang w:eastAsia="en-AU"/>
        </w:rPr>
        <w:t xml:space="preserve">If however, this is not the case, then the model of delivery </w:t>
      </w:r>
      <w:r w:rsidR="003E1563">
        <w:rPr>
          <w:sz w:val="22"/>
          <w:szCs w:val="22"/>
          <w:lang w:eastAsia="en-AU"/>
        </w:rPr>
        <w:t>should</w:t>
      </w:r>
      <w:r w:rsidRPr="00C94F0C">
        <w:rPr>
          <w:sz w:val="22"/>
          <w:szCs w:val="22"/>
          <w:lang w:eastAsia="en-AU"/>
        </w:rPr>
        <w:t xml:space="preserve"> be examined, specifically </w:t>
      </w:r>
      <w:r w:rsidR="003E1563">
        <w:rPr>
          <w:sz w:val="22"/>
          <w:szCs w:val="22"/>
          <w:lang w:eastAsia="en-AU"/>
        </w:rPr>
        <w:t xml:space="preserve">regarding </w:t>
      </w:r>
      <w:r w:rsidRPr="00C94F0C">
        <w:rPr>
          <w:sz w:val="22"/>
          <w:szCs w:val="22"/>
          <w:lang w:eastAsia="en-AU"/>
        </w:rPr>
        <w:t>whether remote service delivery for SEE</w:t>
      </w:r>
      <w:r w:rsidR="001B7719">
        <w:rPr>
          <w:sz w:val="22"/>
          <w:szCs w:val="22"/>
          <w:lang w:eastAsia="en-AU"/>
        </w:rPr>
        <w:t xml:space="preserve"> </w:t>
      </w:r>
      <w:r w:rsidR="00276A03">
        <w:rPr>
          <w:sz w:val="22"/>
          <w:szCs w:val="22"/>
          <w:lang w:eastAsia="en-AU"/>
        </w:rPr>
        <w:t xml:space="preserve">programme </w:t>
      </w:r>
      <w:r w:rsidR="001B7719">
        <w:rPr>
          <w:sz w:val="22"/>
          <w:szCs w:val="22"/>
          <w:lang w:eastAsia="en-AU"/>
        </w:rPr>
        <w:t>clients</w:t>
      </w:r>
      <w:r w:rsidRPr="00C94F0C">
        <w:rPr>
          <w:sz w:val="22"/>
          <w:szCs w:val="22"/>
          <w:lang w:eastAsia="en-AU"/>
        </w:rPr>
        <w:t xml:space="preserve"> requires a different approach and funding model in order to be sustainable. Possible alternative approaches could include:</w:t>
      </w:r>
    </w:p>
    <w:p w14:paraId="26CE4A1A" w14:textId="4F0B2A74" w:rsidR="00C94F0C" w:rsidRPr="00C94F0C" w:rsidRDefault="00C94F0C" w:rsidP="00EA422F">
      <w:pPr>
        <w:pStyle w:val="ListDash"/>
      </w:pPr>
      <w:r w:rsidRPr="00C94F0C">
        <w:t xml:space="preserve">Allocation of the notional budget to the local RJCP provider in a remote region to procure SEE </w:t>
      </w:r>
      <w:r w:rsidR="001B7719">
        <w:t xml:space="preserve">programme </w:t>
      </w:r>
      <w:r w:rsidRPr="00C94F0C">
        <w:t>training locally on an as needed basis</w:t>
      </w:r>
      <w:r w:rsidR="004F233C">
        <w:t>.</w:t>
      </w:r>
    </w:p>
    <w:p w14:paraId="52FD8EA0" w14:textId="77777777" w:rsidR="00C94F0C" w:rsidRPr="00C94F0C" w:rsidRDefault="00C94F0C" w:rsidP="00EA422F">
      <w:pPr>
        <w:pStyle w:val="ListDash"/>
      </w:pPr>
      <w:r w:rsidRPr="00C94F0C">
        <w:t>Changes to the programme design and funding model for remote regions to allow for a wider variety of potentially viable delivery models, for example:</w:t>
      </w:r>
    </w:p>
    <w:p w14:paraId="64557F64" w14:textId="3E40EDB0" w:rsidR="00C94F0C" w:rsidRPr="00C94F0C" w:rsidRDefault="005279C0" w:rsidP="00EA422F">
      <w:pPr>
        <w:pStyle w:val="ListDash2"/>
      </w:pPr>
      <w:r>
        <w:t>a</w:t>
      </w:r>
      <w:r w:rsidR="00C94F0C" w:rsidRPr="00C94F0C">
        <w:t>llowing for short intensive delivery in 100 hour blocks</w:t>
      </w:r>
    </w:p>
    <w:p w14:paraId="3F05156A" w14:textId="5BEB51E0" w:rsidR="00C94F0C" w:rsidRPr="00C94F0C" w:rsidRDefault="005279C0" w:rsidP="00EA422F">
      <w:pPr>
        <w:pStyle w:val="ListDash2"/>
      </w:pPr>
      <w:r>
        <w:t>a</w:t>
      </w:r>
      <w:r w:rsidR="00C94F0C" w:rsidRPr="00C94F0C">
        <w:t xml:space="preserve">dditional funding streams for the high establishment and fixed costs associated with remote delivery </w:t>
      </w:r>
    </w:p>
    <w:p w14:paraId="4113678A" w14:textId="6DB0EF84" w:rsidR="00C94F0C" w:rsidRPr="00C94F0C" w:rsidRDefault="005279C0" w:rsidP="00EA422F">
      <w:pPr>
        <w:pStyle w:val="ListDash2"/>
      </w:pPr>
      <w:r>
        <w:t>f</w:t>
      </w:r>
      <w:r w:rsidR="00C94F0C" w:rsidRPr="00C94F0C">
        <w:t>unding for classes rather than hours attended to account for the lack of viable scale and volatility in demand.</w:t>
      </w:r>
    </w:p>
    <w:p w14:paraId="2077DF6B" w14:textId="1AD43E31" w:rsidR="00C94F0C" w:rsidRPr="00C94F0C" w:rsidRDefault="00C94F0C" w:rsidP="00EA422F">
      <w:pPr>
        <w:pStyle w:val="ListDash"/>
      </w:pPr>
      <w:r w:rsidRPr="00C94F0C">
        <w:t>The ability to apply or adopt different funding and operational models based on the local needs and provider availability and capability</w:t>
      </w:r>
      <w:r w:rsidR="005279C0">
        <w:t>.</w:t>
      </w:r>
    </w:p>
    <w:p w14:paraId="196131EB" w14:textId="4807265C" w:rsidR="00C94F0C" w:rsidRPr="00111B4A" w:rsidRDefault="00C94F0C" w:rsidP="004746E5">
      <w:pPr>
        <w:pStyle w:val="ListDash"/>
        <w:rPr>
          <w:i/>
          <w:sz w:val="18"/>
        </w:rPr>
      </w:pPr>
      <w:r w:rsidRPr="00C94F0C">
        <w:t xml:space="preserve">A robust framework for identifying those regions where </w:t>
      </w:r>
      <w:r w:rsidR="001B7719">
        <w:t xml:space="preserve">delivery of the </w:t>
      </w:r>
      <w:r w:rsidRPr="00C94F0C">
        <w:t xml:space="preserve">SEE </w:t>
      </w:r>
      <w:r w:rsidR="001B7719">
        <w:t xml:space="preserve">programme </w:t>
      </w:r>
      <w:r w:rsidRPr="00C94F0C">
        <w:t>is potentially not viable would therefore necessarily be not available.</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C94F0C" w:rsidRPr="00C94F0C" w14:paraId="56A847AD" w14:textId="77777777" w:rsidTr="00EA422F">
        <w:tc>
          <w:tcPr>
            <w:tcW w:w="5000" w:type="pct"/>
            <w:shd w:val="pct12" w:color="auto" w:fill="auto"/>
          </w:tcPr>
          <w:p w14:paraId="40C4BD8B" w14:textId="2C8DD20B" w:rsidR="00C94F0C" w:rsidRPr="00C94F0C" w:rsidRDefault="00C94F0C" w:rsidP="00C94F0C">
            <w:pPr>
              <w:keepNext/>
              <w:spacing w:after="60"/>
              <w:ind w:left="1112" w:hanging="1112"/>
              <w:outlineLvl w:val="8"/>
              <w:rPr>
                <w:rFonts w:ascii="Arial Bold" w:hAnsi="Arial Bold" w:cs="Arial"/>
                <w:color w:val="000080"/>
                <w:sz w:val="20"/>
              </w:rPr>
            </w:pPr>
            <w:r w:rsidRPr="00C94F0C">
              <w:rPr>
                <w:rFonts w:asciiTheme="majorHAnsi" w:hAnsiTheme="majorHAnsi" w:cs="Arial"/>
                <w:sz w:val="20"/>
              </w:rPr>
              <w:t xml:space="preserve">Recommendation </w:t>
            </w:r>
            <w:r w:rsidRPr="00C94F0C">
              <w:rPr>
                <w:rFonts w:asciiTheme="majorHAnsi" w:hAnsiTheme="majorHAnsi" w:cs="Arial"/>
                <w:sz w:val="20"/>
              </w:rPr>
              <w:fldChar w:fldCharType="begin"/>
            </w:r>
            <w:r w:rsidRPr="00C94F0C">
              <w:rPr>
                <w:rFonts w:asciiTheme="majorHAnsi" w:hAnsiTheme="majorHAnsi" w:cs="Arial"/>
                <w:sz w:val="20"/>
              </w:rPr>
              <w:instrText xml:space="preserve"> SEQ Recommendation \* ARABIC </w:instrText>
            </w:r>
            <w:r w:rsidRPr="00C94F0C">
              <w:rPr>
                <w:rFonts w:asciiTheme="majorHAnsi" w:hAnsiTheme="majorHAnsi" w:cs="Arial"/>
                <w:sz w:val="20"/>
              </w:rPr>
              <w:fldChar w:fldCharType="separate"/>
            </w:r>
            <w:r w:rsidR="00294A5A">
              <w:rPr>
                <w:rFonts w:asciiTheme="majorHAnsi" w:hAnsiTheme="majorHAnsi" w:cs="Arial"/>
                <w:noProof/>
                <w:sz w:val="20"/>
              </w:rPr>
              <w:t>18</w:t>
            </w:r>
            <w:r w:rsidRPr="00C94F0C">
              <w:rPr>
                <w:rFonts w:asciiTheme="majorHAnsi" w:hAnsiTheme="majorHAnsi" w:cs="Arial"/>
                <w:noProof/>
                <w:sz w:val="20"/>
              </w:rPr>
              <w:fldChar w:fldCharType="end"/>
            </w:r>
          </w:p>
        </w:tc>
      </w:tr>
      <w:tr w:rsidR="00C94F0C" w:rsidRPr="00C94F0C" w14:paraId="01CED4FC" w14:textId="77777777" w:rsidTr="00EA422F">
        <w:tc>
          <w:tcPr>
            <w:tcW w:w="5000" w:type="pct"/>
            <w:shd w:val="pct12" w:color="auto" w:fill="auto"/>
          </w:tcPr>
          <w:p w14:paraId="61497D22" w14:textId="011C0A80" w:rsidR="00C94F0C" w:rsidRPr="00C94F0C" w:rsidRDefault="00015725" w:rsidP="00163BA3">
            <w:pPr>
              <w:pStyle w:val="BoxText"/>
            </w:pPr>
            <w:r w:rsidRPr="00015725">
              <w:t>The model for remote SEE programme delivery should be reviewed ahead of the next contract period to ascertain if the LLN needs of eligible job seekers in remote regions are being met by the training secured by RJCP providers through their Participation Accounts, or whether the model of SEE programme delivery needs to consider alternative approaches, including the allocation of the notional budget to the local RJCP provider in a remote region to be responsible for the procurement of LLN training locally on an as needed basis.</w:t>
            </w:r>
          </w:p>
          <w:p w14:paraId="5B525D36" w14:textId="3A3F79BF" w:rsidR="00C94F0C" w:rsidRPr="00C94F0C" w:rsidRDefault="00C94F0C" w:rsidP="00C94F0C">
            <w:pPr>
              <w:spacing w:before="0" w:after="0" w:line="240" w:lineRule="auto"/>
              <w:ind w:left="113"/>
              <w:jc w:val="right"/>
            </w:pPr>
            <w:r w:rsidRPr="00C94F0C">
              <w:rPr>
                <w:noProof/>
                <w:lang w:eastAsia="en-AU"/>
              </w:rPr>
              <w:drawing>
                <wp:inline distT="0" distB="0" distL="0" distR="0" wp14:anchorId="3A272BF8" wp14:editId="0BCE8B55">
                  <wp:extent cx="481585" cy="234696"/>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C94F0C" w:rsidRPr="00C94F0C" w14:paraId="4476C109" w14:textId="77777777" w:rsidTr="00EA422F">
        <w:trPr>
          <w:trHeight w:hRule="exact" w:val="80"/>
        </w:trPr>
        <w:tc>
          <w:tcPr>
            <w:tcW w:w="5000" w:type="pct"/>
            <w:shd w:val="pct12" w:color="auto" w:fill="auto"/>
          </w:tcPr>
          <w:p w14:paraId="76CD7E64" w14:textId="77777777" w:rsidR="00C94F0C" w:rsidRPr="00C94F0C" w:rsidRDefault="00C94F0C" w:rsidP="00C94F0C">
            <w:pPr>
              <w:spacing w:before="160"/>
            </w:pPr>
            <w:r w:rsidRPr="00C94F0C">
              <w:t xml:space="preserve"> </w:t>
            </w:r>
          </w:p>
        </w:tc>
      </w:tr>
    </w:tbl>
    <w:p w14:paraId="1AD846AC" w14:textId="77777777" w:rsidR="00C94F0C" w:rsidRPr="00C94F0C" w:rsidRDefault="00C94F0C" w:rsidP="00C94F0C">
      <w:pPr>
        <w:spacing w:line="280" w:lineRule="exact"/>
        <w:rPr>
          <w:sz w:val="22"/>
          <w:szCs w:val="22"/>
          <w:lang w:eastAsia="en-AU"/>
        </w:rPr>
      </w:pPr>
    </w:p>
    <w:p w14:paraId="270C00A3" w14:textId="78A3AADD" w:rsidR="00F47DC2" w:rsidRDefault="00F47DC2" w:rsidP="00004B40">
      <w:pPr>
        <w:spacing w:line="280" w:lineRule="exact"/>
      </w:pPr>
    </w:p>
    <w:p w14:paraId="0A9B775D" w14:textId="77777777" w:rsidR="00A8047F" w:rsidRDefault="00A8047F" w:rsidP="00A8047F">
      <w:pPr>
        <w:pStyle w:val="BodyText"/>
      </w:pPr>
    </w:p>
    <w:p w14:paraId="093ED1FA" w14:textId="77777777" w:rsidR="00A8047F" w:rsidRDefault="00A8047F" w:rsidP="00A8047F">
      <w:pPr>
        <w:pStyle w:val="Heading1"/>
        <w:numPr>
          <w:ilvl w:val="0"/>
          <w:numId w:val="0"/>
        </w:numPr>
        <w:ind w:left="902" w:hanging="902"/>
      </w:pPr>
      <w:bookmarkStart w:id="169" w:name="_Toc420065459"/>
      <w:r>
        <w:t>References</w:t>
      </w:r>
      <w:bookmarkEnd w:id="169"/>
    </w:p>
    <w:p w14:paraId="28B7D4BD" w14:textId="77777777" w:rsidR="000F0067" w:rsidRDefault="000F0067" w:rsidP="00994AED">
      <w:pPr>
        <w:pStyle w:val="BodyText"/>
      </w:pPr>
    </w:p>
    <w:p w14:paraId="0306CBB0" w14:textId="77777777" w:rsidR="00B66B50" w:rsidRDefault="000F0067" w:rsidP="00B66B50">
      <w:pPr>
        <w:pStyle w:val="Bibliography"/>
        <w:ind w:left="720" w:hanging="720"/>
        <w:rPr>
          <w:noProof/>
          <w:sz w:val="24"/>
          <w:szCs w:val="24"/>
        </w:rPr>
      </w:pPr>
      <w:r>
        <w:rPr>
          <w:noProof/>
        </w:rPr>
        <w:fldChar w:fldCharType="begin"/>
      </w:r>
      <w:r>
        <w:rPr>
          <w:noProof/>
        </w:rPr>
        <w:instrText xml:space="preserve"> BIBLIOGRAPHY  \l 3081 </w:instrText>
      </w:r>
      <w:r>
        <w:rPr>
          <w:noProof/>
        </w:rPr>
        <w:fldChar w:fldCharType="separate"/>
      </w:r>
      <w:r w:rsidR="00B66B50">
        <w:rPr>
          <w:noProof/>
        </w:rPr>
        <w:t xml:space="preserve">ASQA. (2014, November 5). </w:t>
      </w:r>
      <w:r w:rsidR="00B66B50">
        <w:rPr>
          <w:i/>
          <w:iCs/>
          <w:noProof/>
        </w:rPr>
        <w:t>ASQA, Fact sheet: ASQA audits (2013)</w:t>
      </w:r>
      <w:r w:rsidR="00B66B50">
        <w:rPr>
          <w:noProof/>
        </w:rPr>
        <w:t>. Retrieved from Australian Skills Quality Authority: http://www.asqa.gov.au/news-and-publications/publications/fact-sheets/fact-sheets.html</w:t>
      </w:r>
    </w:p>
    <w:p w14:paraId="36C0D0C4" w14:textId="77777777" w:rsidR="00B66B50" w:rsidRDefault="00B66B50" w:rsidP="00B66B50">
      <w:pPr>
        <w:pStyle w:val="Bibliography"/>
        <w:ind w:left="720" w:hanging="720"/>
        <w:rPr>
          <w:noProof/>
        </w:rPr>
      </w:pPr>
      <w:r>
        <w:rPr>
          <w:noProof/>
        </w:rPr>
        <w:t xml:space="preserve">Australian Government. (2013, July). </w:t>
      </w:r>
      <w:r>
        <w:rPr>
          <w:i/>
          <w:iCs/>
          <w:noProof/>
        </w:rPr>
        <w:t>Remote Jobs and Communities Program: Frequently Asked Questions</w:t>
      </w:r>
      <w:r>
        <w:rPr>
          <w:noProof/>
        </w:rPr>
        <w:t>. Retrieved from Remote Jobs and Communities Program: https://docs.employment.gov.au/system/files/doc/other/rjcp_general_faq_1.pdf</w:t>
      </w:r>
    </w:p>
    <w:p w14:paraId="1E15C108" w14:textId="77777777" w:rsidR="00B66B50" w:rsidRDefault="00B66B50" w:rsidP="00B66B50">
      <w:pPr>
        <w:pStyle w:val="Bibliography"/>
        <w:ind w:left="720" w:hanging="720"/>
        <w:rPr>
          <w:noProof/>
        </w:rPr>
      </w:pPr>
      <w:r>
        <w:rPr>
          <w:noProof/>
        </w:rPr>
        <w:t xml:space="preserve">Australian Government. (2013). </w:t>
      </w:r>
      <w:r>
        <w:rPr>
          <w:i/>
          <w:iCs/>
          <w:noProof/>
        </w:rPr>
        <w:t>Skills for Education and Employment (SEE): 2013-2016: SEE Online IV User Guide.</w:t>
      </w:r>
      <w:r>
        <w:rPr>
          <w:noProof/>
        </w:rPr>
        <w:t xml:space="preserve"> </w:t>
      </w:r>
    </w:p>
    <w:p w14:paraId="439B0182" w14:textId="77777777" w:rsidR="00B66B50" w:rsidRDefault="00B66B50" w:rsidP="00B66B50">
      <w:pPr>
        <w:pStyle w:val="Bibliography"/>
        <w:ind w:left="720" w:hanging="720"/>
        <w:rPr>
          <w:noProof/>
        </w:rPr>
      </w:pPr>
      <w:r>
        <w:rPr>
          <w:noProof/>
        </w:rPr>
        <w:t xml:space="preserve">Department of Industry. (2013). </w:t>
      </w:r>
      <w:r>
        <w:rPr>
          <w:i/>
          <w:iCs/>
          <w:noProof/>
        </w:rPr>
        <w:t>Deed of Standing Offer for the Provision of Services, Version 1.0.</w:t>
      </w:r>
      <w:r>
        <w:rPr>
          <w:noProof/>
        </w:rPr>
        <w:t xml:space="preserve"> Commonwealth of Australia.</w:t>
      </w:r>
    </w:p>
    <w:p w14:paraId="2C95BB82" w14:textId="77777777" w:rsidR="00B66B50" w:rsidRDefault="00B66B50" w:rsidP="00B66B50">
      <w:pPr>
        <w:pStyle w:val="Bibliography"/>
        <w:ind w:left="720" w:hanging="720"/>
        <w:rPr>
          <w:noProof/>
        </w:rPr>
      </w:pPr>
      <w:r>
        <w:rPr>
          <w:noProof/>
        </w:rPr>
        <w:t xml:space="preserve">Department of Industry. (2013). SEE Annual Report. </w:t>
      </w:r>
      <w:r>
        <w:rPr>
          <w:i/>
          <w:iCs/>
          <w:noProof/>
        </w:rPr>
        <w:t>Data Collection Excel Spreadsheet</w:t>
      </w:r>
      <w:r>
        <w:rPr>
          <w:noProof/>
        </w:rPr>
        <w:t>.</w:t>
      </w:r>
    </w:p>
    <w:p w14:paraId="0747378E" w14:textId="77777777" w:rsidR="00B66B50" w:rsidRDefault="00B66B50" w:rsidP="00B66B50">
      <w:pPr>
        <w:pStyle w:val="Bibliography"/>
        <w:ind w:left="720" w:hanging="720"/>
        <w:rPr>
          <w:noProof/>
        </w:rPr>
      </w:pPr>
      <w:r>
        <w:rPr>
          <w:noProof/>
        </w:rPr>
        <w:t xml:space="preserve">Department of Industry. (2013). </w:t>
      </w:r>
      <w:r>
        <w:rPr>
          <w:i/>
          <w:iCs/>
          <w:noProof/>
        </w:rPr>
        <w:t>Skills for Education and Employment (SEE) Program Guidelines 2013-16 Version 1.</w:t>
      </w:r>
      <w:r>
        <w:rPr>
          <w:noProof/>
        </w:rPr>
        <w:t xml:space="preserve"> </w:t>
      </w:r>
    </w:p>
    <w:p w14:paraId="522B0772" w14:textId="77777777" w:rsidR="00B66B50" w:rsidRDefault="00B66B50" w:rsidP="00B66B50">
      <w:pPr>
        <w:pStyle w:val="Bibliography"/>
        <w:ind w:left="720" w:hanging="720"/>
        <w:rPr>
          <w:noProof/>
        </w:rPr>
      </w:pPr>
      <w:r>
        <w:rPr>
          <w:noProof/>
        </w:rPr>
        <w:t xml:space="preserve">Department of Industry. (2013). </w:t>
      </w:r>
      <w:r>
        <w:rPr>
          <w:i/>
          <w:iCs/>
          <w:noProof/>
        </w:rPr>
        <w:t>Skills for Education and Employment (SEE): 2013-2016, Instructions for SEE Service Providers.</w:t>
      </w:r>
      <w:r>
        <w:rPr>
          <w:noProof/>
        </w:rPr>
        <w:t xml:space="preserve"> </w:t>
      </w:r>
    </w:p>
    <w:p w14:paraId="66F98611" w14:textId="77777777" w:rsidR="00B66B50" w:rsidRDefault="00B66B50" w:rsidP="00B66B50">
      <w:pPr>
        <w:pStyle w:val="Bibliography"/>
        <w:ind w:left="720" w:hanging="720"/>
        <w:rPr>
          <w:noProof/>
        </w:rPr>
      </w:pPr>
      <w:r>
        <w:rPr>
          <w:noProof/>
        </w:rPr>
        <w:t xml:space="preserve">Department of Industry. (2014). General Services and Distance/ E-Learning Annual Report Templates. </w:t>
      </w:r>
      <w:r>
        <w:rPr>
          <w:i/>
          <w:iCs/>
          <w:noProof/>
        </w:rPr>
        <w:t>AMEP</w:t>
      </w:r>
      <w:r>
        <w:rPr>
          <w:noProof/>
        </w:rPr>
        <w:t>.</w:t>
      </w:r>
    </w:p>
    <w:p w14:paraId="0D9938F5" w14:textId="77777777" w:rsidR="00B66B50" w:rsidRDefault="00B66B50" w:rsidP="00B66B50">
      <w:pPr>
        <w:pStyle w:val="Bibliography"/>
        <w:ind w:left="720" w:hanging="720"/>
        <w:rPr>
          <w:noProof/>
        </w:rPr>
      </w:pPr>
      <w:r>
        <w:rPr>
          <w:noProof/>
        </w:rPr>
        <w:t xml:space="preserve">Department of Industry. (2014). General Services and Distance/ E-Learning Half Yearly Report Templates. </w:t>
      </w:r>
      <w:r>
        <w:rPr>
          <w:i/>
          <w:iCs/>
          <w:noProof/>
        </w:rPr>
        <w:t>AMEP</w:t>
      </w:r>
      <w:r>
        <w:rPr>
          <w:noProof/>
        </w:rPr>
        <w:t>.</w:t>
      </w:r>
    </w:p>
    <w:p w14:paraId="4A2ACF5E" w14:textId="77777777" w:rsidR="00B66B50" w:rsidRDefault="00B66B50" w:rsidP="00B66B50">
      <w:pPr>
        <w:pStyle w:val="Bibliography"/>
        <w:ind w:left="720" w:hanging="720"/>
        <w:rPr>
          <w:noProof/>
        </w:rPr>
      </w:pPr>
      <w:r>
        <w:rPr>
          <w:noProof/>
        </w:rPr>
        <w:t xml:space="preserve">Department of Industry. (2014). General Services and Distance/ E-Learning Quarterly Report Templates. </w:t>
      </w:r>
      <w:r>
        <w:rPr>
          <w:i/>
          <w:iCs/>
          <w:noProof/>
        </w:rPr>
        <w:t>AMEP</w:t>
      </w:r>
      <w:r>
        <w:rPr>
          <w:noProof/>
        </w:rPr>
        <w:t>.</w:t>
      </w:r>
    </w:p>
    <w:p w14:paraId="6762241C" w14:textId="77777777" w:rsidR="00B66B50" w:rsidRDefault="00B66B50" w:rsidP="00B66B50">
      <w:pPr>
        <w:pStyle w:val="Bibliography"/>
        <w:ind w:left="720" w:hanging="720"/>
        <w:rPr>
          <w:noProof/>
        </w:rPr>
      </w:pPr>
      <w:r>
        <w:rPr>
          <w:noProof/>
        </w:rPr>
        <w:t xml:space="preserve">Department of Industry. (2014). </w:t>
      </w:r>
      <w:r>
        <w:rPr>
          <w:i/>
          <w:iCs/>
          <w:noProof/>
        </w:rPr>
        <w:t>History, features and objectives: History of the programme</w:t>
      </w:r>
      <w:r>
        <w:rPr>
          <w:noProof/>
        </w:rPr>
        <w:t>. Retrieved from http://www.industry.gov.au/skills/ProgrammesandAssistance/SEE/Pages/Overview.aspx</w:t>
      </w:r>
    </w:p>
    <w:p w14:paraId="3B1033A5" w14:textId="77777777" w:rsidR="00B66B50" w:rsidRDefault="00B66B50" w:rsidP="00B66B50">
      <w:pPr>
        <w:pStyle w:val="Bibliography"/>
        <w:ind w:left="720" w:hanging="720"/>
        <w:rPr>
          <w:noProof/>
        </w:rPr>
      </w:pPr>
      <w:r>
        <w:rPr>
          <w:noProof/>
        </w:rPr>
        <w:t xml:space="preserve">Department of Industry. (2014). </w:t>
      </w:r>
      <w:r>
        <w:rPr>
          <w:i/>
          <w:iCs/>
          <w:noProof/>
        </w:rPr>
        <w:t>SEE Contract Management Monthly Report July 2014-15.</w:t>
      </w:r>
      <w:r>
        <w:rPr>
          <w:noProof/>
        </w:rPr>
        <w:t xml:space="preserve"> </w:t>
      </w:r>
    </w:p>
    <w:p w14:paraId="779A02E0" w14:textId="77777777" w:rsidR="00B66B50" w:rsidRDefault="00B66B50" w:rsidP="00B66B50">
      <w:pPr>
        <w:pStyle w:val="Bibliography"/>
        <w:ind w:left="720" w:hanging="720"/>
        <w:rPr>
          <w:noProof/>
        </w:rPr>
      </w:pPr>
      <w:r>
        <w:rPr>
          <w:noProof/>
        </w:rPr>
        <w:t xml:space="preserve">Department of Industry. (2014, December 7). </w:t>
      </w:r>
      <w:r>
        <w:rPr>
          <w:i/>
          <w:iCs/>
          <w:noProof/>
        </w:rPr>
        <w:t>Summary of Eligibility Criteria 2013-16</w:t>
      </w:r>
      <w:r>
        <w:rPr>
          <w:noProof/>
        </w:rPr>
        <w:t>. Retrieved from Department of Industry: http://www.industry.gov.au/skills/ProgrammesandAssistance/SEE/Pages/Summary-of-Eligibility-Criteria-2013-16.aspx</w:t>
      </w:r>
    </w:p>
    <w:p w14:paraId="6A6D4595" w14:textId="77777777" w:rsidR="00B66B50" w:rsidRDefault="00B66B50" w:rsidP="00B66B50">
      <w:pPr>
        <w:pStyle w:val="Bibliography"/>
        <w:ind w:left="720" w:hanging="720"/>
        <w:rPr>
          <w:noProof/>
        </w:rPr>
      </w:pPr>
      <w:r>
        <w:rPr>
          <w:noProof/>
        </w:rPr>
        <w:t xml:space="preserve">DIAC. (n.d.). </w:t>
      </w:r>
      <w:r>
        <w:rPr>
          <w:i/>
          <w:iCs/>
          <w:noProof/>
        </w:rPr>
        <w:t>Contract Between the Commonwealth of Australia and in relation to Services for the provision of the Adult Migrant English Program and related services in Region.</w:t>
      </w:r>
      <w:r>
        <w:rPr>
          <w:noProof/>
        </w:rPr>
        <w:t xml:space="preserve"> Australian Government.</w:t>
      </w:r>
    </w:p>
    <w:p w14:paraId="7D1348DB" w14:textId="77777777" w:rsidR="00B66B50" w:rsidRDefault="00B66B50" w:rsidP="00B66B50">
      <w:pPr>
        <w:pStyle w:val="Bibliography"/>
        <w:ind w:left="720" w:hanging="720"/>
        <w:rPr>
          <w:noProof/>
        </w:rPr>
      </w:pPr>
      <w:r>
        <w:rPr>
          <w:noProof/>
        </w:rPr>
        <w:t xml:space="preserve">DPMC. (2014). </w:t>
      </w:r>
      <w:r>
        <w:rPr>
          <w:i/>
          <w:iCs/>
          <w:noProof/>
        </w:rPr>
        <w:t>Roles and responsibilities in education, Part B: Vocational.</w:t>
      </w:r>
      <w:r>
        <w:rPr>
          <w:noProof/>
        </w:rPr>
        <w:t xml:space="preserve"> Department of Prime Minister and Cabinet.</w:t>
      </w:r>
    </w:p>
    <w:p w14:paraId="67DEF0B1" w14:textId="77777777" w:rsidR="00B66B50" w:rsidRDefault="00B66B50" w:rsidP="00B66B50">
      <w:pPr>
        <w:pStyle w:val="Bibliography"/>
        <w:ind w:left="720" w:hanging="720"/>
        <w:rPr>
          <w:noProof/>
        </w:rPr>
      </w:pPr>
      <w:r>
        <w:rPr>
          <w:noProof/>
        </w:rPr>
        <w:t xml:space="preserve">NEAS. (2011). </w:t>
      </w:r>
      <w:r>
        <w:rPr>
          <w:i/>
          <w:iCs/>
          <w:noProof/>
        </w:rPr>
        <w:t>NEAS AMEP Manual, Version 2011 11.</w:t>
      </w:r>
      <w:r>
        <w:rPr>
          <w:noProof/>
        </w:rPr>
        <w:t xml:space="preserve"> </w:t>
      </w:r>
    </w:p>
    <w:p w14:paraId="6EC4AF4F" w14:textId="77777777" w:rsidR="00B66B50" w:rsidRDefault="00B66B50" w:rsidP="00B66B50">
      <w:pPr>
        <w:pStyle w:val="Bibliography"/>
        <w:ind w:left="720" w:hanging="720"/>
        <w:rPr>
          <w:noProof/>
        </w:rPr>
      </w:pPr>
      <w:r>
        <w:rPr>
          <w:noProof/>
        </w:rPr>
        <w:t xml:space="preserve">NEAS. (2015, January). </w:t>
      </w:r>
      <w:r>
        <w:rPr>
          <w:i/>
          <w:iCs/>
          <w:noProof/>
        </w:rPr>
        <w:t>NEAS</w:t>
      </w:r>
      <w:r>
        <w:rPr>
          <w:noProof/>
        </w:rPr>
        <w:t>. Retrieved from AMEP Assessment Task Bank: http://www.neas.org.au/amep-pages/atb/</w:t>
      </w:r>
    </w:p>
    <w:p w14:paraId="62AD4DA9" w14:textId="7C02E88B" w:rsidR="007D4D5D" w:rsidRDefault="000F0067" w:rsidP="00B66B50">
      <w:pPr>
        <w:pStyle w:val="Bibliography"/>
        <w:ind w:left="720" w:hanging="720"/>
        <w:rPr>
          <w:noProof/>
        </w:rPr>
      </w:pPr>
      <w:r>
        <w:rPr>
          <w:noProof/>
        </w:rPr>
        <w:fldChar w:fldCharType="end"/>
      </w:r>
      <w:r w:rsidR="007D4D5D">
        <w:rPr>
          <w:noProof/>
        </w:rPr>
        <w:t>National Institute of Adult Continuing Education. (2011). Work, society and lifelong literacy: report of the inquiry into adult literacy in England. London.</w:t>
      </w:r>
    </w:p>
    <w:p w14:paraId="2D8929AF" w14:textId="77777777" w:rsidR="007D4D5D" w:rsidRDefault="007D4D5D" w:rsidP="007D4D5D">
      <w:pPr>
        <w:pStyle w:val="Bibliography"/>
        <w:ind w:left="720" w:hanging="720"/>
        <w:rPr>
          <w:noProof/>
        </w:rPr>
      </w:pPr>
      <w:r>
        <w:rPr>
          <w:noProof/>
        </w:rPr>
        <w:t>OECD. (2013). OECD Skills Outlook 2013: First Results from the Survey of Adult Skills, Paris: OECD Publishing.</w:t>
      </w:r>
    </w:p>
    <w:p w14:paraId="0210D786" w14:textId="77777777" w:rsidR="007D4D5D" w:rsidRDefault="007D4D5D" w:rsidP="007D4D5D">
      <w:pPr>
        <w:pStyle w:val="Bibliography"/>
        <w:ind w:left="720" w:hanging="720"/>
        <w:rPr>
          <w:noProof/>
        </w:rPr>
      </w:pPr>
      <w:r>
        <w:rPr>
          <w:noProof/>
        </w:rPr>
        <w:t>Reder, S. (2013). "Lifelong and life-wide adult literacy development." Perspectives on Language and Literacy, 39(2), 18-21.</w:t>
      </w:r>
    </w:p>
    <w:p w14:paraId="5B28E4F4" w14:textId="77777777" w:rsidR="007D4D5D" w:rsidRDefault="007D4D5D" w:rsidP="007D4D5D">
      <w:pPr>
        <w:pStyle w:val="Bibliography"/>
        <w:ind w:left="720" w:hanging="720"/>
        <w:rPr>
          <w:noProof/>
        </w:rPr>
      </w:pPr>
      <w:r>
        <w:rPr>
          <w:noProof/>
        </w:rPr>
        <w:t>Vorhaus, J., Litster, J., Frearson, M., and Johnson, S. (2011). Review of research and evaluation on improving adult literacy and numeracy skills. Institute of Education, London.</w:t>
      </w:r>
    </w:p>
    <w:p w14:paraId="4AE4441A" w14:textId="77777777" w:rsidR="007D4D5D" w:rsidRDefault="007D4D5D" w:rsidP="007D4D5D">
      <w:pPr>
        <w:pStyle w:val="Bibliography"/>
        <w:ind w:left="720" w:hanging="720"/>
        <w:rPr>
          <w:noProof/>
        </w:rPr>
      </w:pPr>
      <w:r>
        <w:rPr>
          <w:noProof/>
        </w:rPr>
        <w:t>Vorhaus, J., Rhys Warner, J., Appleby, Y., Bathmaker, A., Brooks, G., Cole, P., Pilling, M., and Pearce, L. (2008). The Learner Study: the impact of the Skills for Life strategy on adult literacy, language and numeracy learners. National Research and Development Centre for adult literacy and numeracy, London.</w:t>
      </w:r>
    </w:p>
    <w:p w14:paraId="2F692C02" w14:textId="41D8F3DB" w:rsidR="000F0067" w:rsidRDefault="000F0067">
      <w:pPr>
        <w:pStyle w:val="BodyText"/>
      </w:pPr>
    </w:p>
    <w:sectPr w:rsidR="000F0067" w:rsidSect="00A8047F">
      <w:headerReference w:type="even" r:id="rId67"/>
      <w:headerReference w:type="default" r:id="rId68"/>
      <w:footerReference w:type="default" r:id="rId69"/>
      <w:headerReference w:type="first" r:id="rId70"/>
      <w:pgSz w:w="11907" w:h="16839" w:code="9"/>
      <w:pgMar w:top="1134" w:right="850" w:bottom="907" w:left="3118" w:header="709" w:footer="567" w:gutter="567"/>
      <w:pgNumType w:start="1" w:chapStyle="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23CFF" w14:textId="77777777" w:rsidR="00221649" w:rsidRDefault="00221649">
      <w:r>
        <w:separator/>
      </w:r>
    </w:p>
  </w:endnote>
  <w:endnote w:type="continuationSeparator" w:id="0">
    <w:p w14:paraId="0A5A0B0E" w14:textId="77777777" w:rsidR="00221649" w:rsidRDefault="00221649">
      <w:r>
        <w:continuationSeparator/>
      </w:r>
    </w:p>
  </w:endnote>
  <w:endnote w:type="continuationNotice" w:id="1">
    <w:p w14:paraId="73A18DB4" w14:textId="77777777" w:rsidR="00221649" w:rsidRDefault="002216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Novecento UltraLight">
    <w:altName w:val="Arial"/>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vecento Book">
    <w:altName w:val="Arial"/>
    <w:panose1 w:val="00000000000000000000"/>
    <w:charset w:val="00"/>
    <w:family w:val="modern"/>
    <w:notTrueType/>
    <w:pitch w:val="variable"/>
    <w:sig w:usb0="00000007" w:usb1="00000000" w:usb2="00000000" w:usb3="00000000" w:csb0="00000093" w:csb1="00000000"/>
  </w:font>
  <w:font w:name="HelveticaNeueLT Std Lt Cn">
    <w:panose1 w:val="00000000000000000000"/>
    <w:charset w:val="00"/>
    <w:family w:val="swiss"/>
    <w:notTrueType/>
    <w:pitch w:val="variable"/>
    <w:sig w:usb0="800000AF" w:usb1="4000204A"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8767"/>
      <w:gridCol w:w="473"/>
    </w:tblGrid>
    <w:tr w:rsidR="00221649" w:rsidRPr="00126062" w14:paraId="770E1434" w14:textId="77777777" w:rsidTr="003C37AA">
      <w:trPr>
        <w:trHeight w:val="288"/>
      </w:trPr>
      <w:tc>
        <w:tcPr>
          <w:tcW w:w="9029" w:type="dxa"/>
          <w:vAlign w:val="bottom"/>
        </w:tcPr>
        <w:p w14:paraId="56408B45" w14:textId="77777777" w:rsidR="00221649" w:rsidRPr="00126062" w:rsidRDefault="00221649" w:rsidP="003C37AA">
          <w:pPr>
            <w:pStyle w:val="PortraitFooter"/>
            <w:rPr>
              <w:b/>
              <w:bCs/>
              <w:color w:val="4F81BD"/>
              <w14:numForm w14:val="oldStyle"/>
            </w:rPr>
          </w:pPr>
        </w:p>
      </w:tc>
      <w:tc>
        <w:tcPr>
          <w:tcW w:w="478" w:type="dxa"/>
        </w:tcPr>
        <w:p w14:paraId="052BA964" w14:textId="38EE375B" w:rsidR="00221649" w:rsidRPr="00126062" w:rsidRDefault="00221649" w:rsidP="003C37AA">
          <w:pPr>
            <w:jc w:val="right"/>
            <w:rPr>
              <w:rFonts w:ascii="HelveticaNeueLT Std Lt Cn" w:eastAsia="Calibri" w:hAnsi="HelveticaNeueLT Std Lt Cn"/>
            </w:rPr>
          </w:pPr>
          <w:r w:rsidRPr="00126062">
            <w:rPr>
              <w:rFonts w:ascii="HelveticaNeueLT Std Lt Cn" w:eastAsia="Calibri" w:hAnsi="HelveticaNeueLT Std Lt Cn"/>
            </w:rPr>
            <w:fldChar w:fldCharType="begin"/>
          </w:r>
          <w:r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6A2396">
            <w:rPr>
              <w:rFonts w:ascii="HelveticaNeueLT Std Lt Cn" w:eastAsia="Calibri" w:hAnsi="HelveticaNeueLT Std Lt Cn"/>
              <w:noProof/>
            </w:rPr>
            <w:t>vi</w:t>
          </w:r>
          <w:r w:rsidRPr="00126062">
            <w:rPr>
              <w:rFonts w:ascii="HelveticaNeueLT Std Lt Cn" w:eastAsia="Calibri" w:hAnsi="HelveticaNeueLT Std Lt Cn"/>
            </w:rPr>
            <w:fldChar w:fldCharType="end"/>
          </w:r>
        </w:p>
      </w:tc>
    </w:tr>
  </w:tbl>
  <w:p w14:paraId="7229F58A" w14:textId="77777777" w:rsidR="00221649" w:rsidRPr="00126062" w:rsidRDefault="00221649" w:rsidP="003C37AA">
    <w:pPr>
      <w:pStyle w:val="Footer"/>
      <w:tabs>
        <w:tab w:val="right" w:pos="6521"/>
      </w:tabs>
      <w:jc w:val="right"/>
      <w:rPr>
        <w:rFonts w:ascii="Novecento Book" w:eastAsiaTheme="minorHAnsi" w:hAnsi="Novecento Book"/>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8763"/>
      <w:gridCol w:w="477"/>
    </w:tblGrid>
    <w:tr w:rsidR="00B66B50" w:rsidRPr="00126062" w14:paraId="1A7649FA" w14:textId="77777777" w:rsidTr="003C37AA">
      <w:trPr>
        <w:trHeight w:val="288"/>
      </w:trPr>
      <w:tc>
        <w:tcPr>
          <w:tcW w:w="9029" w:type="dxa"/>
          <w:vAlign w:val="bottom"/>
        </w:tcPr>
        <w:p w14:paraId="105D72C3" w14:textId="00484523" w:rsidR="00221649" w:rsidRPr="00126062" w:rsidRDefault="00221649" w:rsidP="003C37AA">
          <w:pPr>
            <w:pStyle w:val="PortraitFooter"/>
            <w:rPr>
              <w:b/>
              <w:bCs/>
              <w:color w:val="4F81BD"/>
              <w14:numForm w14:val="oldStyle"/>
            </w:rPr>
          </w:pPr>
          <w:r w:rsidRPr="00126062">
            <w:fldChar w:fldCharType="begin"/>
          </w:r>
          <w:r w:rsidRPr="00126062">
            <w:instrText xml:space="preserve"> IF</w:instrText>
          </w:r>
          <w:r w:rsidRPr="00126062">
            <w:fldChar w:fldCharType="begin"/>
          </w:r>
          <w:r w:rsidRPr="00126062">
            <w:instrText xml:space="preserve"> STYLEREF </w:instrText>
          </w:r>
          <w:r>
            <w:instrText>"</w:instrText>
          </w:r>
          <w:r w:rsidRPr="00126062">
            <w:instrText>Title</w:instrText>
          </w:r>
          <w:r>
            <w:instrText xml:space="preserve"> SHORT"</w:instrText>
          </w:r>
          <w:r w:rsidRPr="00126062">
            <w:instrText xml:space="preserve"> \* Charformat </w:instrText>
          </w:r>
          <w:r w:rsidRPr="00126062">
            <w:fldChar w:fldCharType="separate"/>
          </w:r>
          <w:r w:rsidR="00294A5A">
            <w:rPr>
              <w:noProof/>
            </w:rPr>
            <w:instrText>SEE Programme evaluation</w:instrText>
          </w:r>
          <w:r w:rsidRPr="00126062">
            <w:fldChar w:fldCharType="end"/>
          </w:r>
          <w:r w:rsidRPr="00126062">
            <w:instrText xml:space="preserve"> &lt;&gt; "Error*" </w:instrText>
          </w:r>
          <w:r w:rsidR="006A2396">
            <w:fldChar w:fldCharType="begin"/>
          </w:r>
          <w:r w:rsidR="006A2396">
            <w:instrText xml:space="preserve"> STYLEREF "Title SHORT" \* Charfor</w:instrText>
          </w:r>
          <w:r w:rsidR="006A2396">
            <w:instrText xml:space="preserve">mat </w:instrText>
          </w:r>
          <w:r w:rsidR="006A2396">
            <w:fldChar w:fldCharType="separate"/>
          </w:r>
          <w:r w:rsidR="00294A5A">
            <w:rPr>
              <w:noProof/>
            </w:rPr>
            <w:instrText>SEE Programme evaluation</w:instrText>
          </w:r>
          <w:r w:rsidR="006A2396">
            <w:rPr>
              <w:noProof/>
            </w:rPr>
            <w:fldChar w:fldCharType="end"/>
          </w:r>
          <w:r w:rsidRPr="00126062">
            <w:instrText xml:space="preserve"> </w:instrText>
          </w:r>
          <w:r w:rsidRPr="00126062">
            <w:fldChar w:fldCharType="separate"/>
          </w:r>
          <w:r w:rsidR="00294A5A">
            <w:rPr>
              <w:noProof/>
            </w:rPr>
            <w:t>SEE Programme evaluation</w:t>
          </w:r>
          <w:r w:rsidRPr="00126062">
            <w:fldChar w:fldCharType="end"/>
          </w:r>
          <w:r>
            <w:t xml:space="preserve"> </w:t>
          </w:r>
          <w:r w:rsidRPr="00126062">
            <w:fldChar w:fldCharType="begin"/>
          </w:r>
          <w:r w:rsidRPr="00126062">
            <w:instrText xml:space="preserve"> IF</w:instrText>
          </w:r>
          <w:r>
            <w:fldChar w:fldCharType="begin"/>
          </w:r>
          <w:r>
            <w:instrText xml:space="preserve"> STYLEREF Title \* Charformat </w:instrText>
          </w:r>
          <w:r>
            <w:rPr>
              <w:noProof/>
            </w:rPr>
            <w:fldChar w:fldCharType="end"/>
          </w:r>
          <w:r w:rsidRPr="00126062">
            <w:instrText xml:space="preserve"> &lt;&gt; "Error*" </w:instrText>
          </w:r>
          <w:r>
            <w:fldChar w:fldCharType="begin"/>
          </w:r>
          <w:r>
            <w:instrText xml:space="preserve"> STYLEREF Title \* Charformat </w:instrText>
          </w:r>
          <w:r>
            <w:rPr>
              <w:noProof/>
            </w:rPr>
            <w:fldChar w:fldCharType="end"/>
          </w:r>
          <w:r w:rsidRPr="00126062">
            <w:instrText xml:space="preserve"> </w:instrText>
          </w:r>
          <w:r w:rsidRPr="00126062">
            <w:fldChar w:fldCharType="end"/>
          </w:r>
        </w:p>
      </w:tc>
      <w:tc>
        <w:tcPr>
          <w:tcW w:w="478" w:type="dxa"/>
        </w:tcPr>
        <w:p w14:paraId="6C086E24" w14:textId="77777777" w:rsidR="00221649" w:rsidRPr="00B957D3" w:rsidRDefault="00221649" w:rsidP="003C37AA">
          <w:pPr>
            <w:jc w:val="right"/>
            <w:rPr>
              <w:rStyle w:val="PageNumber"/>
            </w:rPr>
          </w:pPr>
          <w:r w:rsidRPr="00B957D3">
            <w:rPr>
              <w:rStyle w:val="PageNumber"/>
            </w:rPr>
            <w:fldChar w:fldCharType="begin"/>
          </w:r>
          <w:r w:rsidRPr="00B957D3">
            <w:rPr>
              <w:rStyle w:val="PageNumber"/>
            </w:rPr>
            <w:instrText xml:space="preserve"> PAGE   \* MERGEFORMAT </w:instrText>
          </w:r>
          <w:r w:rsidRPr="00B957D3">
            <w:rPr>
              <w:rStyle w:val="PageNumber"/>
            </w:rPr>
            <w:fldChar w:fldCharType="separate"/>
          </w:r>
          <w:r w:rsidR="00294A5A">
            <w:rPr>
              <w:rStyle w:val="PageNumber"/>
              <w:noProof/>
            </w:rPr>
            <w:t>xviii</w:t>
          </w:r>
          <w:r w:rsidRPr="00B957D3">
            <w:rPr>
              <w:rStyle w:val="PageNumber"/>
            </w:rPr>
            <w:fldChar w:fldCharType="end"/>
          </w:r>
        </w:p>
      </w:tc>
    </w:tr>
  </w:tbl>
  <w:p w14:paraId="4700A8B4" w14:textId="77777777" w:rsidR="00221649" w:rsidRPr="00126062" w:rsidRDefault="00221649" w:rsidP="003C37AA">
    <w:pPr>
      <w:pStyle w:val="Footer"/>
      <w:tabs>
        <w:tab w:val="right" w:pos="6521"/>
      </w:tabs>
      <w:jc w:val="right"/>
      <w:rPr>
        <w:rFonts w:ascii="Novecento Book" w:eastAsiaTheme="minorHAnsi" w:hAnsi="Novecento Book"/>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8578"/>
      <w:gridCol w:w="662"/>
    </w:tblGrid>
    <w:tr w:rsidR="00221649" w:rsidRPr="00126062" w14:paraId="76DFF672" w14:textId="77777777" w:rsidTr="000E21BF">
      <w:trPr>
        <w:trHeight w:val="288"/>
      </w:trPr>
      <w:tc>
        <w:tcPr>
          <w:tcW w:w="8834" w:type="dxa"/>
          <w:vAlign w:val="bottom"/>
        </w:tcPr>
        <w:p w14:paraId="2514C2B0" w14:textId="287F28A0" w:rsidR="00221649" w:rsidRPr="00126062" w:rsidRDefault="00221649" w:rsidP="000E21BF">
          <w:pPr>
            <w:pStyle w:val="PortraitFooter"/>
            <w:rPr>
              <w:b/>
              <w:bCs/>
              <w:color w:val="4F81BD"/>
              <w14:numForm w14:val="oldStyle"/>
            </w:rPr>
          </w:pPr>
          <w:r w:rsidRPr="00126062">
            <w:fldChar w:fldCharType="begin"/>
          </w:r>
          <w:r w:rsidRPr="00126062">
            <w:instrText xml:space="preserve"> IF</w:instrText>
          </w:r>
          <w:r w:rsidRPr="00126062">
            <w:fldChar w:fldCharType="begin"/>
          </w:r>
          <w:r w:rsidRPr="00126062">
            <w:instrText xml:space="preserve"> STYLEREF </w:instrText>
          </w:r>
          <w:r>
            <w:instrText>"</w:instrText>
          </w:r>
          <w:r w:rsidRPr="00126062">
            <w:instrText>Title</w:instrText>
          </w:r>
          <w:r>
            <w:instrText xml:space="preserve"> SHORT"</w:instrText>
          </w:r>
          <w:r w:rsidRPr="00126062">
            <w:instrText xml:space="preserve"> \* Charformat </w:instrText>
          </w:r>
          <w:r w:rsidRPr="00126062">
            <w:fldChar w:fldCharType="separate"/>
          </w:r>
          <w:r w:rsidR="00294A5A">
            <w:rPr>
              <w:noProof/>
            </w:rPr>
            <w:instrText>SEE Programme evaluation</w:instrText>
          </w:r>
          <w:r w:rsidRPr="00126062">
            <w:fldChar w:fldCharType="end"/>
          </w:r>
          <w:r w:rsidRPr="00126062">
            <w:instrText xml:space="preserve"> &lt;&gt; "Error*" </w:instrText>
          </w:r>
          <w:r w:rsidR="006A2396">
            <w:fldChar w:fldCharType="begin"/>
          </w:r>
          <w:r w:rsidR="006A2396">
            <w:instrText xml:space="preserve"> STYLEREF "Title SHORT" \* Charformat </w:instrText>
          </w:r>
          <w:r w:rsidR="006A2396">
            <w:fldChar w:fldCharType="separate"/>
          </w:r>
          <w:r w:rsidR="00294A5A">
            <w:rPr>
              <w:noProof/>
            </w:rPr>
            <w:instrText>SEE Programme evaluation</w:instrText>
          </w:r>
          <w:r w:rsidR="006A2396">
            <w:rPr>
              <w:noProof/>
            </w:rPr>
            <w:fldChar w:fldCharType="end"/>
          </w:r>
          <w:r w:rsidRPr="00126062">
            <w:instrText xml:space="preserve"> </w:instrText>
          </w:r>
          <w:r w:rsidRPr="00126062">
            <w:fldChar w:fldCharType="separate"/>
          </w:r>
          <w:r w:rsidR="00294A5A">
            <w:rPr>
              <w:noProof/>
            </w:rPr>
            <w:t>SEE Programme evaluation</w:t>
          </w:r>
          <w:r w:rsidRPr="00126062">
            <w:fldChar w:fldCharType="end"/>
          </w:r>
          <w:r>
            <w:t xml:space="preserve"> </w:t>
          </w:r>
          <w:r w:rsidRPr="00126062">
            <w:fldChar w:fldCharType="begin"/>
          </w:r>
          <w:r w:rsidRPr="00126062">
            <w:instrText xml:space="preserve"> IF</w:instrText>
          </w:r>
          <w:r>
            <w:fldChar w:fldCharType="begin"/>
          </w:r>
          <w:r>
            <w:instrText xml:space="preserve"> STYLEREF Title \* Charformat </w:instrText>
          </w:r>
          <w:r>
            <w:rPr>
              <w:noProof/>
            </w:rPr>
            <w:fldChar w:fldCharType="end"/>
          </w:r>
          <w:r w:rsidRPr="00126062">
            <w:instrText xml:space="preserve"> &lt;&gt; "Error*" </w:instrText>
          </w:r>
          <w:r>
            <w:fldChar w:fldCharType="begin"/>
          </w:r>
          <w:r>
            <w:instrText xml:space="preserve"> STYLEREF Title \* Charformat </w:instrText>
          </w:r>
          <w:r>
            <w:rPr>
              <w:noProof/>
            </w:rPr>
            <w:fldChar w:fldCharType="end"/>
          </w:r>
          <w:r w:rsidRPr="00126062">
            <w:instrText xml:space="preserve"> </w:instrText>
          </w:r>
          <w:r w:rsidRPr="00126062">
            <w:fldChar w:fldCharType="end"/>
          </w:r>
        </w:p>
      </w:tc>
      <w:tc>
        <w:tcPr>
          <w:tcW w:w="674" w:type="dxa"/>
        </w:tcPr>
        <w:p w14:paraId="287DA2EC" w14:textId="77777777" w:rsidR="00221649" w:rsidRPr="00452AD3" w:rsidRDefault="00221649" w:rsidP="000E21BF">
          <w:pPr>
            <w:jc w:val="right"/>
            <w:rPr>
              <w:rStyle w:val="PageNumber"/>
            </w:rPr>
          </w:pPr>
          <w:r w:rsidRPr="00452AD3">
            <w:rPr>
              <w:rStyle w:val="PageNumber"/>
            </w:rPr>
            <w:fldChar w:fldCharType="begin"/>
          </w:r>
          <w:r w:rsidRPr="00452AD3">
            <w:rPr>
              <w:rStyle w:val="PageNumber"/>
            </w:rPr>
            <w:instrText xml:space="preserve"> PAGE   \* MERGEFORMAT </w:instrText>
          </w:r>
          <w:r w:rsidRPr="00452AD3">
            <w:rPr>
              <w:rStyle w:val="PageNumber"/>
            </w:rPr>
            <w:fldChar w:fldCharType="separate"/>
          </w:r>
          <w:r w:rsidR="00294A5A">
            <w:rPr>
              <w:rStyle w:val="PageNumber"/>
              <w:noProof/>
            </w:rPr>
            <w:t>96</w:t>
          </w:r>
          <w:r w:rsidRPr="00452AD3">
            <w:rPr>
              <w:rStyle w:val="PageNumber"/>
            </w:rPr>
            <w:fldChar w:fldCharType="end"/>
          </w:r>
        </w:p>
      </w:tc>
    </w:tr>
  </w:tbl>
  <w:p w14:paraId="08FE74E5" w14:textId="77777777" w:rsidR="00221649" w:rsidRPr="00452AD3" w:rsidRDefault="00221649" w:rsidP="00452AD3">
    <w:pPr>
      <w:pStyle w:val="Footer"/>
      <w:tabs>
        <w:tab w:val="right" w:pos="6521"/>
      </w:tabs>
      <w:jc w:val="right"/>
      <w:rPr>
        <w:rFonts w:ascii="Novecento Book" w:eastAsiaTheme="minorHAnsi" w:hAnsi="Novecento Book"/>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402AF" w14:textId="77777777" w:rsidR="00221649" w:rsidRDefault="00221649">
      <w:r>
        <w:separator/>
      </w:r>
    </w:p>
  </w:footnote>
  <w:footnote w:type="continuationSeparator" w:id="0">
    <w:p w14:paraId="68DCCAC7" w14:textId="77777777" w:rsidR="00221649" w:rsidRDefault="00221649">
      <w:r>
        <w:continuationSeparator/>
      </w:r>
    </w:p>
  </w:footnote>
  <w:footnote w:type="continuationNotice" w:id="1">
    <w:p w14:paraId="5DF8649B" w14:textId="77777777" w:rsidR="00221649" w:rsidRDefault="00221649">
      <w:pPr>
        <w:spacing w:before="0" w:after="0" w:line="240" w:lineRule="auto"/>
      </w:pPr>
    </w:p>
  </w:footnote>
  <w:footnote w:id="2">
    <w:p w14:paraId="4F3E99A4" w14:textId="60659723" w:rsidR="00221649" w:rsidRDefault="00221649">
      <w:pPr>
        <w:pStyle w:val="FootnoteText"/>
      </w:pPr>
      <w:r>
        <w:rPr>
          <w:rStyle w:val="FootnoteReference"/>
        </w:rPr>
        <w:footnoteRef/>
      </w:r>
      <w:r>
        <w:tab/>
        <w:t>These are submitted once per period.</w:t>
      </w:r>
    </w:p>
  </w:footnote>
  <w:footnote w:id="3">
    <w:p w14:paraId="04196A29" w14:textId="701AEBEB" w:rsidR="00221649" w:rsidRDefault="00221649">
      <w:pPr>
        <w:pStyle w:val="FootnoteText"/>
      </w:pPr>
      <w:r>
        <w:rPr>
          <w:rStyle w:val="FootnoteReference"/>
        </w:rPr>
        <w:footnoteRef/>
      </w:r>
      <w:r>
        <w:tab/>
      </w:r>
      <w:r w:rsidRPr="00002136">
        <w:t>Some providers erroneously note the maximum SGT hours as 25, rather than the correct 20.</w:t>
      </w:r>
    </w:p>
  </w:footnote>
  <w:footnote w:id="4">
    <w:p w14:paraId="3370A3D7" w14:textId="054A203A" w:rsidR="00221649" w:rsidRDefault="00221649" w:rsidP="0075728A">
      <w:pPr>
        <w:pStyle w:val="FootnoteText"/>
      </w:pPr>
      <w:r>
        <w:rPr>
          <w:rStyle w:val="FootnoteReference"/>
        </w:rPr>
        <w:footnoteRef/>
      </w:r>
      <w:r>
        <w:t xml:space="preserve"> </w:t>
      </w:r>
      <w:r>
        <w:tab/>
      </w:r>
      <w:r w:rsidRPr="004536BD">
        <w:t xml:space="preserve">This evaluation has not examined the specific issues within the Department of Employment’s Employment Services System (ESS); one submission describes it as a </w:t>
      </w:r>
      <w:r>
        <w:t>‘</w:t>
      </w:r>
      <w:r w:rsidRPr="004536BD">
        <w:t>fiendishly fiddly process.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65322" w14:textId="247A9952" w:rsidR="00221649" w:rsidRPr="00126062" w:rsidRDefault="00221649" w:rsidP="000E21BF">
    <w:pPr>
      <w:pBdr>
        <w:top w:val="single" w:sz="6" w:space="2" w:color="A6A6A6" w:themeColor="background1" w:themeShade="A6"/>
      </w:pBdr>
      <w:tabs>
        <w:tab w:val="left" w:pos="567"/>
      </w:tabs>
      <w:jc w:val="right"/>
      <w:rPr>
        <w:rFonts w:ascii="Novecento Book" w:hAnsi="Novecento Book"/>
        <w:b/>
        <w:spacing w:val="22"/>
        <w:sz w:val="14"/>
        <w:szCs w:val="14"/>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AD1D3" w14:textId="7DF00B64" w:rsidR="00221649" w:rsidRDefault="002216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59D68" w14:textId="78D5D684" w:rsidR="00221649" w:rsidRDefault="002216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7A4DF" w14:textId="4395FA6B" w:rsidR="00221649" w:rsidRPr="00692CD0" w:rsidRDefault="00221649" w:rsidP="00051A15">
    <w:pPr>
      <w:pStyle w:val="Header"/>
      <w:ind w:firstLine="902"/>
      <w:rPr>
        <w:rFonts w:asciiTheme="majorHAnsi" w:hAnsiTheme="majorHAnsi" w:cstheme="majorHAnsi"/>
        <w:sz w:val="20"/>
        <w:szCs w:val="20"/>
      </w:rPr>
    </w:pPr>
    <w:r>
      <w:rPr>
        <w:rFonts w:asciiTheme="majorHAnsi" w:hAnsiTheme="majorHAnsi" w:cstheme="majorHAnsi"/>
        <w:sz w:val="20"/>
        <w:szCs w:val="20"/>
      </w:rPr>
      <w:t xml:space="preserve">   </w:t>
    </w:r>
  </w:p>
  <w:p w14:paraId="7219FC35" w14:textId="73E2CA92" w:rsidR="00221649" w:rsidRPr="00126062" w:rsidRDefault="00221649" w:rsidP="003C37AA">
    <w:pPr>
      <w:pStyle w:val="AACHeader"/>
    </w:pPr>
    <w:r>
      <w:t xml:space="preserve">ACIL ALLEN </w:t>
    </w:r>
    <w:r>
      <w:rPr>
        <w:color w:val="BFBFBF" w:themeColor="background1" w:themeShade="BF"/>
      </w:rPr>
      <w:t>CONSULTING</w:t>
    </w:r>
    <w:r>
      <w:rPr>
        <w:color w:val="BFBFBF" w:themeColor="background1" w:themeShade="BF"/>
      </w:rPr>
      <w:br/>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2590B" w14:textId="0E589EEE" w:rsidR="00221649" w:rsidRDefault="002216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C6A1E" w14:textId="24310151" w:rsidR="00221649" w:rsidRDefault="0022164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A69A9" w14:textId="23A10338" w:rsidR="00221649" w:rsidRPr="00692CD0" w:rsidRDefault="00221649" w:rsidP="00E7051B">
    <w:pPr>
      <w:pStyle w:val="Header"/>
      <w:ind w:firstLine="902"/>
      <w:rPr>
        <w:rFonts w:asciiTheme="majorHAnsi" w:hAnsiTheme="majorHAnsi" w:cstheme="majorHAnsi"/>
        <w:sz w:val="20"/>
        <w:szCs w:val="20"/>
      </w:rPr>
    </w:pPr>
  </w:p>
  <w:p w14:paraId="40D34B10" w14:textId="759F9898" w:rsidR="00221649" w:rsidRPr="00E7051B" w:rsidRDefault="00221649" w:rsidP="00C61C30">
    <w:pPr>
      <w:pStyle w:val="AACHeader"/>
      <w:tabs>
        <w:tab w:val="left" w:pos="2410"/>
      </w:tabs>
      <w:rPr>
        <w:b w:val="0"/>
        <w:sz w:val="20"/>
        <w:szCs w:val="20"/>
      </w:rPr>
    </w:pPr>
    <w:r>
      <w:t xml:space="preserve">ACIL ALLEN </w:t>
    </w:r>
    <w:r>
      <w:rPr>
        <w:color w:val="BFBFBF" w:themeColor="background1" w:themeShade="BF"/>
      </w:rPr>
      <w:t>CONSULTING</w:t>
    </w:r>
    <w:r>
      <w:rPr>
        <w:color w:val="BFBFBF" w:themeColor="background1" w:themeShade="BF"/>
      </w:rPr>
      <w:br/>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EA6C5" w14:textId="3B9A2959" w:rsidR="00221649" w:rsidRDefault="0022164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E88E" w14:textId="7CF1FFB9" w:rsidR="00221649" w:rsidRDefault="0022164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FCFA4" w14:textId="4747C757" w:rsidR="00221649" w:rsidRPr="00692CD0" w:rsidRDefault="00221649" w:rsidP="00E7051B">
    <w:pPr>
      <w:pStyle w:val="Header"/>
      <w:ind w:firstLine="902"/>
      <w:rPr>
        <w:rFonts w:asciiTheme="majorHAnsi" w:hAnsiTheme="majorHAnsi" w:cstheme="majorHAnsi"/>
        <w:sz w:val="20"/>
        <w:szCs w:val="20"/>
      </w:rPr>
    </w:pPr>
  </w:p>
  <w:p w14:paraId="47741D4B" w14:textId="1849FFEA" w:rsidR="00221649" w:rsidRPr="00E7051B" w:rsidRDefault="00221649" w:rsidP="00E7051B">
    <w:pPr>
      <w:pBdr>
        <w:top w:val="single" w:sz="6" w:space="2" w:color="A6A6A6" w:themeColor="background1" w:themeShade="A6"/>
      </w:pBdr>
      <w:tabs>
        <w:tab w:val="left" w:pos="567"/>
      </w:tabs>
      <w:ind w:left="-2268"/>
      <w:jc w:val="right"/>
      <w:rPr>
        <w:rFonts w:ascii="Novecento Book" w:hAnsi="Novecento Book"/>
        <w:b/>
        <w:spacing w:val="22"/>
        <w:sz w:val="14"/>
        <w:szCs w:val="14"/>
      </w:rPr>
    </w:pPr>
    <w:r>
      <w:rPr>
        <w:rFonts w:ascii="Novecento Book" w:hAnsi="Novecento Book"/>
        <w:b/>
        <w:spacing w:val="22"/>
        <w:sz w:val="14"/>
        <w:szCs w:val="14"/>
      </w:rPr>
      <w:t xml:space="preserve">ACIL ALLEN </w:t>
    </w:r>
    <w:r>
      <w:rPr>
        <w:rFonts w:ascii="Novecento Book" w:hAnsi="Novecento Book"/>
        <w:b/>
        <w:color w:val="BFBFBF" w:themeColor="background1" w:themeShade="BF"/>
        <w:spacing w:val="22"/>
        <w:sz w:val="14"/>
        <w:szCs w:val="14"/>
      </w:rPr>
      <w:t>CONSULTING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914FE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11495B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A349728"/>
    <w:styleLink w:val="ACILAllenNumberedList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88EA846"/>
    <w:styleLink w:val="ACILAllenBoxBulletedList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33072CA"/>
    <w:multiLevelType w:val="multilevel"/>
    <w:tmpl w:val="78C8103E"/>
    <w:styleLink w:val="ACILAllenNumberedList"/>
    <w:lvl w:ilvl="0">
      <w:start w:val="1"/>
      <w:numFmt w:val="decimal"/>
      <w:pStyle w:val="ListNumber"/>
      <w:lvlText w:val="%1."/>
      <w:lvlJc w:val="left"/>
      <w:pPr>
        <w:ind w:left="340" w:hanging="340"/>
      </w:pPr>
      <w:rPr>
        <w:rFonts w:asciiTheme="minorHAnsi" w:hAnsiTheme="minorHAnsi" w:hint="default"/>
      </w:rPr>
    </w:lvl>
    <w:lvl w:ilvl="1">
      <w:start w:val="1"/>
      <w:numFmt w:val="lowerLetter"/>
      <w:pStyle w:val="ListNumber2"/>
      <w:lvlText w:val="%2)"/>
      <w:lvlJc w:val="left"/>
      <w:pPr>
        <w:ind w:left="709" w:hanging="369"/>
      </w:pPr>
      <w:rPr>
        <w:rFonts w:hint="default"/>
      </w:rPr>
    </w:lvl>
    <w:lvl w:ilvl="2">
      <w:start w:val="1"/>
      <w:numFmt w:val="lowerRoman"/>
      <w:pStyle w:val="ListNumber3"/>
      <w:lvlText w:val="%3)"/>
      <w:lvlJc w:val="left"/>
      <w:pPr>
        <w:ind w:left="1213" w:hanging="504"/>
      </w:pPr>
      <w:rPr>
        <w:rFonts w:hint="default"/>
      </w:rPr>
    </w:lvl>
    <w:lvl w:ilvl="3">
      <w:start w:val="1"/>
      <w:numFmt w:val="decimal"/>
      <w:lvlText w:val="(%4)"/>
      <w:lvlJc w:val="left"/>
      <w:pPr>
        <w:ind w:left="1701" w:hanging="499"/>
      </w:pPr>
      <w:rPr>
        <w:rFonts w:hint="default"/>
      </w:rPr>
    </w:lvl>
    <w:lvl w:ilvl="4">
      <w:start w:val="1"/>
      <w:numFmt w:val="lowerLetter"/>
      <w:lvlText w:val="(%5)"/>
      <w:lvlJc w:val="left"/>
      <w:pPr>
        <w:ind w:left="2126" w:hanging="357"/>
      </w:pPr>
      <w:rPr>
        <w:rFonts w:hint="default"/>
      </w:rPr>
    </w:lvl>
    <w:lvl w:ilvl="5">
      <w:start w:val="1"/>
      <w:numFmt w:val="lowerRoman"/>
      <w:lvlText w:val="(%6)"/>
      <w:lvlJc w:val="left"/>
      <w:pPr>
        <w:ind w:left="2880" w:hanging="360"/>
      </w:pPr>
      <w:rPr>
        <w:rFonts w:hint="default"/>
      </w:rPr>
    </w:lvl>
    <w:lvl w:ilvl="6">
      <w:start w:val="1"/>
      <w:numFmt w:val="none"/>
      <w:lvlText w:val="%7"/>
      <w:lvlJc w:val="left"/>
      <w:pPr>
        <w:ind w:left="3240" w:hanging="360"/>
      </w:pPr>
      <w:rPr>
        <w:rFonts w:ascii="Garamond" w:hAnsi="Garamond" w:hint="default"/>
      </w:rPr>
    </w:lvl>
    <w:lvl w:ilvl="7">
      <w:start w:val="1"/>
      <w:numFmt w:val="none"/>
      <w:lvlText w:val="%8"/>
      <w:lvlJc w:val="left"/>
      <w:pPr>
        <w:ind w:left="3600" w:hanging="360"/>
      </w:pPr>
      <w:rPr>
        <w:rFonts w:ascii="Garamond" w:hAnsi="Garamond" w:hint="default"/>
      </w:rPr>
    </w:lvl>
    <w:lvl w:ilvl="8">
      <w:start w:val="1"/>
      <w:numFmt w:val="none"/>
      <w:lvlText w:val="%9"/>
      <w:lvlJc w:val="left"/>
      <w:pPr>
        <w:ind w:left="3960" w:hanging="360"/>
      </w:pPr>
      <w:rPr>
        <w:rFonts w:ascii="Garamond" w:hAnsi="Garamond" w:hint="default"/>
      </w:rPr>
    </w:lvl>
  </w:abstractNum>
  <w:abstractNum w:abstractNumId="5" w15:restartNumberingAfterBreak="0">
    <w:nsid w:val="088509EA"/>
    <w:multiLevelType w:val="multilevel"/>
    <w:tmpl w:val="9DB25304"/>
    <w:styleLink w:val="ACILAllenTableListNumbering"/>
    <w:lvl w:ilvl="0">
      <w:start w:val="1"/>
      <w:numFmt w:val="decimal"/>
      <w:pStyle w:val="Tablelistnumber"/>
      <w:lvlText w:val="%1."/>
      <w:lvlJc w:val="left"/>
      <w:pPr>
        <w:ind w:left="284" w:hanging="284"/>
      </w:pPr>
      <w:rPr>
        <w:rFonts w:asciiTheme="minorHAnsi" w:hAnsiTheme="minorHAnsi" w:hint="default"/>
        <w:caps w:val="0"/>
        <w:strike w:val="0"/>
        <w:dstrike w:val="0"/>
        <w:vanish w:val="0"/>
        <w:color w:val="auto"/>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Tablelistnumber2"/>
      <w:lvlText w:val="%2)"/>
      <w:lvlJc w:val="left"/>
      <w:pPr>
        <w:ind w:left="567" w:hanging="283"/>
      </w:pPr>
      <w:rPr>
        <w:rFonts w:hint="default"/>
      </w:rPr>
    </w:lvl>
    <w:lvl w:ilvl="2">
      <w:start w:val="1"/>
      <w:numFmt w:val="lowerRoman"/>
      <w:pStyle w:val="Table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0C6824A6"/>
    <w:multiLevelType w:val="multilevel"/>
    <w:tmpl w:val="32403E0C"/>
    <w:styleLink w:val="ATBoxBulletedList"/>
    <w:lvl w:ilvl="0">
      <w:numFmt w:val="bullet"/>
      <w:lvlText w:val=""/>
      <w:lvlJc w:val="left"/>
      <w:pPr>
        <w:tabs>
          <w:tab w:val="num" w:pos="454"/>
        </w:tabs>
        <w:ind w:left="454" w:hanging="227"/>
      </w:pPr>
      <w:rPr>
        <w:rFonts w:ascii="Symbol" w:hAnsi="Symbol" w:hint="default"/>
        <w:color w:val="auto"/>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Garamond" w:hAnsi="Garamond"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0FBC535B"/>
    <w:multiLevelType w:val="multilevel"/>
    <w:tmpl w:val="CC5C7C98"/>
    <w:styleLink w:val="ACILAllenDashedList"/>
    <w:lvl w:ilvl="0">
      <w:start w:val="1"/>
      <w:numFmt w:val="bullet"/>
      <w:pStyle w:val="ListDash"/>
      <w:lvlText w:val=""/>
      <w:lvlJc w:val="left"/>
      <w:pPr>
        <w:ind w:left="284"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8" w15:restartNumberingAfterBreak="0">
    <w:nsid w:val="0FD50E2C"/>
    <w:multiLevelType w:val="multilevel"/>
    <w:tmpl w:val="71F6571A"/>
    <w:styleLink w:val="ATbulletedlist"/>
    <w:lvl w:ilvl="0">
      <w:start w:val="1"/>
      <w:numFmt w:val="bullet"/>
      <w:lvlText w:val="•"/>
      <w:lvlJc w:val="left"/>
      <w:pPr>
        <w:ind w:left="340" w:hanging="340"/>
      </w:pPr>
      <w:rPr>
        <w:rFonts w:ascii="Garamond" w:hAnsi="Garamond" w:hint="default"/>
      </w:rPr>
    </w:lvl>
    <w:lvl w:ilvl="1">
      <w:start w:val="1"/>
      <w:numFmt w:val="bullet"/>
      <w:lvlText w:val="−"/>
      <w:lvlJc w:val="left"/>
      <w:pPr>
        <w:ind w:left="680" w:hanging="340"/>
      </w:pPr>
      <w:rPr>
        <w:rFonts w:ascii="Garamond" w:hAnsi="Garamond"/>
        <w:sz w:val="24"/>
      </w:rPr>
    </w:lvl>
    <w:lvl w:ilvl="2">
      <w:start w:val="1"/>
      <w:numFmt w:val="bullet"/>
      <w:lvlText w:val="…"/>
      <w:lvlJc w:val="left"/>
      <w:pPr>
        <w:ind w:left="1020" w:hanging="340"/>
      </w:pPr>
      <w:rPr>
        <w:rFonts w:ascii="Garamond" w:hAnsi="Garamond" w:hint="default"/>
      </w:rPr>
    </w:lvl>
    <w:lvl w:ilvl="3">
      <w:start w:val="1"/>
      <w:numFmt w:val="bullet"/>
      <w:lvlText w:val="•"/>
      <w:lvlJc w:val="left"/>
      <w:pPr>
        <w:ind w:left="1360" w:hanging="340"/>
      </w:pPr>
      <w:rPr>
        <w:rFonts w:ascii="Garamond" w:hAnsi="Garamond" w:hint="default"/>
      </w:rPr>
    </w:lvl>
    <w:lvl w:ilvl="4">
      <w:start w:val="1"/>
      <w:numFmt w:val="bullet"/>
      <w:lvlText w:val="−"/>
      <w:lvlJc w:val="left"/>
      <w:pPr>
        <w:ind w:left="1700" w:hanging="340"/>
      </w:pPr>
      <w:rPr>
        <w:rFonts w:ascii="Garamond" w:hAnsi="Garamond" w:hint="default"/>
      </w:rPr>
    </w:lvl>
    <w:lvl w:ilvl="5">
      <w:start w:val="1"/>
      <w:numFmt w:val="bullet"/>
      <w:lvlText w:val="…"/>
      <w:lvlJc w:val="left"/>
      <w:pPr>
        <w:ind w:left="2040" w:hanging="340"/>
      </w:pPr>
      <w:rPr>
        <w:rFonts w:ascii="Garamond" w:hAnsi="Garamond"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9" w15:restartNumberingAfterBreak="0">
    <w:nsid w:val="17B8215F"/>
    <w:multiLevelType w:val="hybridMultilevel"/>
    <w:tmpl w:val="1A48B7F6"/>
    <w:lvl w:ilvl="0" w:tplc="91EEC954">
      <w:start w:val="1"/>
      <w:numFmt w:val="bullet"/>
      <w:pStyle w:val="TableQuoteBullet"/>
      <w:lvlText w:val=""/>
      <w:lvlJc w:val="left"/>
      <w:pPr>
        <w:ind w:left="473" w:hanging="360"/>
      </w:pPr>
      <w:rPr>
        <w:rFonts w:ascii="Wingdings" w:hAnsi="Wingdings"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0" w15:restartNumberingAfterBreak="0">
    <w:nsid w:val="184A0171"/>
    <w:multiLevelType w:val="multilevel"/>
    <w:tmpl w:val="CC5C7C98"/>
    <w:numStyleLink w:val="ACILAllenDashedList"/>
  </w:abstractNum>
  <w:abstractNum w:abstractNumId="11" w15:restartNumberingAfterBreak="0">
    <w:nsid w:val="245C079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AA5670"/>
    <w:multiLevelType w:val="multilevel"/>
    <w:tmpl w:val="5F4A1496"/>
    <w:styleLink w:val="ACILAllenPartNumbers"/>
    <w:lvl w:ilvl="0">
      <w:start w:val="1"/>
      <w:numFmt w:val="cardinalText"/>
      <w:suff w:val="nothing"/>
      <w:lvlText w:val="Part %1"/>
      <w:lvlJc w:val="left"/>
      <w:pPr>
        <w:ind w:left="360" w:hanging="360"/>
      </w:pPr>
      <w:rPr>
        <w:rFonts w:hint="default"/>
        <w:spacing w:val="40"/>
        <w:sz w:val="160"/>
      </w:rPr>
    </w:lvl>
    <w:lvl w:ilvl="1">
      <w:start w:val="1"/>
      <w:numFmt w:val="upperRoman"/>
      <w:suff w:val="nothing"/>
      <w:lvlText w:val="%2"/>
      <w:lvlJc w:val="center"/>
      <w:pPr>
        <w:ind w:left="0" w:firstLine="0"/>
      </w:pPr>
      <w:rPr>
        <w:rFonts w:ascii="Georgia" w:hAnsi="Georgia" w:hint="default"/>
        <w:b/>
        <w:i w:val="0"/>
        <w:color w:val="FFFFFF" w:themeColor="background1"/>
        <w:sz w:val="96"/>
      </w:rPr>
    </w:lvl>
    <w:lvl w:ilvl="2">
      <w:start w:val="1"/>
      <w:numFmt w:val="none"/>
      <w:suff w:val="nothing"/>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8"/>
      <w:lvlJc w:val="left"/>
      <w:pPr>
        <w:ind w:left="2880" w:hanging="360"/>
      </w:pPr>
      <w:rPr>
        <w:rFonts w:hint="default"/>
      </w:rPr>
    </w:lvl>
    <w:lvl w:ilvl="8">
      <w:start w:val="1"/>
      <w:numFmt w:val="none"/>
      <w:suff w:val="nothing"/>
      <w:lvlText w:val="%9"/>
      <w:lvlJc w:val="left"/>
      <w:pPr>
        <w:ind w:left="3240" w:hanging="360"/>
      </w:pPr>
      <w:rPr>
        <w:rFonts w:hint="default"/>
      </w:rPr>
    </w:lvl>
  </w:abstractNum>
  <w:abstractNum w:abstractNumId="13" w15:restartNumberingAfterBreak="0">
    <w:nsid w:val="35D26D71"/>
    <w:multiLevelType w:val="multilevel"/>
    <w:tmpl w:val="A2BED88C"/>
    <w:styleLink w:val="ACILAllenBoxBulletedList"/>
    <w:lvl w:ilvl="0">
      <w:numFmt w:val="bullet"/>
      <w:pStyle w:val="BoxListBullet"/>
      <w:lvlText w:val=""/>
      <w:lvlJc w:val="left"/>
      <w:pPr>
        <w:ind w:left="284" w:hanging="284"/>
      </w:pPr>
      <w:rPr>
        <w:rFonts w:ascii="Wingdings" w:hAnsi="Wingdings" w:hint="default"/>
        <w:color w:val="auto"/>
        <w:position w:val="-2"/>
        <w14:cntxtAlts w14:val="0"/>
      </w:rPr>
    </w:lvl>
    <w:lvl w:ilvl="1">
      <w:start w:val="1"/>
      <w:numFmt w:val="bullet"/>
      <w:pStyle w:val="BoxListBullet2"/>
      <w:lvlText w:val=""/>
      <w:lvlJc w:val="left"/>
      <w:pPr>
        <w:ind w:left="567" w:hanging="283"/>
      </w:pPr>
      <w:rPr>
        <w:rFonts w:ascii="Wingdings" w:hAnsi="Wingdings" w:hint="default"/>
      </w:rPr>
    </w:lvl>
    <w:lvl w:ilvl="2">
      <w:start w:val="1"/>
      <w:numFmt w:val="bullet"/>
      <w:pStyle w:val="BoxListBullet3"/>
      <w:lvlText w:val="…"/>
      <w:lvlJc w:val="left"/>
      <w:pPr>
        <w:ind w:left="851" w:hanging="284"/>
      </w:pPr>
      <w:rPr>
        <w:rFonts w:ascii="Times New Roman" w:hAnsi="Times New Roman" w:cs="Times New Roman" w:hint="default"/>
        <w:position w:val="4"/>
        <w14:cntxtAlts w14:val="0"/>
      </w:rPr>
    </w:lvl>
    <w:lvl w:ilvl="3">
      <w:start w:val="1"/>
      <w:numFmt w:val="none"/>
      <w:suff w:val="nothing"/>
      <w:lvlText w:val=""/>
      <w:lvlJc w:val="left"/>
      <w:pPr>
        <w:ind w:left="1134"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BCD694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3222DA2"/>
    <w:multiLevelType w:val="hybridMultilevel"/>
    <w:tmpl w:val="E48C4CF4"/>
    <w:lvl w:ilvl="0" w:tplc="ECBEBE16">
      <w:start w:val="1"/>
      <w:numFmt w:val="bullet"/>
      <w:pStyle w:val="BoxQuoteListBullet"/>
      <w:lvlText w:val=""/>
      <w:lvlJc w:val="left"/>
      <w:pPr>
        <w:ind w:left="587" w:hanging="360"/>
      </w:pPr>
      <w:rPr>
        <w:rFonts w:ascii="Symbol" w:hAnsi="Symbol" w:hint="default"/>
      </w:rPr>
    </w:lvl>
    <w:lvl w:ilvl="1" w:tplc="45683542" w:tentative="1">
      <w:start w:val="1"/>
      <w:numFmt w:val="bullet"/>
      <w:lvlText w:val="o"/>
      <w:lvlJc w:val="left"/>
      <w:pPr>
        <w:ind w:left="1307" w:hanging="360"/>
      </w:pPr>
      <w:rPr>
        <w:rFonts w:ascii="Courier New" w:hAnsi="Courier New" w:cs="Courier New" w:hint="default"/>
      </w:rPr>
    </w:lvl>
    <w:lvl w:ilvl="2" w:tplc="87A8D99A" w:tentative="1">
      <w:start w:val="1"/>
      <w:numFmt w:val="bullet"/>
      <w:lvlText w:val=""/>
      <w:lvlJc w:val="left"/>
      <w:pPr>
        <w:ind w:left="2027" w:hanging="360"/>
      </w:pPr>
      <w:rPr>
        <w:rFonts w:ascii="Wingdings" w:hAnsi="Wingdings" w:hint="default"/>
      </w:rPr>
    </w:lvl>
    <w:lvl w:ilvl="3" w:tplc="95429438" w:tentative="1">
      <w:start w:val="1"/>
      <w:numFmt w:val="bullet"/>
      <w:lvlText w:val=""/>
      <w:lvlJc w:val="left"/>
      <w:pPr>
        <w:ind w:left="2747" w:hanging="360"/>
      </w:pPr>
      <w:rPr>
        <w:rFonts w:ascii="Symbol" w:hAnsi="Symbol" w:hint="default"/>
      </w:rPr>
    </w:lvl>
    <w:lvl w:ilvl="4" w:tplc="BA586674" w:tentative="1">
      <w:start w:val="1"/>
      <w:numFmt w:val="bullet"/>
      <w:lvlText w:val="o"/>
      <w:lvlJc w:val="left"/>
      <w:pPr>
        <w:ind w:left="3467" w:hanging="360"/>
      </w:pPr>
      <w:rPr>
        <w:rFonts w:ascii="Courier New" w:hAnsi="Courier New" w:cs="Courier New" w:hint="default"/>
      </w:rPr>
    </w:lvl>
    <w:lvl w:ilvl="5" w:tplc="0F7A370E" w:tentative="1">
      <w:start w:val="1"/>
      <w:numFmt w:val="bullet"/>
      <w:lvlText w:val=""/>
      <w:lvlJc w:val="left"/>
      <w:pPr>
        <w:ind w:left="4187" w:hanging="360"/>
      </w:pPr>
      <w:rPr>
        <w:rFonts w:ascii="Wingdings" w:hAnsi="Wingdings" w:hint="default"/>
      </w:rPr>
    </w:lvl>
    <w:lvl w:ilvl="6" w:tplc="84D461FC" w:tentative="1">
      <w:start w:val="1"/>
      <w:numFmt w:val="bullet"/>
      <w:lvlText w:val=""/>
      <w:lvlJc w:val="left"/>
      <w:pPr>
        <w:ind w:left="4907" w:hanging="360"/>
      </w:pPr>
      <w:rPr>
        <w:rFonts w:ascii="Symbol" w:hAnsi="Symbol" w:hint="default"/>
      </w:rPr>
    </w:lvl>
    <w:lvl w:ilvl="7" w:tplc="9CE8E02C" w:tentative="1">
      <w:start w:val="1"/>
      <w:numFmt w:val="bullet"/>
      <w:lvlText w:val="o"/>
      <w:lvlJc w:val="left"/>
      <w:pPr>
        <w:ind w:left="5627" w:hanging="360"/>
      </w:pPr>
      <w:rPr>
        <w:rFonts w:ascii="Courier New" w:hAnsi="Courier New" w:cs="Courier New" w:hint="default"/>
      </w:rPr>
    </w:lvl>
    <w:lvl w:ilvl="8" w:tplc="852A1C84" w:tentative="1">
      <w:start w:val="1"/>
      <w:numFmt w:val="bullet"/>
      <w:lvlText w:val=""/>
      <w:lvlJc w:val="left"/>
      <w:pPr>
        <w:ind w:left="6347" w:hanging="360"/>
      </w:pPr>
      <w:rPr>
        <w:rFonts w:ascii="Wingdings" w:hAnsi="Wingdings" w:hint="default"/>
      </w:rPr>
    </w:lvl>
  </w:abstractNum>
  <w:abstractNum w:abstractNumId="16" w15:restartNumberingAfterBreak="0">
    <w:nsid w:val="43D200A3"/>
    <w:multiLevelType w:val="singleLevel"/>
    <w:tmpl w:val="5B28AA70"/>
    <w:lvl w:ilvl="0">
      <w:start w:val="1"/>
      <w:numFmt w:val="bullet"/>
      <w:pStyle w:val="SideDash"/>
      <w:lvlText w:val="–"/>
      <w:lvlJc w:val="left"/>
      <w:pPr>
        <w:tabs>
          <w:tab w:val="num" w:pos="170"/>
        </w:tabs>
        <w:ind w:left="170" w:hanging="170"/>
      </w:pPr>
      <w:rPr>
        <w:rFonts w:ascii="Times New Roman" w:hAnsi="Times New Roman" w:cs="Times New Roman" w:hint="default"/>
        <w:b w:val="0"/>
        <w:i/>
        <w:sz w:val="20"/>
      </w:rPr>
    </w:lvl>
  </w:abstractNum>
  <w:abstractNum w:abstractNumId="17" w15:restartNumberingAfterBreak="0">
    <w:nsid w:val="448C61FD"/>
    <w:multiLevelType w:val="multilevel"/>
    <w:tmpl w:val="1FA672DC"/>
    <w:styleLink w:val="ACILAllenTableBulletedList"/>
    <w:lvl w:ilvl="0">
      <w:start w:val="1"/>
      <w:numFmt w:val="bullet"/>
      <w:pStyle w:val="Tablelistbullet"/>
      <w:lvlText w:val=""/>
      <w:lvlJc w:val="left"/>
      <w:pPr>
        <w:ind w:left="227" w:hanging="227"/>
      </w:pPr>
      <w:rPr>
        <w:rFonts w:ascii="Wingdings" w:hAnsi="Wingdings" w:hint="default"/>
        <w:color w:val="auto"/>
      </w:rPr>
    </w:lvl>
    <w:lvl w:ilvl="1">
      <w:start w:val="1"/>
      <w:numFmt w:val="bullet"/>
      <w:pStyle w:val="Tablelistbullet2"/>
      <w:lvlText w:val=""/>
      <w:lvlJc w:val="left"/>
      <w:pPr>
        <w:ind w:left="454" w:hanging="227"/>
      </w:pPr>
      <w:rPr>
        <w:rFonts w:ascii="Wingdings" w:hAnsi="Wingdings" w:hint="default"/>
      </w:rPr>
    </w:lvl>
    <w:lvl w:ilvl="2">
      <w:start w:val="1"/>
      <w:numFmt w:val="bullet"/>
      <w:pStyle w:val="Tablelistbullet3"/>
      <w:lvlText w:val="…"/>
      <w:lvlJc w:val="left"/>
      <w:pPr>
        <w:ind w:left="680" w:hanging="226"/>
      </w:pPr>
      <w:rPr>
        <w:rFonts w:ascii="Arial" w:hAnsi="Arial" w:hint="default"/>
        <w:position w:val="2"/>
        <w14:cntxtAlts w14:val="0"/>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8" w15:restartNumberingAfterBreak="0">
    <w:nsid w:val="64F264CF"/>
    <w:multiLevelType w:val="multilevel"/>
    <w:tmpl w:val="E5385568"/>
    <w:lvl w:ilvl="0">
      <w:start w:val="1"/>
      <w:numFmt w:val="decimal"/>
      <w:pStyle w:val="Heading1"/>
      <w:lvlText w:val="%1"/>
      <w:lvlJc w:val="left"/>
      <w:pPr>
        <w:tabs>
          <w:tab w:val="num" w:pos="902"/>
        </w:tabs>
        <w:ind w:left="902" w:hanging="902"/>
      </w:pPr>
      <w:rPr>
        <w:rFonts w:hint="default"/>
      </w:rPr>
    </w:lvl>
    <w:lvl w:ilvl="1">
      <w:start w:val="1"/>
      <w:numFmt w:val="decimal"/>
      <w:pStyle w:val="Heading2"/>
      <w:lvlText w:val="%1.%2"/>
      <w:lvlJc w:val="left"/>
      <w:pPr>
        <w:tabs>
          <w:tab w:val="num" w:pos="902"/>
        </w:tabs>
        <w:ind w:left="902" w:hanging="902"/>
      </w:pPr>
      <w:rPr>
        <w:rFonts w:hint="default"/>
      </w:rPr>
    </w:lvl>
    <w:lvl w:ilvl="2">
      <w:start w:val="1"/>
      <w:numFmt w:val="decimal"/>
      <w:pStyle w:val="Heading3"/>
      <w:lvlText w:val="%1.%2.%3"/>
      <w:lvlJc w:val="left"/>
      <w:pPr>
        <w:tabs>
          <w:tab w:val="num" w:pos="902"/>
        </w:tabs>
        <w:ind w:left="902" w:hanging="902"/>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lvlText w:val=""/>
      <w:lvlJc w:val="left"/>
      <w:pPr>
        <w:tabs>
          <w:tab w:val="num" w:pos="1152"/>
        </w:tabs>
        <w:ind w:left="1152" w:hanging="1152"/>
      </w:pPr>
      <w:rPr>
        <w:rFonts w:hint="default"/>
      </w:rPr>
    </w:lvl>
    <w:lvl w:ilvl="6">
      <w:start w:val="1"/>
      <w:numFmt w:val="upperLetter"/>
      <w:pStyle w:val="Heading7"/>
      <w:lvlText w:val="Appendix %7"/>
      <w:lvlJc w:val="left"/>
      <w:pPr>
        <w:tabs>
          <w:tab w:val="num" w:pos="0"/>
        </w:tabs>
        <w:ind w:left="0" w:hanging="2552"/>
      </w:pPr>
      <w:rPr>
        <w:rFonts w:hint="default"/>
      </w:rPr>
    </w:lvl>
    <w:lvl w:ilvl="7">
      <w:start w:val="1"/>
      <w:numFmt w:val="decimal"/>
      <w:pStyle w:val="Heading8"/>
      <w:lvlText w:val="%7.%8"/>
      <w:lvlJc w:val="left"/>
      <w:pPr>
        <w:tabs>
          <w:tab w:val="num" w:pos="902"/>
        </w:tabs>
        <w:ind w:left="902" w:hanging="902"/>
      </w:pPr>
      <w:rPr>
        <w:rFonts w:hint="default"/>
      </w:rPr>
    </w:lvl>
    <w:lvl w:ilvl="8">
      <w:start w:val="1"/>
      <w:numFmt w:val="decimal"/>
      <w:pStyle w:val="Heading9"/>
      <w:lvlText w:val="%7.%8.%9"/>
      <w:lvlJc w:val="left"/>
      <w:pPr>
        <w:tabs>
          <w:tab w:val="num" w:pos="902"/>
        </w:tabs>
        <w:ind w:left="902" w:hanging="902"/>
      </w:pPr>
      <w:rPr>
        <w:rFonts w:hint="default"/>
      </w:rPr>
    </w:lvl>
  </w:abstractNum>
  <w:abstractNum w:abstractNumId="19" w15:restartNumberingAfterBreak="0">
    <w:nsid w:val="6B404337"/>
    <w:multiLevelType w:val="multilevel"/>
    <w:tmpl w:val="0C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D617B2B"/>
    <w:multiLevelType w:val="multilevel"/>
    <w:tmpl w:val="BE988648"/>
    <w:styleLink w:val="ACILAllenBulletedlist"/>
    <w:lvl w:ilvl="0">
      <w:start w:val="1"/>
      <w:numFmt w:val="bullet"/>
      <w:pStyle w:val="ListBullet"/>
      <w:lvlText w:val=""/>
      <w:lvlJc w:val="left"/>
      <w:pPr>
        <w:ind w:left="340" w:hanging="340"/>
      </w:pPr>
      <w:rPr>
        <w:rFonts w:ascii="Wingdings" w:hAnsi="Wingdings"/>
        <w:position w:val="-4"/>
        <w:sz w:val="28"/>
      </w:rPr>
    </w:lvl>
    <w:lvl w:ilvl="1">
      <w:start w:val="1"/>
      <w:numFmt w:val="bullet"/>
      <w:pStyle w:val="ListBullet2"/>
      <w:lvlText w:val=""/>
      <w:lvlJc w:val="left"/>
      <w:pPr>
        <w:ind w:left="680" w:hanging="340"/>
      </w:pPr>
      <w:rPr>
        <w:rFonts w:ascii="Wingdings" w:hAnsi="Wingdings" w:hint="default"/>
        <w:position w:val="-2"/>
        <w:sz w:val="24"/>
      </w:rPr>
    </w:lvl>
    <w:lvl w:ilvl="2">
      <w:start w:val="1"/>
      <w:numFmt w:val="bullet"/>
      <w:pStyle w:val="ListBullet3"/>
      <w:lvlText w:val="…"/>
      <w:lvlJc w:val="left"/>
      <w:pPr>
        <w:ind w:left="1020" w:hanging="340"/>
      </w:pPr>
      <w:rPr>
        <w:rFonts w:asciiTheme="minorHAnsi" w:hAnsiTheme="minorHAnsi" w:hint="default"/>
        <w:position w:val="6"/>
      </w:rPr>
    </w:lvl>
    <w:lvl w:ilvl="3">
      <w:start w:val="1"/>
      <w:numFmt w:val="none"/>
      <w:lvlText w:val="%4"/>
      <w:lvlJc w:val="left"/>
      <w:pPr>
        <w:ind w:left="1021" w:hanging="1"/>
      </w:pPr>
      <w:rPr>
        <w:rFonts w:ascii="Garamond" w:hAnsi="Garamond" w:hint="default"/>
      </w:rPr>
    </w:lvl>
    <w:lvl w:ilvl="4">
      <w:start w:val="1"/>
      <w:numFmt w:val="none"/>
      <w:lvlText w:val="%5"/>
      <w:lvlJc w:val="left"/>
      <w:pPr>
        <w:ind w:left="1700" w:hanging="340"/>
      </w:pPr>
      <w:rPr>
        <w:rFonts w:ascii="Garamond" w:hAnsi="Garamond" w:hint="default"/>
      </w:rPr>
    </w:lvl>
    <w:lvl w:ilvl="5">
      <w:start w:val="1"/>
      <w:numFmt w:val="none"/>
      <w:suff w:val="nothing"/>
      <w:lvlText w:val=""/>
      <w:lvlJc w:val="left"/>
      <w:pPr>
        <w:ind w:left="2040" w:hanging="340"/>
      </w:pPr>
      <w:rPr>
        <w:rFonts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21" w15:restartNumberingAfterBreak="0">
    <w:nsid w:val="74907FE1"/>
    <w:multiLevelType w:val="hybridMultilevel"/>
    <w:tmpl w:val="EF02A540"/>
    <w:lvl w:ilvl="0" w:tplc="0D7476D4">
      <w:start w:val="1"/>
      <w:numFmt w:val="bullet"/>
      <w:pStyle w:val="QuoteListBullet"/>
      <w:lvlText w:val="•"/>
      <w:lvlJc w:val="left"/>
      <w:pPr>
        <w:ind w:left="1060" w:hanging="360"/>
      </w:pPr>
      <w:rPr>
        <w:rFonts w:ascii="Century" w:hAnsi="Century" w:cs="Times New Roman" w:hint="default"/>
      </w:rPr>
    </w:lvl>
    <w:lvl w:ilvl="1" w:tplc="2674AA5A" w:tentative="1">
      <w:start w:val="1"/>
      <w:numFmt w:val="bullet"/>
      <w:lvlText w:val="o"/>
      <w:lvlJc w:val="left"/>
      <w:pPr>
        <w:ind w:left="1780" w:hanging="360"/>
      </w:pPr>
      <w:rPr>
        <w:rFonts w:ascii="Courier New" w:hAnsi="Courier New" w:cs="Courier New" w:hint="default"/>
      </w:rPr>
    </w:lvl>
    <w:lvl w:ilvl="2" w:tplc="EC6A1D18" w:tentative="1">
      <w:start w:val="1"/>
      <w:numFmt w:val="bullet"/>
      <w:lvlText w:val=""/>
      <w:lvlJc w:val="left"/>
      <w:pPr>
        <w:ind w:left="2500" w:hanging="360"/>
      </w:pPr>
      <w:rPr>
        <w:rFonts w:ascii="Wingdings" w:hAnsi="Wingdings" w:hint="default"/>
      </w:rPr>
    </w:lvl>
    <w:lvl w:ilvl="3" w:tplc="62CA421E" w:tentative="1">
      <w:start w:val="1"/>
      <w:numFmt w:val="bullet"/>
      <w:lvlText w:val=""/>
      <w:lvlJc w:val="left"/>
      <w:pPr>
        <w:ind w:left="3220" w:hanging="360"/>
      </w:pPr>
      <w:rPr>
        <w:rFonts w:ascii="Symbol" w:hAnsi="Symbol" w:hint="default"/>
      </w:rPr>
    </w:lvl>
    <w:lvl w:ilvl="4" w:tplc="ED3CD158" w:tentative="1">
      <w:start w:val="1"/>
      <w:numFmt w:val="bullet"/>
      <w:lvlText w:val="o"/>
      <w:lvlJc w:val="left"/>
      <w:pPr>
        <w:ind w:left="3940" w:hanging="360"/>
      </w:pPr>
      <w:rPr>
        <w:rFonts w:ascii="Courier New" w:hAnsi="Courier New" w:cs="Courier New" w:hint="default"/>
      </w:rPr>
    </w:lvl>
    <w:lvl w:ilvl="5" w:tplc="CE2CEAA8" w:tentative="1">
      <w:start w:val="1"/>
      <w:numFmt w:val="bullet"/>
      <w:lvlText w:val=""/>
      <w:lvlJc w:val="left"/>
      <w:pPr>
        <w:ind w:left="4660" w:hanging="360"/>
      </w:pPr>
      <w:rPr>
        <w:rFonts w:ascii="Wingdings" w:hAnsi="Wingdings" w:hint="default"/>
      </w:rPr>
    </w:lvl>
    <w:lvl w:ilvl="6" w:tplc="D9820910" w:tentative="1">
      <w:start w:val="1"/>
      <w:numFmt w:val="bullet"/>
      <w:lvlText w:val=""/>
      <w:lvlJc w:val="left"/>
      <w:pPr>
        <w:ind w:left="5380" w:hanging="360"/>
      </w:pPr>
      <w:rPr>
        <w:rFonts w:ascii="Symbol" w:hAnsi="Symbol" w:hint="default"/>
      </w:rPr>
    </w:lvl>
    <w:lvl w:ilvl="7" w:tplc="2D52F2DE" w:tentative="1">
      <w:start w:val="1"/>
      <w:numFmt w:val="bullet"/>
      <w:lvlText w:val="o"/>
      <w:lvlJc w:val="left"/>
      <w:pPr>
        <w:ind w:left="6100" w:hanging="360"/>
      </w:pPr>
      <w:rPr>
        <w:rFonts w:ascii="Courier New" w:hAnsi="Courier New" w:cs="Courier New" w:hint="default"/>
      </w:rPr>
    </w:lvl>
    <w:lvl w:ilvl="8" w:tplc="DB36473E" w:tentative="1">
      <w:start w:val="1"/>
      <w:numFmt w:val="bullet"/>
      <w:lvlText w:val=""/>
      <w:lvlJc w:val="left"/>
      <w:pPr>
        <w:ind w:left="6820" w:hanging="360"/>
      </w:pPr>
      <w:rPr>
        <w:rFonts w:ascii="Wingdings" w:hAnsi="Wingdings" w:hint="default"/>
      </w:rPr>
    </w:lvl>
  </w:abstractNum>
  <w:abstractNum w:abstractNumId="22" w15:restartNumberingAfterBreak="0">
    <w:nsid w:val="7A197097"/>
    <w:multiLevelType w:val="multilevel"/>
    <w:tmpl w:val="8990D484"/>
    <w:styleLink w:val="ACILAllenBoxListNumbering"/>
    <w:lvl w:ilvl="0">
      <w:start w:val="1"/>
      <w:numFmt w:val="decimal"/>
      <w:pStyle w:val="BoxListNumber"/>
      <w:lvlText w:val="%1."/>
      <w:lvlJc w:val="left"/>
      <w:pPr>
        <w:ind w:left="284" w:hanging="284"/>
      </w:pPr>
      <w:rPr>
        <w:rFonts w:asciiTheme="minorHAnsi" w:hAnsiTheme="minorHAnsi" w:hint="default"/>
        <w:caps w:val="0"/>
        <w:strike w:val="0"/>
        <w:dstrike w:val="0"/>
        <w:vanish w:val="0"/>
        <w:color w:val="auto"/>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oxListNumber2"/>
      <w:lvlText w:val="%2)"/>
      <w:lvlJc w:val="left"/>
      <w:pPr>
        <w:ind w:left="567" w:hanging="283"/>
      </w:pPr>
      <w:rPr>
        <w:rFonts w:hint="default"/>
      </w:rPr>
    </w:lvl>
    <w:lvl w:ilvl="2">
      <w:start w:val="1"/>
      <w:numFmt w:val="lowerRoman"/>
      <w:pStyle w:val="Box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7C912616"/>
    <w:multiLevelType w:val="hybridMultilevel"/>
    <w:tmpl w:val="28EA12A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4"/>
  </w:num>
  <w:num w:numId="6">
    <w:abstractNumId w:val="11"/>
  </w:num>
  <w:num w:numId="7">
    <w:abstractNumId w:val="19"/>
  </w:num>
  <w:num w:numId="8">
    <w:abstractNumId w:val="16"/>
  </w:num>
  <w:num w:numId="9">
    <w:abstractNumId w:val="21"/>
  </w:num>
  <w:num w:numId="10">
    <w:abstractNumId w:val="13"/>
  </w:num>
  <w:num w:numId="11">
    <w:abstractNumId w:val="22"/>
  </w:num>
  <w:num w:numId="12">
    <w:abstractNumId w:val="4"/>
  </w:num>
  <w:num w:numId="13">
    <w:abstractNumId w:val="17"/>
  </w:num>
  <w:num w:numId="14">
    <w:abstractNumId w:val="20"/>
  </w:num>
  <w:num w:numId="15">
    <w:abstractNumId w:val="7"/>
  </w:num>
  <w:num w:numId="16">
    <w:abstractNumId w:val="8"/>
  </w:num>
  <w:num w:numId="17">
    <w:abstractNumId w:val="6"/>
  </w:num>
  <w:num w:numId="18">
    <w:abstractNumId w:val="12"/>
  </w:num>
  <w:num w:numId="19">
    <w:abstractNumId w:val="10"/>
  </w:num>
  <w:num w:numId="20">
    <w:abstractNumId w:val="18"/>
  </w:num>
  <w:num w:numId="21">
    <w:abstractNumId w:val="5"/>
  </w:num>
  <w:num w:numId="22">
    <w:abstractNumId w:val="9"/>
  </w:num>
  <w:num w:numId="23">
    <w:abstractNumId w:val="15"/>
  </w:num>
  <w:num w:numId="24">
    <w:abstractNumId w:val="22"/>
  </w:num>
  <w:num w:numId="25">
    <w:abstractNumId w:val="4"/>
  </w:num>
  <w:num w:numId="26">
    <w:abstractNumId w:val="20"/>
  </w:num>
  <w:num w:numId="27">
    <w:abstractNumId w:val="13"/>
  </w:num>
  <w:num w:numId="28">
    <w:abstractNumId w:val="17"/>
  </w:num>
  <w:num w:numId="29">
    <w:abstractNumId w:val="18"/>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AU" w:vendorID="8" w:dllVersion="513" w:checkStyle="1"/>
  <w:activeWritingStyle w:appName="MSWord" w:lang="en-US" w:vendorID="8" w:dllVersion="513" w:checkStyle="1"/>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efaultTabStop w:val="902"/>
  <w:clickAndTypeStyle w:val="BodyText"/>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17F"/>
    <w:rsid w:val="0000046D"/>
    <w:rsid w:val="00000559"/>
    <w:rsid w:val="00000948"/>
    <w:rsid w:val="00002136"/>
    <w:rsid w:val="00002E51"/>
    <w:rsid w:val="00003E03"/>
    <w:rsid w:val="00004042"/>
    <w:rsid w:val="00004B40"/>
    <w:rsid w:val="0000566D"/>
    <w:rsid w:val="00005AC1"/>
    <w:rsid w:val="00006363"/>
    <w:rsid w:val="00006400"/>
    <w:rsid w:val="0000663D"/>
    <w:rsid w:val="00006C06"/>
    <w:rsid w:val="00006C8F"/>
    <w:rsid w:val="00007236"/>
    <w:rsid w:val="000072CB"/>
    <w:rsid w:val="0000736D"/>
    <w:rsid w:val="00007B88"/>
    <w:rsid w:val="00007C78"/>
    <w:rsid w:val="0001012F"/>
    <w:rsid w:val="00010218"/>
    <w:rsid w:val="00010465"/>
    <w:rsid w:val="000105BD"/>
    <w:rsid w:val="000106A0"/>
    <w:rsid w:val="000112FC"/>
    <w:rsid w:val="00011609"/>
    <w:rsid w:val="00011802"/>
    <w:rsid w:val="000123D9"/>
    <w:rsid w:val="0001284D"/>
    <w:rsid w:val="00012B56"/>
    <w:rsid w:val="00012BCD"/>
    <w:rsid w:val="0001331B"/>
    <w:rsid w:val="00013650"/>
    <w:rsid w:val="000136F0"/>
    <w:rsid w:val="00013881"/>
    <w:rsid w:val="00013FBB"/>
    <w:rsid w:val="00014979"/>
    <w:rsid w:val="00014E1C"/>
    <w:rsid w:val="00015505"/>
    <w:rsid w:val="00015725"/>
    <w:rsid w:val="00015A92"/>
    <w:rsid w:val="00015BB6"/>
    <w:rsid w:val="000169D3"/>
    <w:rsid w:val="00016B2F"/>
    <w:rsid w:val="000177D8"/>
    <w:rsid w:val="00017A12"/>
    <w:rsid w:val="00017DD2"/>
    <w:rsid w:val="00020428"/>
    <w:rsid w:val="0002132D"/>
    <w:rsid w:val="00022213"/>
    <w:rsid w:val="00022A6A"/>
    <w:rsid w:val="000236F1"/>
    <w:rsid w:val="000237AA"/>
    <w:rsid w:val="00023F8E"/>
    <w:rsid w:val="00024926"/>
    <w:rsid w:val="0002509B"/>
    <w:rsid w:val="000264D1"/>
    <w:rsid w:val="00027353"/>
    <w:rsid w:val="00027498"/>
    <w:rsid w:val="00027782"/>
    <w:rsid w:val="0002788B"/>
    <w:rsid w:val="00027E91"/>
    <w:rsid w:val="000312A2"/>
    <w:rsid w:val="0003171E"/>
    <w:rsid w:val="0003234D"/>
    <w:rsid w:val="000328EF"/>
    <w:rsid w:val="00032A3B"/>
    <w:rsid w:val="00032A61"/>
    <w:rsid w:val="00032E53"/>
    <w:rsid w:val="000334E6"/>
    <w:rsid w:val="00033F6D"/>
    <w:rsid w:val="00034AA2"/>
    <w:rsid w:val="00035B52"/>
    <w:rsid w:val="00035BF2"/>
    <w:rsid w:val="00036035"/>
    <w:rsid w:val="00036A58"/>
    <w:rsid w:val="00036E22"/>
    <w:rsid w:val="000370A1"/>
    <w:rsid w:val="00037A1A"/>
    <w:rsid w:val="00040415"/>
    <w:rsid w:val="00041020"/>
    <w:rsid w:val="00041346"/>
    <w:rsid w:val="00041446"/>
    <w:rsid w:val="00041A27"/>
    <w:rsid w:val="00041D4B"/>
    <w:rsid w:val="000421C6"/>
    <w:rsid w:val="0004299F"/>
    <w:rsid w:val="00044119"/>
    <w:rsid w:val="0004427B"/>
    <w:rsid w:val="00044468"/>
    <w:rsid w:val="00044612"/>
    <w:rsid w:val="00044BFD"/>
    <w:rsid w:val="00044CBA"/>
    <w:rsid w:val="00045700"/>
    <w:rsid w:val="00046832"/>
    <w:rsid w:val="00046DA1"/>
    <w:rsid w:val="00047275"/>
    <w:rsid w:val="00051252"/>
    <w:rsid w:val="000518F6"/>
    <w:rsid w:val="00051A15"/>
    <w:rsid w:val="00051DDB"/>
    <w:rsid w:val="0005236E"/>
    <w:rsid w:val="0005259D"/>
    <w:rsid w:val="00052939"/>
    <w:rsid w:val="00052E59"/>
    <w:rsid w:val="000538B3"/>
    <w:rsid w:val="00053D21"/>
    <w:rsid w:val="000542F8"/>
    <w:rsid w:val="00054918"/>
    <w:rsid w:val="00055558"/>
    <w:rsid w:val="0005577F"/>
    <w:rsid w:val="00055891"/>
    <w:rsid w:val="00056996"/>
    <w:rsid w:val="00056AE7"/>
    <w:rsid w:val="00056BC6"/>
    <w:rsid w:val="0005710E"/>
    <w:rsid w:val="00057842"/>
    <w:rsid w:val="00057983"/>
    <w:rsid w:val="00057C81"/>
    <w:rsid w:val="00057E45"/>
    <w:rsid w:val="000605A7"/>
    <w:rsid w:val="0006074A"/>
    <w:rsid w:val="00060CDD"/>
    <w:rsid w:val="00061115"/>
    <w:rsid w:val="000617BE"/>
    <w:rsid w:val="00061DDB"/>
    <w:rsid w:val="000625A6"/>
    <w:rsid w:val="00062653"/>
    <w:rsid w:val="00062699"/>
    <w:rsid w:val="00063605"/>
    <w:rsid w:val="000639C2"/>
    <w:rsid w:val="00063FEC"/>
    <w:rsid w:val="0006461D"/>
    <w:rsid w:val="00065416"/>
    <w:rsid w:val="00065DC0"/>
    <w:rsid w:val="00066725"/>
    <w:rsid w:val="0006690D"/>
    <w:rsid w:val="00066F56"/>
    <w:rsid w:val="00070285"/>
    <w:rsid w:val="00071534"/>
    <w:rsid w:val="00071EFD"/>
    <w:rsid w:val="000729F9"/>
    <w:rsid w:val="00072F4B"/>
    <w:rsid w:val="00075909"/>
    <w:rsid w:val="000760EB"/>
    <w:rsid w:val="0007612E"/>
    <w:rsid w:val="00076300"/>
    <w:rsid w:val="000765A4"/>
    <w:rsid w:val="00077484"/>
    <w:rsid w:val="00077E2B"/>
    <w:rsid w:val="00077FD4"/>
    <w:rsid w:val="0008083E"/>
    <w:rsid w:val="000809A2"/>
    <w:rsid w:val="00080A48"/>
    <w:rsid w:val="0008204D"/>
    <w:rsid w:val="00082611"/>
    <w:rsid w:val="00082721"/>
    <w:rsid w:val="000828C6"/>
    <w:rsid w:val="0008395D"/>
    <w:rsid w:val="00083A42"/>
    <w:rsid w:val="00083B15"/>
    <w:rsid w:val="00083E33"/>
    <w:rsid w:val="00085602"/>
    <w:rsid w:val="00085AE8"/>
    <w:rsid w:val="00085E9A"/>
    <w:rsid w:val="00085FC8"/>
    <w:rsid w:val="00086357"/>
    <w:rsid w:val="00086888"/>
    <w:rsid w:val="000878BE"/>
    <w:rsid w:val="000878E2"/>
    <w:rsid w:val="0009069E"/>
    <w:rsid w:val="000918B6"/>
    <w:rsid w:val="00092F7A"/>
    <w:rsid w:val="00093175"/>
    <w:rsid w:val="000935B7"/>
    <w:rsid w:val="00093AA2"/>
    <w:rsid w:val="00094669"/>
    <w:rsid w:val="00094679"/>
    <w:rsid w:val="000948AA"/>
    <w:rsid w:val="000949F2"/>
    <w:rsid w:val="00094D19"/>
    <w:rsid w:val="000955EA"/>
    <w:rsid w:val="00096062"/>
    <w:rsid w:val="000963AF"/>
    <w:rsid w:val="00096D4E"/>
    <w:rsid w:val="00096F64"/>
    <w:rsid w:val="000970BB"/>
    <w:rsid w:val="00097336"/>
    <w:rsid w:val="00097DCF"/>
    <w:rsid w:val="000A1ABC"/>
    <w:rsid w:val="000A1E51"/>
    <w:rsid w:val="000A1F5C"/>
    <w:rsid w:val="000A2791"/>
    <w:rsid w:val="000A28C6"/>
    <w:rsid w:val="000A2A65"/>
    <w:rsid w:val="000A33F9"/>
    <w:rsid w:val="000A353E"/>
    <w:rsid w:val="000A43F3"/>
    <w:rsid w:val="000A5B22"/>
    <w:rsid w:val="000A60B2"/>
    <w:rsid w:val="000A68E3"/>
    <w:rsid w:val="000A6DD2"/>
    <w:rsid w:val="000A6EC1"/>
    <w:rsid w:val="000A7691"/>
    <w:rsid w:val="000B016B"/>
    <w:rsid w:val="000B0871"/>
    <w:rsid w:val="000B0906"/>
    <w:rsid w:val="000B1C1D"/>
    <w:rsid w:val="000B1C6E"/>
    <w:rsid w:val="000B1EB2"/>
    <w:rsid w:val="000B20BB"/>
    <w:rsid w:val="000B2F0A"/>
    <w:rsid w:val="000B313E"/>
    <w:rsid w:val="000B3612"/>
    <w:rsid w:val="000B3813"/>
    <w:rsid w:val="000B47A8"/>
    <w:rsid w:val="000B4896"/>
    <w:rsid w:val="000B58EB"/>
    <w:rsid w:val="000B5D67"/>
    <w:rsid w:val="000B61C8"/>
    <w:rsid w:val="000B7DD9"/>
    <w:rsid w:val="000C02D5"/>
    <w:rsid w:val="000C037F"/>
    <w:rsid w:val="000C041E"/>
    <w:rsid w:val="000C0A7E"/>
    <w:rsid w:val="000C0F8A"/>
    <w:rsid w:val="000C1C10"/>
    <w:rsid w:val="000C1CEC"/>
    <w:rsid w:val="000C2578"/>
    <w:rsid w:val="000C2BE2"/>
    <w:rsid w:val="000C3386"/>
    <w:rsid w:val="000C39CE"/>
    <w:rsid w:val="000C3FD1"/>
    <w:rsid w:val="000C45C8"/>
    <w:rsid w:val="000C55C6"/>
    <w:rsid w:val="000C6126"/>
    <w:rsid w:val="000C79BE"/>
    <w:rsid w:val="000D041D"/>
    <w:rsid w:val="000D0752"/>
    <w:rsid w:val="000D089C"/>
    <w:rsid w:val="000D0A2E"/>
    <w:rsid w:val="000D0B31"/>
    <w:rsid w:val="000D0ED6"/>
    <w:rsid w:val="000D1108"/>
    <w:rsid w:val="000D16F7"/>
    <w:rsid w:val="000D1869"/>
    <w:rsid w:val="000D2199"/>
    <w:rsid w:val="000D232D"/>
    <w:rsid w:val="000D2419"/>
    <w:rsid w:val="000D4577"/>
    <w:rsid w:val="000D4961"/>
    <w:rsid w:val="000D4E9F"/>
    <w:rsid w:val="000D569D"/>
    <w:rsid w:val="000D5822"/>
    <w:rsid w:val="000D5E5E"/>
    <w:rsid w:val="000D5EC6"/>
    <w:rsid w:val="000D64F2"/>
    <w:rsid w:val="000D6870"/>
    <w:rsid w:val="000D7296"/>
    <w:rsid w:val="000D74B4"/>
    <w:rsid w:val="000D76C5"/>
    <w:rsid w:val="000E09EE"/>
    <w:rsid w:val="000E0ABB"/>
    <w:rsid w:val="000E1172"/>
    <w:rsid w:val="000E2063"/>
    <w:rsid w:val="000E21BF"/>
    <w:rsid w:val="000E3A19"/>
    <w:rsid w:val="000E443B"/>
    <w:rsid w:val="000E5087"/>
    <w:rsid w:val="000E5371"/>
    <w:rsid w:val="000E58B0"/>
    <w:rsid w:val="000E5F92"/>
    <w:rsid w:val="000E6099"/>
    <w:rsid w:val="000E62CF"/>
    <w:rsid w:val="000E6C41"/>
    <w:rsid w:val="000E6D8A"/>
    <w:rsid w:val="000E73C7"/>
    <w:rsid w:val="000E7849"/>
    <w:rsid w:val="000F0067"/>
    <w:rsid w:val="000F05FD"/>
    <w:rsid w:val="000F0BEF"/>
    <w:rsid w:val="000F1DBC"/>
    <w:rsid w:val="000F1FE5"/>
    <w:rsid w:val="000F21F5"/>
    <w:rsid w:val="000F2207"/>
    <w:rsid w:val="000F2C20"/>
    <w:rsid w:val="000F2E3B"/>
    <w:rsid w:val="000F3384"/>
    <w:rsid w:val="000F3464"/>
    <w:rsid w:val="000F3563"/>
    <w:rsid w:val="000F416E"/>
    <w:rsid w:val="000F4AFE"/>
    <w:rsid w:val="000F4C77"/>
    <w:rsid w:val="000F5106"/>
    <w:rsid w:val="000F5130"/>
    <w:rsid w:val="000F63DF"/>
    <w:rsid w:val="000F648A"/>
    <w:rsid w:val="000F660C"/>
    <w:rsid w:val="000F71CF"/>
    <w:rsid w:val="000F7778"/>
    <w:rsid w:val="000F787D"/>
    <w:rsid w:val="00100957"/>
    <w:rsid w:val="00100A3D"/>
    <w:rsid w:val="00100CAC"/>
    <w:rsid w:val="001029C7"/>
    <w:rsid w:val="00103E70"/>
    <w:rsid w:val="00103F3B"/>
    <w:rsid w:val="00105D32"/>
    <w:rsid w:val="00105F7E"/>
    <w:rsid w:val="001061B1"/>
    <w:rsid w:val="00107275"/>
    <w:rsid w:val="00110508"/>
    <w:rsid w:val="001110FC"/>
    <w:rsid w:val="00111B4A"/>
    <w:rsid w:val="00112820"/>
    <w:rsid w:val="00112C69"/>
    <w:rsid w:val="00113E7C"/>
    <w:rsid w:val="00114070"/>
    <w:rsid w:val="00114513"/>
    <w:rsid w:val="0011510E"/>
    <w:rsid w:val="001154B8"/>
    <w:rsid w:val="001170BF"/>
    <w:rsid w:val="0011769E"/>
    <w:rsid w:val="00117BE8"/>
    <w:rsid w:val="0012092F"/>
    <w:rsid w:val="00120EA9"/>
    <w:rsid w:val="001212AE"/>
    <w:rsid w:val="001212AF"/>
    <w:rsid w:val="00121594"/>
    <w:rsid w:val="001215A0"/>
    <w:rsid w:val="00121E7F"/>
    <w:rsid w:val="0012204F"/>
    <w:rsid w:val="001222CF"/>
    <w:rsid w:val="001228F7"/>
    <w:rsid w:val="00124245"/>
    <w:rsid w:val="001243C8"/>
    <w:rsid w:val="00124F1A"/>
    <w:rsid w:val="00124FCE"/>
    <w:rsid w:val="00125287"/>
    <w:rsid w:val="00125B64"/>
    <w:rsid w:val="00126062"/>
    <w:rsid w:val="0012693A"/>
    <w:rsid w:val="00126D3F"/>
    <w:rsid w:val="001270E4"/>
    <w:rsid w:val="0012754C"/>
    <w:rsid w:val="00127C13"/>
    <w:rsid w:val="00127F42"/>
    <w:rsid w:val="0013094A"/>
    <w:rsid w:val="00130ED9"/>
    <w:rsid w:val="001316DD"/>
    <w:rsid w:val="00131CAC"/>
    <w:rsid w:val="00131FE6"/>
    <w:rsid w:val="00132291"/>
    <w:rsid w:val="00132571"/>
    <w:rsid w:val="001326D8"/>
    <w:rsid w:val="0013304B"/>
    <w:rsid w:val="00133715"/>
    <w:rsid w:val="00133D7F"/>
    <w:rsid w:val="00134A56"/>
    <w:rsid w:val="00134DE4"/>
    <w:rsid w:val="001352C6"/>
    <w:rsid w:val="001356EE"/>
    <w:rsid w:val="00136464"/>
    <w:rsid w:val="001365B3"/>
    <w:rsid w:val="00137ACD"/>
    <w:rsid w:val="00137CAC"/>
    <w:rsid w:val="0014015A"/>
    <w:rsid w:val="0014028B"/>
    <w:rsid w:val="001408F3"/>
    <w:rsid w:val="00140F6F"/>
    <w:rsid w:val="001411E3"/>
    <w:rsid w:val="00142339"/>
    <w:rsid w:val="00142B98"/>
    <w:rsid w:val="00142C38"/>
    <w:rsid w:val="00143BDB"/>
    <w:rsid w:val="00145BB3"/>
    <w:rsid w:val="0014609A"/>
    <w:rsid w:val="001463FC"/>
    <w:rsid w:val="00146E90"/>
    <w:rsid w:val="00147385"/>
    <w:rsid w:val="00147674"/>
    <w:rsid w:val="001477F7"/>
    <w:rsid w:val="0014781D"/>
    <w:rsid w:val="00150E7D"/>
    <w:rsid w:val="00151754"/>
    <w:rsid w:val="00153200"/>
    <w:rsid w:val="001537C2"/>
    <w:rsid w:val="00153C01"/>
    <w:rsid w:val="001540AD"/>
    <w:rsid w:val="00154834"/>
    <w:rsid w:val="00154999"/>
    <w:rsid w:val="00154EB0"/>
    <w:rsid w:val="00155BCE"/>
    <w:rsid w:val="00155CE4"/>
    <w:rsid w:val="001564C1"/>
    <w:rsid w:val="00156F6C"/>
    <w:rsid w:val="00157EF2"/>
    <w:rsid w:val="00160E03"/>
    <w:rsid w:val="00160E0D"/>
    <w:rsid w:val="00161ED8"/>
    <w:rsid w:val="0016244C"/>
    <w:rsid w:val="00163331"/>
    <w:rsid w:val="00163BA3"/>
    <w:rsid w:val="00163DAB"/>
    <w:rsid w:val="00163F44"/>
    <w:rsid w:val="00163FC2"/>
    <w:rsid w:val="00164D0A"/>
    <w:rsid w:val="00165BC1"/>
    <w:rsid w:val="001669A0"/>
    <w:rsid w:val="0016737E"/>
    <w:rsid w:val="00167BFA"/>
    <w:rsid w:val="00167D09"/>
    <w:rsid w:val="00167E48"/>
    <w:rsid w:val="00170270"/>
    <w:rsid w:val="001705AE"/>
    <w:rsid w:val="001707C6"/>
    <w:rsid w:val="001710F9"/>
    <w:rsid w:val="00171E64"/>
    <w:rsid w:val="00172182"/>
    <w:rsid w:val="00172197"/>
    <w:rsid w:val="001723F3"/>
    <w:rsid w:val="0017329E"/>
    <w:rsid w:val="00173543"/>
    <w:rsid w:val="00173564"/>
    <w:rsid w:val="00173801"/>
    <w:rsid w:val="00174D39"/>
    <w:rsid w:val="00174D86"/>
    <w:rsid w:val="00174F2A"/>
    <w:rsid w:val="001751DA"/>
    <w:rsid w:val="0017642D"/>
    <w:rsid w:val="00176CF4"/>
    <w:rsid w:val="00177405"/>
    <w:rsid w:val="00180993"/>
    <w:rsid w:val="00180AC7"/>
    <w:rsid w:val="00182A0A"/>
    <w:rsid w:val="00183157"/>
    <w:rsid w:val="00183EA8"/>
    <w:rsid w:val="0018516F"/>
    <w:rsid w:val="0018527D"/>
    <w:rsid w:val="00185A9D"/>
    <w:rsid w:val="00185B21"/>
    <w:rsid w:val="00185F69"/>
    <w:rsid w:val="001860E4"/>
    <w:rsid w:val="00186DD0"/>
    <w:rsid w:val="0018702E"/>
    <w:rsid w:val="00187857"/>
    <w:rsid w:val="0019094D"/>
    <w:rsid w:val="001909A8"/>
    <w:rsid w:val="00190A20"/>
    <w:rsid w:val="00190F90"/>
    <w:rsid w:val="00190FFD"/>
    <w:rsid w:val="001928EF"/>
    <w:rsid w:val="001929AB"/>
    <w:rsid w:val="00192D0E"/>
    <w:rsid w:val="00192E84"/>
    <w:rsid w:val="001934E3"/>
    <w:rsid w:val="00193933"/>
    <w:rsid w:val="00194049"/>
    <w:rsid w:val="00194DDF"/>
    <w:rsid w:val="00195065"/>
    <w:rsid w:val="0019587D"/>
    <w:rsid w:val="00196AC0"/>
    <w:rsid w:val="00196AEA"/>
    <w:rsid w:val="00196D42"/>
    <w:rsid w:val="00196DA0"/>
    <w:rsid w:val="00196E30"/>
    <w:rsid w:val="00197106"/>
    <w:rsid w:val="001972DA"/>
    <w:rsid w:val="0019780E"/>
    <w:rsid w:val="0019791B"/>
    <w:rsid w:val="00197A58"/>
    <w:rsid w:val="00197C26"/>
    <w:rsid w:val="001A07AE"/>
    <w:rsid w:val="001A0833"/>
    <w:rsid w:val="001A1278"/>
    <w:rsid w:val="001A1FBF"/>
    <w:rsid w:val="001A3A45"/>
    <w:rsid w:val="001A3B74"/>
    <w:rsid w:val="001A4326"/>
    <w:rsid w:val="001A4366"/>
    <w:rsid w:val="001A4845"/>
    <w:rsid w:val="001A4B03"/>
    <w:rsid w:val="001A4DD9"/>
    <w:rsid w:val="001A506C"/>
    <w:rsid w:val="001A57A2"/>
    <w:rsid w:val="001A583F"/>
    <w:rsid w:val="001A5A4B"/>
    <w:rsid w:val="001A691C"/>
    <w:rsid w:val="001A759A"/>
    <w:rsid w:val="001B016C"/>
    <w:rsid w:val="001B0542"/>
    <w:rsid w:val="001B076A"/>
    <w:rsid w:val="001B1102"/>
    <w:rsid w:val="001B14CA"/>
    <w:rsid w:val="001B1599"/>
    <w:rsid w:val="001B1675"/>
    <w:rsid w:val="001B1C96"/>
    <w:rsid w:val="001B30E6"/>
    <w:rsid w:val="001B30F2"/>
    <w:rsid w:val="001B4630"/>
    <w:rsid w:val="001B4B80"/>
    <w:rsid w:val="001B51B0"/>
    <w:rsid w:val="001B5633"/>
    <w:rsid w:val="001B6116"/>
    <w:rsid w:val="001B6B68"/>
    <w:rsid w:val="001B6CEA"/>
    <w:rsid w:val="001B7453"/>
    <w:rsid w:val="001B7719"/>
    <w:rsid w:val="001B78D6"/>
    <w:rsid w:val="001C0B4C"/>
    <w:rsid w:val="001C0D6B"/>
    <w:rsid w:val="001C1638"/>
    <w:rsid w:val="001C18B1"/>
    <w:rsid w:val="001C4048"/>
    <w:rsid w:val="001C4BBE"/>
    <w:rsid w:val="001C5829"/>
    <w:rsid w:val="001C5FCB"/>
    <w:rsid w:val="001C6182"/>
    <w:rsid w:val="001C638B"/>
    <w:rsid w:val="001C6450"/>
    <w:rsid w:val="001C72F3"/>
    <w:rsid w:val="001D03DD"/>
    <w:rsid w:val="001D0D96"/>
    <w:rsid w:val="001D0E75"/>
    <w:rsid w:val="001D1074"/>
    <w:rsid w:val="001D129D"/>
    <w:rsid w:val="001D12A0"/>
    <w:rsid w:val="001D14DA"/>
    <w:rsid w:val="001D1EF8"/>
    <w:rsid w:val="001D2022"/>
    <w:rsid w:val="001D25B5"/>
    <w:rsid w:val="001D2824"/>
    <w:rsid w:val="001D443B"/>
    <w:rsid w:val="001D497D"/>
    <w:rsid w:val="001D4BCE"/>
    <w:rsid w:val="001D5471"/>
    <w:rsid w:val="001D65AF"/>
    <w:rsid w:val="001D6983"/>
    <w:rsid w:val="001D6EAD"/>
    <w:rsid w:val="001D7253"/>
    <w:rsid w:val="001D7652"/>
    <w:rsid w:val="001D78C2"/>
    <w:rsid w:val="001D7B08"/>
    <w:rsid w:val="001D7F06"/>
    <w:rsid w:val="001E0B61"/>
    <w:rsid w:val="001E0E36"/>
    <w:rsid w:val="001E102F"/>
    <w:rsid w:val="001E1947"/>
    <w:rsid w:val="001E1D95"/>
    <w:rsid w:val="001E1E1C"/>
    <w:rsid w:val="001E29BE"/>
    <w:rsid w:val="001E31EB"/>
    <w:rsid w:val="001E3832"/>
    <w:rsid w:val="001E5901"/>
    <w:rsid w:val="001E5E82"/>
    <w:rsid w:val="001E6345"/>
    <w:rsid w:val="001E6C14"/>
    <w:rsid w:val="001E72B2"/>
    <w:rsid w:val="001E73A3"/>
    <w:rsid w:val="001E7FD5"/>
    <w:rsid w:val="001F0A2F"/>
    <w:rsid w:val="001F1909"/>
    <w:rsid w:val="001F1B54"/>
    <w:rsid w:val="001F244E"/>
    <w:rsid w:val="001F283A"/>
    <w:rsid w:val="001F2C7C"/>
    <w:rsid w:val="001F2DE3"/>
    <w:rsid w:val="001F34E0"/>
    <w:rsid w:val="001F3A05"/>
    <w:rsid w:val="001F3CAD"/>
    <w:rsid w:val="001F3DA7"/>
    <w:rsid w:val="001F3FF2"/>
    <w:rsid w:val="001F42CA"/>
    <w:rsid w:val="001F5054"/>
    <w:rsid w:val="001F50FF"/>
    <w:rsid w:val="001F5990"/>
    <w:rsid w:val="001F5F95"/>
    <w:rsid w:val="001F67C6"/>
    <w:rsid w:val="001F6EAD"/>
    <w:rsid w:val="001F762E"/>
    <w:rsid w:val="002007D6"/>
    <w:rsid w:val="002010CA"/>
    <w:rsid w:val="002015DE"/>
    <w:rsid w:val="002019B4"/>
    <w:rsid w:val="00202D37"/>
    <w:rsid w:val="00202D57"/>
    <w:rsid w:val="0020324A"/>
    <w:rsid w:val="00204B45"/>
    <w:rsid w:val="00204EC2"/>
    <w:rsid w:val="00204EF6"/>
    <w:rsid w:val="00205613"/>
    <w:rsid w:val="002058C9"/>
    <w:rsid w:val="00207BF9"/>
    <w:rsid w:val="00207DA7"/>
    <w:rsid w:val="00210936"/>
    <w:rsid w:val="002110CE"/>
    <w:rsid w:val="00211324"/>
    <w:rsid w:val="00211929"/>
    <w:rsid w:val="002120F6"/>
    <w:rsid w:val="00212830"/>
    <w:rsid w:val="00215872"/>
    <w:rsid w:val="002158DB"/>
    <w:rsid w:val="002160F3"/>
    <w:rsid w:val="002164BE"/>
    <w:rsid w:val="002177CA"/>
    <w:rsid w:val="002179D6"/>
    <w:rsid w:val="00217BEB"/>
    <w:rsid w:val="00217E52"/>
    <w:rsid w:val="002209DD"/>
    <w:rsid w:val="00220A5C"/>
    <w:rsid w:val="00221649"/>
    <w:rsid w:val="002217E2"/>
    <w:rsid w:val="002218D2"/>
    <w:rsid w:val="00222167"/>
    <w:rsid w:val="00222383"/>
    <w:rsid w:val="00222F74"/>
    <w:rsid w:val="00223197"/>
    <w:rsid w:val="00223208"/>
    <w:rsid w:val="002234C4"/>
    <w:rsid w:val="00224055"/>
    <w:rsid w:val="00224254"/>
    <w:rsid w:val="002242C7"/>
    <w:rsid w:val="002249D6"/>
    <w:rsid w:val="00224FFC"/>
    <w:rsid w:val="00224FFD"/>
    <w:rsid w:val="002253F4"/>
    <w:rsid w:val="002254BC"/>
    <w:rsid w:val="00225A42"/>
    <w:rsid w:val="00226419"/>
    <w:rsid w:val="00226545"/>
    <w:rsid w:val="00226D20"/>
    <w:rsid w:val="00227776"/>
    <w:rsid w:val="00230484"/>
    <w:rsid w:val="002304F5"/>
    <w:rsid w:val="00230CE1"/>
    <w:rsid w:val="00231081"/>
    <w:rsid w:val="00231325"/>
    <w:rsid w:val="00231700"/>
    <w:rsid w:val="00231F24"/>
    <w:rsid w:val="0023240F"/>
    <w:rsid w:val="00232DAD"/>
    <w:rsid w:val="002331A0"/>
    <w:rsid w:val="0023392C"/>
    <w:rsid w:val="00233FF6"/>
    <w:rsid w:val="0023401F"/>
    <w:rsid w:val="00235A7E"/>
    <w:rsid w:val="00235B0F"/>
    <w:rsid w:val="0023635B"/>
    <w:rsid w:val="00237EB1"/>
    <w:rsid w:val="00237FD8"/>
    <w:rsid w:val="0024019A"/>
    <w:rsid w:val="00240227"/>
    <w:rsid w:val="00240C30"/>
    <w:rsid w:val="002411A4"/>
    <w:rsid w:val="00241216"/>
    <w:rsid w:val="002420FE"/>
    <w:rsid w:val="00242751"/>
    <w:rsid w:val="002434DE"/>
    <w:rsid w:val="00243B4F"/>
    <w:rsid w:val="00244DB8"/>
    <w:rsid w:val="0024581D"/>
    <w:rsid w:val="00245909"/>
    <w:rsid w:val="00246127"/>
    <w:rsid w:val="0024614C"/>
    <w:rsid w:val="00246717"/>
    <w:rsid w:val="0024677F"/>
    <w:rsid w:val="00247AC8"/>
    <w:rsid w:val="00247CA8"/>
    <w:rsid w:val="002507DA"/>
    <w:rsid w:val="00250EEA"/>
    <w:rsid w:val="00250FE7"/>
    <w:rsid w:val="0025173F"/>
    <w:rsid w:val="002517FA"/>
    <w:rsid w:val="00252673"/>
    <w:rsid w:val="002529AE"/>
    <w:rsid w:val="002542FC"/>
    <w:rsid w:val="002544CB"/>
    <w:rsid w:val="002549C9"/>
    <w:rsid w:val="002549DB"/>
    <w:rsid w:val="00254B2A"/>
    <w:rsid w:val="00254F81"/>
    <w:rsid w:val="00255018"/>
    <w:rsid w:val="0025509C"/>
    <w:rsid w:val="00255237"/>
    <w:rsid w:val="0025642B"/>
    <w:rsid w:val="002564E2"/>
    <w:rsid w:val="00256693"/>
    <w:rsid w:val="00256EF4"/>
    <w:rsid w:val="00257095"/>
    <w:rsid w:val="00257104"/>
    <w:rsid w:val="00257265"/>
    <w:rsid w:val="0025753D"/>
    <w:rsid w:val="00260039"/>
    <w:rsid w:val="002619D7"/>
    <w:rsid w:val="00262727"/>
    <w:rsid w:val="002627B2"/>
    <w:rsid w:val="00262C34"/>
    <w:rsid w:val="00262E61"/>
    <w:rsid w:val="00262E8E"/>
    <w:rsid w:val="00263398"/>
    <w:rsid w:val="00263662"/>
    <w:rsid w:val="00263D3E"/>
    <w:rsid w:val="002646EE"/>
    <w:rsid w:val="00264D8D"/>
    <w:rsid w:val="00265703"/>
    <w:rsid w:val="0026591D"/>
    <w:rsid w:val="00265BC8"/>
    <w:rsid w:val="00265F13"/>
    <w:rsid w:val="00266258"/>
    <w:rsid w:val="00266CA5"/>
    <w:rsid w:val="00267E50"/>
    <w:rsid w:val="00267EB3"/>
    <w:rsid w:val="002705E9"/>
    <w:rsid w:val="00270B9B"/>
    <w:rsid w:val="0027109A"/>
    <w:rsid w:val="002719EC"/>
    <w:rsid w:val="002727BE"/>
    <w:rsid w:val="00273883"/>
    <w:rsid w:val="00273B45"/>
    <w:rsid w:val="002746B5"/>
    <w:rsid w:val="00274EA1"/>
    <w:rsid w:val="00276093"/>
    <w:rsid w:val="00276484"/>
    <w:rsid w:val="0027650C"/>
    <w:rsid w:val="00276A03"/>
    <w:rsid w:val="00276CA0"/>
    <w:rsid w:val="0027704A"/>
    <w:rsid w:val="00280A2F"/>
    <w:rsid w:val="00281464"/>
    <w:rsid w:val="00281612"/>
    <w:rsid w:val="0028198A"/>
    <w:rsid w:val="00281D95"/>
    <w:rsid w:val="00283205"/>
    <w:rsid w:val="00283BB3"/>
    <w:rsid w:val="00284C30"/>
    <w:rsid w:val="0028568F"/>
    <w:rsid w:val="002861A4"/>
    <w:rsid w:val="00286540"/>
    <w:rsid w:val="0028665F"/>
    <w:rsid w:val="00286864"/>
    <w:rsid w:val="0028689C"/>
    <w:rsid w:val="002870D8"/>
    <w:rsid w:val="00287ECF"/>
    <w:rsid w:val="00287F9F"/>
    <w:rsid w:val="002916ED"/>
    <w:rsid w:val="00291B6A"/>
    <w:rsid w:val="00291C45"/>
    <w:rsid w:val="002923C2"/>
    <w:rsid w:val="00292C5B"/>
    <w:rsid w:val="00293631"/>
    <w:rsid w:val="00293CA3"/>
    <w:rsid w:val="00293D0E"/>
    <w:rsid w:val="00294A5A"/>
    <w:rsid w:val="00294A97"/>
    <w:rsid w:val="0029538B"/>
    <w:rsid w:val="0029559B"/>
    <w:rsid w:val="00295BBD"/>
    <w:rsid w:val="002963A0"/>
    <w:rsid w:val="00296C77"/>
    <w:rsid w:val="00296E82"/>
    <w:rsid w:val="00297692"/>
    <w:rsid w:val="00297858"/>
    <w:rsid w:val="00297CA4"/>
    <w:rsid w:val="002A0FFE"/>
    <w:rsid w:val="002A12F9"/>
    <w:rsid w:val="002A1C6F"/>
    <w:rsid w:val="002A1E89"/>
    <w:rsid w:val="002A1F82"/>
    <w:rsid w:val="002A2655"/>
    <w:rsid w:val="002A312B"/>
    <w:rsid w:val="002A466D"/>
    <w:rsid w:val="002A4A45"/>
    <w:rsid w:val="002A5B77"/>
    <w:rsid w:val="002A60D2"/>
    <w:rsid w:val="002A6325"/>
    <w:rsid w:val="002A7338"/>
    <w:rsid w:val="002B0621"/>
    <w:rsid w:val="002B07D0"/>
    <w:rsid w:val="002B093B"/>
    <w:rsid w:val="002B0EF7"/>
    <w:rsid w:val="002B1283"/>
    <w:rsid w:val="002B1753"/>
    <w:rsid w:val="002B193A"/>
    <w:rsid w:val="002B1B60"/>
    <w:rsid w:val="002B223E"/>
    <w:rsid w:val="002B3366"/>
    <w:rsid w:val="002B3680"/>
    <w:rsid w:val="002B451B"/>
    <w:rsid w:val="002B4799"/>
    <w:rsid w:val="002B47CD"/>
    <w:rsid w:val="002B4A16"/>
    <w:rsid w:val="002B574C"/>
    <w:rsid w:val="002B57F8"/>
    <w:rsid w:val="002B59BE"/>
    <w:rsid w:val="002B5F47"/>
    <w:rsid w:val="002B6DA3"/>
    <w:rsid w:val="002B6E4D"/>
    <w:rsid w:val="002B7C68"/>
    <w:rsid w:val="002C072D"/>
    <w:rsid w:val="002C13D0"/>
    <w:rsid w:val="002C1987"/>
    <w:rsid w:val="002C1EC7"/>
    <w:rsid w:val="002C26B5"/>
    <w:rsid w:val="002C27E5"/>
    <w:rsid w:val="002C2E2A"/>
    <w:rsid w:val="002C3075"/>
    <w:rsid w:val="002C34F5"/>
    <w:rsid w:val="002C4A62"/>
    <w:rsid w:val="002C4C21"/>
    <w:rsid w:val="002C4F37"/>
    <w:rsid w:val="002C77CB"/>
    <w:rsid w:val="002C7DCA"/>
    <w:rsid w:val="002D01FF"/>
    <w:rsid w:val="002D0366"/>
    <w:rsid w:val="002D0F6E"/>
    <w:rsid w:val="002D1187"/>
    <w:rsid w:val="002D1911"/>
    <w:rsid w:val="002D2388"/>
    <w:rsid w:val="002D2D7E"/>
    <w:rsid w:val="002D3788"/>
    <w:rsid w:val="002D430E"/>
    <w:rsid w:val="002D4FF0"/>
    <w:rsid w:val="002D54D4"/>
    <w:rsid w:val="002D6037"/>
    <w:rsid w:val="002D629D"/>
    <w:rsid w:val="002D658A"/>
    <w:rsid w:val="002D68F4"/>
    <w:rsid w:val="002D6E43"/>
    <w:rsid w:val="002D73F3"/>
    <w:rsid w:val="002E075D"/>
    <w:rsid w:val="002E149D"/>
    <w:rsid w:val="002E17B7"/>
    <w:rsid w:val="002E1EF3"/>
    <w:rsid w:val="002E34CE"/>
    <w:rsid w:val="002E3FC1"/>
    <w:rsid w:val="002E473D"/>
    <w:rsid w:val="002E4C47"/>
    <w:rsid w:val="002E55E3"/>
    <w:rsid w:val="002E5CA2"/>
    <w:rsid w:val="002E60A1"/>
    <w:rsid w:val="002E6589"/>
    <w:rsid w:val="002E6A41"/>
    <w:rsid w:val="002F04FD"/>
    <w:rsid w:val="002F077A"/>
    <w:rsid w:val="002F13CD"/>
    <w:rsid w:val="002F146F"/>
    <w:rsid w:val="002F218C"/>
    <w:rsid w:val="002F25DD"/>
    <w:rsid w:val="002F2D03"/>
    <w:rsid w:val="002F3B76"/>
    <w:rsid w:val="002F49CF"/>
    <w:rsid w:val="002F525D"/>
    <w:rsid w:val="002F6290"/>
    <w:rsid w:val="002F6C30"/>
    <w:rsid w:val="002F6C4B"/>
    <w:rsid w:val="002F7279"/>
    <w:rsid w:val="002F733E"/>
    <w:rsid w:val="002F7C9C"/>
    <w:rsid w:val="002F7DB4"/>
    <w:rsid w:val="003006AA"/>
    <w:rsid w:val="0030088E"/>
    <w:rsid w:val="003014B0"/>
    <w:rsid w:val="0030174E"/>
    <w:rsid w:val="0030200D"/>
    <w:rsid w:val="00302024"/>
    <w:rsid w:val="003032EA"/>
    <w:rsid w:val="00303741"/>
    <w:rsid w:val="00303B23"/>
    <w:rsid w:val="00304060"/>
    <w:rsid w:val="0030412E"/>
    <w:rsid w:val="00304AAF"/>
    <w:rsid w:val="00304BD9"/>
    <w:rsid w:val="00305221"/>
    <w:rsid w:val="0030598C"/>
    <w:rsid w:val="00305D1C"/>
    <w:rsid w:val="00307348"/>
    <w:rsid w:val="00307731"/>
    <w:rsid w:val="00307BC7"/>
    <w:rsid w:val="00310029"/>
    <w:rsid w:val="003100D3"/>
    <w:rsid w:val="003108A7"/>
    <w:rsid w:val="00311606"/>
    <w:rsid w:val="00311E4A"/>
    <w:rsid w:val="0031224B"/>
    <w:rsid w:val="00312983"/>
    <w:rsid w:val="003144DF"/>
    <w:rsid w:val="00314FF8"/>
    <w:rsid w:val="00316552"/>
    <w:rsid w:val="00316C29"/>
    <w:rsid w:val="00316CA8"/>
    <w:rsid w:val="00316DEF"/>
    <w:rsid w:val="0032081A"/>
    <w:rsid w:val="0032089A"/>
    <w:rsid w:val="00320A8D"/>
    <w:rsid w:val="00320AE5"/>
    <w:rsid w:val="00320CB3"/>
    <w:rsid w:val="003212B3"/>
    <w:rsid w:val="00322766"/>
    <w:rsid w:val="00323706"/>
    <w:rsid w:val="00325597"/>
    <w:rsid w:val="00325A0B"/>
    <w:rsid w:val="00325AD7"/>
    <w:rsid w:val="00326A1E"/>
    <w:rsid w:val="003270A4"/>
    <w:rsid w:val="003270AC"/>
    <w:rsid w:val="003274FB"/>
    <w:rsid w:val="0032756C"/>
    <w:rsid w:val="00327EC4"/>
    <w:rsid w:val="00330247"/>
    <w:rsid w:val="003302AA"/>
    <w:rsid w:val="00330A6F"/>
    <w:rsid w:val="00330D68"/>
    <w:rsid w:val="00330DA8"/>
    <w:rsid w:val="00331609"/>
    <w:rsid w:val="0033190B"/>
    <w:rsid w:val="003320E7"/>
    <w:rsid w:val="00332CFD"/>
    <w:rsid w:val="003333F3"/>
    <w:rsid w:val="0033440D"/>
    <w:rsid w:val="00335789"/>
    <w:rsid w:val="00336145"/>
    <w:rsid w:val="003361C2"/>
    <w:rsid w:val="00336430"/>
    <w:rsid w:val="003368A4"/>
    <w:rsid w:val="00337486"/>
    <w:rsid w:val="00340995"/>
    <w:rsid w:val="0034117A"/>
    <w:rsid w:val="003414A0"/>
    <w:rsid w:val="003421D0"/>
    <w:rsid w:val="003427F4"/>
    <w:rsid w:val="00342B6D"/>
    <w:rsid w:val="00342C50"/>
    <w:rsid w:val="00342D87"/>
    <w:rsid w:val="00342DB1"/>
    <w:rsid w:val="00343AFC"/>
    <w:rsid w:val="0034521A"/>
    <w:rsid w:val="003462C7"/>
    <w:rsid w:val="00347554"/>
    <w:rsid w:val="00350A9B"/>
    <w:rsid w:val="00351057"/>
    <w:rsid w:val="003518B1"/>
    <w:rsid w:val="00351C53"/>
    <w:rsid w:val="00351E9C"/>
    <w:rsid w:val="00351ED2"/>
    <w:rsid w:val="0035282D"/>
    <w:rsid w:val="00352AE5"/>
    <w:rsid w:val="00353B84"/>
    <w:rsid w:val="00353CED"/>
    <w:rsid w:val="0035408A"/>
    <w:rsid w:val="0035457A"/>
    <w:rsid w:val="00354DEA"/>
    <w:rsid w:val="00355136"/>
    <w:rsid w:val="003567E8"/>
    <w:rsid w:val="00356847"/>
    <w:rsid w:val="003568EA"/>
    <w:rsid w:val="00356A42"/>
    <w:rsid w:val="00356CE8"/>
    <w:rsid w:val="00356E22"/>
    <w:rsid w:val="003570CA"/>
    <w:rsid w:val="00357E18"/>
    <w:rsid w:val="00360750"/>
    <w:rsid w:val="00360767"/>
    <w:rsid w:val="00361645"/>
    <w:rsid w:val="00361771"/>
    <w:rsid w:val="003629D7"/>
    <w:rsid w:val="00362F9E"/>
    <w:rsid w:val="00362FB0"/>
    <w:rsid w:val="00363859"/>
    <w:rsid w:val="00363BD2"/>
    <w:rsid w:val="00364094"/>
    <w:rsid w:val="00364ABD"/>
    <w:rsid w:val="0036591D"/>
    <w:rsid w:val="00367592"/>
    <w:rsid w:val="00367FA4"/>
    <w:rsid w:val="0037111B"/>
    <w:rsid w:val="003711D7"/>
    <w:rsid w:val="003717B4"/>
    <w:rsid w:val="00371EAC"/>
    <w:rsid w:val="00372327"/>
    <w:rsid w:val="00372586"/>
    <w:rsid w:val="003735E4"/>
    <w:rsid w:val="0037412E"/>
    <w:rsid w:val="003745F5"/>
    <w:rsid w:val="00374DE3"/>
    <w:rsid w:val="0037515C"/>
    <w:rsid w:val="00375384"/>
    <w:rsid w:val="00376472"/>
    <w:rsid w:val="00376A10"/>
    <w:rsid w:val="00377915"/>
    <w:rsid w:val="00377D4E"/>
    <w:rsid w:val="003800C1"/>
    <w:rsid w:val="00380184"/>
    <w:rsid w:val="00380A27"/>
    <w:rsid w:val="00381035"/>
    <w:rsid w:val="003815B6"/>
    <w:rsid w:val="00381918"/>
    <w:rsid w:val="0038220C"/>
    <w:rsid w:val="0038322D"/>
    <w:rsid w:val="00383C05"/>
    <w:rsid w:val="00383C13"/>
    <w:rsid w:val="00384415"/>
    <w:rsid w:val="00384524"/>
    <w:rsid w:val="00385E98"/>
    <w:rsid w:val="00385EB3"/>
    <w:rsid w:val="00386572"/>
    <w:rsid w:val="00386F0E"/>
    <w:rsid w:val="003876CA"/>
    <w:rsid w:val="00387A8E"/>
    <w:rsid w:val="00387B26"/>
    <w:rsid w:val="00387D13"/>
    <w:rsid w:val="0039002B"/>
    <w:rsid w:val="003912C5"/>
    <w:rsid w:val="003913E4"/>
    <w:rsid w:val="00391E25"/>
    <w:rsid w:val="00393199"/>
    <w:rsid w:val="00393201"/>
    <w:rsid w:val="0039348A"/>
    <w:rsid w:val="003934C4"/>
    <w:rsid w:val="00393698"/>
    <w:rsid w:val="003947B1"/>
    <w:rsid w:val="00394B52"/>
    <w:rsid w:val="00395B9D"/>
    <w:rsid w:val="003960C2"/>
    <w:rsid w:val="0039656D"/>
    <w:rsid w:val="003966FC"/>
    <w:rsid w:val="0039699F"/>
    <w:rsid w:val="003974AC"/>
    <w:rsid w:val="003A041A"/>
    <w:rsid w:val="003A074E"/>
    <w:rsid w:val="003A0A41"/>
    <w:rsid w:val="003A20AF"/>
    <w:rsid w:val="003A2716"/>
    <w:rsid w:val="003A3204"/>
    <w:rsid w:val="003A35DE"/>
    <w:rsid w:val="003A37C0"/>
    <w:rsid w:val="003A3AC3"/>
    <w:rsid w:val="003A44F8"/>
    <w:rsid w:val="003A4910"/>
    <w:rsid w:val="003A4C96"/>
    <w:rsid w:val="003A50EA"/>
    <w:rsid w:val="003A5EB2"/>
    <w:rsid w:val="003A691A"/>
    <w:rsid w:val="003A6EE6"/>
    <w:rsid w:val="003A762C"/>
    <w:rsid w:val="003B023E"/>
    <w:rsid w:val="003B0CFE"/>
    <w:rsid w:val="003B0D26"/>
    <w:rsid w:val="003B164C"/>
    <w:rsid w:val="003B2B3F"/>
    <w:rsid w:val="003B2EF4"/>
    <w:rsid w:val="003B36F9"/>
    <w:rsid w:val="003B41B0"/>
    <w:rsid w:val="003B424A"/>
    <w:rsid w:val="003B4B2E"/>
    <w:rsid w:val="003B4D80"/>
    <w:rsid w:val="003B52CD"/>
    <w:rsid w:val="003B56D9"/>
    <w:rsid w:val="003B5C01"/>
    <w:rsid w:val="003B5C29"/>
    <w:rsid w:val="003B5D52"/>
    <w:rsid w:val="003B69E6"/>
    <w:rsid w:val="003B6E82"/>
    <w:rsid w:val="003B79D6"/>
    <w:rsid w:val="003B7E66"/>
    <w:rsid w:val="003B7EA6"/>
    <w:rsid w:val="003C0052"/>
    <w:rsid w:val="003C0AFB"/>
    <w:rsid w:val="003C0C30"/>
    <w:rsid w:val="003C2499"/>
    <w:rsid w:val="003C24D2"/>
    <w:rsid w:val="003C37AA"/>
    <w:rsid w:val="003C3B54"/>
    <w:rsid w:val="003C433A"/>
    <w:rsid w:val="003C4B08"/>
    <w:rsid w:val="003C4F45"/>
    <w:rsid w:val="003C55FD"/>
    <w:rsid w:val="003C5B77"/>
    <w:rsid w:val="003C5CBE"/>
    <w:rsid w:val="003C5E54"/>
    <w:rsid w:val="003C6BC5"/>
    <w:rsid w:val="003C6DB0"/>
    <w:rsid w:val="003C6E14"/>
    <w:rsid w:val="003C73A1"/>
    <w:rsid w:val="003C7D8F"/>
    <w:rsid w:val="003C7F4C"/>
    <w:rsid w:val="003D0C0C"/>
    <w:rsid w:val="003D0D04"/>
    <w:rsid w:val="003D0D77"/>
    <w:rsid w:val="003D14FC"/>
    <w:rsid w:val="003D15FD"/>
    <w:rsid w:val="003D16C1"/>
    <w:rsid w:val="003D1B44"/>
    <w:rsid w:val="003D2452"/>
    <w:rsid w:val="003D26CC"/>
    <w:rsid w:val="003D3C68"/>
    <w:rsid w:val="003D4499"/>
    <w:rsid w:val="003D5518"/>
    <w:rsid w:val="003D5971"/>
    <w:rsid w:val="003D5F6A"/>
    <w:rsid w:val="003E03BD"/>
    <w:rsid w:val="003E10CC"/>
    <w:rsid w:val="003E1271"/>
    <w:rsid w:val="003E1563"/>
    <w:rsid w:val="003E1919"/>
    <w:rsid w:val="003E23D8"/>
    <w:rsid w:val="003E254D"/>
    <w:rsid w:val="003E2E46"/>
    <w:rsid w:val="003E2F3E"/>
    <w:rsid w:val="003E33FA"/>
    <w:rsid w:val="003E5130"/>
    <w:rsid w:val="003E605D"/>
    <w:rsid w:val="003E677A"/>
    <w:rsid w:val="003E7AF4"/>
    <w:rsid w:val="003F04CE"/>
    <w:rsid w:val="003F089D"/>
    <w:rsid w:val="003F0CCC"/>
    <w:rsid w:val="003F12F9"/>
    <w:rsid w:val="003F15FD"/>
    <w:rsid w:val="003F16DD"/>
    <w:rsid w:val="003F19A1"/>
    <w:rsid w:val="003F1CE7"/>
    <w:rsid w:val="003F1EE0"/>
    <w:rsid w:val="003F1EFD"/>
    <w:rsid w:val="003F26DC"/>
    <w:rsid w:val="003F2924"/>
    <w:rsid w:val="003F2F59"/>
    <w:rsid w:val="003F3919"/>
    <w:rsid w:val="003F45E1"/>
    <w:rsid w:val="003F5094"/>
    <w:rsid w:val="003F533B"/>
    <w:rsid w:val="003F5361"/>
    <w:rsid w:val="003F59C5"/>
    <w:rsid w:val="003F5E64"/>
    <w:rsid w:val="003F5F40"/>
    <w:rsid w:val="003F61B0"/>
    <w:rsid w:val="00400371"/>
    <w:rsid w:val="004011F0"/>
    <w:rsid w:val="0040152E"/>
    <w:rsid w:val="00401BBF"/>
    <w:rsid w:val="00402B15"/>
    <w:rsid w:val="00402B29"/>
    <w:rsid w:val="00403938"/>
    <w:rsid w:val="00405201"/>
    <w:rsid w:val="00405A83"/>
    <w:rsid w:val="00406A6E"/>
    <w:rsid w:val="00407D57"/>
    <w:rsid w:val="0041114B"/>
    <w:rsid w:val="00411258"/>
    <w:rsid w:val="00411348"/>
    <w:rsid w:val="00411868"/>
    <w:rsid w:val="00411D48"/>
    <w:rsid w:val="00411D8E"/>
    <w:rsid w:val="00412B55"/>
    <w:rsid w:val="00413A97"/>
    <w:rsid w:val="00414A74"/>
    <w:rsid w:val="00415C6A"/>
    <w:rsid w:val="00415EBD"/>
    <w:rsid w:val="00416237"/>
    <w:rsid w:val="004169FF"/>
    <w:rsid w:val="00416E00"/>
    <w:rsid w:val="00417825"/>
    <w:rsid w:val="00420121"/>
    <w:rsid w:val="00420FAB"/>
    <w:rsid w:val="00421841"/>
    <w:rsid w:val="004218F2"/>
    <w:rsid w:val="00422898"/>
    <w:rsid w:val="00422948"/>
    <w:rsid w:val="004235B7"/>
    <w:rsid w:val="0042362A"/>
    <w:rsid w:val="004261D7"/>
    <w:rsid w:val="00426B80"/>
    <w:rsid w:val="004271F3"/>
    <w:rsid w:val="00430265"/>
    <w:rsid w:val="00430641"/>
    <w:rsid w:val="00430DE2"/>
    <w:rsid w:val="004313AF"/>
    <w:rsid w:val="004325A9"/>
    <w:rsid w:val="00432839"/>
    <w:rsid w:val="00432CE6"/>
    <w:rsid w:val="00432EEA"/>
    <w:rsid w:val="004332AA"/>
    <w:rsid w:val="00433B4F"/>
    <w:rsid w:val="00433C28"/>
    <w:rsid w:val="00433D78"/>
    <w:rsid w:val="0043476F"/>
    <w:rsid w:val="00434E52"/>
    <w:rsid w:val="00435151"/>
    <w:rsid w:val="00435C08"/>
    <w:rsid w:val="004362AF"/>
    <w:rsid w:val="0043670E"/>
    <w:rsid w:val="00437079"/>
    <w:rsid w:val="00437FB2"/>
    <w:rsid w:val="0044016A"/>
    <w:rsid w:val="004401A7"/>
    <w:rsid w:val="00440268"/>
    <w:rsid w:val="0044037E"/>
    <w:rsid w:val="00440447"/>
    <w:rsid w:val="00440A6A"/>
    <w:rsid w:val="00440D67"/>
    <w:rsid w:val="004417D0"/>
    <w:rsid w:val="00441DEC"/>
    <w:rsid w:val="00443B82"/>
    <w:rsid w:val="0044456F"/>
    <w:rsid w:val="00444615"/>
    <w:rsid w:val="0044500D"/>
    <w:rsid w:val="00445018"/>
    <w:rsid w:val="00445823"/>
    <w:rsid w:val="00445849"/>
    <w:rsid w:val="0044600F"/>
    <w:rsid w:val="00447BF5"/>
    <w:rsid w:val="00447F55"/>
    <w:rsid w:val="004501DD"/>
    <w:rsid w:val="004511D3"/>
    <w:rsid w:val="0045195D"/>
    <w:rsid w:val="00452AD3"/>
    <w:rsid w:val="0045329F"/>
    <w:rsid w:val="00453F86"/>
    <w:rsid w:val="004544A2"/>
    <w:rsid w:val="0045477B"/>
    <w:rsid w:val="00454D5C"/>
    <w:rsid w:val="004553FE"/>
    <w:rsid w:val="0045598A"/>
    <w:rsid w:val="0045603B"/>
    <w:rsid w:val="004560AC"/>
    <w:rsid w:val="00457022"/>
    <w:rsid w:val="00460523"/>
    <w:rsid w:val="0046052F"/>
    <w:rsid w:val="004606ED"/>
    <w:rsid w:val="004607CB"/>
    <w:rsid w:val="00460C23"/>
    <w:rsid w:val="004611B3"/>
    <w:rsid w:val="0046188C"/>
    <w:rsid w:val="004631CB"/>
    <w:rsid w:val="004639F2"/>
    <w:rsid w:val="004641A9"/>
    <w:rsid w:val="00464BB4"/>
    <w:rsid w:val="00464F94"/>
    <w:rsid w:val="00465017"/>
    <w:rsid w:val="004653DE"/>
    <w:rsid w:val="004666AF"/>
    <w:rsid w:val="004667C8"/>
    <w:rsid w:val="00467813"/>
    <w:rsid w:val="00470105"/>
    <w:rsid w:val="004703C2"/>
    <w:rsid w:val="00472D42"/>
    <w:rsid w:val="00472DB2"/>
    <w:rsid w:val="0047301F"/>
    <w:rsid w:val="004730F3"/>
    <w:rsid w:val="004730FD"/>
    <w:rsid w:val="0047311A"/>
    <w:rsid w:val="00473536"/>
    <w:rsid w:val="00473688"/>
    <w:rsid w:val="004737DE"/>
    <w:rsid w:val="00473DD7"/>
    <w:rsid w:val="00474593"/>
    <w:rsid w:val="0047489B"/>
    <w:rsid w:val="00474AB2"/>
    <w:rsid w:val="00474BFB"/>
    <w:rsid w:val="00474DF3"/>
    <w:rsid w:val="004750D2"/>
    <w:rsid w:val="00475215"/>
    <w:rsid w:val="00475506"/>
    <w:rsid w:val="0047590A"/>
    <w:rsid w:val="00476946"/>
    <w:rsid w:val="004770E3"/>
    <w:rsid w:val="0047765D"/>
    <w:rsid w:val="00481061"/>
    <w:rsid w:val="0048195F"/>
    <w:rsid w:val="0048196F"/>
    <w:rsid w:val="00481BB1"/>
    <w:rsid w:val="00482182"/>
    <w:rsid w:val="0048354F"/>
    <w:rsid w:val="00483A48"/>
    <w:rsid w:val="004841E9"/>
    <w:rsid w:val="00485288"/>
    <w:rsid w:val="0048555D"/>
    <w:rsid w:val="00485590"/>
    <w:rsid w:val="00485D35"/>
    <w:rsid w:val="00485D4E"/>
    <w:rsid w:val="00485E4A"/>
    <w:rsid w:val="00486071"/>
    <w:rsid w:val="0048722B"/>
    <w:rsid w:val="0048741A"/>
    <w:rsid w:val="004874E8"/>
    <w:rsid w:val="00487846"/>
    <w:rsid w:val="0048793C"/>
    <w:rsid w:val="0049137F"/>
    <w:rsid w:val="00491FD4"/>
    <w:rsid w:val="004921E7"/>
    <w:rsid w:val="004936ED"/>
    <w:rsid w:val="00493CBA"/>
    <w:rsid w:val="004944CA"/>
    <w:rsid w:val="00494DB5"/>
    <w:rsid w:val="00495041"/>
    <w:rsid w:val="0049538F"/>
    <w:rsid w:val="0049576A"/>
    <w:rsid w:val="00497120"/>
    <w:rsid w:val="004A0120"/>
    <w:rsid w:val="004A0369"/>
    <w:rsid w:val="004A07D8"/>
    <w:rsid w:val="004A0DC8"/>
    <w:rsid w:val="004A12E2"/>
    <w:rsid w:val="004A1D02"/>
    <w:rsid w:val="004A27CD"/>
    <w:rsid w:val="004A2B99"/>
    <w:rsid w:val="004A308D"/>
    <w:rsid w:val="004A3510"/>
    <w:rsid w:val="004A41E1"/>
    <w:rsid w:val="004A48D8"/>
    <w:rsid w:val="004A5E4C"/>
    <w:rsid w:val="004A6D12"/>
    <w:rsid w:val="004A7850"/>
    <w:rsid w:val="004A786A"/>
    <w:rsid w:val="004A7A19"/>
    <w:rsid w:val="004B05F4"/>
    <w:rsid w:val="004B06A9"/>
    <w:rsid w:val="004B12CC"/>
    <w:rsid w:val="004B14E3"/>
    <w:rsid w:val="004B189E"/>
    <w:rsid w:val="004B1CAD"/>
    <w:rsid w:val="004B22B9"/>
    <w:rsid w:val="004B24FF"/>
    <w:rsid w:val="004B2707"/>
    <w:rsid w:val="004B2D2E"/>
    <w:rsid w:val="004B4F07"/>
    <w:rsid w:val="004B50E1"/>
    <w:rsid w:val="004B5A93"/>
    <w:rsid w:val="004B5D38"/>
    <w:rsid w:val="004B5DC7"/>
    <w:rsid w:val="004B68D2"/>
    <w:rsid w:val="004B6CF6"/>
    <w:rsid w:val="004B7230"/>
    <w:rsid w:val="004B7253"/>
    <w:rsid w:val="004B74B5"/>
    <w:rsid w:val="004B7EE0"/>
    <w:rsid w:val="004C00C6"/>
    <w:rsid w:val="004C0F46"/>
    <w:rsid w:val="004C16BF"/>
    <w:rsid w:val="004C1885"/>
    <w:rsid w:val="004C1CE4"/>
    <w:rsid w:val="004C2328"/>
    <w:rsid w:val="004C2569"/>
    <w:rsid w:val="004C3C73"/>
    <w:rsid w:val="004C5257"/>
    <w:rsid w:val="004C52B8"/>
    <w:rsid w:val="004C6370"/>
    <w:rsid w:val="004C68B8"/>
    <w:rsid w:val="004C6CFB"/>
    <w:rsid w:val="004C73AC"/>
    <w:rsid w:val="004C7E7D"/>
    <w:rsid w:val="004D0940"/>
    <w:rsid w:val="004D0F25"/>
    <w:rsid w:val="004D0FC1"/>
    <w:rsid w:val="004D13FB"/>
    <w:rsid w:val="004D2A2B"/>
    <w:rsid w:val="004D3E1D"/>
    <w:rsid w:val="004D4757"/>
    <w:rsid w:val="004D52C1"/>
    <w:rsid w:val="004D5934"/>
    <w:rsid w:val="004D59FC"/>
    <w:rsid w:val="004D5A41"/>
    <w:rsid w:val="004D5BAE"/>
    <w:rsid w:val="004D646F"/>
    <w:rsid w:val="004D6671"/>
    <w:rsid w:val="004D6963"/>
    <w:rsid w:val="004D6A30"/>
    <w:rsid w:val="004D6F2C"/>
    <w:rsid w:val="004D7C32"/>
    <w:rsid w:val="004E058F"/>
    <w:rsid w:val="004E0716"/>
    <w:rsid w:val="004E1032"/>
    <w:rsid w:val="004E2138"/>
    <w:rsid w:val="004E258E"/>
    <w:rsid w:val="004E2657"/>
    <w:rsid w:val="004E298C"/>
    <w:rsid w:val="004E2F7B"/>
    <w:rsid w:val="004E3097"/>
    <w:rsid w:val="004E3969"/>
    <w:rsid w:val="004E3CBF"/>
    <w:rsid w:val="004E3ECE"/>
    <w:rsid w:val="004E4965"/>
    <w:rsid w:val="004E4C7C"/>
    <w:rsid w:val="004E662D"/>
    <w:rsid w:val="004E68CB"/>
    <w:rsid w:val="004E6FCE"/>
    <w:rsid w:val="004F027E"/>
    <w:rsid w:val="004F0316"/>
    <w:rsid w:val="004F052B"/>
    <w:rsid w:val="004F0BCB"/>
    <w:rsid w:val="004F0D1B"/>
    <w:rsid w:val="004F0E27"/>
    <w:rsid w:val="004F1553"/>
    <w:rsid w:val="004F16E2"/>
    <w:rsid w:val="004F1E09"/>
    <w:rsid w:val="004F233C"/>
    <w:rsid w:val="004F276D"/>
    <w:rsid w:val="004F2E5B"/>
    <w:rsid w:val="004F3054"/>
    <w:rsid w:val="004F3754"/>
    <w:rsid w:val="004F3991"/>
    <w:rsid w:val="004F3B04"/>
    <w:rsid w:val="004F3C71"/>
    <w:rsid w:val="004F3D61"/>
    <w:rsid w:val="004F41B6"/>
    <w:rsid w:val="004F42A5"/>
    <w:rsid w:val="004F4A92"/>
    <w:rsid w:val="004F4F54"/>
    <w:rsid w:val="004F5186"/>
    <w:rsid w:val="004F51D3"/>
    <w:rsid w:val="004F625F"/>
    <w:rsid w:val="004F63E7"/>
    <w:rsid w:val="004F6A8D"/>
    <w:rsid w:val="004F6F9E"/>
    <w:rsid w:val="004F71D4"/>
    <w:rsid w:val="004F7439"/>
    <w:rsid w:val="004F7B1A"/>
    <w:rsid w:val="004F7FE8"/>
    <w:rsid w:val="00500333"/>
    <w:rsid w:val="0050049D"/>
    <w:rsid w:val="0050073D"/>
    <w:rsid w:val="00500D7F"/>
    <w:rsid w:val="00500DD7"/>
    <w:rsid w:val="00501E53"/>
    <w:rsid w:val="00503205"/>
    <w:rsid w:val="005033B5"/>
    <w:rsid w:val="00504654"/>
    <w:rsid w:val="00504DBE"/>
    <w:rsid w:val="00505B12"/>
    <w:rsid w:val="00511CFB"/>
    <w:rsid w:val="00512159"/>
    <w:rsid w:val="00512435"/>
    <w:rsid w:val="00512CD2"/>
    <w:rsid w:val="0051321B"/>
    <w:rsid w:val="00513628"/>
    <w:rsid w:val="0051468D"/>
    <w:rsid w:val="00514C1F"/>
    <w:rsid w:val="00516712"/>
    <w:rsid w:val="00516A62"/>
    <w:rsid w:val="005177FB"/>
    <w:rsid w:val="00517A2C"/>
    <w:rsid w:val="00517C6F"/>
    <w:rsid w:val="0052048F"/>
    <w:rsid w:val="00520847"/>
    <w:rsid w:val="00520CD1"/>
    <w:rsid w:val="00520D74"/>
    <w:rsid w:val="00520ED6"/>
    <w:rsid w:val="00521116"/>
    <w:rsid w:val="00522037"/>
    <w:rsid w:val="00522140"/>
    <w:rsid w:val="00522365"/>
    <w:rsid w:val="00522F62"/>
    <w:rsid w:val="00523D4B"/>
    <w:rsid w:val="00524337"/>
    <w:rsid w:val="005249E5"/>
    <w:rsid w:val="005250BC"/>
    <w:rsid w:val="005259BC"/>
    <w:rsid w:val="005261F8"/>
    <w:rsid w:val="005279C0"/>
    <w:rsid w:val="00527D85"/>
    <w:rsid w:val="00527FE2"/>
    <w:rsid w:val="0053032B"/>
    <w:rsid w:val="005304C3"/>
    <w:rsid w:val="005307E4"/>
    <w:rsid w:val="005310BB"/>
    <w:rsid w:val="00533520"/>
    <w:rsid w:val="005338B8"/>
    <w:rsid w:val="005345A6"/>
    <w:rsid w:val="00534930"/>
    <w:rsid w:val="00534AA9"/>
    <w:rsid w:val="0053504B"/>
    <w:rsid w:val="00535BB4"/>
    <w:rsid w:val="00535D99"/>
    <w:rsid w:val="00535E39"/>
    <w:rsid w:val="0053674E"/>
    <w:rsid w:val="00537697"/>
    <w:rsid w:val="0053769A"/>
    <w:rsid w:val="0054144E"/>
    <w:rsid w:val="00541A67"/>
    <w:rsid w:val="00542853"/>
    <w:rsid w:val="0054377F"/>
    <w:rsid w:val="00544578"/>
    <w:rsid w:val="005449DB"/>
    <w:rsid w:val="00546009"/>
    <w:rsid w:val="005473F3"/>
    <w:rsid w:val="00550144"/>
    <w:rsid w:val="0055014B"/>
    <w:rsid w:val="00550729"/>
    <w:rsid w:val="0055089D"/>
    <w:rsid w:val="00550EF7"/>
    <w:rsid w:val="00551697"/>
    <w:rsid w:val="005525D2"/>
    <w:rsid w:val="00552AC8"/>
    <w:rsid w:val="00552D5B"/>
    <w:rsid w:val="005532BD"/>
    <w:rsid w:val="00553520"/>
    <w:rsid w:val="005535A2"/>
    <w:rsid w:val="00553C60"/>
    <w:rsid w:val="00553DE4"/>
    <w:rsid w:val="00554CD2"/>
    <w:rsid w:val="00554DDB"/>
    <w:rsid w:val="00554ED7"/>
    <w:rsid w:val="00555537"/>
    <w:rsid w:val="005562AB"/>
    <w:rsid w:val="00556389"/>
    <w:rsid w:val="00556D7C"/>
    <w:rsid w:val="0056034F"/>
    <w:rsid w:val="00560A97"/>
    <w:rsid w:val="005614D3"/>
    <w:rsid w:val="0056171B"/>
    <w:rsid w:val="0056187D"/>
    <w:rsid w:val="0056232D"/>
    <w:rsid w:val="00562A21"/>
    <w:rsid w:val="0056304B"/>
    <w:rsid w:val="00563B9B"/>
    <w:rsid w:val="00564534"/>
    <w:rsid w:val="005648FA"/>
    <w:rsid w:val="005657A2"/>
    <w:rsid w:val="005663B1"/>
    <w:rsid w:val="005671E8"/>
    <w:rsid w:val="005677BB"/>
    <w:rsid w:val="0057067A"/>
    <w:rsid w:val="00570B1D"/>
    <w:rsid w:val="00570B36"/>
    <w:rsid w:val="005714E2"/>
    <w:rsid w:val="00571D7C"/>
    <w:rsid w:val="00571DB3"/>
    <w:rsid w:val="005723A3"/>
    <w:rsid w:val="00572C10"/>
    <w:rsid w:val="00572C28"/>
    <w:rsid w:val="00572E35"/>
    <w:rsid w:val="005735D0"/>
    <w:rsid w:val="0057364E"/>
    <w:rsid w:val="005757F4"/>
    <w:rsid w:val="00575B47"/>
    <w:rsid w:val="00575D02"/>
    <w:rsid w:val="00576429"/>
    <w:rsid w:val="005774C3"/>
    <w:rsid w:val="0057766B"/>
    <w:rsid w:val="00580314"/>
    <w:rsid w:val="00580345"/>
    <w:rsid w:val="00580822"/>
    <w:rsid w:val="005823B7"/>
    <w:rsid w:val="005831C1"/>
    <w:rsid w:val="005833EE"/>
    <w:rsid w:val="00583A25"/>
    <w:rsid w:val="00583A7B"/>
    <w:rsid w:val="00583FE0"/>
    <w:rsid w:val="005848E0"/>
    <w:rsid w:val="00584F15"/>
    <w:rsid w:val="0058515A"/>
    <w:rsid w:val="00585945"/>
    <w:rsid w:val="005872A0"/>
    <w:rsid w:val="0058762E"/>
    <w:rsid w:val="0058796C"/>
    <w:rsid w:val="00587D6D"/>
    <w:rsid w:val="00587FF0"/>
    <w:rsid w:val="0059090A"/>
    <w:rsid w:val="00590AEA"/>
    <w:rsid w:val="00590E92"/>
    <w:rsid w:val="00590EA4"/>
    <w:rsid w:val="00591A6A"/>
    <w:rsid w:val="00593AF1"/>
    <w:rsid w:val="00593B13"/>
    <w:rsid w:val="005941BF"/>
    <w:rsid w:val="00594EF8"/>
    <w:rsid w:val="0059543E"/>
    <w:rsid w:val="00596E8E"/>
    <w:rsid w:val="00596F6F"/>
    <w:rsid w:val="005970DE"/>
    <w:rsid w:val="005973B6"/>
    <w:rsid w:val="005A0E21"/>
    <w:rsid w:val="005A1C87"/>
    <w:rsid w:val="005A420F"/>
    <w:rsid w:val="005A42A8"/>
    <w:rsid w:val="005A4D60"/>
    <w:rsid w:val="005A5531"/>
    <w:rsid w:val="005A63A0"/>
    <w:rsid w:val="005A6A3A"/>
    <w:rsid w:val="005B11B5"/>
    <w:rsid w:val="005B1267"/>
    <w:rsid w:val="005B13E8"/>
    <w:rsid w:val="005B14C2"/>
    <w:rsid w:val="005B26C0"/>
    <w:rsid w:val="005B3842"/>
    <w:rsid w:val="005B390C"/>
    <w:rsid w:val="005B3C20"/>
    <w:rsid w:val="005B7200"/>
    <w:rsid w:val="005B7398"/>
    <w:rsid w:val="005B7631"/>
    <w:rsid w:val="005B7A05"/>
    <w:rsid w:val="005C037C"/>
    <w:rsid w:val="005C044D"/>
    <w:rsid w:val="005C04E9"/>
    <w:rsid w:val="005C2549"/>
    <w:rsid w:val="005C265A"/>
    <w:rsid w:val="005C26E4"/>
    <w:rsid w:val="005C28AD"/>
    <w:rsid w:val="005C333A"/>
    <w:rsid w:val="005C3464"/>
    <w:rsid w:val="005C3497"/>
    <w:rsid w:val="005C37E9"/>
    <w:rsid w:val="005C3AB5"/>
    <w:rsid w:val="005C3C04"/>
    <w:rsid w:val="005C3D81"/>
    <w:rsid w:val="005C3E45"/>
    <w:rsid w:val="005C3E8F"/>
    <w:rsid w:val="005C461E"/>
    <w:rsid w:val="005C46CF"/>
    <w:rsid w:val="005C4FB3"/>
    <w:rsid w:val="005C56A0"/>
    <w:rsid w:val="005C57B2"/>
    <w:rsid w:val="005C60CC"/>
    <w:rsid w:val="005C69E1"/>
    <w:rsid w:val="005C6CE9"/>
    <w:rsid w:val="005C75DF"/>
    <w:rsid w:val="005D0781"/>
    <w:rsid w:val="005D0BE7"/>
    <w:rsid w:val="005D1334"/>
    <w:rsid w:val="005D13DF"/>
    <w:rsid w:val="005D245A"/>
    <w:rsid w:val="005D2BD4"/>
    <w:rsid w:val="005D2BF2"/>
    <w:rsid w:val="005D3218"/>
    <w:rsid w:val="005D545A"/>
    <w:rsid w:val="005D57D5"/>
    <w:rsid w:val="005D5D38"/>
    <w:rsid w:val="005D621E"/>
    <w:rsid w:val="005D7584"/>
    <w:rsid w:val="005D7B55"/>
    <w:rsid w:val="005E083E"/>
    <w:rsid w:val="005E0E00"/>
    <w:rsid w:val="005E246F"/>
    <w:rsid w:val="005E2AC2"/>
    <w:rsid w:val="005E2B96"/>
    <w:rsid w:val="005E301F"/>
    <w:rsid w:val="005E3A19"/>
    <w:rsid w:val="005E59D0"/>
    <w:rsid w:val="005E5CE4"/>
    <w:rsid w:val="005E5D7E"/>
    <w:rsid w:val="005E626B"/>
    <w:rsid w:val="005E6A9B"/>
    <w:rsid w:val="005E6DC9"/>
    <w:rsid w:val="005E7221"/>
    <w:rsid w:val="005E7403"/>
    <w:rsid w:val="005E75D0"/>
    <w:rsid w:val="005E7EBF"/>
    <w:rsid w:val="005F02C2"/>
    <w:rsid w:val="005F02ED"/>
    <w:rsid w:val="005F0823"/>
    <w:rsid w:val="005F0C8E"/>
    <w:rsid w:val="005F28E5"/>
    <w:rsid w:val="005F2DE5"/>
    <w:rsid w:val="005F3EBE"/>
    <w:rsid w:val="005F47EA"/>
    <w:rsid w:val="005F584C"/>
    <w:rsid w:val="005F6C13"/>
    <w:rsid w:val="005F712F"/>
    <w:rsid w:val="005F7222"/>
    <w:rsid w:val="005F72C2"/>
    <w:rsid w:val="005F794C"/>
    <w:rsid w:val="005F7E01"/>
    <w:rsid w:val="005F7EBE"/>
    <w:rsid w:val="005F7F8C"/>
    <w:rsid w:val="006002D9"/>
    <w:rsid w:val="00600765"/>
    <w:rsid w:val="006007A2"/>
    <w:rsid w:val="006013CB"/>
    <w:rsid w:val="00601E3C"/>
    <w:rsid w:val="00602F5E"/>
    <w:rsid w:val="0060355C"/>
    <w:rsid w:val="00604350"/>
    <w:rsid w:val="00604A22"/>
    <w:rsid w:val="00604F47"/>
    <w:rsid w:val="00605224"/>
    <w:rsid w:val="00605BAE"/>
    <w:rsid w:val="00605E9A"/>
    <w:rsid w:val="00605EC2"/>
    <w:rsid w:val="006061E6"/>
    <w:rsid w:val="0060622B"/>
    <w:rsid w:val="00606256"/>
    <w:rsid w:val="00606262"/>
    <w:rsid w:val="00606B27"/>
    <w:rsid w:val="00607362"/>
    <w:rsid w:val="00607DE2"/>
    <w:rsid w:val="00607E34"/>
    <w:rsid w:val="00610859"/>
    <w:rsid w:val="0061149E"/>
    <w:rsid w:val="006119B7"/>
    <w:rsid w:val="006128F4"/>
    <w:rsid w:val="00613472"/>
    <w:rsid w:val="006139A0"/>
    <w:rsid w:val="00614087"/>
    <w:rsid w:val="00614C1C"/>
    <w:rsid w:val="00616159"/>
    <w:rsid w:val="006163D8"/>
    <w:rsid w:val="0061673A"/>
    <w:rsid w:val="00616FCB"/>
    <w:rsid w:val="006177FD"/>
    <w:rsid w:val="00617953"/>
    <w:rsid w:val="00617BD6"/>
    <w:rsid w:val="0062095F"/>
    <w:rsid w:val="00620A3C"/>
    <w:rsid w:val="00621052"/>
    <w:rsid w:val="00621400"/>
    <w:rsid w:val="00622627"/>
    <w:rsid w:val="00623308"/>
    <w:rsid w:val="00624C29"/>
    <w:rsid w:val="00624D52"/>
    <w:rsid w:val="00624D7E"/>
    <w:rsid w:val="00624FC8"/>
    <w:rsid w:val="0062534C"/>
    <w:rsid w:val="00625D33"/>
    <w:rsid w:val="00626966"/>
    <w:rsid w:val="00626FF8"/>
    <w:rsid w:val="00627BEB"/>
    <w:rsid w:val="006306ED"/>
    <w:rsid w:val="00630D4D"/>
    <w:rsid w:val="006318DA"/>
    <w:rsid w:val="00632064"/>
    <w:rsid w:val="0063240E"/>
    <w:rsid w:val="0063255A"/>
    <w:rsid w:val="006329E0"/>
    <w:rsid w:val="006334A7"/>
    <w:rsid w:val="006334D8"/>
    <w:rsid w:val="006335E5"/>
    <w:rsid w:val="00634056"/>
    <w:rsid w:val="006353FD"/>
    <w:rsid w:val="0063688C"/>
    <w:rsid w:val="00636969"/>
    <w:rsid w:val="00636CE6"/>
    <w:rsid w:val="00636E16"/>
    <w:rsid w:val="00637779"/>
    <w:rsid w:val="0064038B"/>
    <w:rsid w:val="00640411"/>
    <w:rsid w:val="00640528"/>
    <w:rsid w:val="00640C25"/>
    <w:rsid w:val="00640E2A"/>
    <w:rsid w:val="00640F1F"/>
    <w:rsid w:val="00641CA5"/>
    <w:rsid w:val="00642393"/>
    <w:rsid w:val="00642515"/>
    <w:rsid w:val="006426B1"/>
    <w:rsid w:val="00642790"/>
    <w:rsid w:val="00642B7E"/>
    <w:rsid w:val="00643005"/>
    <w:rsid w:val="00643BB0"/>
    <w:rsid w:val="00643CB2"/>
    <w:rsid w:val="00644873"/>
    <w:rsid w:val="006455DE"/>
    <w:rsid w:val="0064627B"/>
    <w:rsid w:val="006465DA"/>
    <w:rsid w:val="006470CB"/>
    <w:rsid w:val="00647135"/>
    <w:rsid w:val="0064731A"/>
    <w:rsid w:val="006475DF"/>
    <w:rsid w:val="00647C29"/>
    <w:rsid w:val="006500B5"/>
    <w:rsid w:val="00650313"/>
    <w:rsid w:val="0065045B"/>
    <w:rsid w:val="00651861"/>
    <w:rsid w:val="00651919"/>
    <w:rsid w:val="00651F22"/>
    <w:rsid w:val="0065281C"/>
    <w:rsid w:val="00652E67"/>
    <w:rsid w:val="00653174"/>
    <w:rsid w:val="006532A7"/>
    <w:rsid w:val="0065408E"/>
    <w:rsid w:val="0065436D"/>
    <w:rsid w:val="00654C34"/>
    <w:rsid w:val="00654F04"/>
    <w:rsid w:val="00654F0B"/>
    <w:rsid w:val="00655594"/>
    <w:rsid w:val="006563ED"/>
    <w:rsid w:val="00656C76"/>
    <w:rsid w:val="00657249"/>
    <w:rsid w:val="00657F71"/>
    <w:rsid w:val="0066162E"/>
    <w:rsid w:val="00661FFA"/>
    <w:rsid w:val="006621A1"/>
    <w:rsid w:val="00662278"/>
    <w:rsid w:val="0066253D"/>
    <w:rsid w:val="006625DF"/>
    <w:rsid w:val="006633E7"/>
    <w:rsid w:val="00663B07"/>
    <w:rsid w:val="00663BF8"/>
    <w:rsid w:val="006646CA"/>
    <w:rsid w:val="00664C26"/>
    <w:rsid w:val="006659FE"/>
    <w:rsid w:val="00665D1A"/>
    <w:rsid w:val="0066661A"/>
    <w:rsid w:val="00666FB1"/>
    <w:rsid w:val="00667AD2"/>
    <w:rsid w:val="006704E2"/>
    <w:rsid w:val="00670E87"/>
    <w:rsid w:val="00670FE5"/>
    <w:rsid w:val="006713E9"/>
    <w:rsid w:val="00671EE3"/>
    <w:rsid w:val="00671FC2"/>
    <w:rsid w:val="00672222"/>
    <w:rsid w:val="00672373"/>
    <w:rsid w:val="00672B0C"/>
    <w:rsid w:val="00672B7B"/>
    <w:rsid w:val="006731E4"/>
    <w:rsid w:val="006736B2"/>
    <w:rsid w:val="00674E2D"/>
    <w:rsid w:val="00675818"/>
    <w:rsid w:val="00675D2C"/>
    <w:rsid w:val="00676049"/>
    <w:rsid w:val="00676283"/>
    <w:rsid w:val="0067668A"/>
    <w:rsid w:val="00676C5C"/>
    <w:rsid w:val="00677549"/>
    <w:rsid w:val="00677E1F"/>
    <w:rsid w:val="00677ECB"/>
    <w:rsid w:val="00680A74"/>
    <w:rsid w:val="00680E1F"/>
    <w:rsid w:val="006810C0"/>
    <w:rsid w:val="00681DA4"/>
    <w:rsid w:val="00681E50"/>
    <w:rsid w:val="00682884"/>
    <w:rsid w:val="006828AD"/>
    <w:rsid w:val="00682B22"/>
    <w:rsid w:val="00683115"/>
    <w:rsid w:val="006834AE"/>
    <w:rsid w:val="0068365F"/>
    <w:rsid w:val="00683D82"/>
    <w:rsid w:val="00683DE8"/>
    <w:rsid w:val="00683ED4"/>
    <w:rsid w:val="0068485D"/>
    <w:rsid w:val="00684966"/>
    <w:rsid w:val="00684F1E"/>
    <w:rsid w:val="006858FD"/>
    <w:rsid w:val="00686DA9"/>
    <w:rsid w:val="00687BC5"/>
    <w:rsid w:val="00687C73"/>
    <w:rsid w:val="00687CF5"/>
    <w:rsid w:val="00687EDC"/>
    <w:rsid w:val="0069055A"/>
    <w:rsid w:val="00690C27"/>
    <w:rsid w:val="00691394"/>
    <w:rsid w:val="00691CD5"/>
    <w:rsid w:val="0069281E"/>
    <w:rsid w:val="006931A4"/>
    <w:rsid w:val="00694B1D"/>
    <w:rsid w:val="00695138"/>
    <w:rsid w:val="0069536A"/>
    <w:rsid w:val="00695B3E"/>
    <w:rsid w:val="00695C3F"/>
    <w:rsid w:val="006977E0"/>
    <w:rsid w:val="006A0097"/>
    <w:rsid w:val="006A0400"/>
    <w:rsid w:val="006A1038"/>
    <w:rsid w:val="006A216C"/>
    <w:rsid w:val="006A2396"/>
    <w:rsid w:val="006A28F2"/>
    <w:rsid w:val="006A2FF1"/>
    <w:rsid w:val="006A4000"/>
    <w:rsid w:val="006A4CC7"/>
    <w:rsid w:val="006A58A1"/>
    <w:rsid w:val="006A5B7D"/>
    <w:rsid w:val="006A5E4D"/>
    <w:rsid w:val="006A5F8C"/>
    <w:rsid w:val="006A66F8"/>
    <w:rsid w:val="006B06DF"/>
    <w:rsid w:val="006B1078"/>
    <w:rsid w:val="006B3A40"/>
    <w:rsid w:val="006B425F"/>
    <w:rsid w:val="006B54C3"/>
    <w:rsid w:val="006B5A87"/>
    <w:rsid w:val="006B63E3"/>
    <w:rsid w:val="006B6460"/>
    <w:rsid w:val="006B7D6A"/>
    <w:rsid w:val="006C020F"/>
    <w:rsid w:val="006C03CB"/>
    <w:rsid w:val="006C08DE"/>
    <w:rsid w:val="006C0980"/>
    <w:rsid w:val="006C0D7C"/>
    <w:rsid w:val="006C11F3"/>
    <w:rsid w:val="006C132A"/>
    <w:rsid w:val="006C1337"/>
    <w:rsid w:val="006C1AFB"/>
    <w:rsid w:val="006C1B82"/>
    <w:rsid w:val="006C2157"/>
    <w:rsid w:val="006C2243"/>
    <w:rsid w:val="006C25E7"/>
    <w:rsid w:val="006C2E82"/>
    <w:rsid w:val="006C4C21"/>
    <w:rsid w:val="006C724D"/>
    <w:rsid w:val="006C767C"/>
    <w:rsid w:val="006C76B6"/>
    <w:rsid w:val="006C7B79"/>
    <w:rsid w:val="006C7D15"/>
    <w:rsid w:val="006D04E9"/>
    <w:rsid w:val="006D114A"/>
    <w:rsid w:val="006D13AE"/>
    <w:rsid w:val="006D179D"/>
    <w:rsid w:val="006D1A9A"/>
    <w:rsid w:val="006D36E4"/>
    <w:rsid w:val="006D3997"/>
    <w:rsid w:val="006D39EF"/>
    <w:rsid w:val="006D3FE8"/>
    <w:rsid w:val="006D4280"/>
    <w:rsid w:val="006D5201"/>
    <w:rsid w:val="006D553F"/>
    <w:rsid w:val="006D5F40"/>
    <w:rsid w:val="006D7F9A"/>
    <w:rsid w:val="006E0FF9"/>
    <w:rsid w:val="006E180D"/>
    <w:rsid w:val="006E223A"/>
    <w:rsid w:val="006E24A9"/>
    <w:rsid w:val="006E365C"/>
    <w:rsid w:val="006E3B7B"/>
    <w:rsid w:val="006E3D53"/>
    <w:rsid w:val="006E481B"/>
    <w:rsid w:val="006E4B01"/>
    <w:rsid w:val="006E5275"/>
    <w:rsid w:val="006E5E89"/>
    <w:rsid w:val="006E6394"/>
    <w:rsid w:val="006E644B"/>
    <w:rsid w:val="006E6516"/>
    <w:rsid w:val="006E790C"/>
    <w:rsid w:val="006F0018"/>
    <w:rsid w:val="006F08BE"/>
    <w:rsid w:val="006F12C4"/>
    <w:rsid w:val="006F12FC"/>
    <w:rsid w:val="006F1A78"/>
    <w:rsid w:val="006F1D40"/>
    <w:rsid w:val="006F1DAC"/>
    <w:rsid w:val="006F2A88"/>
    <w:rsid w:val="006F30F7"/>
    <w:rsid w:val="006F325F"/>
    <w:rsid w:val="006F3337"/>
    <w:rsid w:val="006F55F1"/>
    <w:rsid w:val="006F59C4"/>
    <w:rsid w:val="006F5BDE"/>
    <w:rsid w:val="006F5CB0"/>
    <w:rsid w:val="006F6816"/>
    <w:rsid w:val="006F6C10"/>
    <w:rsid w:val="0070048A"/>
    <w:rsid w:val="00700CAC"/>
    <w:rsid w:val="00701491"/>
    <w:rsid w:val="00701804"/>
    <w:rsid w:val="00701AB4"/>
    <w:rsid w:val="00702865"/>
    <w:rsid w:val="00702D0E"/>
    <w:rsid w:val="00703621"/>
    <w:rsid w:val="00705250"/>
    <w:rsid w:val="00705A41"/>
    <w:rsid w:val="00705D15"/>
    <w:rsid w:val="007062C6"/>
    <w:rsid w:val="007063C4"/>
    <w:rsid w:val="00706575"/>
    <w:rsid w:val="0070673F"/>
    <w:rsid w:val="00706ECF"/>
    <w:rsid w:val="00707A92"/>
    <w:rsid w:val="0071026A"/>
    <w:rsid w:val="0071042D"/>
    <w:rsid w:val="00710CAE"/>
    <w:rsid w:val="00710DC3"/>
    <w:rsid w:val="007117F7"/>
    <w:rsid w:val="00711FDE"/>
    <w:rsid w:val="0071248D"/>
    <w:rsid w:val="00713408"/>
    <w:rsid w:val="00713797"/>
    <w:rsid w:val="00714697"/>
    <w:rsid w:val="00715018"/>
    <w:rsid w:val="007159FE"/>
    <w:rsid w:val="007170F8"/>
    <w:rsid w:val="00717DAF"/>
    <w:rsid w:val="00717E02"/>
    <w:rsid w:val="00720344"/>
    <w:rsid w:val="00720C1A"/>
    <w:rsid w:val="00721C15"/>
    <w:rsid w:val="00721F85"/>
    <w:rsid w:val="00722CFF"/>
    <w:rsid w:val="007238F0"/>
    <w:rsid w:val="007240DE"/>
    <w:rsid w:val="007243AA"/>
    <w:rsid w:val="007246A1"/>
    <w:rsid w:val="00724A1B"/>
    <w:rsid w:val="00725A9D"/>
    <w:rsid w:val="00726E9E"/>
    <w:rsid w:val="0072794F"/>
    <w:rsid w:val="007300C7"/>
    <w:rsid w:val="007302D3"/>
    <w:rsid w:val="0073030E"/>
    <w:rsid w:val="00730E7F"/>
    <w:rsid w:val="00731181"/>
    <w:rsid w:val="00733122"/>
    <w:rsid w:val="0073394C"/>
    <w:rsid w:val="00733E8D"/>
    <w:rsid w:val="00734444"/>
    <w:rsid w:val="00734534"/>
    <w:rsid w:val="00734ADE"/>
    <w:rsid w:val="00735BDD"/>
    <w:rsid w:val="00736833"/>
    <w:rsid w:val="00737191"/>
    <w:rsid w:val="007376FC"/>
    <w:rsid w:val="007377C2"/>
    <w:rsid w:val="00740793"/>
    <w:rsid w:val="00740B07"/>
    <w:rsid w:val="00741190"/>
    <w:rsid w:val="00741221"/>
    <w:rsid w:val="007412E0"/>
    <w:rsid w:val="007415AC"/>
    <w:rsid w:val="00742DB8"/>
    <w:rsid w:val="007436F7"/>
    <w:rsid w:val="00744BE7"/>
    <w:rsid w:val="007454CF"/>
    <w:rsid w:val="007459E7"/>
    <w:rsid w:val="00746597"/>
    <w:rsid w:val="00747689"/>
    <w:rsid w:val="00747BE2"/>
    <w:rsid w:val="007508DF"/>
    <w:rsid w:val="00751121"/>
    <w:rsid w:val="0075129D"/>
    <w:rsid w:val="007513E3"/>
    <w:rsid w:val="00751A72"/>
    <w:rsid w:val="00751B92"/>
    <w:rsid w:val="00752501"/>
    <w:rsid w:val="00752A34"/>
    <w:rsid w:val="00752DBB"/>
    <w:rsid w:val="0075310F"/>
    <w:rsid w:val="00754027"/>
    <w:rsid w:val="0075445C"/>
    <w:rsid w:val="00754CF5"/>
    <w:rsid w:val="007550B1"/>
    <w:rsid w:val="00755460"/>
    <w:rsid w:val="007563A7"/>
    <w:rsid w:val="00756707"/>
    <w:rsid w:val="00756928"/>
    <w:rsid w:val="00756B6D"/>
    <w:rsid w:val="0075728A"/>
    <w:rsid w:val="00757900"/>
    <w:rsid w:val="0075799B"/>
    <w:rsid w:val="00757DE5"/>
    <w:rsid w:val="00760EDB"/>
    <w:rsid w:val="00761B50"/>
    <w:rsid w:val="0076229A"/>
    <w:rsid w:val="00763DDC"/>
    <w:rsid w:val="007642D2"/>
    <w:rsid w:val="007647E4"/>
    <w:rsid w:val="00764A04"/>
    <w:rsid w:val="00764CCD"/>
    <w:rsid w:val="007658CC"/>
    <w:rsid w:val="00766400"/>
    <w:rsid w:val="0076680C"/>
    <w:rsid w:val="00766886"/>
    <w:rsid w:val="0076769B"/>
    <w:rsid w:val="0076788E"/>
    <w:rsid w:val="007678D1"/>
    <w:rsid w:val="00770034"/>
    <w:rsid w:val="00770E23"/>
    <w:rsid w:val="007718DA"/>
    <w:rsid w:val="00771E6D"/>
    <w:rsid w:val="007722AE"/>
    <w:rsid w:val="00772965"/>
    <w:rsid w:val="007730C3"/>
    <w:rsid w:val="00773673"/>
    <w:rsid w:val="00773EF3"/>
    <w:rsid w:val="00774AA0"/>
    <w:rsid w:val="0077789F"/>
    <w:rsid w:val="00777AFA"/>
    <w:rsid w:val="0078084F"/>
    <w:rsid w:val="00780E1C"/>
    <w:rsid w:val="0078171D"/>
    <w:rsid w:val="00781C19"/>
    <w:rsid w:val="00781F23"/>
    <w:rsid w:val="007838BF"/>
    <w:rsid w:val="00783980"/>
    <w:rsid w:val="00783EFE"/>
    <w:rsid w:val="00784183"/>
    <w:rsid w:val="00784917"/>
    <w:rsid w:val="00784AAC"/>
    <w:rsid w:val="00784DEE"/>
    <w:rsid w:val="00785A7A"/>
    <w:rsid w:val="00786588"/>
    <w:rsid w:val="00786EE8"/>
    <w:rsid w:val="007877AE"/>
    <w:rsid w:val="007879FA"/>
    <w:rsid w:val="0079052E"/>
    <w:rsid w:val="0079066D"/>
    <w:rsid w:val="007906AA"/>
    <w:rsid w:val="00790800"/>
    <w:rsid w:val="00791383"/>
    <w:rsid w:val="007914BE"/>
    <w:rsid w:val="007918B1"/>
    <w:rsid w:val="0079193C"/>
    <w:rsid w:val="0079218A"/>
    <w:rsid w:val="007926F2"/>
    <w:rsid w:val="00792BF4"/>
    <w:rsid w:val="007931D2"/>
    <w:rsid w:val="0079488D"/>
    <w:rsid w:val="0079577F"/>
    <w:rsid w:val="007957C1"/>
    <w:rsid w:val="00795D0B"/>
    <w:rsid w:val="00795E63"/>
    <w:rsid w:val="00796D42"/>
    <w:rsid w:val="00796E50"/>
    <w:rsid w:val="007976C4"/>
    <w:rsid w:val="007A143E"/>
    <w:rsid w:val="007A1648"/>
    <w:rsid w:val="007A16B1"/>
    <w:rsid w:val="007A1BF1"/>
    <w:rsid w:val="007A3366"/>
    <w:rsid w:val="007A3A86"/>
    <w:rsid w:val="007A411F"/>
    <w:rsid w:val="007A412F"/>
    <w:rsid w:val="007A5A99"/>
    <w:rsid w:val="007A5ED0"/>
    <w:rsid w:val="007A700D"/>
    <w:rsid w:val="007B0A76"/>
    <w:rsid w:val="007B0BCF"/>
    <w:rsid w:val="007B1F2B"/>
    <w:rsid w:val="007B292F"/>
    <w:rsid w:val="007B2A24"/>
    <w:rsid w:val="007B2BCF"/>
    <w:rsid w:val="007B2F99"/>
    <w:rsid w:val="007B3211"/>
    <w:rsid w:val="007B3DE4"/>
    <w:rsid w:val="007B3EDC"/>
    <w:rsid w:val="007B46C0"/>
    <w:rsid w:val="007B4E35"/>
    <w:rsid w:val="007B573D"/>
    <w:rsid w:val="007B607C"/>
    <w:rsid w:val="007B622B"/>
    <w:rsid w:val="007B6A83"/>
    <w:rsid w:val="007B6BDF"/>
    <w:rsid w:val="007B6CDD"/>
    <w:rsid w:val="007B6F99"/>
    <w:rsid w:val="007B76AC"/>
    <w:rsid w:val="007B7EAC"/>
    <w:rsid w:val="007C0F5C"/>
    <w:rsid w:val="007C1991"/>
    <w:rsid w:val="007C2E51"/>
    <w:rsid w:val="007C3145"/>
    <w:rsid w:val="007C3C31"/>
    <w:rsid w:val="007C5185"/>
    <w:rsid w:val="007C5634"/>
    <w:rsid w:val="007C6067"/>
    <w:rsid w:val="007C6CCF"/>
    <w:rsid w:val="007C6D56"/>
    <w:rsid w:val="007C7528"/>
    <w:rsid w:val="007D0356"/>
    <w:rsid w:val="007D0DDC"/>
    <w:rsid w:val="007D11BC"/>
    <w:rsid w:val="007D12AC"/>
    <w:rsid w:val="007D1491"/>
    <w:rsid w:val="007D1730"/>
    <w:rsid w:val="007D3EB9"/>
    <w:rsid w:val="007D4A11"/>
    <w:rsid w:val="007D4D5D"/>
    <w:rsid w:val="007D4EAB"/>
    <w:rsid w:val="007D613F"/>
    <w:rsid w:val="007D6730"/>
    <w:rsid w:val="007E0E46"/>
    <w:rsid w:val="007E0EB2"/>
    <w:rsid w:val="007E17D2"/>
    <w:rsid w:val="007E2080"/>
    <w:rsid w:val="007E332C"/>
    <w:rsid w:val="007E4FD4"/>
    <w:rsid w:val="007E5559"/>
    <w:rsid w:val="007E571F"/>
    <w:rsid w:val="007E67A0"/>
    <w:rsid w:val="007E69BD"/>
    <w:rsid w:val="007E735C"/>
    <w:rsid w:val="007E7378"/>
    <w:rsid w:val="007F000B"/>
    <w:rsid w:val="007F1726"/>
    <w:rsid w:val="007F1A30"/>
    <w:rsid w:val="007F1C29"/>
    <w:rsid w:val="007F1EA4"/>
    <w:rsid w:val="007F1F1E"/>
    <w:rsid w:val="007F1F56"/>
    <w:rsid w:val="007F2614"/>
    <w:rsid w:val="007F3165"/>
    <w:rsid w:val="007F38B2"/>
    <w:rsid w:val="007F3E6A"/>
    <w:rsid w:val="007F4BAE"/>
    <w:rsid w:val="007F4EE9"/>
    <w:rsid w:val="007F53CA"/>
    <w:rsid w:val="007F6A18"/>
    <w:rsid w:val="007F75AE"/>
    <w:rsid w:val="007F790B"/>
    <w:rsid w:val="007F7EC5"/>
    <w:rsid w:val="00800263"/>
    <w:rsid w:val="008004F5"/>
    <w:rsid w:val="00800791"/>
    <w:rsid w:val="00800B39"/>
    <w:rsid w:val="008012B3"/>
    <w:rsid w:val="008013D2"/>
    <w:rsid w:val="008014FD"/>
    <w:rsid w:val="0080163A"/>
    <w:rsid w:val="008016EB"/>
    <w:rsid w:val="00801844"/>
    <w:rsid w:val="00801A63"/>
    <w:rsid w:val="00801B0A"/>
    <w:rsid w:val="00801D92"/>
    <w:rsid w:val="00802170"/>
    <w:rsid w:val="008024C1"/>
    <w:rsid w:val="00802532"/>
    <w:rsid w:val="00802A43"/>
    <w:rsid w:val="008036E1"/>
    <w:rsid w:val="00803A94"/>
    <w:rsid w:val="00803B63"/>
    <w:rsid w:val="00804080"/>
    <w:rsid w:val="008051CA"/>
    <w:rsid w:val="008055E2"/>
    <w:rsid w:val="00805637"/>
    <w:rsid w:val="00805D8F"/>
    <w:rsid w:val="00805E65"/>
    <w:rsid w:val="00805F00"/>
    <w:rsid w:val="00806F09"/>
    <w:rsid w:val="008071A3"/>
    <w:rsid w:val="00807245"/>
    <w:rsid w:val="008079AD"/>
    <w:rsid w:val="00807FBB"/>
    <w:rsid w:val="00810888"/>
    <w:rsid w:val="00810B1C"/>
    <w:rsid w:val="00810B6C"/>
    <w:rsid w:val="00810E9D"/>
    <w:rsid w:val="00811319"/>
    <w:rsid w:val="00812B7E"/>
    <w:rsid w:val="00812CFF"/>
    <w:rsid w:val="00813027"/>
    <w:rsid w:val="008137F5"/>
    <w:rsid w:val="00813FF4"/>
    <w:rsid w:val="00815026"/>
    <w:rsid w:val="00815892"/>
    <w:rsid w:val="00815F1F"/>
    <w:rsid w:val="008179C4"/>
    <w:rsid w:val="00820EB4"/>
    <w:rsid w:val="008211C7"/>
    <w:rsid w:val="00821AC9"/>
    <w:rsid w:val="00821C94"/>
    <w:rsid w:val="008221BE"/>
    <w:rsid w:val="0082348C"/>
    <w:rsid w:val="00823FA8"/>
    <w:rsid w:val="0082625D"/>
    <w:rsid w:val="008262C4"/>
    <w:rsid w:val="00826758"/>
    <w:rsid w:val="0082690F"/>
    <w:rsid w:val="00826BEB"/>
    <w:rsid w:val="008276C5"/>
    <w:rsid w:val="0082770C"/>
    <w:rsid w:val="00830AAF"/>
    <w:rsid w:val="00830CDD"/>
    <w:rsid w:val="00831DD8"/>
    <w:rsid w:val="00832242"/>
    <w:rsid w:val="0083224E"/>
    <w:rsid w:val="00832284"/>
    <w:rsid w:val="00832B78"/>
    <w:rsid w:val="00832BB1"/>
    <w:rsid w:val="00832C3D"/>
    <w:rsid w:val="00832DF5"/>
    <w:rsid w:val="00832FCB"/>
    <w:rsid w:val="00833D03"/>
    <w:rsid w:val="008345CB"/>
    <w:rsid w:val="00834855"/>
    <w:rsid w:val="008357FB"/>
    <w:rsid w:val="00835E02"/>
    <w:rsid w:val="0083602D"/>
    <w:rsid w:val="00836648"/>
    <w:rsid w:val="0083678B"/>
    <w:rsid w:val="008378DC"/>
    <w:rsid w:val="00840171"/>
    <w:rsid w:val="008417CA"/>
    <w:rsid w:val="008418C2"/>
    <w:rsid w:val="00841974"/>
    <w:rsid w:val="00841EC1"/>
    <w:rsid w:val="0084212A"/>
    <w:rsid w:val="00842A5B"/>
    <w:rsid w:val="00842B9A"/>
    <w:rsid w:val="00842DC1"/>
    <w:rsid w:val="00842FE2"/>
    <w:rsid w:val="00843DCD"/>
    <w:rsid w:val="008442E8"/>
    <w:rsid w:val="008442EC"/>
    <w:rsid w:val="00844F77"/>
    <w:rsid w:val="00845342"/>
    <w:rsid w:val="00845B21"/>
    <w:rsid w:val="00846444"/>
    <w:rsid w:val="0084647E"/>
    <w:rsid w:val="008464E0"/>
    <w:rsid w:val="00846540"/>
    <w:rsid w:val="00846CFA"/>
    <w:rsid w:val="00847352"/>
    <w:rsid w:val="00847CDC"/>
    <w:rsid w:val="0085070F"/>
    <w:rsid w:val="008507D2"/>
    <w:rsid w:val="008509A5"/>
    <w:rsid w:val="00850F3C"/>
    <w:rsid w:val="008511DE"/>
    <w:rsid w:val="00852ACF"/>
    <w:rsid w:val="008533DD"/>
    <w:rsid w:val="008539A8"/>
    <w:rsid w:val="00854D71"/>
    <w:rsid w:val="00855309"/>
    <w:rsid w:val="00855657"/>
    <w:rsid w:val="00855931"/>
    <w:rsid w:val="008560A9"/>
    <w:rsid w:val="00856692"/>
    <w:rsid w:val="00856875"/>
    <w:rsid w:val="00856913"/>
    <w:rsid w:val="0085710D"/>
    <w:rsid w:val="00857422"/>
    <w:rsid w:val="00857D65"/>
    <w:rsid w:val="00857E4E"/>
    <w:rsid w:val="00860458"/>
    <w:rsid w:val="00861326"/>
    <w:rsid w:val="00861C3B"/>
    <w:rsid w:val="00861E74"/>
    <w:rsid w:val="0086396E"/>
    <w:rsid w:val="00864122"/>
    <w:rsid w:val="008645E9"/>
    <w:rsid w:val="008645F5"/>
    <w:rsid w:val="0086535C"/>
    <w:rsid w:val="0086617B"/>
    <w:rsid w:val="008662C4"/>
    <w:rsid w:val="00866338"/>
    <w:rsid w:val="008676C5"/>
    <w:rsid w:val="008679A6"/>
    <w:rsid w:val="008701FE"/>
    <w:rsid w:val="008705AC"/>
    <w:rsid w:val="00871244"/>
    <w:rsid w:val="00871AF3"/>
    <w:rsid w:val="00871CC6"/>
    <w:rsid w:val="00872077"/>
    <w:rsid w:val="0087298C"/>
    <w:rsid w:val="008738FD"/>
    <w:rsid w:val="00873A19"/>
    <w:rsid w:val="0087464D"/>
    <w:rsid w:val="00874B39"/>
    <w:rsid w:val="00875B9F"/>
    <w:rsid w:val="00875CE1"/>
    <w:rsid w:val="00875FC3"/>
    <w:rsid w:val="0087648E"/>
    <w:rsid w:val="0087652A"/>
    <w:rsid w:val="00876856"/>
    <w:rsid w:val="00876C40"/>
    <w:rsid w:val="0087704C"/>
    <w:rsid w:val="00877A45"/>
    <w:rsid w:val="00877B44"/>
    <w:rsid w:val="00877F19"/>
    <w:rsid w:val="00880A99"/>
    <w:rsid w:val="00880BD7"/>
    <w:rsid w:val="008817A2"/>
    <w:rsid w:val="00881F6E"/>
    <w:rsid w:val="00882401"/>
    <w:rsid w:val="0088324D"/>
    <w:rsid w:val="00883683"/>
    <w:rsid w:val="008849BC"/>
    <w:rsid w:val="00884E8E"/>
    <w:rsid w:val="00884F91"/>
    <w:rsid w:val="00886231"/>
    <w:rsid w:val="008863DD"/>
    <w:rsid w:val="008877D9"/>
    <w:rsid w:val="00887BFE"/>
    <w:rsid w:val="00890530"/>
    <w:rsid w:val="00890818"/>
    <w:rsid w:val="00890C1D"/>
    <w:rsid w:val="00890F56"/>
    <w:rsid w:val="008923C9"/>
    <w:rsid w:val="0089256B"/>
    <w:rsid w:val="00892DEA"/>
    <w:rsid w:val="008935AB"/>
    <w:rsid w:val="00893901"/>
    <w:rsid w:val="008943B0"/>
    <w:rsid w:val="00894D08"/>
    <w:rsid w:val="00894F91"/>
    <w:rsid w:val="00894FA2"/>
    <w:rsid w:val="0089505C"/>
    <w:rsid w:val="008952ED"/>
    <w:rsid w:val="0089649A"/>
    <w:rsid w:val="008967AB"/>
    <w:rsid w:val="0089696C"/>
    <w:rsid w:val="00896BBD"/>
    <w:rsid w:val="00896BD0"/>
    <w:rsid w:val="00896C85"/>
    <w:rsid w:val="008973CD"/>
    <w:rsid w:val="00897864"/>
    <w:rsid w:val="00897883"/>
    <w:rsid w:val="00897AEA"/>
    <w:rsid w:val="00897BB6"/>
    <w:rsid w:val="00897E4D"/>
    <w:rsid w:val="008A01F7"/>
    <w:rsid w:val="008A08D1"/>
    <w:rsid w:val="008A11E6"/>
    <w:rsid w:val="008A16C0"/>
    <w:rsid w:val="008A1D17"/>
    <w:rsid w:val="008A1FD8"/>
    <w:rsid w:val="008A21B4"/>
    <w:rsid w:val="008A367F"/>
    <w:rsid w:val="008A389C"/>
    <w:rsid w:val="008A50E0"/>
    <w:rsid w:val="008A53A4"/>
    <w:rsid w:val="008A55C3"/>
    <w:rsid w:val="008A62D6"/>
    <w:rsid w:val="008A70F5"/>
    <w:rsid w:val="008B081B"/>
    <w:rsid w:val="008B0D69"/>
    <w:rsid w:val="008B12C2"/>
    <w:rsid w:val="008B1AF9"/>
    <w:rsid w:val="008B26B4"/>
    <w:rsid w:val="008B3804"/>
    <w:rsid w:val="008B4319"/>
    <w:rsid w:val="008B4B6E"/>
    <w:rsid w:val="008B5257"/>
    <w:rsid w:val="008B54BE"/>
    <w:rsid w:val="008B55A1"/>
    <w:rsid w:val="008B5CF1"/>
    <w:rsid w:val="008B5E8C"/>
    <w:rsid w:val="008B648D"/>
    <w:rsid w:val="008B67F7"/>
    <w:rsid w:val="008B6952"/>
    <w:rsid w:val="008B6BC7"/>
    <w:rsid w:val="008B7104"/>
    <w:rsid w:val="008C1DC2"/>
    <w:rsid w:val="008C1E0C"/>
    <w:rsid w:val="008C22F8"/>
    <w:rsid w:val="008C351E"/>
    <w:rsid w:val="008C54C6"/>
    <w:rsid w:val="008C57D1"/>
    <w:rsid w:val="008C58BD"/>
    <w:rsid w:val="008C5D85"/>
    <w:rsid w:val="008C5E9C"/>
    <w:rsid w:val="008C62FE"/>
    <w:rsid w:val="008C634C"/>
    <w:rsid w:val="008C6ABE"/>
    <w:rsid w:val="008C6E67"/>
    <w:rsid w:val="008C774B"/>
    <w:rsid w:val="008D088B"/>
    <w:rsid w:val="008D0896"/>
    <w:rsid w:val="008D0BAC"/>
    <w:rsid w:val="008D1A52"/>
    <w:rsid w:val="008D1D47"/>
    <w:rsid w:val="008D1F9F"/>
    <w:rsid w:val="008D22B3"/>
    <w:rsid w:val="008D2488"/>
    <w:rsid w:val="008D2AC8"/>
    <w:rsid w:val="008D2EF3"/>
    <w:rsid w:val="008D370D"/>
    <w:rsid w:val="008D3C2A"/>
    <w:rsid w:val="008D4F10"/>
    <w:rsid w:val="008D565E"/>
    <w:rsid w:val="008D61DA"/>
    <w:rsid w:val="008D621F"/>
    <w:rsid w:val="008D67BA"/>
    <w:rsid w:val="008D704B"/>
    <w:rsid w:val="008D7754"/>
    <w:rsid w:val="008E0425"/>
    <w:rsid w:val="008E090B"/>
    <w:rsid w:val="008E0FC1"/>
    <w:rsid w:val="008E1071"/>
    <w:rsid w:val="008E1A8D"/>
    <w:rsid w:val="008E1A9F"/>
    <w:rsid w:val="008E1CFB"/>
    <w:rsid w:val="008E24D5"/>
    <w:rsid w:val="008E2ED7"/>
    <w:rsid w:val="008E307D"/>
    <w:rsid w:val="008E3B6F"/>
    <w:rsid w:val="008E41A1"/>
    <w:rsid w:val="008E425B"/>
    <w:rsid w:val="008E4886"/>
    <w:rsid w:val="008E4B66"/>
    <w:rsid w:val="008E4E3E"/>
    <w:rsid w:val="008E5774"/>
    <w:rsid w:val="008E6476"/>
    <w:rsid w:val="008E7349"/>
    <w:rsid w:val="008E7922"/>
    <w:rsid w:val="008E7B8D"/>
    <w:rsid w:val="008F0237"/>
    <w:rsid w:val="008F0605"/>
    <w:rsid w:val="008F089E"/>
    <w:rsid w:val="008F0D94"/>
    <w:rsid w:val="008F1241"/>
    <w:rsid w:val="008F3308"/>
    <w:rsid w:val="008F36D1"/>
    <w:rsid w:val="008F3D25"/>
    <w:rsid w:val="008F3D4C"/>
    <w:rsid w:val="008F4026"/>
    <w:rsid w:val="008F43AA"/>
    <w:rsid w:val="008F51E6"/>
    <w:rsid w:val="008F6CF7"/>
    <w:rsid w:val="008F6CF8"/>
    <w:rsid w:val="008F7A43"/>
    <w:rsid w:val="008F7D76"/>
    <w:rsid w:val="0090040E"/>
    <w:rsid w:val="00900849"/>
    <w:rsid w:val="00900B71"/>
    <w:rsid w:val="00900D89"/>
    <w:rsid w:val="0090113B"/>
    <w:rsid w:val="00901182"/>
    <w:rsid w:val="00901487"/>
    <w:rsid w:val="00901B1B"/>
    <w:rsid w:val="00901C3B"/>
    <w:rsid w:val="00902957"/>
    <w:rsid w:val="00902D66"/>
    <w:rsid w:val="00903646"/>
    <w:rsid w:val="009036D4"/>
    <w:rsid w:val="00904282"/>
    <w:rsid w:val="0090452C"/>
    <w:rsid w:val="00904657"/>
    <w:rsid w:val="00904C0A"/>
    <w:rsid w:val="009052A9"/>
    <w:rsid w:val="009052CA"/>
    <w:rsid w:val="00905945"/>
    <w:rsid w:val="00905C93"/>
    <w:rsid w:val="00905F6A"/>
    <w:rsid w:val="00906288"/>
    <w:rsid w:val="009077AD"/>
    <w:rsid w:val="0090792B"/>
    <w:rsid w:val="009108BF"/>
    <w:rsid w:val="00911D09"/>
    <w:rsid w:val="009130A5"/>
    <w:rsid w:val="009130F4"/>
    <w:rsid w:val="00914D02"/>
    <w:rsid w:val="009150BF"/>
    <w:rsid w:val="009156C4"/>
    <w:rsid w:val="009160AD"/>
    <w:rsid w:val="009168A1"/>
    <w:rsid w:val="00916B74"/>
    <w:rsid w:val="009171D6"/>
    <w:rsid w:val="009172E2"/>
    <w:rsid w:val="00920369"/>
    <w:rsid w:val="00920B66"/>
    <w:rsid w:val="00920BF8"/>
    <w:rsid w:val="00920DF4"/>
    <w:rsid w:val="0092136B"/>
    <w:rsid w:val="009213FD"/>
    <w:rsid w:val="00922A1D"/>
    <w:rsid w:val="00922CDE"/>
    <w:rsid w:val="00923815"/>
    <w:rsid w:val="0092432C"/>
    <w:rsid w:val="0092439D"/>
    <w:rsid w:val="00924E35"/>
    <w:rsid w:val="009252C1"/>
    <w:rsid w:val="00925302"/>
    <w:rsid w:val="00925375"/>
    <w:rsid w:val="00925A1E"/>
    <w:rsid w:val="00926419"/>
    <w:rsid w:val="0092674A"/>
    <w:rsid w:val="00927CC7"/>
    <w:rsid w:val="00930707"/>
    <w:rsid w:val="00930AB2"/>
    <w:rsid w:val="00931790"/>
    <w:rsid w:val="009318A4"/>
    <w:rsid w:val="009319E0"/>
    <w:rsid w:val="00931E3D"/>
    <w:rsid w:val="00932707"/>
    <w:rsid w:val="00933239"/>
    <w:rsid w:val="00933A89"/>
    <w:rsid w:val="00933C25"/>
    <w:rsid w:val="00934047"/>
    <w:rsid w:val="00934637"/>
    <w:rsid w:val="00934BEF"/>
    <w:rsid w:val="00935149"/>
    <w:rsid w:val="00935F1F"/>
    <w:rsid w:val="00935FAC"/>
    <w:rsid w:val="009360C5"/>
    <w:rsid w:val="00936AD3"/>
    <w:rsid w:val="00936D0E"/>
    <w:rsid w:val="009376F9"/>
    <w:rsid w:val="00940361"/>
    <w:rsid w:val="00940BDA"/>
    <w:rsid w:val="00940CE3"/>
    <w:rsid w:val="0094132A"/>
    <w:rsid w:val="009416ED"/>
    <w:rsid w:val="00941C8F"/>
    <w:rsid w:val="0094219C"/>
    <w:rsid w:val="00942469"/>
    <w:rsid w:val="00942C21"/>
    <w:rsid w:val="00943059"/>
    <w:rsid w:val="00943BF8"/>
    <w:rsid w:val="00943F8F"/>
    <w:rsid w:val="009442CA"/>
    <w:rsid w:val="0094437D"/>
    <w:rsid w:val="00944DCE"/>
    <w:rsid w:val="0094514F"/>
    <w:rsid w:val="00945679"/>
    <w:rsid w:val="009460C1"/>
    <w:rsid w:val="0094634A"/>
    <w:rsid w:val="0094641E"/>
    <w:rsid w:val="00946956"/>
    <w:rsid w:val="009473BC"/>
    <w:rsid w:val="00947C73"/>
    <w:rsid w:val="00947F86"/>
    <w:rsid w:val="00951C8B"/>
    <w:rsid w:val="00951F04"/>
    <w:rsid w:val="00952880"/>
    <w:rsid w:val="00952D27"/>
    <w:rsid w:val="00953126"/>
    <w:rsid w:val="0095398E"/>
    <w:rsid w:val="00954C3B"/>
    <w:rsid w:val="00954EED"/>
    <w:rsid w:val="00954FCC"/>
    <w:rsid w:val="00955A06"/>
    <w:rsid w:val="009560AA"/>
    <w:rsid w:val="00956392"/>
    <w:rsid w:val="00956C22"/>
    <w:rsid w:val="0095711C"/>
    <w:rsid w:val="0095755D"/>
    <w:rsid w:val="009577A8"/>
    <w:rsid w:val="009577D8"/>
    <w:rsid w:val="009579B5"/>
    <w:rsid w:val="009608B4"/>
    <w:rsid w:val="00961FBA"/>
    <w:rsid w:val="0096268B"/>
    <w:rsid w:val="00963C7C"/>
    <w:rsid w:val="00964F76"/>
    <w:rsid w:val="009658C1"/>
    <w:rsid w:val="00965FEC"/>
    <w:rsid w:val="0096632D"/>
    <w:rsid w:val="00966B40"/>
    <w:rsid w:val="00967042"/>
    <w:rsid w:val="00967055"/>
    <w:rsid w:val="009671EA"/>
    <w:rsid w:val="009674B6"/>
    <w:rsid w:val="0096785B"/>
    <w:rsid w:val="00970259"/>
    <w:rsid w:val="00970685"/>
    <w:rsid w:val="00971A47"/>
    <w:rsid w:val="00972E45"/>
    <w:rsid w:val="00974787"/>
    <w:rsid w:val="00974DAB"/>
    <w:rsid w:val="009750F8"/>
    <w:rsid w:val="0097548E"/>
    <w:rsid w:val="00975E19"/>
    <w:rsid w:val="00976596"/>
    <w:rsid w:val="00976988"/>
    <w:rsid w:val="00976FDC"/>
    <w:rsid w:val="009772CE"/>
    <w:rsid w:val="0097787B"/>
    <w:rsid w:val="00977C64"/>
    <w:rsid w:val="0098024B"/>
    <w:rsid w:val="00981467"/>
    <w:rsid w:val="009817D3"/>
    <w:rsid w:val="00981C3E"/>
    <w:rsid w:val="00982399"/>
    <w:rsid w:val="009831EC"/>
    <w:rsid w:val="00983566"/>
    <w:rsid w:val="00983E15"/>
    <w:rsid w:val="00984EF7"/>
    <w:rsid w:val="0098518C"/>
    <w:rsid w:val="00985607"/>
    <w:rsid w:val="009859DE"/>
    <w:rsid w:val="00987776"/>
    <w:rsid w:val="009879A6"/>
    <w:rsid w:val="00990494"/>
    <w:rsid w:val="00991BF2"/>
    <w:rsid w:val="009922AD"/>
    <w:rsid w:val="0099268D"/>
    <w:rsid w:val="009927F1"/>
    <w:rsid w:val="009928FB"/>
    <w:rsid w:val="00992A30"/>
    <w:rsid w:val="00992B0F"/>
    <w:rsid w:val="009932CF"/>
    <w:rsid w:val="0099393D"/>
    <w:rsid w:val="009945E5"/>
    <w:rsid w:val="009949E9"/>
    <w:rsid w:val="00994AED"/>
    <w:rsid w:val="00994D5A"/>
    <w:rsid w:val="009950DA"/>
    <w:rsid w:val="00995918"/>
    <w:rsid w:val="009960BD"/>
    <w:rsid w:val="00997EC1"/>
    <w:rsid w:val="009A07DC"/>
    <w:rsid w:val="009A0DC2"/>
    <w:rsid w:val="009A0E62"/>
    <w:rsid w:val="009A1F9E"/>
    <w:rsid w:val="009A2969"/>
    <w:rsid w:val="009A3314"/>
    <w:rsid w:val="009A355D"/>
    <w:rsid w:val="009A4231"/>
    <w:rsid w:val="009A550E"/>
    <w:rsid w:val="009A5511"/>
    <w:rsid w:val="009A60B9"/>
    <w:rsid w:val="009A676D"/>
    <w:rsid w:val="009A67B0"/>
    <w:rsid w:val="009A69A2"/>
    <w:rsid w:val="009A6D8D"/>
    <w:rsid w:val="009A72BC"/>
    <w:rsid w:val="009B08E7"/>
    <w:rsid w:val="009B0C87"/>
    <w:rsid w:val="009B132F"/>
    <w:rsid w:val="009B1427"/>
    <w:rsid w:val="009B189C"/>
    <w:rsid w:val="009B197B"/>
    <w:rsid w:val="009B19B9"/>
    <w:rsid w:val="009B1D59"/>
    <w:rsid w:val="009B20C8"/>
    <w:rsid w:val="009B2154"/>
    <w:rsid w:val="009B282F"/>
    <w:rsid w:val="009B28B6"/>
    <w:rsid w:val="009B2D4E"/>
    <w:rsid w:val="009B2D87"/>
    <w:rsid w:val="009B3725"/>
    <w:rsid w:val="009B4AF9"/>
    <w:rsid w:val="009B56B2"/>
    <w:rsid w:val="009B5970"/>
    <w:rsid w:val="009B5BDC"/>
    <w:rsid w:val="009B64AC"/>
    <w:rsid w:val="009B7079"/>
    <w:rsid w:val="009B738C"/>
    <w:rsid w:val="009B75B4"/>
    <w:rsid w:val="009B7737"/>
    <w:rsid w:val="009C051D"/>
    <w:rsid w:val="009C0A18"/>
    <w:rsid w:val="009C1B43"/>
    <w:rsid w:val="009C1BFA"/>
    <w:rsid w:val="009C24BE"/>
    <w:rsid w:val="009C268E"/>
    <w:rsid w:val="009C26BB"/>
    <w:rsid w:val="009C29C4"/>
    <w:rsid w:val="009C2DB8"/>
    <w:rsid w:val="009C317C"/>
    <w:rsid w:val="009C32D0"/>
    <w:rsid w:val="009C3969"/>
    <w:rsid w:val="009C3D10"/>
    <w:rsid w:val="009C44A9"/>
    <w:rsid w:val="009C4B7F"/>
    <w:rsid w:val="009C542E"/>
    <w:rsid w:val="009C5780"/>
    <w:rsid w:val="009C679D"/>
    <w:rsid w:val="009C68C6"/>
    <w:rsid w:val="009C7303"/>
    <w:rsid w:val="009C7313"/>
    <w:rsid w:val="009D06B7"/>
    <w:rsid w:val="009D0ACD"/>
    <w:rsid w:val="009D0D17"/>
    <w:rsid w:val="009D1373"/>
    <w:rsid w:val="009D1C8E"/>
    <w:rsid w:val="009D2927"/>
    <w:rsid w:val="009D2CCE"/>
    <w:rsid w:val="009D2F83"/>
    <w:rsid w:val="009D319F"/>
    <w:rsid w:val="009D33BC"/>
    <w:rsid w:val="009D35BC"/>
    <w:rsid w:val="009D3E41"/>
    <w:rsid w:val="009D4456"/>
    <w:rsid w:val="009D4601"/>
    <w:rsid w:val="009D4DC1"/>
    <w:rsid w:val="009D64A2"/>
    <w:rsid w:val="009D7473"/>
    <w:rsid w:val="009D7B8A"/>
    <w:rsid w:val="009D7EAC"/>
    <w:rsid w:val="009D7EAF"/>
    <w:rsid w:val="009E0028"/>
    <w:rsid w:val="009E0F48"/>
    <w:rsid w:val="009E2E44"/>
    <w:rsid w:val="009E2E72"/>
    <w:rsid w:val="009E44CF"/>
    <w:rsid w:val="009E4562"/>
    <w:rsid w:val="009E5100"/>
    <w:rsid w:val="009E53A1"/>
    <w:rsid w:val="009E5CAE"/>
    <w:rsid w:val="009E648B"/>
    <w:rsid w:val="009E655C"/>
    <w:rsid w:val="009E6E82"/>
    <w:rsid w:val="009E717F"/>
    <w:rsid w:val="009E7888"/>
    <w:rsid w:val="009F009D"/>
    <w:rsid w:val="009F0637"/>
    <w:rsid w:val="009F0CFA"/>
    <w:rsid w:val="009F1F54"/>
    <w:rsid w:val="009F2173"/>
    <w:rsid w:val="009F26C9"/>
    <w:rsid w:val="009F3864"/>
    <w:rsid w:val="009F3C8A"/>
    <w:rsid w:val="009F420D"/>
    <w:rsid w:val="009F43BF"/>
    <w:rsid w:val="009F4690"/>
    <w:rsid w:val="009F4CF2"/>
    <w:rsid w:val="009F552E"/>
    <w:rsid w:val="009F56A6"/>
    <w:rsid w:val="009F59CE"/>
    <w:rsid w:val="009F5B13"/>
    <w:rsid w:val="009F6241"/>
    <w:rsid w:val="009F6656"/>
    <w:rsid w:val="009F66DE"/>
    <w:rsid w:val="009F6800"/>
    <w:rsid w:val="009F6D3B"/>
    <w:rsid w:val="009F6D42"/>
    <w:rsid w:val="009F705C"/>
    <w:rsid w:val="009F79CC"/>
    <w:rsid w:val="009F7B50"/>
    <w:rsid w:val="00A009C2"/>
    <w:rsid w:val="00A00EB5"/>
    <w:rsid w:val="00A0175A"/>
    <w:rsid w:val="00A01912"/>
    <w:rsid w:val="00A019CF"/>
    <w:rsid w:val="00A0209B"/>
    <w:rsid w:val="00A021D7"/>
    <w:rsid w:val="00A02731"/>
    <w:rsid w:val="00A030CF"/>
    <w:rsid w:val="00A03652"/>
    <w:rsid w:val="00A03EE3"/>
    <w:rsid w:val="00A045D5"/>
    <w:rsid w:val="00A051E2"/>
    <w:rsid w:val="00A0589A"/>
    <w:rsid w:val="00A05B88"/>
    <w:rsid w:val="00A05BAC"/>
    <w:rsid w:val="00A101CC"/>
    <w:rsid w:val="00A110CD"/>
    <w:rsid w:val="00A11AFC"/>
    <w:rsid w:val="00A12449"/>
    <w:rsid w:val="00A12C86"/>
    <w:rsid w:val="00A1306B"/>
    <w:rsid w:val="00A134AF"/>
    <w:rsid w:val="00A1390E"/>
    <w:rsid w:val="00A13D8D"/>
    <w:rsid w:val="00A14BC5"/>
    <w:rsid w:val="00A152D2"/>
    <w:rsid w:val="00A15E0D"/>
    <w:rsid w:val="00A15F01"/>
    <w:rsid w:val="00A16424"/>
    <w:rsid w:val="00A16842"/>
    <w:rsid w:val="00A16FD1"/>
    <w:rsid w:val="00A1743C"/>
    <w:rsid w:val="00A17719"/>
    <w:rsid w:val="00A177EF"/>
    <w:rsid w:val="00A17D1D"/>
    <w:rsid w:val="00A2018F"/>
    <w:rsid w:val="00A201B3"/>
    <w:rsid w:val="00A20F6A"/>
    <w:rsid w:val="00A213AE"/>
    <w:rsid w:val="00A2153E"/>
    <w:rsid w:val="00A21C5C"/>
    <w:rsid w:val="00A2230A"/>
    <w:rsid w:val="00A22390"/>
    <w:rsid w:val="00A230D1"/>
    <w:rsid w:val="00A232EC"/>
    <w:rsid w:val="00A2343A"/>
    <w:rsid w:val="00A2366D"/>
    <w:rsid w:val="00A23A84"/>
    <w:rsid w:val="00A23F07"/>
    <w:rsid w:val="00A24E27"/>
    <w:rsid w:val="00A24F9A"/>
    <w:rsid w:val="00A25063"/>
    <w:rsid w:val="00A251D6"/>
    <w:rsid w:val="00A256CA"/>
    <w:rsid w:val="00A25CF9"/>
    <w:rsid w:val="00A2763B"/>
    <w:rsid w:val="00A27A3B"/>
    <w:rsid w:val="00A27FB9"/>
    <w:rsid w:val="00A301AA"/>
    <w:rsid w:val="00A311B9"/>
    <w:rsid w:val="00A31A2D"/>
    <w:rsid w:val="00A31D63"/>
    <w:rsid w:val="00A31DE9"/>
    <w:rsid w:val="00A33616"/>
    <w:rsid w:val="00A3486D"/>
    <w:rsid w:val="00A353F0"/>
    <w:rsid w:val="00A35C92"/>
    <w:rsid w:val="00A35D13"/>
    <w:rsid w:val="00A36686"/>
    <w:rsid w:val="00A37364"/>
    <w:rsid w:val="00A37611"/>
    <w:rsid w:val="00A37C8D"/>
    <w:rsid w:val="00A4033B"/>
    <w:rsid w:val="00A40980"/>
    <w:rsid w:val="00A41783"/>
    <w:rsid w:val="00A41DD4"/>
    <w:rsid w:val="00A41ED7"/>
    <w:rsid w:val="00A41EE9"/>
    <w:rsid w:val="00A41F2B"/>
    <w:rsid w:val="00A43084"/>
    <w:rsid w:val="00A430A1"/>
    <w:rsid w:val="00A43822"/>
    <w:rsid w:val="00A43EB7"/>
    <w:rsid w:val="00A449AB"/>
    <w:rsid w:val="00A44A52"/>
    <w:rsid w:val="00A44A8F"/>
    <w:rsid w:val="00A44E14"/>
    <w:rsid w:val="00A4513B"/>
    <w:rsid w:val="00A45593"/>
    <w:rsid w:val="00A45596"/>
    <w:rsid w:val="00A45A13"/>
    <w:rsid w:val="00A45F75"/>
    <w:rsid w:val="00A46450"/>
    <w:rsid w:val="00A468E8"/>
    <w:rsid w:val="00A46CFD"/>
    <w:rsid w:val="00A46D01"/>
    <w:rsid w:val="00A46E94"/>
    <w:rsid w:val="00A47C23"/>
    <w:rsid w:val="00A47C73"/>
    <w:rsid w:val="00A47CAB"/>
    <w:rsid w:val="00A501C6"/>
    <w:rsid w:val="00A503FE"/>
    <w:rsid w:val="00A51DB2"/>
    <w:rsid w:val="00A53DE5"/>
    <w:rsid w:val="00A53DE6"/>
    <w:rsid w:val="00A53F20"/>
    <w:rsid w:val="00A54641"/>
    <w:rsid w:val="00A5480D"/>
    <w:rsid w:val="00A548B6"/>
    <w:rsid w:val="00A54921"/>
    <w:rsid w:val="00A55909"/>
    <w:rsid w:val="00A56029"/>
    <w:rsid w:val="00A568CA"/>
    <w:rsid w:val="00A5703B"/>
    <w:rsid w:val="00A57D00"/>
    <w:rsid w:val="00A600B6"/>
    <w:rsid w:val="00A60BE9"/>
    <w:rsid w:val="00A61442"/>
    <w:rsid w:val="00A617FD"/>
    <w:rsid w:val="00A61FA6"/>
    <w:rsid w:val="00A6228C"/>
    <w:rsid w:val="00A62441"/>
    <w:rsid w:val="00A62765"/>
    <w:rsid w:val="00A627AB"/>
    <w:rsid w:val="00A62D71"/>
    <w:rsid w:val="00A6368C"/>
    <w:rsid w:val="00A63846"/>
    <w:rsid w:val="00A65877"/>
    <w:rsid w:val="00A66CDA"/>
    <w:rsid w:val="00A6741A"/>
    <w:rsid w:val="00A705E8"/>
    <w:rsid w:val="00A71290"/>
    <w:rsid w:val="00A71997"/>
    <w:rsid w:val="00A71B2C"/>
    <w:rsid w:val="00A72448"/>
    <w:rsid w:val="00A72C02"/>
    <w:rsid w:val="00A72C32"/>
    <w:rsid w:val="00A732AC"/>
    <w:rsid w:val="00A73939"/>
    <w:rsid w:val="00A75029"/>
    <w:rsid w:val="00A75125"/>
    <w:rsid w:val="00A758EB"/>
    <w:rsid w:val="00A77374"/>
    <w:rsid w:val="00A800B4"/>
    <w:rsid w:val="00A8047F"/>
    <w:rsid w:val="00A80EF9"/>
    <w:rsid w:val="00A81612"/>
    <w:rsid w:val="00A817C2"/>
    <w:rsid w:val="00A81FF3"/>
    <w:rsid w:val="00A8313F"/>
    <w:rsid w:val="00A84F72"/>
    <w:rsid w:val="00A8553F"/>
    <w:rsid w:val="00A85C08"/>
    <w:rsid w:val="00A86387"/>
    <w:rsid w:val="00A86880"/>
    <w:rsid w:val="00A8769E"/>
    <w:rsid w:val="00A902F9"/>
    <w:rsid w:val="00A904FA"/>
    <w:rsid w:val="00A908F7"/>
    <w:rsid w:val="00A90E8D"/>
    <w:rsid w:val="00A916E7"/>
    <w:rsid w:val="00A92D91"/>
    <w:rsid w:val="00A930DD"/>
    <w:rsid w:val="00A932F0"/>
    <w:rsid w:val="00A93637"/>
    <w:rsid w:val="00A94750"/>
    <w:rsid w:val="00A94A30"/>
    <w:rsid w:val="00A95045"/>
    <w:rsid w:val="00A9515A"/>
    <w:rsid w:val="00A9537F"/>
    <w:rsid w:val="00A9564A"/>
    <w:rsid w:val="00A95DA5"/>
    <w:rsid w:val="00A96A06"/>
    <w:rsid w:val="00A96ED9"/>
    <w:rsid w:val="00AA0882"/>
    <w:rsid w:val="00AA099C"/>
    <w:rsid w:val="00AA0E41"/>
    <w:rsid w:val="00AA18DD"/>
    <w:rsid w:val="00AA2B09"/>
    <w:rsid w:val="00AA426A"/>
    <w:rsid w:val="00AA438F"/>
    <w:rsid w:val="00AA4653"/>
    <w:rsid w:val="00AA4EB4"/>
    <w:rsid w:val="00AA5E17"/>
    <w:rsid w:val="00AA6FA0"/>
    <w:rsid w:val="00AA73E4"/>
    <w:rsid w:val="00AA7E1B"/>
    <w:rsid w:val="00AB0186"/>
    <w:rsid w:val="00AB2154"/>
    <w:rsid w:val="00AB231F"/>
    <w:rsid w:val="00AB2EB7"/>
    <w:rsid w:val="00AB3211"/>
    <w:rsid w:val="00AB3C36"/>
    <w:rsid w:val="00AB46E4"/>
    <w:rsid w:val="00AB48BA"/>
    <w:rsid w:val="00AB4DB6"/>
    <w:rsid w:val="00AB5477"/>
    <w:rsid w:val="00AB577B"/>
    <w:rsid w:val="00AB651B"/>
    <w:rsid w:val="00AB653F"/>
    <w:rsid w:val="00AB71E5"/>
    <w:rsid w:val="00AB72C1"/>
    <w:rsid w:val="00AB79B5"/>
    <w:rsid w:val="00AC31A4"/>
    <w:rsid w:val="00AC35AA"/>
    <w:rsid w:val="00AC42CC"/>
    <w:rsid w:val="00AC44C8"/>
    <w:rsid w:val="00AC4542"/>
    <w:rsid w:val="00AC4576"/>
    <w:rsid w:val="00AC4670"/>
    <w:rsid w:val="00AC4693"/>
    <w:rsid w:val="00AC4F52"/>
    <w:rsid w:val="00AC57AB"/>
    <w:rsid w:val="00AC5AD0"/>
    <w:rsid w:val="00AC5E31"/>
    <w:rsid w:val="00AC5FCC"/>
    <w:rsid w:val="00AC6352"/>
    <w:rsid w:val="00AC718A"/>
    <w:rsid w:val="00AD000A"/>
    <w:rsid w:val="00AD0444"/>
    <w:rsid w:val="00AD07EB"/>
    <w:rsid w:val="00AD0BC4"/>
    <w:rsid w:val="00AD13CB"/>
    <w:rsid w:val="00AD1851"/>
    <w:rsid w:val="00AD1C3A"/>
    <w:rsid w:val="00AD2231"/>
    <w:rsid w:val="00AD24E7"/>
    <w:rsid w:val="00AD2AB6"/>
    <w:rsid w:val="00AD2F66"/>
    <w:rsid w:val="00AD3667"/>
    <w:rsid w:val="00AD4464"/>
    <w:rsid w:val="00AD49B0"/>
    <w:rsid w:val="00AD4C5F"/>
    <w:rsid w:val="00AD4DCE"/>
    <w:rsid w:val="00AD4E39"/>
    <w:rsid w:val="00AD6CF8"/>
    <w:rsid w:val="00AD72AC"/>
    <w:rsid w:val="00AD76D7"/>
    <w:rsid w:val="00AD7C27"/>
    <w:rsid w:val="00AD7E1C"/>
    <w:rsid w:val="00AE0264"/>
    <w:rsid w:val="00AE02C0"/>
    <w:rsid w:val="00AE0862"/>
    <w:rsid w:val="00AE0B27"/>
    <w:rsid w:val="00AE13F4"/>
    <w:rsid w:val="00AE18FB"/>
    <w:rsid w:val="00AE1F6E"/>
    <w:rsid w:val="00AE233A"/>
    <w:rsid w:val="00AE26B2"/>
    <w:rsid w:val="00AE2864"/>
    <w:rsid w:val="00AE2A7A"/>
    <w:rsid w:val="00AE2EB9"/>
    <w:rsid w:val="00AE3884"/>
    <w:rsid w:val="00AE4595"/>
    <w:rsid w:val="00AE475D"/>
    <w:rsid w:val="00AE668F"/>
    <w:rsid w:val="00AE66AA"/>
    <w:rsid w:val="00AE67C8"/>
    <w:rsid w:val="00AE7943"/>
    <w:rsid w:val="00AF0333"/>
    <w:rsid w:val="00AF03C7"/>
    <w:rsid w:val="00AF0519"/>
    <w:rsid w:val="00AF0CC6"/>
    <w:rsid w:val="00AF0DA0"/>
    <w:rsid w:val="00AF144C"/>
    <w:rsid w:val="00AF1D51"/>
    <w:rsid w:val="00AF1E48"/>
    <w:rsid w:val="00AF2580"/>
    <w:rsid w:val="00AF307C"/>
    <w:rsid w:val="00AF3A4C"/>
    <w:rsid w:val="00AF5074"/>
    <w:rsid w:val="00AF5532"/>
    <w:rsid w:val="00AF5CDD"/>
    <w:rsid w:val="00AF641B"/>
    <w:rsid w:val="00AF70C4"/>
    <w:rsid w:val="00AF71D2"/>
    <w:rsid w:val="00AF729B"/>
    <w:rsid w:val="00AF7461"/>
    <w:rsid w:val="00B0012E"/>
    <w:rsid w:val="00B0135B"/>
    <w:rsid w:val="00B016F7"/>
    <w:rsid w:val="00B017F1"/>
    <w:rsid w:val="00B02079"/>
    <w:rsid w:val="00B034A9"/>
    <w:rsid w:val="00B035C4"/>
    <w:rsid w:val="00B04180"/>
    <w:rsid w:val="00B046FD"/>
    <w:rsid w:val="00B04787"/>
    <w:rsid w:val="00B05FA8"/>
    <w:rsid w:val="00B061A7"/>
    <w:rsid w:val="00B06AA8"/>
    <w:rsid w:val="00B06D5D"/>
    <w:rsid w:val="00B07328"/>
    <w:rsid w:val="00B07503"/>
    <w:rsid w:val="00B077A4"/>
    <w:rsid w:val="00B07AE6"/>
    <w:rsid w:val="00B10EF7"/>
    <w:rsid w:val="00B1267F"/>
    <w:rsid w:val="00B12C17"/>
    <w:rsid w:val="00B132AB"/>
    <w:rsid w:val="00B13BBB"/>
    <w:rsid w:val="00B13C3A"/>
    <w:rsid w:val="00B15545"/>
    <w:rsid w:val="00B15669"/>
    <w:rsid w:val="00B15B3B"/>
    <w:rsid w:val="00B15B6D"/>
    <w:rsid w:val="00B20E89"/>
    <w:rsid w:val="00B20EF5"/>
    <w:rsid w:val="00B21D65"/>
    <w:rsid w:val="00B22689"/>
    <w:rsid w:val="00B22830"/>
    <w:rsid w:val="00B22831"/>
    <w:rsid w:val="00B22EB7"/>
    <w:rsid w:val="00B233A7"/>
    <w:rsid w:val="00B235BC"/>
    <w:rsid w:val="00B236E9"/>
    <w:rsid w:val="00B241F3"/>
    <w:rsid w:val="00B24DB9"/>
    <w:rsid w:val="00B254E1"/>
    <w:rsid w:val="00B25C3C"/>
    <w:rsid w:val="00B25EEC"/>
    <w:rsid w:val="00B2607E"/>
    <w:rsid w:val="00B266E3"/>
    <w:rsid w:val="00B269C0"/>
    <w:rsid w:val="00B27277"/>
    <w:rsid w:val="00B27288"/>
    <w:rsid w:val="00B27B93"/>
    <w:rsid w:val="00B30A26"/>
    <w:rsid w:val="00B31814"/>
    <w:rsid w:val="00B31952"/>
    <w:rsid w:val="00B3298C"/>
    <w:rsid w:val="00B32F66"/>
    <w:rsid w:val="00B33525"/>
    <w:rsid w:val="00B33F66"/>
    <w:rsid w:val="00B34D2C"/>
    <w:rsid w:val="00B35DD3"/>
    <w:rsid w:val="00B365C9"/>
    <w:rsid w:val="00B36FB2"/>
    <w:rsid w:val="00B36FDE"/>
    <w:rsid w:val="00B370AD"/>
    <w:rsid w:val="00B371D2"/>
    <w:rsid w:val="00B378FE"/>
    <w:rsid w:val="00B379A5"/>
    <w:rsid w:val="00B379F4"/>
    <w:rsid w:val="00B37E67"/>
    <w:rsid w:val="00B412B0"/>
    <w:rsid w:val="00B4178F"/>
    <w:rsid w:val="00B41A13"/>
    <w:rsid w:val="00B41A46"/>
    <w:rsid w:val="00B41F7A"/>
    <w:rsid w:val="00B42C62"/>
    <w:rsid w:val="00B4341B"/>
    <w:rsid w:val="00B445A5"/>
    <w:rsid w:val="00B44697"/>
    <w:rsid w:val="00B44D4F"/>
    <w:rsid w:val="00B44E4F"/>
    <w:rsid w:val="00B45A09"/>
    <w:rsid w:val="00B4627C"/>
    <w:rsid w:val="00B463D7"/>
    <w:rsid w:val="00B46BC7"/>
    <w:rsid w:val="00B47731"/>
    <w:rsid w:val="00B50A1B"/>
    <w:rsid w:val="00B51B8F"/>
    <w:rsid w:val="00B5329B"/>
    <w:rsid w:val="00B533B6"/>
    <w:rsid w:val="00B53A40"/>
    <w:rsid w:val="00B53B54"/>
    <w:rsid w:val="00B542ED"/>
    <w:rsid w:val="00B54889"/>
    <w:rsid w:val="00B54EBC"/>
    <w:rsid w:val="00B55C07"/>
    <w:rsid w:val="00B5657A"/>
    <w:rsid w:val="00B56925"/>
    <w:rsid w:val="00B574D9"/>
    <w:rsid w:val="00B57B6A"/>
    <w:rsid w:val="00B60172"/>
    <w:rsid w:val="00B60336"/>
    <w:rsid w:val="00B60D55"/>
    <w:rsid w:val="00B612F9"/>
    <w:rsid w:val="00B6182E"/>
    <w:rsid w:val="00B61913"/>
    <w:rsid w:val="00B61DF9"/>
    <w:rsid w:val="00B623D8"/>
    <w:rsid w:val="00B62A27"/>
    <w:rsid w:val="00B6344C"/>
    <w:rsid w:val="00B648A5"/>
    <w:rsid w:val="00B6558A"/>
    <w:rsid w:val="00B6574C"/>
    <w:rsid w:val="00B65EFB"/>
    <w:rsid w:val="00B660E3"/>
    <w:rsid w:val="00B6654F"/>
    <w:rsid w:val="00B66B50"/>
    <w:rsid w:val="00B67035"/>
    <w:rsid w:val="00B70596"/>
    <w:rsid w:val="00B70BDE"/>
    <w:rsid w:val="00B70EC1"/>
    <w:rsid w:val="00B71257"/>
    <w:rsid w:val="00B720EC"/>
    <w:rsid w:val="00B72A16"/>
    <w:rsid w:val="00B72A3C"/>
    <w:rsid w:val="00B72CEE"/>
    <w:rsid w:val="00B738AF"/>
    <w:rsid w:val="00B754B1"/>
    <w:rsid w:val="00B75D3B"/>
    <w:rsid w:val="00B77631"/>
    <w:rsid w:val="00B80068"/>
    <w:rsid w:val="00B80B11"/>
    <w:rsid w:val="00B81AFF"/>
    <w:rsid w:val="00B81C0C"/>
    <w:rsid w:val="00B82467"/>
    <w:rsid w:val="00B82689"/>
    <w:rsid w:val="00B82A84"/>
    <w:rsid w:val="00B82E62"/>
    <w:rsid w:val="00B82EF4"/>
    <w:rsid w:val="00B8321C"/>
    <w:rsid w:val="00B83CE8"/>
    <w:rsid w:val="00B84A2B"/>
    <w:rsid w:val="00B84D8D"/>
    <w:rsid w:val="00B85477"/>
    <w:rsid w:val="00B862BD"/>
    <w:rsid w:val="00B8638F"/>
    <w:rsid w:val="00B8671B"/>
    <w:rsid w:val="00B868A0"/>
    <w:rsid w:val="00B87344"/>
    <w:rsid w:val="00B87834"/>
    <w:rsid w:val="00B87E16"/>
    <w:rsid w:val="00B907A1"/>
    <w:rsid w:val="00B91103"/>
    <w:rsid w:val="00B911BE"/>
    <w:rsid w:val="00B91553"/>
    <w:rsid w:val="00B91671"/>
    <w:rsid w:val="00B91686"/>
    <w:rsid w:val="00B91B20"/>
    <w:rsid w:val="00B91E3E"/>
    <w:rsid w:val="00B92AE9"/>
    <w:rsid w:val="00B92BA6"/>
    <w:rsid w:val="00B93612"/>
    <w:rsid w:val="00B93B12"/>
    <w:rsid w:val="00B93EA5"/>
    <w:rsid w:val="00B93F90"/>
    <w:rsid w:val="00B9453C"/>
    <w:rsid w:val="00B94882"/>
    <w:rsid w:val="00B94E92"/>
    <w:rsid w:val="00B95003"/>
    <w:rsid w:val="00B9519B"/>
    <w:rsid w:val="00B95BD0"/>
    <w:rsid w:val="00B9606D"/>
    <w:rsid w:val="00B96C8E"/>
    <w:rsid w:val="00B976AB"/>
    <w:rsid w:val="00B97991"/>
    <w:rsid w:val="00B97AF0"/>
    <w:rsid w:val="00BA0360"/>
    <w:rsid w:val="00BA097E"/>
    <w:rsid w:val="00BA0DE5"/>
    <w:rsid w:val="00BA189D"/>
    <w:rsid w:val="00BA1F62"/>
    <w:rsid w:val="00BA215B"/>
    <w:rsid w:val="00BA2305"/>
    <w:rsid w:val="00BA2B87"/>
    <w:rsid w:val="00BA32C2"/>
    <w:rsid w:val="00BA351B"/>
    <w:rsid w:val="00BA361F"/>
    <w:rsid w:val="00BA4F97"/>
    <w:rsid w:val="00BA567E"/>
    <w:rsid w:val="00BA7004"/>
    <w:rsid w:val="00BB0034"/>
    <w:rsid w:val="00BB0A40"/>
    <w:rsid w:val="00BB1639"/>
    <w:rsid w:val="00BB1C13"/>
    <w:rsid w:val="00BB2153"/>
    <w:rsid w:val="00BB218E"/>
    <w:rsid w:val="00BB2E2C"/>
    <w:rsid w:val="00BB2FDC"/>
    <w:rsid w:val="00BB33BE"/>
    <w:rsid w:val="00BB366B"/>
    <w:rsid w:val="00BB3ADA"/>
    <w:rsid w:val="00BB4017"/>
    <w:rsid w:val="00BB54B3"/>
    <w:rsid w:val="00BB5C04"/>
    <w:rsid w:val="00BB5CA7"/>
    <w:rsid w:val="00BB5CCE"/>
    <w:rsid w:val="00BB665B"/>
    <w:rsid w:val="00BB6805"/>
    <w:rsid w:val="00BB68A7"/>
    <w:rsid w:val="00BB6CFF"/>
    <w:rsid w:val="00BB7DE6"/>
    <w:rsid w:val="00BC13D9"/>
    <w:rsid w:val="00BC1BAF"/>
    <w:rsid w:val="00BC2BE8"/>
    <w:rsid w:val="00BC3BE9"/>
    <w:rsid w:val="00BC3FB9"/>
    <w:rsid w:val="00BC4DC3"/>
    <w:rsid w:val="00BC554C"/>
    <w:rsid w:val="00BC5DB8"/>
    <w:rsid w:val="00BC5E87"/>
    <w:rsid w:val="00BC6025"/>
    <w:rsid w:val="00BC641B"/>
    <w:rsid w:val="00BC670F"/>
    <w:rsid w:val="00BC791B"/>
    <w:rsid w:val="00BD0035"/>
    <w:rsid w:val="00BD014E"/>
    <w:rsid w:val="00BD092D"/>
    <w:rsid w:val="00BD1D11"/>
    <w:rsid w:val="00BD274A"/>
    <w:rsid w:val="00BD3E24"/>
    <w:rsid w:val="00BD3E6F"/>
    <w:rsid w:val="00BD462B"/>
    <w:rsid w:val="00BD48E0"/>
    <w:rsid w:val="00BD48FF"/>
    <w:rsid w:val="00BD5F48"/>
    <w:rsid w:val="00BD65D3"/>
    <w:rsid w:val="00BD67F4"/>
    <w:rsid w:val="00BD6C93"/>
    <w:rsid w:val="00BD6F89"/>
    <w:rsid w:val="00BD7D6F"/>
    <w:rsid w:val="00BE04D3"/>
    <w:rsid w:val="00BE090A"/>
    <w:rsid w:val="00BE0E6F"/>
    <w:rsid w:val="00BE1066"/>
    <w:rsid w:val="00BE15C2"/>
    <w:rsid w:val="00BE1DB4"/>
    <w:rsid w:val="00BE22A7"/>
    <w:rsid w:val="00BE22C6"/>
    <w:rsid w:val="00BE27EB"/>
    <w:rsid w:val="00BE2A52"/>
    <w:rsid w:val="00BE310E"/>
    <w:rsid w:val="00BE384D"/>
    <w:rsid w:val="00BE3E2C"/>
    <w:rsid w:val="00BE3E37"/>
    <w:rsid w:val="00BE4575"/>
    <w:rsid w:val="00BE4BB8"/>
    <w:rsid w:val="00BE4C4C"/>
    <w:rsid w:val="00BE502F"/>
    <w:rsid w:val="00BE590D"/>
    <w:rsid w:val="00BE67D9"/>
    <w:rsid w:val="00BE6E5C"/>
    <w:rsid w:val="00BE6FFD"/>
    <w:rsid w:val="00BE7181"/>
    <w:rsid w:val="00BE75D3"/>
    <w:rsid w:val="00BF0D49"/>
    <w:rsid w:val="00BF0F41"/>
    <w:rsid w:val="00BF1161"/>
    <w:rsid w:val="00BF1502"/>
    <w:rsid w:val="00BF1555"/>
    <w:rsid w:val="00BF2031"/>
    <w:rsid w:val="00BF23A8"/>
    <w:rsid w:val="00BF37A7"/>
    <w:rsid w:val="00BF3F4F"/>
    <w:rsid w:val="00BF404A"/>
    <w:rsid w:val="00BF549D"/>
    <w:rsid w:val="00BF587C"/>
    <w:rsid w:val="00BF661F"/>
    <w:rsid w:val="00BF6842"/>
    <w:rsid w:val="00BF6952"/>
    <w:rsid w:val="00BF6FBB"/>
    <w:rsid w:val="00BF75F7"/>
    <w:rsid w:val="00C00458"/>
    <w:rsid w:val="00C0068D"/>
    <w:rsid w:val="00C00D45"/>
    <w:rsid w:val="00C015D0"/>
    <w:rsid w:val="00C0188B"/>
    <w:rsid w:val="00C01D85"/>
    <w:rsid w:val="00C026F2"/>
    <w:rsid w:val="00C02933"/>
    <w:rsid w:val="00C043CA"/>
    <w:rsid w:val="00C0462C"/>
    <w:rsid w:val="00C04B91"/>
    <w:rsid w:val="00C051BE"/>
    <w:rsid w:val="00C060C9"/>
    <w:rsid w:val="00C060EB"/>
    <w:rsid w:val="00C062D6"/>
    <w:rsid w:val="00C06C03"/>
    <w:rsid w:val="00C06D28"/>
    <w:rsid w:val="00C06E2C"/>
    <w:rsid w:val="00C0766B"/>
    <w:rsid w:val="00C0780B"/>
    <w:rsid w:val="00C078FF"/>
    <w:rsid w:val="00C1017F"/>
    <w:rsid w:val="00C1035A"/>
    <w:rsid w:val="00C10C73"/>
    <w:rsid w:val="00C11495"/>
    <w:rsid w:val="00C1195A"/>
    <w:rsid w:val="00C11A8E"/>
    <w:rsid w:val="00C121D8"/>
    <w:rsid w:val="00C13114"/>
    <w:rsid w:val="00C14278"/>
    <w:rsid w:val="00C14440"/>
    <w:rsid w:val="00C1467A"/>
    <w:rsid w:val="00C15228"/>
    <w:rsid w:val="00C15B1D"/>
    <w:rsid w:val="00C16C7F"/>
    <w:rsid w:val="00C16E1A"/>
    <w:rsid w:val="00C1704B"/>
    <w:rsid w:val="00C205D2"/>
    <w:rsid w:val="00C21615"/>
    <w:rsid w:val="00C2178E"/>
    <w:rsid w:val="00C21FFC"/>
    <w:rsid w:val="00C2325F"/>
    <w:rsid w:val="00C24793"/>
    <w:rsid w:val="00C249C7"/>
    <w:rsid w:val="00C24C5D"/>
    <w:rsid w:val="00C251FC"/>
    <w:rsid w:val="00C27721"/>
    <w:rsid w:val="00C279B0"/>
    <w:rsid w:val="00C27D7D"/>
    <w:rsid w:val="00C27D87"/>
    <w:rsid w:val="00C30549"/>
    <w:rsid w:val="00C3058A"/>
    <w:rsid w:val="00C326F7"/>
    <w:rsid w:val="00C32879"/>
    <w:rsid w:val="00C32999"/>
    <w:rsid w:val="00C32DA7"/>
    <w:rsid w:val="00C34179"/>
    <w:rsid w:val="00C34916"/>
    <w:rsid w:val="00C34945"/>
    <w:rsid w:val="00C351B1"/>
    <w:rsid w:val="00C3533B"/>
    <w:rsid w:val="00C35939"/>
    <w:rsid w:val="00C36B0C"/>
    <w:rsid w:val="00C37F42"/>
    <w:rsid w:val="00C4138C"/>
    <w:rsid w:val="00C42C52"/>
    <w:rsid w:val="00C433F7"/>
    <w:rsid w:val="00C44292"/>
    <w:rsid w:val="00C44381"/>
    <w:rsid w:val="00C44B8D"/>
    <w:rsid w:val="00C44DF9"/>
    <w:rsid w:val="00C44FB9"/>
    <w:rsid w:val="00C45DCD"/>
    <w:rsid w:val="00C46472"/>
    <w:rsid w:val="00C51376"/>
    <w:rsid w:val="00C5272A"/>
    <w:rsid w:val="00C527D8"/>
    <w:rsid w:val="00C5382E"/>
    <w:rsid w:val="00C53B47"/>
    <w:rsid w:val="00C53CB2"/>
    <w:rsid w:val="00C543E0"/>
    <w:rsid w:val="00C54D5D"/>
    <w:rsid w:val="00C55CB8"/>
    <w:rsid w:val="00C5625F"/>
    <w:rsid w:val="00C57484"/>
    <w:rsid w:val="00C57B63"/>
    <w:rsid w:val="00C57C30"/>
    <w:rsid w:val="00C60306"/>
    <w:rsid w:val="00C60535"/>
    <w:rsid w:val="00C607D2"/>
    <w:rsid w:val="00C60D85"/>
    <w:rsid w:val="00C60E97"/>
    <w:rsid w:val="00C60EF1"/>
    <w:rsid w:val="00C61911"/>
    <w:rsid w:val="00C61C30"/>
    <w:rsid w:val="00C65602"/>
    <w:rsid w:val="00C677E8"/>
    <w:rsid w:val="00C679E4"/>
    <w:rsid w:val="00C702B9"/>
    <w:rsid w:val="00C711FB"/>
    <w:rsid w:val="00C7224D"/>
    <w:rsid w:val="00C72D31"/>
    <w:rsid w:val="00C7337F"/>
    <w:rsid w:val="00C74176"/>
    <w:rsid w:val="00C76062"/>
    <w:rsid w:val="00C76964"/>
    <w:rsid w:val="00C769D6"/>
    <w:rsid w:val="00C805FA"/>
    <w:rsid w:val="00C8067F"/>
    <w:rsid w:val="00C80DE2"/>
    <w:rsid w:val="00C80FDC"/>
    <w:rsid w:val="00C81864"/>
    <w:rsid w:val="00C821FB"/>
    <w:rsid w:val="00C82CC4"/>
    <w:rsid w:val="00C82FFF"/>
    <w:rsid w:val="00C83E95"/>
    <w:rsid w:val="00C84458"/>
    <w:rsid w:val="00C85D04"/>
    <w:rsid w:val="00C860F7"/>
    <w:rsid w:val="00C863AD"/>
    <w:rsid w:val="00C864E9"/>
    <w:rsid w:val="00C86DC3"/>
    <w:rsid w:val="00C876C0"/>
    <w:rsid w:val="00C879D3"/>
    <w:rsid w:val="00C879EE"/>
    <w:rsid w:val="00C909BA"/>
    <w:rsid w:val="00C9183D"/>
    <w:rsid w:val="00C91FB7"/>
    <w:rsid w:val="00C920A1"/>
    <w:rsid w:val="00C9230D"/>
    <w:rsid w:val="00C9296C"/>
    <w:rsid w:val="00C92A69"/>
    <w:rsid w:val="00C93D80"/>
    <w:rsid w:val="00C94F0C"/>
    <w:rsid w:val="00C951C8"/>
    <w:rsid w:val="00C95620"/>
    <w:rsid w:val="00C9564E"/>
    <w:rsid w:val="00C95780"/>
    <w:rsid w:val="00C95B63"/>
    <w:rsid w:val="00C96E5F"/>
    <w:rsid w:val="00CA028B"/>
    <w:rsid w:val="00CA0F47"/>
    <w:rsid w:val="00CA103D"/>
    <w:rsid w:val="00CA2194"/>
    <w:rsid w:val="00CA24A5"/>
    <w:rsid w:val="00CA2F99"/>
    <w:rsid w:val="00CA3ADF"/>
    <w:rsid w:val="00CA445A"/>
    <w:rsid w:val="00CA50B7"/>
    <w:rsid w:val="00CA544C"/>
    <w:rsid w:val="00CA607F"/>
    <w:rsid w:val="00CA609F"/>
    <w:rsid w:val="00CA6343"/>
    <w:rsid w:val="00CA63FA"/>
    <w:rsid w:val="00CA7277"/>
    <w:rsid w:val="00CA75D3"/>
    <w:rsid w:val="00CA7CD0"/>
    <w:rsid w:val="00CA7F23"/>
    <w:rsid w:val="00CB0B5B"/>
    <w:rsid w:val="00CB131F"/>
    <w:rsid w:val="00CB133A"/>
    <w:rsid w:val="00CB2193"/>
    <w:rsid w:val="00CB2F0B"/>
    <w:rsid w:val="00CB33EC"/>
    <w:rsid w:val="00CB3A7C"/>
    <w:rsid w:val="00CB4064"/>
    <w:rsid w:val="00CB4600"/>
    <w:rsid w:val="00CB4E4E"/>
    <w:rsid w:val="00CB58E2"/>
    <w:rsid w:val="00CB6130"/>
    <w:rsid w:val="00CB62DF"/>
    <w:rsid w:val="00CB649B"/>
    <w:rsid w:val="00CB6A9F"/>
    <w:rsid w:val="00CB6D56"/>
    <w:rsid w:val="00CB6E3D"/>
    <w:rsid w:val="00CB75CF"/>
    <w:rsid w:val="00CB7CB5"/>
    <w:rsid w:val="00CC0383"/>
    <w:rsid w:val="00CC04B1"/>
    <w:rsid w:val="00CC068E"/>
    <w:rsid w:val="00CC218E"/>
    <w:rsid w:val="00CC2796"/>
    <w:rsid w:val="00CC2D40"/>
    <w:rsid w:val="00CC3161"/>
    <w:rsid w:val="00CC3308"/>
    <w:rsid w:val="00CC4960"/>
    <w:rsid w:val="00CC4AFB"/>
    <w:rsid w:val="00CC5055"/>
    <w:rsid w:val="00CC57B1"/>
    <w:rsid w:val="00CC6233"/>
    <w:rsid w:val="00CC67EB"/>
    <w:rsid w:val="00CC6CCC"/>
    <w:rsid w:val="00CC732F"/>
    <w:rsid w:val="00CC7FCC"/>
    <w:rsid w:val="00CD028D"/>
    <w:rsid w:val="00CD0827"/>
    <w:rsid w:val="00CD0FD2"/>
    <w:rsid w:val="00CD18EE"/>
    <w:rsid w:val="00CD19CF"/>
    <w:rsid w:val="00CD1A11"/>
    <w:rsid w:val="00CD2972"/>
    <w:rsid w:val="00CD3ACD"/>
    <w:rsid w:val="00CD3C80"/>
    <w:rsid w:val="00CD41D4"/>
    <w:rsid w:val="00CD42D8"/>
    <w:rsid w:val="00CD6FF9"/>
    <w:rsid w:val="00CD7664"/>
    <w:rsid w:val="00CD7945"/>
    <w:rsid w:val="00CE085F"/>
    <w:rsid w:val="00CE0EEC"/>
    <w:rsid w:val="00CE0F96"/>
    <w:rsid w:val="00CE1503"/>
    <w:rsid w:val="00CE1900"/>
    <w:rsid w:val="00CE19E7"/>
    <w:rsid w:val="00CE32DB"/>
    <w:rsid w:val="00CE3318"/>
    <w:rsid w:val="00CE3D6A"/>
    <w:rsid w:val="00CE3E42"/>
    <w:rsid w:val="00CE3F7C"/>
    <w:rsid w:val="00CE4121"/>
    <w:rsid w:val="00CE4AF4"/>
    <w:rsid w:val="00CE4E85"/>
    <w:rsid w:val="00CE4EE9"/>
    <w:rsid w:val="00CE5E8B"/>
    <w:rsid w:val="00CE60AF"/>
    <w:rsid w:val="00CE61C3"/>
    <w:rsid w:val="00CE658F"/>
    <w:rsid w:val="00CE6DDC"/>
    <w:rsid w:val="00CE765F"/>
    <w:rsid w:val="00CE77FE"/>
    <w:rsid w:val="00CE7B4D"/>
    <w:rsid w:val="00CE7DB1"/>
    <w:rsid w:val="00CF0D5E"/>
    <w:rsid w:val="00CF1CF8"/>
    <w:rsid w:val="00CF1D69"/>
    <w:rsid w:val="00CF2E33"/>
    <w:rsid w:val="00CF3007"/>
    <w:rsid w:val="00CF32E7"/>
    <w:rsid w:val="00CF333D"/>
    <w:rsid w:val="00CF3962"/>
    <w:rsid w:val="00CF4AC7"/>
    <w:rsid w:val="00CF555B"/>
    <w:rsid w:val="00CF5F46"/>
    <w:rsid w:val="00CF6D90"/>
    <w:rsid w:val="00CF6DC0"/>
    <w:rsid w:val="00CF74D6"/>
    <w:rsid w:val="00CF7500"/>
    <w:rsid w:val="00CF7515"/>
    <w:rsid w:val="00CF76F8"/>
    <w:rsid w:val="00D01A26"/>
    <w:rsid w:val="00D02202"/>
    <w:rsid w:val="00D03BA7"/>
    <w:rsid w:val="00D03C32"/>
    <w:rsid w:val="00D04205"/>
    <w:rsid w:val="00D04A1E"/>
    <w:rsid w:val="00D05595"/>
    <w:rsid w:val="00D05A87"/>
    <w:rsid w:val="00D0667A"/>
    <w:rsid w:val="00D06994"/>
    <w:rsid w:val="00D06AB7"/>
    <w:rsid w:val="00D06F84"/>
    <w:rsid w:val="00D07791"/>
    <w:rsid w:val="00D07ADB"/>
    <w:rsid w:val="00D10267"/>
    <w:rsid w:val="00D10378"/>
    <w:rsid w:val="00D1081D"/>
    <w:rsid w:val="00D10D7A"/>
    <w:rsid w:val="00D11A9A"/>
    <w:rsid w:val="00D12219"/>
    <w:rsid w:val="00D1244F"/>
    <w:rsid w:val="00D12488"/>
    <w:rsid w:val="00D129C0"/>
    <w:rsid w:val="00D1505E"/>
    <w:rsid w:val="00D15873"/>
    <w:rsid w:val="00D16053"/>
    <w:rsid w:val="00D16089"/>
    <w:rsid w:val="00D16518"/>
    <w:rsid w:val="00D16DE7"/>
    <w:rsid w:val="00D17151"/>
    <w:rsid w:val="00D174DA"/>
    <w:rsid w:val="00D17DE8"/>
    <w:rsid w:val="00D22EE6"/>
    <w:rsid w:val="00D22F8C"/>
    <w:rsid w:val="00D2378A"/>
    <w:rsid w:val="00D25821"/>
    <w:rsid w:val="00D25C0A"/>
    <w:rsid w:val="00D26202"/>
    <w:rsid w:val="00D26E3F"/>
    <w:rsid w:val="00D27238"/>
    <w:rsid w:val="00D279C4"/>
    <w:rsid w:val="00D27AE2"/>
    <w:rsid w:val="00D27E23"/>
    <w:rsid w:val="00D30880"/>
    <w:rsid w:val="00D30FD3"/>
    <w:rsid w:val="00D31FF7"/>
    <w:rsid w:val="00D32799"/>
    <w:rsid w:val="00D34765"/>
    <w:rsid w:val="00D34A4A"/>
    <w:rsid w:val="00D34D2A"/>
    <w:rsid w:val="00D34EE3"/>
    <w:rsid w:val="00D34F94"/>
    <w:rsid w:val="00D34FF9"/>
    <w:rsid w:val="00D35A86"/>
    <w:rsid w:val="00D369CF"/>
    <w:rsid w:val="00D36F01"/>
    <w:rsid w:val="00D3718D"/>
    <w:rsid w:val="00D379A1"/>
    <w:rsid w:val="00D37A57"/>
    <w:rsid w:val="00D40762"/>
    <w:rsid w:val="00D41297"/>
    <w:rsid w:val="00D4168D"/>
    <w:rsid w:val="00D4181E"/>
    <w:rsid w:val="00D42F8D"/>
    <w:rsid w:val="00D4480F"/>
    <w:rsid w:val="00D44C1C"/>
    <w:rsid w:val="00D44EC9"/>
    <w:rsid w:val="00D4615E"/>
    <w:rsid w:val="00D46518"/>
    <w:rsid w:val="00D47D24"/>
    <w:rsid w:val="00D50734"/>
    <w:rsid w:val="00D50A5A"/>
    <w:rsid w:val="00D51614"/>
    <w:rsid w:val="00D51B99"/>
    <w:rsid w:val="00D51D14"/>
    <w:rsid w:val="00D51D3B"/>
    <w:rsid w:val="00D52926"/>
    <w:rsid w:val="00D5297E"/>
    <w:rsid w:val="00D52D40"/>
    <w:rsid w:val="00D53100"/>
    <w:rsid w:val="00D532C0"/>
    <w:rsid w:val="00D532D3"/>
    <w:rsid w:val="00D53A33"/>
    <w:rsid w:val="00D5413D"/>
    <w:rsid w:val="00D54ADC"/>
    <w:rsid w:val="00D54C66"/>
    <w:rsid w:val="00D54CB9"/>
    <w:rsid w:val="00D55568"/>
    <w:rsid w:val="00D55E9A"/>
    <w:rsid w:val="00D5632E"/>
    <w:rsid w:val="00D56BA7"/>
    <w:rsid w:val="00D56E4D"/>
    <w:rsid w:val="00D5711F"/>
    <w:rsid w:val="00D607B4"/>
    <w:rsid w:val="00D60D7C"/>
    <w:rsid w:val="00D615B0"/>
    <w:rsid w:val="00D615D6"/>
    <w:rsid w:val="00D61F78"/>
    <w:rsid w:val="00D62582"/>
    <w:rsid w:val="00D62A2D"/>
    <w:rsid w:val="00D62A43"/>
    <w:rsid w:val="00D62DCF"/>
    <w:rsid w:val="00D62FDC"/>
    <w:rsid w:val="00D63378"/>
    <w:rsid w:val="00D63455"/>
    <w:rsid w:val="00D639EC"/>
    <w:rsid w:val="00D63F41"/>
    <w:rsid w:val="00D642A6"/>
    <w:rsid w:val="00D6484E"/>
    <w:rsid w:val="00D65D2F"/>
    <w:rsid w:val="00D66043"/>
    <w:rsid w:val="00D660FB"/>
    <w:rsid w:val="00D67025"/>
    <w:rsid w:val="00D6757C"/>
    <w:rsid w:val="00D67806"/>
    <w:rsid w:val="00D67859"/>
    <w:rsid w:val="00D67994"/>
    <w:rsid w:val="00D70096"/>
    <w:rsid w:val="00D700B9"/>
    <w:rsid w:val="00D707A7"/>
    <w:rsid w:val="00D70CD6"/>
    <w:rsid w:val="00D71532"/>
    <w:rsid w:val="00D71AA2"/>
    <w:rsid w:val="00D72705"/>
    <w:rsid w:val="00D72DE1"/>
    <w:rsid w:val="00D73464"/>
    <w:rsid w:val="00D7356F"/>
    <w:rsid w:val="00D739BF"/>
    <w:rsid w:val="00D73F9F"/>
    <w:rsid w:val="00D73FD7"/>
    <w:rsid w:val="00D749EA"/>
    <w:rsid w:val="00D751CE"/>
    <w:rsid w:val="00D759B7"/>
    <w:rsid w:val="00D7640F"/>
    <w:rsid w:val="00D778BF"/>
    <w:rsid w:val="00D77AF2"/>
    <w:rsid w:val="00D77E4E"/>
    <w:rsid w:val="00D806F8"/>
    <w:rsid w:val="00D8079E"/>
    <w:rsid w:val="00D808B4"/>
    <w:rsid w:val="00D810FE"/>
    <w:rsid w:val="00D8147A"/>
    <w:rsid w:val="00D82863"/>
    <w:rsid w:val="00D82B29"/>
    <w:rsid w:val="00D82D60"/>
    <w:rsid w:val="00D83353"/>
    <w:rsid w:val="00D83A52"/>
    <w:rsid w:val="00D845E6"/>
    <w:rsid w:val="00D84D8F"/>
    <w:rsid w:val="00D8566E"/>
    <w:rsid w:val="00D85704"/>
    <w:rsid w:val="00D8589F"/>
    <w:rsid w:val="00D85A40"/>
    <w:rsid w:val="00D85BC2"/>
    <w:rsid w:val="00D865A0"/>
    <w:rsid w:val="00D86673"/>
    <w:rsid w:val="00D87257"/>
    <w:rsid w:val="00D87B17"/>
    <w:rsid w:val="00D907CF"/>
    <w:rsid w:val="00D9160B"/>
    <w:rsid w:val="00D91D58"/>
    <w:rsid w:val="00D93000"/>
    <w:rsid w:val="00D938E3"/>
    <w:rsid w:val="00D93FFA"/>
    <w:rsid w:val="00D94526"/>
    <w:rsid w:val="00D9456E"/>
    <w:rsid w:val="00D9480B"/>
    <w:rsid w:val="00D94BDA"/>
    <w:rsid w:val="00D9505A"/>
    <w:rsid w:val="00D95E2F"/>
    <w:rsid w:val="00D977D4"/>
    <w:rsid w:val="00DA075E"/>
    <w:rsid w:val="00DA0DE1"/>
    <w:rsid w:val="00DA1222"/>
    <w:rsid w:val="00DA169B"/>
    <w:rsid w:val="00DA2158"/>
    <w:rsid w:val="00DA259E"/>
    <w:rsid w:val="00DA265B"/>
    <w:rsid w:val="00DA2A63"/>
    <w:rsid w:val="00DA3217"/>
    <w:rsid w:val="00DA3E07"/>
    <w:rsid w:val="00DA405E"/>
    <w:rsid w:val="00DA4991"/>
    <w:rsid w:val="00DA4D57"/>
    <w:rsid w:val="00DA5223"/>
    <w:rsid w:val="00DA5330"/>
    <w:rsid w:val="00DA53C2"/>
    <w:rsid w:val="00DA6265"/>
    <w:rsid w:val="00DA697A"/>
    <w:rsid w:val="00DA6A43"/>
    <w:rsid w:val="00DA6CFD"/>
    <w:rsid w:val="00DA6DD7"/>
    <w:rsid w:val="00DA7166"/>
    <w:rsid w:val="00DA789A"/>
    <w:rsid w:val="00DA7986"/>
    <w:rsid w:val="00DA7CA4"/>
    <w:rsid w:val="00DA7D4F"/>
    <w:rsid w:val="00DA7EF9"/>
    <w:rsid w:val="00DB08E2"/>
    <w:rsid w:val="00DB0980"/>
    <w:rsid w:val="00DB10E1"/>
    <w:rsid w:val="00DB1871"/>
    <w:rsid w:val="00DB2104"/>
    <w:rsid w:val="00DB2698"/>
    <w:rsid w:val="00DB28F5"/>
    <w:rsid w:val="00DB2B91"/>
    <w:rsid w:val="00DB3391"/>
    <w:rsid w:val="00DB43AE"/>
    <w:rsid w:val="00DB4FA4"/>
    <w:rsid w:val="00DB51CF"/>
    <w:rsid w:val="00DB5953"/>
    <w:rsid w:val="00DB654F"/>
    <w:rsid w:val="00DB694E"/>
    <w:rsid w:val="00DB74E2"/>
    <w:rsid w:val="00DB7F4E"/>
    <w:rsid w:val="00DC0A3B"/>
    <w:rsid w:val="00DC0B1E"/>
    <w:rsid w:val="00DC0D10"/>
    <w:rsid w:val="00DC0DFA"/>
    <w:rsid w:val="00DC1028"/>
    <w:rsid w:val="00DC15B8"/>
    <w:rsid w:val="00DC1CF3"/>
    <w:rsid w:val="00DC1D0D"/>
    <w:rsid w:val="00DC1E3C"/>
    <w:rsid w:val="00DC2391"/>
    <w:rsid w:val="00DC3404"/>
    <w:rsid w:val="00DC3BEE"/>
    <w:rsid w:val="00DC405B"/>
    <w:rsid w:val="00DC552C"/>
    <w:rsid w:val="00DC5B80"/>
    <w:rsid w:val="00DC6724"/>
    <w:rsid w:val="00DC6FF2"/>
    <w:rsid w:val="00DC76F5"/>
    <w:rsid w:val="00DC78AA"/>
    <w:rsid w:val="00DD00A2"/>
    <w:rsid w:val="00DD0605"/>
    <w:rsid w:val="00DD06B8"/>
    <w:rsid w:val="00DD0977"/>
    <w:rsid w:val="00DD1D6A"/>
    <w:rsid w:val="00DD1EAC"/>
    <w:rsid w:val="00DD1FDB"/>
    <w:rsid w:val="00DD242F"/>
    <w:rsid w:val="00DD272E"/>
    <w:rsid w:val="00DD338F"/>
    <w:rsid w:val="00DD3871"/>
    <w:rsid w:val="00DD4177"/>
    <w:rsid w:val="00DD4F46"/>
    <w:rsid w:val="00DD51D2"/>
    <w:rsid w:val="00DD5986"/>
    <w:rsid w:val="00DD5CAA"/>
    <w:rsid w:val="00DD6912"/>
    <w:rsid w:val="00DD6C93"/>
    <w:rsid w:val="00DD7464"/>
    <w:rsid w:val="00DD77D5"/>
    <w:rsid w:val="00DD7FCC"/>
    <w:rsid w:val="00DE0114"/>
    <w:rsid w:val="00DE0337"/>
    <w:rsid w:val="00DE0756"/>
    <w:rsid w:val="00DE21BA"/>
    <w:rsid w:val="00DE4DAC"/>
    <w:rsid w:val="00DE5ACA"/>
    <w:rsid w:val="00DE5D7E"/>
    <w:rsid w:val="00DE66EE"/>
    <w:rsid w:val="00DE71B3"/>
    <w:rsid w:val="00DE79A9"/>
    <w:rsid w:val="00DF0068"/>
    <w:rsid w:val="00DF0272"/>
    <w:rsid w:val="00DF1293"/>
    <w:rsid w:val="00DF164E"/>
    <w:rsid w:val="00DF184C"/>
    <w:rsid w:val="00DF185C"/>
    <w:rsid w:val="00DF1C74"/>
    <w:rsid w:val="00DF1CB6"/>
    <w:rsid w:val="00DF1D8B"/>
    <w:rsid w:val="00DF21ED"/>
    <w:rsid w:val="00DF2488"/>
    <w:rsid w:val="00DF2495"/>
    <w:rsid w:val="00DF2A81"/>
    <w:rsid w:val="00DF2CFE"/>
    <w:rsid w:val="00DF2DA9"/>
    <w:rsid w:val="00DF3148"/>
    <w:rsid w:val="00DF3416"/>
    <w:rsid w:val="00DF4B96"/>
    <w:rsid w:val="00DF4D2C"/>
    <w:rsid w:val="00DF5CB3"/>
    <w:rsid w:val="00DF5DD4"/>
    <w:rsid w:val="00DF5EF2"/>
    <w:rsid w:val="00DF615A"/>
    <w:rsid w:val="00DF699E"/>
    <w:rsid w:val="00DF7755"/>
    <w:rsid w:val="00E01280"/>
    <w:rsid w:val="00E0202E"/>
    <w:rsid w:val="00E02AA1"/>
    <w:rsid w:val="00E0437E"/>
    <w:rsid w:val="00E044DD"/>
    <w:rsid w:val="00E04C33"/>
    <w:rsid w:val="00E04DD0"/>
    <w:rsid w:val="00E0588A"/>
    <w:rsid w:val="00E05946"/>
    <w:rsid w:val="00E06CC3"/>
    <w:rsid w:val="00E0719C"/>
    <w:rsid w:val="00E10618"/>
    <w:rsid w:val="00E10C5B"/>
    <w:rsid w:val="00E12E6E"/>
    <w:rsid w:val="00E154B7"/>
    <w:rsid w:val="00E156B2"/>
    <w:rsid w:val="00E17371"/>
    <w:rsid w:val="00E17BDB"/>
    <w:rsid w:val="00E20769"/>
    <w:rsid w:val="00E20902"/>
    <w:rsid w:val="00E221EE"/>
    <w:rsid w:val="00E22BA1"/>
    <w:rsid w:val="00E22BA2"/>
    <w:rsid w:val="00E23029"/>
    <w:rsid w:val="00E2377C"/>
    <w:rsid w:val="00E242C7"/>
    <w:rsid w:val="00E242DD"/>
    <w:rsid w:val="00E24DF3"/>
    <w:rsid w:val="00E25FDE"/>
    <w:rsid w:val="00E2651E"/>
    <w:rsid w:val="00E26522"/>
    <w:rsid w:val="00E26D8A"/>
    <w:rsid w:val="00E273B9"/>
    <w:rsid w:val="00E27E98"/>
    <w:rsid w:val="00E30DF4"/>
    <w:rsid w:val="00E3125C"/>
    <w:rsid w:val="00E31BAD"/>
    <w:rsid w:val="00E33121"/>
    <w:rsid w:val="00E33281"/>
    <w:rsid w:val="00E343CD"/>
    <w:rsid w:val="00E3441A"/>
    <w:rsid w:val="00E34493"/>
    <w:rsid w:val="00E34DA1"/>
    <w:rsid w:val="00E3505F"/>
    <w:rsid w:val="00E357F5"/>
    <w:rsid w:val="00E35B24"/>
    <w:rsid w:val="00E36E6C"/>
    <w:rsid w:val="00E373E9"/>
    <w:rsid w:val="00E376FE"/>
    <w:rsid w:val="00E37784"/>
    <w:rsid w:val="00E377B9"/>
    <w:rsid w:val="00E378A9"/>
    <w:rsid w:val="00E3793D"/>
    <w:rsid w:val="00E402E1"/>
    <w:rsid w:val="00E40332"/>
    <w:rsid w:val="00E408A2"/>
    <w:rsid w:val="00E40CD5"/>
    <w:rsid w:val="00E41AE2"/>
    <w:rsid w:val="00E41DD3"/>
    <w:rsid w:val="00E41E73"/>
    <w:rsid w:val="00E4284D"/>
    <w:rsid w:val="00E42B22"/>
    <w:rsid w:val="00E43075"/>
    <w:rsid w:val="00E435FF"/>
    <w:rsid w:val="00E4387D"/>
    <w:rsid w:val="00E43C11"/>
    <w:rsid w:val="00E44365"/>
    <w:rsid w:val="00E44AA0"/>
    <w:rsid w:val="00E44CC8"/>
    <w:rsid w:val="00E4542B"/>
    <w:rsid w:val="00E45672"/>
    <w:rsid w:val="00E45F1C"/>
    <w:rsid w:val="00E460D1"/>
    <w:rsid w:val="00E467BB"/>
    <w:rsid w:val="00E47262"/>
    <w:rsid w:val="00E47A79"/>
    <w:rsid w:val="00E47DAB"/>
    <w:rsid w:val="00E50A07"/>
    <w:rsid w:val="00E50B42"/>
    <w:rsid w:val="00E50CD8"/>
    <w:rsid w:val="00E50DDC"/>
    <w:rsid w:val="00E5121B"/>
    <w:rsid w:val="00E51286"/>
    <w:rsid w:val="00E51DD9"/>
    <w:rsid w:val="00E53CD1"/>
    <w:rsid w:val="00E547EB"/>
    <w:rsid w:val="00E55C68"/>
    <w:rsid w:val="00E56342"/>
    <w:rsid w:val="00E56ECA"/>
    <w:rsid w:val="00E57AAC"/>
    <w:rsid w:val="00E6023D"/>
    <w:rsid w:val="00E604FB"/>
    <w:rsid w:val="00E6110C"/>
    <w:rsid w:val="00E61620"/>
    <w:rsid w:val="00E61B87"/>
    <w:rsid w:val="00E61F9B"/>
    <w:rsid w:val="00E621EF"/>
    <w:rsid w:val="00E62AB4"/>
    <w:rsid w:val="00E6506C"/>
    <w:rsid w:val="00E6534B"/>
    <w:rsid w:val="00E67420"/>
    <w:rsid w:val="00E6767F"/>
    <w:rsid w:val="00E7051B"/>
    <w:rsid w:val="00E70879"/>
    <w:rsid w:val="00E7089F"/>
    <w:rsid w:val="00E70B9B"/>
    <w:rsid w:val="00E71C69"/>
    <w:rsid w:val="00E72283"/>
    <w:rsid w:val="00E7280D"/>
    <w:rsid w:val="00E72FD2"/>
    <w:rsid w:val="00E734BA"/>
    <w:rsid w:val="00E735A7"/>
    <w:rsid w:val="00E77FEE"/>
    <w:rsid w:val="00E81B37"/>
    <w:rsid w:val="00E8274A"/>
    <w:rsid w:val="00E839B9"/>
    <w:rsid w:val="00E8406D"/>
    <w:rsid w:val="00E844AD"/>
    <w:rsid w:val="00E849E4"/>
    <w:rsid w:val="00E84C9B"/>
    <w:rsid w:val="00E851AE"/>
    <w:rsid w:val="00E86050"/>
    <w:rsid w:val="00E869A5"/>
    <w:rsid w:val="00E86F34"/>
    <w:rsid w:val="00E86F73"/>
    <w:rsid w:val="00E90AD6"/>
    <w:rsid w:val="00E914AD"/>
    <w:rsid w:val="00E91812"/>
    <w:rsid w:val="00E91832"/>
    <w:rsid w:val="00E91CE8"/>
    <w:rsid w:val="00E925BA"/>
    <w:rsid w:val="00E93209"/>
    <w:rsid w:val="00E93EFA"/>
    <w:rsid w:val="00E95658"/>
    <w:rsid w:val="00E97391"/>
    <w:rsid w:val="00EA0738"/>
    <w:rsid w:val="00EA0948"/>
    <w:rsid w:val="00EA22B8"/>
    <w:rsid w:val="00EA3775"/>
    <w:rsid w:val="00EA3A95"/>
    <w:rsid w:val="00EA422F"/>
    <w:rsid w:val="00EA4292"/>
    <w:rsid w:val="00EA49D5"/>
    <w:rsid w:val="00EA4C88"/>
    <w:rsid w:val="00EA4F35"/>
    <w:rsid w:val="00EA5006"/>
    <w:rsid w:val="00EA51BF"/>
    <w:rsid w:val="00EA5CB2"/>
    <w:rsid w:val="00EA63FC"/>
    <w:rsid w:val="00EA6BBD"/>
    <w:rsid w:val="00EA6BEB"/>
    <w:rsid w:val="00EA75FB"/>
    <w:rsid w:val="00EA769D"/>
    <w:rsid w:val="00EB06E6"/>
    <w:rsid w:val="00EB0F33"/>
    <w:rsid w:val="00EB1461"/>
    <w:rsid w:val="00EB2205"/>
    <w:rsid w:val="00EB22F6"/>
    <w:rsid w:val="00EB29E6"/>
    <w:rsid w:val="00EB2B75"/>
    <w:rsid w:val="00EB2EB0"/>
    <w:rsid w:val="00EB382F"/>
    <w:rsid w:val="00EB4039"/>
    <w:rsid w:val="00EB418B"/>
    <w:rsid w:val="00EB53CC"/>
    <w:rsid w:val="00EB549D"/>
    <w:rsid w:val="00EB63CF"/>
    <w:rsid w:val="00EB7945"/>
    <w:rsid w:val="00EB7BDA"/>
    <w:rsid w:val="00EC01EC"/>
    <w:rsid w:val="00EC1362"/>
    <w:rsid w:val="00EC17A4"/>
    <w:rsid w:val="00EC1B08"/>
    <w:rsid w:val="00EC25D0"/>
    <w:rsid w:val="00EC2ECA"/>
    <w:rsid w:val="00EC2FAD"/>
    <w:rsid w:val="00EC4030"/>
    <w:rsid w:val="00EC4757"/>
    <w:rsid w:val="00EC7366"/>
    <w:rsid w:val="00EC759E"/>
    <w:rsid w:val="00EC7800"/>
    <w:rsid w:val="00EC79F5"/>
    <w:rsid w:val="00EC7CD9"/>
    <w:rsid w:val="00ED129A"/>
    <w:rsid w:val="00ED1ADA"/>
    <w:rsid w:val="00ED1E82"/>
    <w:rsid w:val="00ED1FB9"/>
    <w:rsid w:val="00ED29E8"/>
    <w:rsid w:val="00ED3526"/>
    <w:rsid w:val="00ED38CB"/>
    <w:rsid w:val="00ED3E66"/>
    <w:rsid w:val="00ED49DC"/>
    <w:rsid w:val="00ED5334"/>
    <w:rsid w:val="00ED5690"/>
    <w:rsid w:val="00ED5A34"/>
    <w:rsid w:val="00ED6484"/>
    <w:rsid w:val="00ED6A04"/>
    <w:rsid w:val="00ED6B35"/>
    <w:rsid w:val="00ED7344"/>
    <w:rsid w:val="00ED7373"/>
    <w:rsid w:val="00ED7910"/>
    <w:rsid w:val="00ED7965"/>
    <w:rsid w:val="00ED7C32"/>
    <w:rsid w:val="00ED7F1B"/>
    <w:rsid w:val="00EE0643"/>
    <w:rsid w:val="00EE0DE9"/>
    <w:rsid w:val="00EE1879"/>
    <w:rsid w:val="00EE1A65"/>
    <w:rsid w:val="00EE2AB5"/>
    <w:rsid w:val="00EE3215"/>
    <w:rsid w:val="00EE46C0"/>
    <w:rsid w:val="00EE4B69"/>
    <w:rsid w:val="00EE4C50"/>
    <w:rsid w:val="00EE4DEA"/>
    <w:rsid w:val="00EE59E7"/>
    <w:rsid w:val="00EE62FC"/>
    <w:rsid w:val="00EE6B3D"/>
    <w:rsid w:val="00EE78C2"/>
    <w:rsid w:val="00EE7926"/>
    <w:rsid w:val="00EE7BD5"/>
    <w:rsid w:val="00EE7DD2"/>
    <w:rsid w:val="00EF077B"/>
    <w:rsid w:val="00EF0C50"/>
    <w:rsid w:val="00EF1042"/>
    <w:rsid w:val="00EF165F"/>
    <w:rsid w:val="00EF1B5E"/>
    <w:rsid w:val="00EF207E"/>
    <w:rsid w:val="00EF251B"/>
    <w:rsid w:val="00EF2934"/>
    <w:rsid w:val="00EF3828"/>
    <w:rsid w:val="00EF3B6A"/>
    <w:rsid w:val="00EF3E33"/>
    <w:rsid w:val="00EF4C9E"/>
    <w:rsid w:val="00EF4EB5"/>
    <w:rsid w:val="00EF61FE"/>
    <w:rsid w:val="00EF6248"/>
    <w:rsid w:val="00EF650B"/>
    <w:rsid w:val="00EF6564"/>
    <w:rsid w:val="00EF6FF3"/>
    <w:rsid w:val="00F0180B"/>
    <w:rsid w:val="00F01996"/>
    <w:rsid w:val="00F01CF2"/>
    <w:rsid w:val="00F02D7B"/>
    <w:rsid w:val="00F045A6"/>
    <w:rsid w:val="00F045B7"/>
    <w:rsid w:val="00F0534C"/>
    <w:rsid w:val="00F0564A"/>
    <w:rsid w:val="00F056CF"/>
    <w:rsid w:val="00F0639D"/>
    <w:rsid w:val="00F065A6"/>
    <w:rsid w:val="00F07537"/>
    <w:rsid w:val="00F07C23"/>
    <w:rsid w:val="00F07C3E"/>
    <w:rsid w:val="00F10C0B"/>
    <w:rsid w:val="00F1174C"/>
    <w:rsid w:val="00F11AF1"/>
    <w:rsid w:val="00F1204F"/>
    <w:rsid w:val="00F121E5"/>
    <w:rsid w:val="00F127BB"/>
    <w:rsid w:val="00F12D6A"/>
    <w:rsid w:val="00F12E5C"/>
    <w:rsid w:val="00F133E4"/>
    <w:rsid w:val="00F13D4A"/>
    <w:rsid w:val="00F13D65"/>
    <w:rsid w:val="00F13E2B"/>
    <w:rsid w:val="00F15266"/>
    <w:rsid w:val="00F15339"/>
    <w:rsid w:val="00F156EF"/>
    <w:rsid w:val="00F159EE"/>
    <w:rsid w:val="00F15FBD"/>
    <w:rsid w:val="00F16534"/>
    <w:rsid w:val="00F16F5B"/>
    <w:rsid w:val="00F176C6"/>
    <w:rsid w:val="00F17916"/>
    <w:rsid w:val="00F203D7"/>
    <w:rsid w:val="00F22072"/>
    <w:rsid w:val="00F2222F"/>
    <w:rsid w:val="00F233BB"/>
    <w:rsid w:val="00F23D17"/>
    <w:rsid w:val="00F23DBB"/>
    <w:rsid w:val="00F24652"/>
    <w:rsid w:val="00F25432"/>
    <w:rsid w:val="00F2576D"/>
    <w:rsid w:val="00F26234"/>
    <w:rsid w:val="00F27CC6"/>
    <w:rsid w:val="00F31493"/>
    <w:rsid w:val="00F31656"/>
    <w:rsid w:val="00F31817"/>
    <w:rsid w:val="00F3215B"/>
    <w:rsid w:val="00F322FD"/>
    <w:rsid w:val="00F339C3"/>
    <w:rsid w:val="00F34C0B"/>
    <w:rsid w:val="00F35F6B"/>
    <w:rsid w:val="00F36917"/>
    <w:rsid w:val="00F36F44"/>
    <w:rsid w:val="00F37359"/>
    <w:rsid w:val="00F3736F"/>
    <w:rsid w:val="00F37AE1"/>
    <w:rsid w:val="00F37D8F"/>
    <w:rsid w:val="00F401F5"/>
    <w:rsid w:val="00F405DE"/>
    <w:rsid w:val="00F40C48"/>
    <w:rsid w:val="00F4162B"/>
    <w:rsid w:val="00F416BA"/>
    <w:rsid w:val="00F419D0"/>
    <w:rsid w:val="00F41AE7"/>
    <w:rsid w:val="00F43636"/>
    <w:rsid w:val="00F43AD3"/>
    <w:rsid w:val="00F43B90"/>
    <w:rsid w:val="00F44382"/>
    <w:rsid w:val="00F4477C"/>
    <w:rsid w:val="00F44AC8"/>
    <w:rsid w:val="00F44CCA"/>
    <w:rsid w:val="00F45243"/>
    <w:rsid w:val="00F45371"/>
    <w:rsid w:val="00F45E15"/>
    <w:rsid w:val="00F468F7"/>
    <w:rsid w:val="00F46CE2"/>
    <w:rsid w:val="00F47856"/>
    <w:rsid w:val="00F47967"/>
    <w:rsid w:val="00F47D97"/>
    <w:rsid w:val="00F47DC2"/>
    <w:rsid w:val="00F509FF"/>
    <w:rsid w:val="00F50FDE"/>
    <w:rsid w:val="00F5205D"/>
    <w:rsid w:val="00F521C0"/>
    <w:rsid w:val="00F524C2"/>
    <w:rsid w:val="00F52747"/>
    <w:rsid w:val="00F52A62"/>
    <w:rsid w:val="00F52EAC"/>
    <w:rsid w:val="00F53EE4"/>
    <w:rsid w:val="00F53FEB"/>
    <w:rsid w:val="00F54D1E"/>
    <w:rsid w:val="00F55052"/>
    <w:rsid w:val="00F553E3"/>
    <w:rsid w:val="00F563EF"/>
    <w:rsid w:val="00F5662A"/>
    <w:rsid w:val="00F56D1B"/>
    <w:rsid w:val="00F573AB"/>
    <w:rsid w:val="00F5748C"/>
    <w:rsid w:val="00F57743"/>
    <w:rsid w:val="00F579C9"/>
    <w:rsid w:val="00F57EDD"/>
    <w:rsid w:val="00F607A2"/>
    <w:rsid w:val="00F609C5"/>
    <w:rsid w:val="00F61E91"/>
    <w:rsid w:val="00F63620"/>
    <w:rsid w:val="00F637E4"/>
    <w:rsid w:val="00F63BEB"/>
    <w:rsid w:val="00F63DF4"/>
    <w:rsid w:val="00F65BE1"/>
    <w:rsid w:val="00F65FE5"/>
    <w:rsid w:val="00F660A4"/>
    <w:rsid w:val="00F66C83"/>
    <w:rsid w:val="00F67194"/>
    <w:rsid w:val="00F67D47"/>
    <w:rsid w:val="00F7019A"/>
    <w:rsid w:val="00F7025D"/>
    <w:rsid w:val="00F702E4"/>
    <w:rsid w:val="00F70BC5"/>
    <w:rsid w:val="00F711BE"/>
    <w:rsid w:val="00F716D7"/>
    <w:rsid w:val="00F729D6"/>
    <w:rsid w:val="00F72C7F"/>
    <w:rsid w:val="00F72D77"/>
    <w:rsid w:val="00F735ED"/>
    <w:rsid w:val="00F735F9"/>
    <w:rsid w:val="00F73C5E"/>
    <w:rsid w:val="00F7481F"/>
    <w:rsid w:val="00F748CA"/>
    <w:rsid w:val="00F758E9"/>
    <w:rsid w:val="00F75DEA"/>
    <w:rsid w:val="00F7751B"/>
    <w:rsid w:val="00F77AB7"/>
    <w:rsid w:val="00F77CC6"/>
    <w:rsid w:val="00F8083B"/>
    <w:rsid w:val="00F8095C"/>
    <w:rsid w:val="00F810F3"/>
    <w:rsid w:val="00F81183"/>
    <w:rsid w:val="00F819AB"/>
    <w:rsid w:val="00F819C9"/>
    <w:rsid w:val="00F81E20"/>
    <w:rsid w:val="00F82288"/>
    <w:rsid w:val="00F82A66"/>
    <w:rsid w:val="00F842C5"/>
    <w:rsid w:val="00F8430A"/>
    <w:rsid w:val="00F8451B"/>
    <w:rsid w:val="00F84F20"/>
    <w:rsid w:val="00F84FB7"/>
    <w:rsid w:val="00F85624"/>
    <w:rsid w:val="00F85720"/>
    <w:rsid w:val="00F85A70"/>
    <w:rsid w:val="00F85B43"/>
    <w:rsid w:val="00F861EE"/>
    <w:rsid w:val="00F8664E"/>
    <w:rsid w:val="00F86E44"/>
    <w:rsid w:val="00F87440"/>
    <w:rsid w:val="00F87934"/>
    <w:rsid w:val="00F87C1B"/>
    <w:rsid w:val="00F90CEB"/>
    <w:rsid w:val="00F91D73"/>
    <w:rsid w:val="00F91F01"/>
    <w:rsid w:val="00F92CE2"/>
    <w:rsid w:val="00F930B3"/>
    <w:rsid w:val="00F93AB0"/>
    <w:rsid w:val="00F93B44"/>
    <w:rsid w:val="00F9420E"/>
    <w:rsid w:val="00F9498E"/>
    <w:rsid w:val="00F94C80"/>
    <w:rsid w:val="00F95067"/>
    <w:rsid w:val="00F950F8"/>
    <w:rsid w:val="00F952BF"/>
    <w:rsid w:val="00F96178"/>
    <w:rsid w:val="00F96A03"/>
    <w:rsid w:val="00FA336D"/>
    <w:rsid w:val="00FA3EB6"/>
    <w:rsid w:val="00FA4B7B"/>
    <w:rsid w:val="00FA4E0F"/>
    <w:rsid w:val="00FA5201"/>
    <w:rsid w:val="00FA5903"/>
    <w:rsid w:val="00FA5A9E"/>
    <w:rsid w:val="00FA5F33"/>
    <w:rsid w:val="00FA60A4"/>
    <w:rsid w:val="00FA71E4"/>
    <w:rsid w:val="00FA74A4"/>
    <w:rsid w:val="00FA7A81"/>
    <w:rsid w:val="00FB0454"/>
    <w:rsid w:val="00FB1229"/>
    <w:rsid w:val="00FB2367"/>
    <w:rsid w:val="00FB2565"/>
    <w:rsid w:val="00FB2DA4"/>
    <w:rsid w:val="00FB34CD"/>
    <w:rsid w:val="00FB3664"/>
    <w:rsid w:val="00FB3729"/>
    <w:rsid w:val="00FB3D62"/>
    <w:rsid w:val="00FB4177"/>
    <w:rsid w:val="00FB4A1F"/>
    <w:rsid w:val="00FB4CC0"/>
    <w:rsid w:val="00FB4D5C"/>
    <w:rsid w:val="00FB5236"/>
    <w:rsid w:val="00FB59F1"/>
    <w:rsid w:val="00FB6784"/>
    <w:rsid w:val="00FB6845"/>
    <w:rsid w:val="00FC0317"/>
    <w:rsid w:val="00FC0AD9"/>
    <w:rsid w:val="00FC0E5B"/>
    <w:rsid w:val="00FC0F95"/>
    <w:rsid w:val="00FC1CA4"/>
    <w:rsid w:val="00FC24CA"/>
    <w:rsid w:val="00FC2F50"/>
    <w:rsid w:val="00FC3CB9"/>
    <w:rsid w:val="00FC3D56"/>
    <w:rsid w:val="00FC46F3"/>
    <w:rsid w:val="00FC58D6"/>
    <w:rsid w:val="00FC5B8F"/>
    <w:rsid w:val="00FC5D72"/>
    <w:rsid w:val="00FC6201"/>
    <w:rsid w:val="00FC6218"/>
    <w:rsid w:val="00FC65B7"/>
    <w:rsid w:val="00FC698B"/>
    <w:rsid w:val="00FC69A9"/>
    <w:rsid w:val="00FC6C53"/>
    <w:rsid w:val="00FD0726"/>
    <w:rsid w:val="00FD09DB"/>
    <w:rsid w:val="00FD0BA6"/>
    <w:rsid w:val="00FD118B"/>
    <w:rsid w:val="00FD14ED"/>
    <w:rsid w:val="00FD25DB"/>
    <w:rsid w:val="00FD2876"/>
    <w:rsid w:val="00FD3085"/>
    <w:rsid w:val="00FD348D"/>
    <w:rsid w:val="00FD3600"/>
    <w:rsid w:val="00FD4930"/>
    <w:rsid w:val="00FD49D8"/>
    <w:rsid w:val="00FD4D16"/>
    <w:rsid w:val="00FD5572"/>
    <w:rsid w:val="00FD5A0A"/>
    <w:rsid w:val="00FD5F02"/>
    <w:rsid w:val="00FD6110"/>
    <w:rsid w:val="00FD639C"/>
    <w:rsid w:val="00FD6528"/>
    <w:rsid w:val="00FD6555"/>
    <w:rsid w:val="00FD667F"/>
    <w:rsid w:val="00FD66DB"/>
    <w:rsid w:val="00FD676B"/>
    <w:rsid w:val="00FD769C"/>
    <w:rsid w:val="00FD7996"/>
    <w:rsid w:val="00FD79AE"/>
    <w:rsid w:val="00FD7A27"/>
    <w:rsid w:val="00FE0356"/>
    <w:rsid w:val="00FE0D14"/>
    <w:rsid w:val="00FE1045"/>
    <w:rsid w:val="00FE10FD"/>
    <w:rsid w:val="00FE1A7E"/>
    <w:rsid w:val="00FE2052"/>
    <w:rsid w:val="00FE2759"/>
    <w:rsid w:val="00FE39B4"/>
    <w:rsid w:val="00FE45E0"/>
    <w:rsid w:val="00FE56FA"/>
    <w:rsid w:val="00FE6920"/>
    <w:rsid w:val="00FE75F1"/>
    <w:rsid w:val="00FE768D"/>
    <w:rsid w:val="00FE7C57"/>
    <w:rsid w:val="00FE7DD7"/>
    <w:rsid w:val="00FF047A"/>
    <w:rsid w:val="00FF0527"/>
    <w:rsid w:val="00FF06F8"/>
    <w:rsid w:val="00FF13CB"/>
    <w:rsid w:val="00FF1AF5"/>
    <w:rsid w:val="00FF1D11"/>
    <w:rsid w:val="00FF27FD"/>
    <w:rsid w:val="00FF347B"/>
    <w:rsid w:val="00FF39EC"/>
    <w:rsid w:val="00FF3D58"/>
    <w:rsid w:val="00FF3DC7"/>
    <w:rsid w:val="00FF55D0"/>
    <w:rsid w:val="00FF5C62"/>
    <w:rsid w:val="00FF649D"/>
    <w:rsid w:val="00FF6F55"/>
    <w:rsid w:val="00FF7681"/>
    <w:rsid w:val="00FF7782"/>
  </w:rsids>
  <m:mathPr>
    <m:mathFont m:val="Cambria Math"/>
    <m:brkBin m:val="before"/>
    <m:brkBinSub m:val="--"/>
    <m:smallFrac m:val="0"/>
    <m:dispDef/>
    <m:lMargin m:val="72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BC1EABF"/>
  <w15:docId w15:val="{52DEF228-AB63-415D-9BFB-BD34056A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szCs w:val="24"/>
        <w:lang w:val="en-AU" w:eastAsia="zh-CN" w:bidi="ar-SA"/>
      </w:rPr>
    </w:rPrDefault>
    <w:pPrDefault>
      <w:pPr>
        <w:spacing w:before="180" w:line="300" w:lineRule="exact"/>
      </w:pPr>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1" w:unhideWhenUsed="1"/>
    <w:lsdException w:name="toc 5" w:semiHidden="1" w:uiPriority="39" w:unhideWhenUsed="1"/>
    <w:lsdException w:name="toc 6" w:semiHidden="1" w:uiPriority="39" w:unhideWhenUsed="1"/>
    <w:lsdException w:name="toc 7" w:semiHidden="1" w:uiPriority="39" w:unhideWhenUsed="1"/>
    <w:lsdException w:name="toc 8" w:semiHidden="1" w:uiPriority="11" w:unhideWhenUsed="1"/>
    <w:lsdException w:name="toc 9" w:semiHidden="1" w:uiPriority="39" w:unhideWhenUsed="1"/>
    <w:lsdException w:name="Normal Indent" w:semiHidden="1" w:unhideWhenUsed="1"/>
    <w:lsdException w:name="footnote text" w:semiHidden="1" w:uiPriority="8"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iPriority="2" w:unhideWhenUsed="1"/>
    <w:lsdException w:name="List Number 3" w:semiHidden="1" w:uiPriority="2"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4"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lsdException w:name="Subtle Reference" w:uiPriority="31"/>
    <w:lsdException w:name="Intense Reference" w:uiPriority="99"/>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0A97"/>
    <w:pPr>
      <w:spacing w:before="120" w:after="120" w:line="240" w:lineRule="exact"/>
    </w:pPr>
    <w:rPr>
      <w:rFonts w:asciiTheme="minorHAnsi" w:hAnsiTheme="minorHAnsi"/>
      <w:lang w:eastAsia="en-US"/>
    </w:r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link w:val="Heading2Char"/>
    <w:qFormat/>
    <w:rsid w:val="0071248D"/>
    <w:pPr>
      <w:keepNext/>
      <w:numPr>
        <w:ilvl w:val="1"/>
        <w:numId w:val="29"/>
      </w:numPr>
      <w:pBdr>
        <w:bottom w:val="single" w:sz="8" w:space="1" w:color="BFBFBF" w:themeColor="background1" w:themeShade="BF"/>
      </w:pBdr>
      <w:spacing w:before="300" w:after="60" w:line="340" w:lineRule="exact"/>
      <w:outlineLvl w:val="1"/>
    </w:pPr>
    <w:rPr>
      <w:rFonts w:asciiTheme="majorHAnsi" w:hAnsiTheme="majorHAnsi"/>
      <w:b/>
      <w:color w:val="9757A6" w:themeColor="text2"/>
      <w:kern w:val="36"/>
      <w:sz w:val="28"/>
      <w:lang w:eastAsia="en-AU"/>
    </w:rPr>
  </w:style>
  <w:style w:type="paragraph" w:styleId="Heading3">
    <w:name w:val="heading 3"/>
    <w:next w:val="BodyText"/>
    <w:link w:val="Heading3Char"/>
    <w:qFormat/>
    <w:rsid w:val="0071248D"/>
    <w:pPr>
      <w:keepNext/>
      <w:numPr>
        <w:ilvl w:val="2"/>
        <w:numId w:val="29"/>
      </w:numPr>
      <w:spacing w:before="300" w:line="270" w:lineRule="exact"/>
      <w:outlineLvl w:val="2"/>
    </w:pPr>
    <w:rPr>
      <w:rFonts w:asciiTheme="majorHAnsi" w:hAnsiTheme="majorHAnsi"/>
      <w:b/>
      <w:color w:val="9757A6" w:themeColor="text2"/>
      <w:sz w:val="22"/>
      <w:lang w:eastAsia="en-AU"/>
    </w:rPr>
  </w:style>
  <w:style w:type="paragraph" w:styleId="Heading4">
    <w:name w:val="heading 4"/>
    <w:next w:val="BodyText"/>
    <w:link w:val="Heading4Char"/>
    <w:qFormat/>
    <w:rsid w:val="0071248D"/>
    <w:pPr>
      <w:keepNext/>
      <w:numPr>
        <w:ilvl w:val="3"/>
        <w:numId w:val="29"/>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link w:val="Heading5Char"/>
    <w:qFormat/>
    <w:rsid w:val="00B4627C"/>
    <w:pPr>
      <w:numPr>
        <w:ilvl w:val="4"/>
      </w:numPr>
      <w:outlineLvl w:val="4"/>
    </w:pPr>
    <w:rPr>
      <w:i/>
      <w:szCs w:val="22"/>
    </w:rPr>
  </w:style>
  <w:style w:type="paragraph" w:styleId="Heading6">
    <w:name w:val="heading 6"/>
    <w:basedOn w:val="Normal"/>
    <w:next w:val="Normal"/>
    <w:link w:val="Heading6Char"/>
    <w:semiHidden/>
    <w:rsid w:val="00C249C7"/>
    <w:pPr>
      <w:keepNext/>
      <w:spacing w:before="240" w:after="60"/>
      <w:outlineLvl w:val="5"/>
    </w:pPr>
    <w:rPr>
      <w:i/>
      <w:sz w:val="22"/>
    </w:rPr>
  </w:style>
  <w:style w:type="paragraph" w:styleId="Heading7">
    <w:name w:val="heading 7"/>
    <w:next w:val="BodyText"/>
    <w:link w:val="Heading7Char"/>
    <w:qFormat/>
    <w:rsid w:val="0071248D"/>
    <w:pPr>
      <w:keepNext/>
      <w:numPr>
        <w:ilvl w:val="6"/>
        <w:numId w:val="29"/>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link w:val="Heading8Char"/>
    <w:qFormat/>
    <w:rsid w:val="0071248D"/>
    <w:pPr>
      <w:keepNext/>
      <w:numPr>
        <w:ilvl w:val="7"/>
        <w:numId w:val="29"/>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link w:val="Heading9Char"/>
    <w:qFormat/>
    <w:rsid w:val="0071248D"/>
    <w:pPr>
      <w:keepNext/>
      <w:numPr>
        <w:ilvl w:val="8"/>
        <w:numId w:val="29"/>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sz w:val="22"/>
      <w:szCs w:val="22"/>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link w:val="BodyText2Char"/>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sz w:val="22"/>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rPr>
      <w:szCs w:val="22"/>
    </w:r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BE502F"/>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9949E9"/>
    <w:pPr>
      <w:tabs>
        <w:tab w:val="left" w:pos="794"/>
        <w:tab w:val="right" w:pos="7371"/>
      </w:tabs>
      <w:spacing w:before="60"/>
      <w:ind w:left="794" w:right="568" w:hanging="454"/>
    </w:pPr>
    <w:rPr>
      <w:rFonts w:asciiTheme="majorHAnsi" w:hAnsiTheme="majorHAnsi"/>
      <w:noProof/>
      <w:sz w:val="22"/>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uiPriority w:val="8"/>
    <w:rsid w:val="00C249C7"/>
    <w:rPr>
      <w:rFonts w:asciiTheme="minorHAnsi" w:hAnsiTheme="minorHAnsi"/>
      <w:position w:val="0"/>
      <w:vertAlign w:val="superscript"/>
    </w:rPr>
  </w:style>
  <w:style w:type="paragraph" w:styleId="FootnoteText">
    <w:name w:val="footnote text"/>
    <w:basedOn w:val="BodyText"/>
    <w:link w:val="FootnoteTextChar"/>
    <w:uiPriority w:val="8"/>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link w:val="SourceChar"/>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BE502F"/>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9949E9"/>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link w:val="BodyText3Char"/>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link w:val="BalloonTextChar"/>
    <w:semiHidden/>
    <w:rsid w:val="00C249C7"/>
    <w:rPr>
      <w:rFonts w:ascii="Tahoma" w:hAnsi="Tahoma" w:cs="Tahoma"/>
      <w:sz w:val="16"/>
      <w:szCs w:val="16"/>
    </w:rPr>
  </w:style>
  <w:style w:type="paragraph" w:styleId="CommentSubject">
    <w:name w:val="annotation subject"/>
    <w:basedOn w:val="CommentText"/>
    <w:next w:val="CommentText"/>
    <w:link w:val="CommentSubjectChar"/>
    <w:semiHidden/>
    <w:rsid w:val="00C249C7"/>
    <w:pPr>
      <w:spacing w:before="0" w:line="240" w:lineRule="auto"/>
      <w:ind w:left="0" w:firstLine="0"/>
    </w:pPr>
    <w:rPr>
      <w:rFonts w:ascii="Garamond" w:hAnsi="Garamond"/>
      <w:b/>
      <w:bCs/>
      <w:sz w:val="20"/>
    </w:rPr>
  </w:style>
  <w:style w:type="paragraph" w:styleId="DocumentMap">
    <w:name w:val="Document Map"/>
    <w:basedOn w:val="Normal"/>
    <w:link w:val="DocumentMapChar"/>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link w:val="EndnoteTextChar"/>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link w:val="MacroTextChar"/>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C249C7"/>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2"/>
    </w:rPr>
  </w:style>
  <w:style w:type="paragraph" w:styleId="TOC7">
    <w:name w:val="toc 7"/>
    <w:basedOn w:val="Normal"/>
    <w:next w:val="Normal"/>
    <w:autoRedefine/>
    <w:uiPriority w:val="39"/>
    <w:rsid w:val="009949E9"/>
    <w:pPr>
      <w:tabs>
        <w:tab w:val="right" w:pos="7371"/>
      </w:tabs>
      <w:ind w:left="1701" w:right="567" w:hanging="1701"/>
    </w:pPr>
    <w:rPr>
      <w:rFonts w:asciiTheme="majorHAnsi" w:hAnsiTheme="majorHAnsi"/>
      <w:noProof/>
      <w:sz w:val="22"/>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link w:val="BodyTextFirstIndentChar"/>
    <w:semiHidden/>
    <w:rsid w:val="00C249C7"/>
    <w:pPr>
      <w:spacing w:before="0" w:line="240" w:lineRule="auto"/>
      <w:ind w:firstLine="210"/>
    </w:pPr>
  </w:style>
  <w:style w:type="paragraph" w:styleId="BodyTextIndent">
    <w:name w:val="Body Text Indent"/>
    <w:basedOn w:val="Normal"/>
    <w:link w:val="BodyTextIndentChar"/>
    <w:semiHidden/>
    <w:rsid w:val="00C249C7"/>
    <w:pPr>
      <w:ind w:left="283"/>
    </w:pPr>
  </w:style>
  <w:style w:type="paragraph" w:styleId="BodyTextFirstIndent2">
    <w:name w:val="Body Text First Indent 2"/>
    <w:basedOn w:val="BodyTextIndent"/>
    <w:link w:val="BodyTextFirstIndent2Char"/>
    <w:semiHidden/>
    <w:rsid w:val="00C249C7"/>
    <w:pPr>
      <w:ind w:firstLine="210"/>
    </w:pPr>
  </w:style>
  <w:style w:type="paragraph" w:styleId="BodyTextIndent2">
    <w:name w:val="Body Text Indent 2"/>
    <w:basedOn w:val="Normal"/>
    <w:link w:val="BodyTextIndent2Char"/>
    <w:semiHidden/>
    <w:rsid w:val="00C249C7"/>
    <w:pPr>
      <w:spacing w:line="480" w:lineRule="auto"/>
      <w:ind w:left="283"/>
    </w:pPr>
  </w:style>
  <w:style w:type="paragraph" w:styleId="BodyTextIndent3">
    <w:name w:val="Body Text Indent 3"/>
    <w:basedOn w:val="Normal"/>
    <w:link w:val="BodyTextIndent3Char"/>
    <w:semiHidden/>
    <w:rsid w:val="00C249C7"/>
    <w:pPr>
      <w:ind w:left="283"/>
    </w:pPr>
    <w:rPr>
      <w:sz w:val="16"/>
      <w:szCs w:val="16"/>
    </w:rPr>
  </w:style>
  <w:style w:type="paragraph" w:styleId="Closing">
    <w:name w:val="Closing"/>
    <w:basedOn w:val="Normal"/>
    <w:link w:val="ClosingChar"/>
    <w:semiHidden/>
    <w:rsid w:val="00C249C7"/>
    <w:pPr>
      <w:ind w:left="4252"/>
    </w:pPr>
  </w:style>
  <w:style w:type="paragraph" w:styleId="E-mailSignature">
    <w:name w:val="E-mail Signature"/>
    <w:basedOn w:val="Normal"/>
    <w:link w:val="E-mailSignatureChar"/>
    <w:semiHidden/>
    <w:rsid w:val="00C249C7"/>
  </w:style>
  <w:style w:type="character" w:styleId="Emphasis">
    <w:name w:val="Emphasis"/>
    <w:basedOn w:val="DefaultParagraphFont"/>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link w:val="HTMLAddressChar"/>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link w:val="HTMLPreformattedChar"/>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link w:val="MessageHeaderChar"/>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C249C7"/>
    <w:rPr>
      <w:rFonts w:ascii="Times New Roman" w:hAnsi="Times New Roman"/>
    </w:rPr>
  </w:style>
  <w:style w:type="paragraph" w:styleId="NormalIndent">
    <w:name w:val="Normal Indent"/>
    <w:basedOn w:val="Normal"/>
    <w:semiHidden/>
    <w:rsid w:val="00C249C7"/>
    <w:pPr>
      <w:ind w:left="720"/>
    </w:pPr>
  </w:style>
  <w:style w:type="paragraph" w:styleId="PlainText">
    <w:name w:val="Plain Text"/>
    <w:basedOn w:val="Normal"/>
    <w:link w:val="PlainTextChar"/>
    <w:semiHidden/>
    <w:rsid w:val="00C249C7"/>
    <w:rPr>
      <w:rFonts w:ascii="Courier New" w:hAnsi="Courier New" w:cs="Courier New"/>
    </w:rPr>
  </w:style>
  <w:style w:type="paragraph" w:styleId="Salutation">
    <w:name w:val="Salutation"/>
    <w:basedOn w:val="Normal"/>
    <w:next w:val="Normal"/>
    <w:link w:val="SalutationChar"/>
    <w:semiHidden/>
    <w:rsid w:val="00C249C7"/>
  </w:style>
  <w:style w:type="paragraph" w:styleId="Signature">
    <w:name w:val="Signature"/>
    <w:basedOn w:val="Normal"/>
    <w:link w:val="SignatureChar"/>
    <w:semiHidden/>
    <w:rsid w:val="00C249C7"/>
    <w:pPr>
      <w:ind w:left="4252"/>
    </w:pPr>
  </w:style>
  <w:style w:type="character" w:styleId="Strong">
    <w:name w:val="Strong"/>
    <w:basedOn w:val="DefaultParagraphFont"/>
    <w:rsid w:val="00C249C7"/>
    <w:rPr>
      <w:b/>
      <w:bCs/>
    </w:rPr>
  </w:style>
  <w:style w:type="table" w:styleId="Table3Deffects1">
    <w:name w:val="Table 3D effects 1"/>
    <w:basedOn w:val="TableNormal"/>
    <w:semiHidden/>
    <w:rsid w:val="00C249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249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rsid w:val="00C249C7"/>
    <w:rPr>
      <w:b/>
      <w:bCs/>
      <w:i/>
      <w:iCs/>
      <w:color w:val="9757A6" w:themeColor="accent1"/>
    </w:rPr>
  </w:style>
  <w:style w:type="paragraph" w:styleId="IntenseQuote">
    <w:name w:val="Intense Quote"/>
    <w:basedOn w:val="Normal"/>
    <w:next w:val="Normal"/>
    <w:link w:val="IntenseQuoteChar"/>
    <w:uiPriority w:val="99"/>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rsid w:val="00C249C7"/>
    <w:rPr>
      <w:b/>
      <w:bCs/>
      <w:i/>
      <w:iCs/>
      <w:color w:val="9757A6" w:themeColor="accent1"/>
      <w:lang w:eastAsia="en-US"/>
    </w:rPr>
  </w:style>
  <w:style w:type="character" w:styleId="IntenseReference">
    <w:name w:val="Intense Reference"/>
    <w:basedOn w:val="DefaultParagraphFont"/>
    <w:uiPriority w:val="99"/>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qFormat/>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2"/>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2"/>
      <w:lang w:eastAsia="en-US"/>
    </w:rPr>
  </w:style>
  <w:style w:type="character" w:styleId="SubtleEmphasis">
    <w:name w:val="Subtle Emphasis"/>
    <w:basedOn w:val="DefaultParagraphFont"/>
    <w:uiPriority w:val="19"/>
    <w:rsid w:val="00C249C7"/>
    <w:rPr>
      <w:i/>
      <w:iCs/>
      <w:color w:val="808080" w:themeColor="text1" w:themeTint="7F"/>
    </w:rPr>
  </w:style>
  <w:style w:type="character" w:styleId="SubtleReference">
    <w:name w:val="Subtle Reference"/>
    <w:basedOn w:val="DefaultParagraphFont"/>
    <w:uiPriority w:val="31"/>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2"/>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2"/>
      <w:szCs w:val="20"/>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Borders>
        <w:bottom w:val="single" w:sz="6" w:space="0" w:color="BFBFBF" w:themeColor="background1" w:themeShade="BF"/>
        <w:insideH w:val="single" w:sz="6" w:space="0" w:color="BFBFBF" w:themeColor="background1" w:themeShade="BF"/>
      </w:tblBorders>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sz w:val="22"/>
      <w:szCs w:val="20"/>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BE502F"/>
    <w:pPr>
      <w:pBdr>
        <w:top w:val="single" w:sz="48" w:space="30" w:color="9757A6"/>
        <w:left w:val="single" w:sz="48" w:space="4" w:color="9757A6"/>
        <w:bottom w:val="single" w:sz="48" w:space="5" w:color="9757A6"/>
        <w:right w:val="single" w:sz="48" w:space="4" w:color="9757A6"/>
      </w:pBdr>
      <w:shd w:val="clear" w:color="auto" w:fill="9757A6"/>
      <w:spacing w:before="0"/>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Default">
    <w:name w:val="Default"/>
    <w:rsid w:val="0019780E"/>
    <w:pPr>
      <w:autoSpaceDE w:val="0"/>
      <w:autoSpaceDN w:val="0"/>
      <w:adjustRightInd w:val="0"/>
      <w:spacing w:before="0" w:line="240" w:lineRule="auto"/>
    </w:pPr>
    <w:rPr>
      <w:rFonts w:ascii="Arial" w:hAnsi="Arial" w:cs="Arial"/>
      <w:color w:val="000000"/>
    </w:rPr>
  </w:style>
  <w:style w:type="character" w:customStyle="1" w:styleId="SourceChar">
    <w:name w:val="Source Char"/>
    <w:basedOn w:val="BodyTextChar"/>
    <w:link w:val="Source"/>
    <w:rsid w:val="00387B26"/>
    <w:rPr>
      <w:rFonts w:ascii="Arial" w:hAnsi="Arial"/>
      <w:sz w:val="16"/>
      <w:szCs w:val="14"/>
      <w:lang w:eastAsia="en-AU"/>
    </w:rPr>
  </w:style>
  <w:style w:type="numbering" w:customStyle="1" w:styleId="NoList1">
    <w:name w:val="No List1"/>
    <w:next w:val="NoList"/>
    <w:uiPriority w:val="99"/>
    <w:semiHidden/>
    <w:unhideWhenUsed/>
    <w:rsid w:val="00A9564A"/>
  </w:style>
  <w:style w:type="character" w:customStyle="1" w:styleId="Heading2Char">
    <w:name w:val="Heading 2 Char"/>
    <w:basedOn w:val="DefaultParagraphFont"/>
    <w:link w:val="Heading2"/>
    <w:rsid w:val="00A9564A"/>
    <w:rPr>
      <w:rFonts w:asciiTheme="majorHAnsi" w:hAnsiTheme="majorHAnsi"/>
      <w:b/>
      <w:color w:val="9757A6" w:themeColor="text2"/>
      <w:kern w:val="36"/>
      <w:sz w:val="28"/>
      <w:lang w:eastAsia="en-AU"/>
    </w:rPr>
  </w:style>
  <w:style w:type="character" w:customStyle="1" w:styleId="Heading3Char">
    <w:name w:val="Heading 3 Char"/>
    <w:basedOn w:val="DefaultParagraphFont"/>
    <w:link w:val="Heading3"/>
    <w:rsid w:val="00A9564A"/>
    <w:rPr>
      <w:rFonts w:asciiTheme="majorHAnsi" w:hAnsiTheme="majorHAnsi"/>
      <w:b/>
      <w:color w:val="9757A6" w:themeColor="text2"/>
      <w:sz w:val="22"/>
      <w:lang w:eastAsia="en-AU"/>
    </w:rPr>
  </w:style>
  <w:style w:type="character" w:customStyle="1" w:styleId="Heading4Char">
    <w:name w:val="Heading 4 Char"/>
    <w:basedOn w:val="DefaultParagraphFont"/>
    <w:link w:val="Heading4"/>
    <w:rsid w:val="00A9564A"/>
    <w:rPr>
      <w:rFonts w:asciiTheme="majorHAnsi" w:hAnsiTheme="majorHAnsi"/>
      <w:b/>
      <w:color w:val="9757A6"/>
      <w:sz w:val="20"/>
      <w:lang w:eastAsia="en-AU"/>
    </w:rPr>
  </w:style>
  <w:style w:type="character" w:customStyle="1" w:styleId="Heading5Char">
    <w:name w:val="Heading 5 Char"/>
    <w:basedOn w:val="DefaultParagraphFont"/>
    <w:link w:val="Heading5"/>
    <w:rsid w:val="00A9564A"/>
    <w:rPr>
      <w:rFonts w:asciiTheme="majorHAnsi" w:hAnsiTheme="majorHAnsi"/>
      <w:b/>
      <w:i/>
      <w:color w:val="9757A6"/>
      <w:sz w:val="20"/>
      <w:szCs w:val="22"/>
      <w:lang w:eastAsia="en-AU"/>
    </w:rPr>
  </w:style>
  <w:style w:type="character" w:customStyle="1" w:styleId="Heading6Char">
    <w:name w:val="Heading 6 Char"/>
    <w:basedOn w:val="DefaultParagraphFont"/>
    <w:link w:val="Heading6"/>
    <w:semiHidden/>
    <w:rsid w:val="00A9564A"/>
    <w:rPr>
      <w:rFonts w:asciiTheme="minorHAnsi" w:hAnsiTheme="minorHAnsi"/>
      <w:i/>
      <w:sz w:val="22"/>
      <w:lang w:eastAsia="en-US"/>
    </w:rPr>
  </w:style>
  <w:style w:type="character" w:customStyle="1" w:styleId="Heading7Char">
    <w:name w:val="Heading 7 Char"/>
    <w:basedOn w:val="DefaultParagraphFont"/>
    <w:link w:val="Heading7"/>
    <w:rsid w:val="00A9564A"/>
    <w:rPr>
      <w:rFonts w:asciiTheme="majorHAnsi" w:hAnsiTheme="majorHAnsi"/>
      <w:b/>
      <w:color w:val="9757A6"/>
      <w:sz w:val="36"/>
      <w:szCs w:val="36"/>
      <w:lang w:eastAsia="en-AU"/>
    </w:rPr>
  </w:style>
  <w:style w:type="character" w:customStyle="1" w:styleId="Heading8Char">
    <w:name w:val="Heading 8 Char"/>
    <w:basedOn w:val="DefaultParagraphFont"/>
    <w:link w:val="Heading8"/>
    <w:rsid w:val="00A9564A"/>
    <w:rPr>
      <w:rFonts w:asciiTheme="majorHAnsi" w:hAnsiTheme="majorHAnsi"/>
      <w:b/>
      <w:color w:val="9757A6" w:themeColor="text2"/>
      <w:sz w:val="28"/>
      <w:szCs w:val="28"/>
      <w:lang w:eastAsia="en-AU"/>
    </w:rPr>
  </w:style>
  <w:style w:type="character" w:customStyle="1" w:styleId="Heading9Char">
    <w:name w:val="Heading 9 Char"/>
    <w:basedOn w:val="DefaultParagraphFont"/>
    <w:link w:val="Heading9"/>
    <w:rsid w:val="00A9564A"/>
    <w:rPr>
      <w:rFonts w:asciiTheme="majorHAnsi" w:hAnsiTheme="majorHAnsi"/>
      <w:b/>
      <w:color w:val="9757A6" w:themeColor="text2"/>
      <w:sz w:val="22"/>
      <w:szCs w:val="22"/>
      <w:lang w:eastAsia="en-AU"/>
    </w:rPr>
  </w:style>
  <w:style w:type="character" w:customStyle="1" w:styleId="BodyText2Char">
    <w:name w:val="Body Text 2 Char"/>
    <w:basedOn w:val="DefaultParagraphFont"/>
    <w:link w:val="BodyText2"/>
    <w:semiHidden/>
    <w:rsid w:val="00A9564A"/>
    <w:rPr>
      <w:rFonts w:asciiTheme="minorHAnsi" w:hAnsiTheme="minorHAnsi"/>
      <w:color w:val="FF0000"/>
      <w:lang w:eastAsia="en-US"/>
    </w:rPr>
  </w:style>
  <w:style w:type="character" w:customStyle="1" w:styleId="CommentTextChar">
    <w:name w:val="Comment Text Char"/>
    <w:basedOn w:val="DefaultParagraphFont"/>
    <w:link w:val="CommentText"/>
    <w:uiPriority w:val="99"/>
    <w:semiHidden/>
    <w:rsid w:val="00A9564A"/>
    <w:rPr>
      <w:rFonts w:ascii="Century Gothic" w:hAnsi="Century Gothic"/>
      <w:sz w:val="21"/>
      <w:szCs w:val="22"/>
      <w:lang w:eastAsia="en-AU"/>
    </w:rPr>
  </w:style>
  <w:style w:type="character" w:customStyle="1" w:styleId="FootnoteTextChar">
    <w:name w:val="Footnote Text Char"/>
    <w:basedOn w:val="DefaultParagraphFont"/>
    <w:link w:val="FootnoteText"/>
    <w:uiPriority w:val="8"/>
    <w:rsid w:val="00A9564A"/>
    <w:rPr>
      <w:rFonts w:asciiTheme="minorHAnsi" w:hAnsiTheme="minorHAnsi"/>
      <w:sz w:val="16"/>
      <w:szCs w:val="22"/>
      <w:lang w:eastAsia="en-AU"/>
    </w:rPr>
  </w:style>
  <w:style w:type="character" w:customStyle="1" w:styleId="QuoteChar">
    <w:name w:val="Quote Char"/>
    <w:basedOn w:val="DefaultParagraphFont"/>
    <w:link w:val="Quote"/>
    <w:uiPriority w:val="4"/>
    <w:rsid w:val="00A9564A"/>
    <w:rPr>
      <w:rFonts w:asciiTheme="minorHAnsi" w:hAnsiTheme="minorHAnsi"/>
      <w:sz w:val="18"/>
      <w:szCs w:val="22"/>
      <w:lang w:eastAsia="en-AU"/>
    </w:rPr>
  </w:style>
  <w:style w:type="character" w:customStyle="1" w:styleId="BodyText3Char">
    <w:name w:val="Body Text 3 Char"/>
    <w:basedOn w:val="DefaultParagraphFont"/>
    <w:link w:val="BodyText3"/>
    <w:semiHidden/>
    <w:rsid w:val="00A9564A"/>
    <w:rPr>
      <w:rFonts w:asciiTheme="minorHAnsi" w:hAnsiTheme="minorHAnsi"/>
      <w:sz w:val="16"/>
      <w:lang w:eastAsia="en-US"/>
    </w:rPr>
  </w:style>
  <w:style w:type="character" w:customStyle="1" w:styleId="BalloonTextChar">
    <w:name w:val="Balloon Text Char"/>
    <w:basedOn w:val="DefaultParagraphFont"/>
    <w:link w:val="BalloonText"/>
    <w:semiHidden/>
    <w:rsid w:val="00A9564A"/>
    <w:rPr>
      <w:rFonts w:ascii="Tahoma" w:hAnsi="Tahoma" w:cs="Tahoma"/>
      <w:sz w:val="16"/>
      <w:szCs w:val="16"/>
      <w:lang w:eastAsia="en-US"/>
    </w:rPr>
  </w:style>
  <w:style w:type="character" w:customStyle="1" w:styleId="CommentSubjectChar">
    <w:name w:val="Comment Subject Char"/>
    <w:basedOn w:val="CommentTextChar"/>
    <w:link w:val="CommentSubject"/>
    <w:semiHidden/>
    <w:rsid w:val="00A9564A"/>
    <w:rPr>
      <w:rFonts w:ascii="Century Gothic" w:hAnsi="Century Gothic"/>
      <w:b/>
      <w:bCs/>
      <w:sz w:val="20"/>
      <w:szCs w:val="22"/>
      <w:lang w:eastAsia="en-AU"/>
    </w:rPr>
  </w:style>
  <w:style w:type="character" w:customStyle="1" w:styleId="DocumentMapChar">
    <w:name w:val="Document Map Char"/>
    <w:basedOn w:val="DefaultParagraphFont"/>
    <w:link w:val="DocumentMap"/>
    <w:semiHidden/>
    <w:rsid w:val="00A9564A"/>
    <w:rPr>
      <w:rFonts w:ascii="Tahoma" w:hAnsi="Tahoma" w:cs="Tahoma"/>
      <w:shd w:val="clear" w:color="auto" w:fill="000080"/>
      <w:lang w:eastAsia="en-US"/>
    </w:rPr>
  </w:style>
  <w:style w:type="character" w:customStyle="1" w:styleId="EndnoteTextChar">
    <w:name w:val="Endnote Text Char"/>
    <w:basedOn w:val="DefaultParagraphFont"/>
    <w:link w:val="EndnoteText"/>
    <w:semiHidden/>
    <w:rsid w:val="00A9564A"/>
    <w:rPr>
      <w:lang w:eastAsia="en-US"/>
    </w:rPr>
  </w:style>
  <w:style w:type="character" w:customStyle="1" w:styleId="MacroTextChar">
    <w:name w:val="Macro Text Char"/>
    <w:basedOn w:val="DefaultParagraphFont"/>
    <w:link w:val="MacroText"/>
    <w:semiHidden/>
    <w:rsid w:val="00A9564A"/>
    <w:rPr>
      <w:rFonts w:ascii="Courier New" w:hAnsi="Courier New" w:cs="Courier New"/>
      <w:lang w:eastAsia="en-AU"/>
    </w:rPr>
  </w:style>
  <w:style w:type="numbering" w:customStyle="1" w:styleId="ArticleSection1">
    <w:name w:val="Article / Section1"/>
    <w:basedOn w:val="NoList"/>
    <w:next w:val="ArticleSection"/>
    <w:semiHidden/>
    <w:rsid w:val="00A9564A"/>
  </w:style>
  <w:style w:type="character" w:customStyle="1" w:styleId="BodyTextFirstIndentChar">
    <w:name w:val="Body Text First Indent Char"/>
    <w:basedOn w:val="BodyTextChar"/>
    <w:link w:val="BodyTextFirstIndent"/>
    <w:semiHidden/>
    <w:rsid w:val="00A9564A"/>
    <w:rPr>
      <w:rFonts w:asciiTheme="minorHAnsi" w:hAnsiTheme="minorHAnsi"/>
      <w:sz w:val="22"/>
      <w:szCs w:val="22"/>
      <w:lang w:eastAsia="en-AU"/>
    </w:rPr>
  </w:style>
  <w:style w:type="character" w:customStyle="1" w:styleId="BodyTextIndentChar">
    <w:name w:val="Body Text Indent Char"/>
    <w:basedOn w:val="DefaultParagraphFont"/>
    <w:link w:val="BodyTextIndent"/>
    <w:semiHidden/>
    <w:rsid w:val="00A9564A"/>
    <w:rPr>
      <w:rFonts w:asciiTheme="minorHAnsi" w:hAnsiTheme="minorHAnsi"/>
      <w:lang w:eastAsia="en-US"/>
    </w:rPr>
  </w:style>
  <w:style w:type="character" w:customStyle="1" w:styleId="BodyTextFirstIndent2Char">
    <w:name w:val="Body Text First Indent 2 Char"/>
    <w:basedOn w:val="BodyTextIndentChar"/>
    <w:link w:val="BodyTextFirstIndent2"/>
    <w:semiHidden/>
    <w:rsid w:val="00A9564A"/>
    <w:rPr>
      <w:rFonts w:asciiTheme="minorHAnsi" w:hAnsiTheme="minorHAnsi"/>
      <w:lang w:eastAsia="en-US"/>
    </w:rPr>
  </w:style>
  <w:style w:type="character" w:customStyle="1" w:styleId="BodyTextIndent2Char">
    <w:name w:val="Body Text Indent 2 Char"/>
    <w:basedOn w:val="DefaultParagraphFont"/>
    <w:link w:val="BodyTextIndent2"/>
    <w:semiHidden/>
    <w:rsid w:val="00A9564A"/>
    <w:rPr>
      <w:rFonts w:asciiTheme="minorHAnsi" w:hAnsiTheme="minorHAnsi"/>
      <w:lang w:eastAsia="en-US"/>
    </w:rPr>
  </w:style>
  <w:style w:type="character" w:customStyle="1" w:styleId="BodyTextIndent3Char">
    <w:name w:val="Body Text Indent 3 Char"/>
    <w:basedOn w:val="DefaultParagraphFont"/>
    <w:link w:val="BodyTextIndent3"/>
    <w:semiHidden/>
    <w:rsid w:val="00A9564A"/>
    <w:rPr>
      <w:rFonts w:asciiTheme="minorHAnsi" w:hAnsiTheme="minorHAnsi"/>
      <w:sz w:val="16"/>
      <w:szCs w:val="16"/>
      <w:lang w:eastAsia="en-US"/>
    </w:rPr>
  </w:style>
  <w:style w:type="character" w:customStyle="1" w:styleId="ClosingChar">
    <w:name w:val="Closing Char"/>
    <w:basedOn w:val="DefaultParagraphFont"/>
    <w:link w:val="Closing"/>
    <w:semiHidden/>
    <w:rsid w:val="00A9564A"/>
    <w:rPr>
      <w:rFonts w:asciiTheme="minorHAnsi" w:hAnsiTheme="minorHAnsi"/>
      <w:lang w:eastAsia="en-US"/>
    </w:rPr>
  </w:style>
  <w:style w:type="character" w:customStyle="1" w:styleId="E-mailSignatureChar">
    <w:name w:val="E-mail Signature Char"/>
    <w:basedOn w:val="DefaultParagraphFont"/>
    <w:link w:val="E-mailSignature"/>
    <w:semiHidden/>
    <w:rsid w:val="00A9564A"/>
    <w:rPr>
      <w:rFonts w:asciiTheme="minorHAnsi" w:hAnsiTheme="minorHAnsi"/>
      <w:lang w:eastAsia="en-US"/>
    </w:rPr>
  </w:style>
  <w:style w:type="character" w:customStyle="1" w:styleId="HTMLAddressChar">
    <w:name w:val="HTML Address Char"/>
    <w:basedOn w:val="DefaultParagraphFont"/>
    <w:link w:val="HTMLAddress"/>
    <w:semiHidden/>
    <w:rsid w:val="00A9564A"/>
    <w:rPr>
      <w:rFonts w:asciiTheme="minorHAnsi" w:hAnsiTheme="minorHAnsi"/>
      <w:i/>
      <w:iCs/>
      <w:lang w:eastAsia="en-US"/>
    </w:rPr>
  </w:style>
  <w:style w:type="character" w:customStyle="1" w:styleId="HTMLPreformattedChar">
    <w:name w:val="HTML Preformatted Char"/>
    <w:basedOn w:val="DefaultParagraphFont"/>
    <w:link w:val="HTMLPreformatted"/>
    <w:semiHidden/>
    <w:rsid w:val="00A9564A"/>
    <w:rPr>
      <w:rFonts w:ascii="Courier New" w:hAnsi="Courier New" w:cs="Courier New"/>
      <w:lang w:eastAsia="en-US"/>
    </w:rPr>
  </w:style>
  <w:style w:type="character" w:customStyle="1" w:styleId="MessageHeaderChar">
    <w:name w:val="Message Header Char"/>
    <w:basedOn w:val="DefaultParagraphFont"/>
    <w:link w:val="MessageHeader"/>
    <w:semiHidden/>
    <w:rsid w:val="00A9564A"/>
    <w:rPr>
      <w:rFonts w:ascii="Arial" w:hAnsi="Arial" w:cs="Arial"/>
      <w:shd w:val="pct20" w:color="auto" w:fill="auto"/>
      <w:lang w:eastAsia="en-US"/>
    </w:rPr>
  </w:style>
  <w:style w:type="character" w:customStyle="1" w:styleId="PlainTextChar">
    <w:name w:val="Plain Text Char"/>
    <w:basedOn w:val="DefaultParagraphFont"/>
    <w:link w:val="PlainText"/>
    <w:semiHidden/>
    <w:rsid w:val="00A9564A"/>
    <w:rPr>
      <w:rFonts w:ascii="Courier New" w:hAnsi="Courier New" w:cs="Courier New"/>
      <w:lang w:eastAsia="en-US"/>
    </w:rPr>
  </w:style>
  <w:style w:type="character" w:customStyle="1" w:styleId="SalutationChar">
    <w:name w:val="Salutation Char"/>
    <w:basedOn w:val="DefaultParagraphFont"/>
    <w:link w:val="Salutation"/>
    <w:semiHidden/>
    <w:rsid w:val="00A9564A"/>
    <w:rPr>
      <w:rFonts w:asciiTheme="minorHAnsi" w:hAnsiTheme="minorHAnsi"/>
      <w:lang w:eastAsia="en-US"/>
    </w:rPr>
  </w:style>
  <w:style w:type="character" w:customStyle="1" w:styleId="SignatureChar">
    <w:name w:val="Signature Char"/>
    <w:basedOn w:val="DefaultParagraphFont"/>
    <w:link w:val="Signature"/>
    <w:semiHidden/>
    <w:rsid w:val="00A9564A"/>
    <w:rPr>
      <w:rFonts w:asciiTheme="minorHAnsi" w:hAnsiTheme="minorHAnsi"/>
      <w:lang w:eastAsia="en-US"/>
    </w:rPr>
  </w:style>
  <w:style w:type="table" w:customStyle="1" w:styleId="Table3Deffects11">
    <w:name w:val="Table 3D effects 11"/>
    <w:basedOn w:val="TableNormal"/>
    <w:next w:val="Table3Deffects1"/>
    <w:semiHidden/>
    <w:rsid w:val="00A9564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A9564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A9564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A9564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A9564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A9564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A9564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A9564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A9564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A9564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A9564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A9564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A9564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A9564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A9564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A9564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A95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semiHidden/>
    <w:rsid w:val="00A9564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A9564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A9564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A9564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A9564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A9564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A9564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A9564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A9564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A9564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A9564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A9564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A9564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A9564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A9564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A9564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A9564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A9564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A9564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A95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A9564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A9564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A9564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11">
    <w:name w:val="Light Shading11"/>
    <w:basedOn w:val="TableNormal"/>
    <w:uiPriority w:val="60"/>
    <w:rsid w:val="00A9564A"/>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1111111">
    <w:name w:val="1 / 1.1 / 1.1.11"/>
    <w:basedOn w:val="NoList"/>
    <w:next w:val="111111"/>
    <w:uiPriority w:val="99"/>
    <w:semiHidden/>
    <w:unhideWhenUsed/>
    <w:rsid w:val="00A9564A"/>
  </w:style>
  <w:style w:type="numbering" w:customStyle="1" w:styleId="1ai1">
    <w:name w:val="1 / a / i1"/>
    <w:basedOn w:val="NoList"/>
    <w:next w:val="1ai"/>
    <w:uiPriority w:val="99"/>
    <w:semiHidden/>
    <w:unhideWhenUsed/>
    <w:rsid w:val="00A9564A"/>
  </w:style>
  <w:style w:type="table" w:customStyle="1" w:styleId="ColorfulGrid1">
    <w:name w:val="Colorful Grid1"/>
    <w:basedOn w:val="TableNormal"/>
    <w:next w:val="ColorfulGrid"/>
    <w:uiPriority w:val="73"/>
    <w:rsid w:val="00A9564A"/>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1">
    <w:name w:val="Colorful Grid - Accent 11"/>
    <w:basedOn w:val="TableNormal"/>
    <w:next w:val="ColorfulGrid-Accent1"/>
    <w:uiPriority w:val="73"/>
    <w:rsid w:val="00A9564A"/>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customStyle="1" w:styleId="ColorfulGrid-Accent21">
    <w:name w:val="Colorful Grid - Accent 21"/>
    <w:basedOn w:val="TableNormal"/>
    <w:next w:val="ColorfulGrid-Accent2"/>
    <w:uiPriority w:val="73"/>
    <w:rsid w:val="00A9564A"/>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customStyle="1" w:styleId="ColorfulGrid-Accent31">
    <w:name w:val="Colorful Grid - Accent 31"/>
    <w:basedOn w:val="TableNormal"/>
    <w:next w:val="ColorfulGrid-Accent3"/>
    <w:uiPriority w:val="73"/>
    <w:rsid w:val="00A9564A"/>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Grid-Accent41">
    <w:name w:val="Colorful Grid - Accent 41"/>
    <w:basedOn w:val="TableNormal"/>
    <w:next w:val="ColorfulGrid-Accent4"/>
    <w:uiPriority w:val="73"/>
    <w:rsid w:val="00A9564A"/>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customStyle="1" w:styleId="ColorfulGrid-Accent51">
    <w:name w:val="Colorful Grid - Accent 51"/>
    <w:basedOn w:val="TableNormal"/>
    <w:next w:val="ColorfulGrid-Accent5"/>
    <w:uiPriority w:val="73"/>
    <w:rsid w:val="00A9564A"/>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customStyle="1" w:styleId="ColorfulGrid-Accent61">
    <w:name w:val="Colorful Grid - Accent 61"/>
    <w:basedOn w:val="TableNormal"/>
    <w:next w:val="ColorfulGrid-Accent6"/>
    <w:uiPriority w:val="73"/>
    <w:rsid w:val="00A9564A"/>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customStyle="1" w:styleId="ColorfulList1">
    <w:name w:val="Colorful List1"/>
    <w:basedOn w:val="TableNormal"/>
    <w:next w:val="ColorfulList"/>
    <w:uiPriority w:val="72"/>
    <w:rsid w:val="00A9564A"/>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1">
    <w:name w:val="Colorful List - Accent 11"/>
    <w:basedOn w:val="TableNormal"/>
    <w:next w:val="ColorfulList-Accent1"/>
    <w:uiPriority w:val="72"/>
    <w:rsid w:val="00A9564A"/>
    <w:pPr>
      <w:spacing w:before="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customStyle="1" w:styleId="ColorfulList-Accent21">
    <w:name w:val="Colorful List - Accent 21"/>
    <w:basedOn w:val="TableNormal"/>
    <w:next w:val="ColorfulList-Accent2"/>
    <w:uiPriority w:val="72"/>
    <w:rsid w:val="00A9564A"/>
    <w:pPr>
      <w:spacing w:before="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customStyle="1" w:styleId="ColorfulList-Accent31">
    <w:name w:val="Colorful List - Accent 31"/>
    <w:basedOn w:val="TableNormal"/>
    <w:next w:val="ColorfulList-Accent3"/>
    <w:uiPriority w:val="72"/>
    <w:rsid w:val="00A9564A"/>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ColorfulList-Accent41">
    <w:name w:val="Colorful List - Accent 41"/>
    <w:basedOn w:val="TableNormal"/>
    <w:next w:val="ColorfulList-Accent4"/>
    <w:uiPriority w:val="72"/>
    <w:rsid w:val="00A9564A"/>
    <w:pPr>
      <w:spacing w:before="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customStyle="1" w:styleId="ColorfulList-Accent51">
    <w:name w:val="Colorful List - Accent 51"/>
    <w:basedOn w:val="TableNormal"/>
    <w:next w:val="ColorfulList-Accent5"/>
    <w:uiPriority w:val="72"/>
    <w:rsid w:val="00A9564A"/>
    <w:pPr>
      <w:spacing w:before="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customStyle="1" w:styleId="ColorfulList-Accent61">
    <w:name w:val="Colorful List - Accent 61"/>
    <w:basedOn w:val="TableNormal"/>
    <w:next w:val="ColorfulList-Accent6"/>
    <w:uiPriority w:val="72"/>
    <w:rsid w:val="00A9564A"/>
    <w:pPr>
      <w:spacing w:before="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customStyle="1" w:styleId="ColorfulShading1">
    <w:name w:val="Colorful Shading1"/>
    <w:basedOn w:val="TableNormal"/>
    <w:next w:val="ColorfulShading"/>
    <w:uiPriority w:val="71"/>
    <w:rsid w:val="00A9564A"/>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1">
    <w:name w:val="Colorful Shading - Accent 11"/>
    <w:basedOn w:val="TableNormal"/>
    <w:next w:val="ColorfulShading-Accent1"/>
    <w:uiPriority w:val="71"/>
    <w:rsid w:val="00A9564A"/>
    <w:pPr>
      <w:spacing w:before="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1">
    <w:name w:val="Colorful Shading - Accent 21"/>
    <w:basedOn w:val="TableNormal"/>
    <w:next w:val="ColorfulShading-Accent2"/>
    <w:uiPriority w:val="71"/>
    <w:rsid w:val="00A9564A"/>
    <w:pPr>
      <w:spacing w:before="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1">
    <w:name w:val="Colorful Shading - Accent 31"/>
    <w:basedOn w:val="TableNormal"/>
    <w:next w:val="ColorfulShading-Accent3"/>
    <w:uiPriority w:val="71"/>
    <w:rsid w:val="00A9564A"/>
    <w:pPr>
      <w:spacing w:before="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ColorfulShading-Accent41">
    <w:name w:val="Colorful Shading - Accent 41"/>
    <w:basedOn w:val="TableNormal"/>
    <w:next w:val="ColorfulShading-Accent4"/>
    <w:uiPriority w:val="71"/>
    <w:rsid w:val="00A9564A"/>
    <w:pPr>
      <w:spacing w:before="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1">
    <w:name w:val="Colorful Shading - Accent 51"/>
    <w:basedOn w:val="TableNormal"/>
    <w:next w:val="ColorfulShading-Accent5"/>
    <w:uiPriority w:val="71"/>
    <w:rsid w:val="00A9564A"/>
    <w:pPr>
      <w:spacing w:before="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1">
    <w:name w:val="Colorful Shading - Accent 61"/>
    <w:basedOn w:val="TableNormal"/>
    <w:next w:val="ColorfulShading-Accent6"/>
    <w:uiPriority w:val="71"/>
    <w:rsid w:val="00A9564A"/>
    <w:pPr>
      <w:spacing w:before="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next w:val="DarkList"/>
    <w:uiPriority w:val="70"/>
    <w:rsid w:val="00A9564A"/>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1">
    <w:name w:val="Dark List - Accent 11"/>
    <w:basedOn w:val="TableNormal"/>
    <w:next w:val="DarkList-Accent1"/>
    <w:uiPriority w:val="70"/>
    <w:rsid w:val="00A9564A"/>
    <w:pPr>
      <w:spacing w:before="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customStyle="1" w:styleId="DarkList-Accent21">
    <w:name w:val="Dark List - Accent 21"/>
    <w:basedOn w:val="TableNormal"/>
    <w:next w:val="DarkList-Accent2"/>
    <w:uiPriority w:val="70"/>
    <w:rsid w:val="00A9564A"/>
    <w:pPr>
      <w:spacing w:before="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customStyle="1" w:styleId="DarkList-Accent31">
    <w:name w:val="Dark List - Accent 31"/>
    <w:basedOn w:val="TableNormal"/>
    <w:next w:val="DarkList-Accent3"/>
    <w:uiPriority w:val="70"/>
    <w:rsid w:val="00A9564A"/>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DarkList-Accent41">
    <w:name w:val="Dark List - Accent 41"/>
    <w:basedOn w:val="TableNormal"/>
    <w:next w:val="DarkList-Accent4"/>
    <w:uiPriority w:val="70"/>
    <w:rsid w:val="00A9564A"/>
    <w:pPr>
      <w:spacing w:before="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customStyle="1" w:styleId="DarkList-Accent51">
    <w:name w:val="Dark List - Accent 51"/>
    <w:basedOn w:val="TableNormal"/>
    <w:next w:val="DarkList-Accent5"/>
    <w:uiPriority w:val="70"/>
    <w:rsid w:val="00A9564A"/>
    <w:pPr>
      <w:spacing w:before="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customStyle="1" w:styleId="DarkList-Accent61">
    <w:name w:val="Dark List - Accent 61"/>
    <w:basedOn w:val="TableNormal"/>
    <w:next w:val="DarkList-Accent6"/>
    <w:uiPriority w:val="70"/>
    <w:rsid w:val="00A9564A"/>
    <w:pPr>
      <w:spacing w:before="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table" w:customStyle="1" w:styleId="LightGrid1">
    <w:name w:val="Light Grid1"/>
    <w:basedOn w:val="TableNormal"/>
    <w:next w:val="LightGrid"/>
    <w:uiPriority w:val="62"/>
    <w:rsid w:val="00A9564A"/>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next w:val="LightGrid-Accent1"/>
    <w:uiPriority w:val="62"/>
    <w:rsid w:val="00A9564A"/>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customStyle="1" w:styleId="LightGrid-Accent21">
    <w:name w:val="Light Grid - Accent 21"/>
    <w:basedOn w:val="TableNormal"/>
    <w:next w:val="LightGrid-Accent2"/>
    <w:uiPriority w:val="62"/>
    <w:rsid w:val="00A9564A"/>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customStyle="1" w:styleId="LightGrid-Accent31">
    <w:name w:val="Light Grid - Accent 31"/>
    <w:basedOn w:val="TableNormal"/>
    <w:next w:val="LightGrid-Accent3"/>
    <w:uiPriority w:val="62"/>
    <w:rsid w:val="00A9564A"/>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1">
    <w:name w:val="Light Grid - Accent 41"/>
    <w:basedOn w:val="TableNormal"/>
    <w:next w:val="LightGrid-Accent4"/>
    <w:uiPriority w:val="62"/>
    <w:rsid w:val="00A9564A"/>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customStyle="1" w:styleId="LightGrid-Accent51">
    <w:name w:val="Light Grid - Accent 51"/>
    <w:basedOn w:val="TableNormal"/>
    <w:next w:val="LightGrid-Accent5"/>
    <w:uiPriority w:val="62"/>
    <w:rsid w:val="00A9564A"/>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customStyle="1" w:styleId="LightGrid-Accent61">
    <w:name w:val="Light Grid - Accent 61"/>
    <w:basedOn w:val="TableNormal"/>
    <w:next w:val="LightGrid-Accent6"/>
    <w:uiPriority w:val="62"/>
    <w:rsid w:val="00A9564A"/>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customStyle="1" w:styleId="LightList1">
    <w:name w:val="Light List1"/>
    <w:basedOn w:val="TableNormal"/>
    <w:next w:val="LightList"/>
    <w:uiPriority w:val="61"/>
    <w:rsid w:val="00A9564A"/>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next w:val="LightList-Accent1"/>
    <w:uiPriority w:val="61"/>
    <w:rsid w:val="00A9564A"/>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customStyle="1" w:styleId="LightList-Accent21">
    <w:name w:val="Light List - Accent 21"/>
    <w:basedOn w:val="TableNormal"/>
    <w:next w:val="LightList-Accent2"/>
    <w:uiPriority w:val="61"/>
    <w:rsid w:val="00A9564A"/>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customStyle="1" w:styleId="LightList-Accent31">
    <w:name w:val="Light List - Accent 31"/>
    <w:basedOn w:val="TableNormal"/>
    <w:next w:val="LightList-Accent3"/>
    <w:uiPriority w:val="61"/>
    <w:rsid w:val="00A9564A"/>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ghtList-Accent41">
    <w:name w:val="Light List - Accent 41"/>
    <w:basedOn w:val="TableNormal"/>
    <w:next w:val="LightList-Accent4"/>
    <w:uiPriority w:val="61"/>
    <w:rsid w:val="00A9564A"/>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customStyle="1" w:styleId="LightList-Accent51">
    <w:name w:val="Light List - Accent 51"/>
    <w:basedOn w:val="TableNormal"/>
    <w:next w:val="LightList-Accent5"/>
    <w:uiPriority w:val="61"/>
    <w:rsid w:val="00A9564A"/>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customStyle="1" w:styleId="LightList-Accent61">
    <w:name w:val="Light List - Accent 61"/>
    <w:basedOn w:val="TableNormal"/>
    <w:next w:val="LightList-Accent6"/>
    <w:uiPriority w:val="61"/>
    <w:rsid w:val="00A9564A"/>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customStyle="1" w:styleId="LightShading2">
    <w:name w:val="Light Shading2"/>
    <w:basedOn w:val="TableNormal"/>
    <w:next w:val="LightShading"/>
    <w:uiPriority w:val="60"/>
    <w:rsid w:val="00A9564A"/>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next w:val="LightShading-Accent1"/>
    <w:uiPriority w:val="60"/>
    <w:rsid w:val="00A9564A"/>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customStyle="1" w:styleId="LightShading-Accent21">
    <w:name w:val="Light Shading - Accent 21"/>
    <w:basedOn w:val="TableNormal"/>
    <w:next w:val="LightShading-Accent2"/>
    <w:uiPriority w:val="60"/>
    <w:rsid w:val="00A9564A"/>
    <w:pPr>
      <w:spacing w:before="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customStyle="1" w:styleId="LightShading-Accent31">
    <w:name w:val="Light Shading - Accent 31"/>
    <w:basedOn w:val="TableNormal"/>
    <w:next w:val="LightShading-Accent3"/>
    <w:uiPriority w:val="60"/>
    <w:rsid w:val="00A9564A"/>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Accent41">
    <w:name w:val="Light Shading - Accent 41"/>
    <w:basedOn w:val="TableNormal"/>
    <w:next w:val="LightShading-Accent4"/>
    <w:uiPriority w:val="60"/>
    <w:rsid w:val="00A9564A"/>
    <w:pPr>
      <w:spacing w:before="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customStyle="1" w:styleId="LightShading-Accent51">
    <w:name w:val="Light Shading - Accent 51"/>
    <w:basedOn w:val="TableNormal"/>
    <w:next w:val="LightShading-Accent5"/>
    <w:uiPriority w:val="60"/>
    <w:rsid w:val="00A9564A"/>
    <w:pPr>
      <w:spacing w:before="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customStyle="1" w:styleId="LightShading-Accent61">
    <w:name w:val="Light Shading - Accent 61"/>
    <w:basedOn w:val="TableNormal"/>
    <w:next w:val="LightShading-Accent6"/>
    <w:uiPriority w:val="60"/>
    <w:rsid w:val="00A9564A"/>
    <w:pPr>
      <w:spacing w:before="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table" w:customStyle="1" w:styleId="MediumGrid11">
    <w:name w:val="Medium Grid 11"/>
    <w:basedOn w:val="TableNormal"/>
    <w:next w:val="MediumGrid1"/>
    <w:uiPriority w:val="67"/>
    <w:rsid w:val="00A9564A"/>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1">
    <w:name w:val="Medium Grid 1 - Accent 11"/>
    <w:basedOn w:val="TableNormal"/>
    <w:next w:val="MediumGrid1-Accent1"/>
    <w:uiPriority w:val="67"/>
    <w:rsid w:val="00A9564A"/>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customStyle="1" w:styleId="MediumGrid1-Accent21">
    <w:name w:val="Medium Grid 1 - Accent 21"/>
    <w:basedOn w:val="TableNormal"/>
    <w:next w:val="MediumGrid1-Accent2"/>
    <w:uiPriority w:val="67"/>
    <w:rsid w:val="00A9564A"/>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customStyle="1" w:styleId="MediumGrid1-Accent31">
    <w:name w:val="Medium Grid 1 - Accent 31"/>
    <w:basedOn w:val="TableNormal"/>
    <w:next w:val="MediumGrid1-Accent3"/>
    <w:uiPriority w:val="67"/>
    <w:rsid w:val="00A9564A"/>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MediumGrid1-Accent41">
    <w:name w:val="Medium Grid 1 - Accent 41"/>
    <w:basedOn w:val="TableNormal"/>
    <w:next w:val="MediumGrid1-Accent4"/>
    <w:uiPriority w:val="67"/>
    <w:rsid w:val="00A9564A"/>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customStyle="1" w:styleId="MediumGrid1-Accent51">
    <w:name w:val="Medium Grid 1 - Accent 51"/>
    <w:basedOn w:val="TableNormal"/>
    <w:next w:val="MediumGrid1-Accent5"/>
    <w:uiPriority w:val="67"/>
    <w:rsid w:val="00A9564A"/>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customStyle="1" w:styleId="MediumGrid1-Accent61">
    <w:name w:val="Medium Grid 1 - Accent 61"/>
    <w:basedOn w:val="TableNormal"/>
    <w:next w:val="MediumGrid1-Accent6"/>
    <w:uiPriority w:val="67"/>
    <w:rsid w:val="00A9564A"/>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customStyle="1" w:styleId="MediumGrid21">
    <w:name w:val="Medium Grid 21"/>
    <w:basedOn w:val="TableNormal"/>
    <w:next w:val="MediumGrid2"/>
    <w:uiPriority w:val="68"/>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1">
    <w:name w:val="Medium Grid 2 - Accent 11"/>
    <w:basedOn w:val="TableNormal"/>
    <w:next w:val="MediumGrid2-Accent1"/>
    <w:uiPriority w:val="68"/>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customStyle="1" w:styleId="MediumGrid2-Accent21">
    <w:name w:val="Medium Grid 2 - Accent 21"/>
    <w:basedOn w:val="TableNormal"/>
    <w:next w:val="MediumGrid2-Accent2"/>
    <w:uiPriority w:val="68"/>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customStyle="1" w:styleId="MediumGrid2-Accent31">
    <w:name w:val="Medium Grid 2 - Accent 31"/>
    <w:basedOn w:val="TableNormal"/>
    <w:next w:val="MediumGrid2-Accent3"/>
    <w:uiPriority w:val="68"/>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MediumGrid2-Accent41">
    <w:name w:val="Medium Grid 2 - Accent 41"/>
    <w:basedOn w:val="TableNormal"/>
    <w:next w:val="MediumGrid2-Accent4"/>
    <w:uiPriority w:val="68"/>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customStyle="1" w:styleId="MediumGrid2-Accent51">
    <w:name w:val="Medium Grid 2 - Accent 51"/>
    <w:basedOn w:val="TableNormal"/>
    <w:next w:val="MediumGrid2-Accent5"/>
    <w:uiPriority w:val="68"/>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customStyle="1" w:styleId="MediumGrid2-Accent61">
    <w:name w:val="Medium Grid 2 - Accent 61"/>
    <w:basedOn w:val="TableNormal"/>
    <w:next w:val="MediumGrid2-Accent6"/>
    <w:uiPriority w:val="68"/>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next w:val="MediumGrid3"/>
    <w:uiPriority w:val="69"/>
    <w:rsid w:val="00A9564A"/>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1">
    <w:name w:val="Medium Grid 3 - Accent 11"/>
    <w:basedOn w:val="TableNormal"/>
    <w:next w:val="MediumGrid3-Accent1"/>
    <w:uiPriority w:val="69"/>
    <w:rsid w:val="00A9564A"/>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customStyle="1" w:styleId="MediumGrid3-Accent21">
    <w:name w:val="Medium Grid 3 - Accent 21"/>
    <w:basedOn w:val="TableNormal"/>
    <w:next w:val="MediumGrid3-Accent2"/>
    <w:uiPriority w:val="69"/>
    <w:rsid w:val="00A9564A"/>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customStyle="1" w:styleId="MediumGrid3-Accent31">
    <w:name w:val="Medium Grid 3 - Accent 31"/>
    <w:basedOn w:val="TableNormal"/>
    <w:next w:val="MediumGrid3-Accent3"/>
    <w:uiPriority w:val="69"/>
    <w:rsid w:val="00A9564A"/>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41">
    <w:name w:val="Medium Grid 3 - Accent 41"/>
    <w:basedOn w:val="TableNormal"/>
    <w:next w:val="MediumGrid3-Accent4"/>
    <w:uiPriority w:val="69"/>
    <w:rsid w:val="00A9564A"/>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customStyle="1" w:styleId="MediumGrid3-Accent51">
    <w:name w:val="Medium Grid 3 - Accent 51"/>
    <w:basedOn w:val="TableNormal"/>
    <w:next w:val="MediumGrid3-Accent5"/>
    <w:uiPriority w:val="69"/>
    <w:rsid w:val="00A9564A"/>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customStyle="1" w:styleId="MediumGrid3-Accent61">
    <w:name w:val="Medium Grid 3 - Accent 61"/>
    <w:basedOn w:val="TableNormal"/>
    <w:next w:val="MediumGrid3-Accent6"/>
    <w:uiPriority w:val="69"/>
    <w:rsid w:val="00A9564A"/>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customStyle="1" w:styleId="MediumList11">
    <w:name w:val="Medium List 11"/>
    <w:basedOn w:val="TableNormal"/>
    <w:next w:val="MediumList1"/>
    <w:uiPriority w:val="65"/>
    <w:rsid w:val="00A9564A"/>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next w:val="MediumList1-Accent1"/>
    <w:uiPriority w:val="65"/>
    <w:rsid w:val="00A9564A"/>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customStyle="1" w:styleId="MediumList1-Accent21">
    <w:name w:val="Medium List 1 - Accent 21"/>
    <w:basedOn w:val="TableNormal"/>
    <w:next w:val="MediumList1-Accent2"/>
    <w:uiPriority w:val="65"/>
    <w:rsid w:val="00A9564A"/>
    <w:pPr>
      <w:spacing w:before="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customStyle="1" w:styleId="MediumList1-Accent31">
    <w:name w:val="Medium List 1 - Accent 31"/>
    <w:basedOn w:val="TableNormal"/>
    <w:next w:val="MediumList1-Accent3"/>
    <w:uiPriority w:val="65"/>
    <w:rsid w:val="00A9564A"/>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MediumList1-Accent41">
    <w:name w:val="Medium List 1 - Accent 41"/>
    <w:basedOn w:val="TableNormal"/>
    <w:next w:val="MediumList1-Accent4"/>
    <w:uiPriority w:val="65"/>
    <w:rsid w:val="00A9564A"/>
    <w:pPr>
      <w:spacing w:before="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customStyle="1" w:styleId="MediumList1-Accent51">
    <w:name w:val="Medium List 1 - Accent 51"/>
    <w:basedOn w:val="TableNormal"/>
    <w:next w:val="MediumList1-Accent5"/>
    <w:uiPriority w:val="65"/>
    <w:rsid w:val="00A9564A"/>
    <w:pPr>
      <w:spacing w:before="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customStyle="1" w:styleId="MediumList1-Accent61">
    <w:name w:val="Medium List 1 - Accent 61"/>
    <w:basedOn w:val="TableNormal"/>
    <w:next w:val="MediumList1-Accent6"/>
    <w:uiPriority w:val="65"/>
    <w:rsid w:val="00A9564A"/>
    <w:pPr>
      <w:spacing w:before="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customStyle="1" w:styleId="MediumList21">
    <w:name w:val="Medium List 21"/>
    <w:basedOn w:val="TableNormal"/>
    <w:next w:val="MediumList2"/>
    <w:uiPriority w:val="66"/>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A9564A"/>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A9564A"/>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A9564A"/>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A9564A"/>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A9564A"/>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A9564A"/>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A9564A"/>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A9564A"/>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A9564A"/>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A9564A"/>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A9564A"/>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A9564A"/>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A9564A"/>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A9564A"/>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A9564A"/>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3Deffects31">
    <w:name w:val="Table 3D effects 31"/>
    <w:basedOn w:val="TableNormal"/>
    <w:next w:val="Table3Deffects3"/>
    <w:uiPriority w:val="99"/>
    <w:semiHidden/>
    <w:unhideWhenUsed/>
    <w:rsid w:val="00A9564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A9564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A9564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A9564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10">
    <w:name w:val="Table Grid11"/>
    <w:basedOn w:val="TableNormal"/>
    <w:next w:val="TableGrid"/>
    <w:uiPriority w:val="59"/>
    <w:rsid w:val="00A9564A"/>
    <w:pPr>
      <w:spacing w:before="0" w:line="240" w:lineRule="auto"/>
    </w:pPr>
    <w:rPr>
      <w:rFonts w:ascii="HelveticaNeueLT Std Lt Cn" w:eastAsiaTheme="minorHAnsi" w:hAnsi="HelveticaNeueLT Std Lt C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ILAllenTable1">
    <w:name w:val="ACIL Allen Table1"/>
    <w:basedOn w:val="TableNormal"/>
    <w:uiPriority w:val="99"/>
    <w:rsid w:val="00A9564A"/>
    <w:pPr>
      <w:spacing w:before="40" w:after="40" w:line="240" w:lineRule="auto"/>
    </w:pPr>
    <w:rPr>
      <w:rFonts w:asciiTheme="minorHAnsi" w:hAnsiTheme="minorHAnsi"/>
      <w:sz w:val="16"/>
    </w:rPr>
    <w:tblPr>
      <w:tblBorders>
        <w:bottom w:val="single" w:sz="6" w:space="0" w:color="BFBFBF" w:themeColor="background1" w:themeShade="BF"/>
        <w:insideH w:val="single" w:sz="6" w:space="0" w:color="BFBFBF" w:themeColor="background1" w:themeShade="BF"/>
      </w:tblBorders>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1">
    <w:name w:val="ACIL Allen Box Bulleted List1"/>
    <w:uiPriority w:val="99"/>
    <w:rsid w:val="00A9564A"/>
  </w:style>
  <w:style w:type="numbering" w:customStyle="1" w:styleId="ACILAllenBoxListNumbering1">
    <w:name w:val="ACIL Allen Box List Numbering1"/>
    <w:uiPriority w:val="99"/>
    <w:rsid w:val="00A9564A"/>
  </w:style>
  <w:style w:type="numbering" w:customStyle="1" w:styleId="ACILAllenNumberedList1">
    <w:name w:val="ACIL Allen Numbered List1"/>
    <w:uiPriority w:val="99"/>
    <w:rsid w:val="00A9564A"/>
  </w:style>
  <w:style w:type="numbering" w:customStyle="1" w:styleId="ACILAllenTableBulletedList1">
    <w:name w:val="ACIL Allen Table Bulleted List1"/>
    <w:uiPriority w:val="99"/>
    <w:rsid w:val="00A9564A"/>
  </w:style>
  <w:style w:type="numbering" w:customStyle="1" w:styleId="ACILAllenTableListNumbering1">
    <w:name w:val="ACIL Allen Table List Numbering1"/>
    <w:uiPriority w:val="99"/>
    <w:rsid w:val="00A9564A"/>
  </w:style>
  <w:style w:type="numbering" w:customStyle="1" w:styleId="ACILAllenBulletedlist1">
    <w:name w:val="ACIL Allen Bulleted list1"/>
    <w:uiPriority w:val="99"/>
    <w:rsid w:val="00A9564A"/>
  </w:style>
  <w:style w:type="numbering" w:customStyle="1" w:styleId="ACILAllenDashedList1">
    <w:name w:val="ACIL Allen Dashed List1"/>
    <w:uiPriority w:val="99"/>
    <w:rsid w:val="00A9564A"/>
  </w:style>
  <w:style w:type="numbering" w:customStyle="1" w:styleId="ATbulletedlist1">
    <w:name w:val="AT bulleted list1"/>
    <w:uiPriority w:val="99"/>
    <w:rsid w:val="00A9564A"/>
  </w:style>
  <w:style w:type="numbering" w:customStyle="1" w:styleId="ATBoxBulletedList1">
    <w:name w:val="AT Box Bulleted List1"/>
    <w:uiPriority w:val="99"/>
    <w:rsid w:val="00A9564A"/>
  </w:style>
  <w:style w:type="numbering" w:customStyle="1" w:styleId="ACILAllenPartNumbers1">
    <w:name w:val="ACIL Allen Part Numbers1"/>
    <w:uiPriority w:val="99"/>
    <w:rsid w:val="00A9564A"/>
  </w:style>
  <w:style w:type="paragraph" w:customStyle="1" w:styleId="Pa6">
    <w:name w:val="Pa6"/>
    <w:basedOn w:val="Default"/>
    <w:next w:val="Default"/>
    <w:uiPriority w:val="99"/>
    <w:rsid w:val="00F2222F"/>
    <w:pPr>
      <w:spacing w:line="191" w:lineRule="atLeast"/>
    </w:pPr>
    <w:rPr>
      <w:rFonts w:ascii="Frutiger 45 Light" w:hAnsi="Frutiger 45 Light" w:cs="Times New Roman"/>
      <w:color w:val="auto"/>
    </w:rPr>
  </w:style>
  <w:style w:type="character" w:customStyle="1" w:styleId="A13">
    <w:name w:val="A13"/>
    <w:uiPriority w:val="99"/>
    <w:rsid w:val="00F2222F"/>
    <w:rPr>
      <w:rFonts w:cs="Frutiger 45 Light"/>
      <w:color w:val="000000"/>
      <w:sz w:val="17"/>
      <w:szCs w:val="17"/>
    </w:rPr>
  </w:style>
  <w:style w:type="numbering" w:customStyle="1" w:styleId="ACILAllenBoxBulletedList2">
    <w:name w:val="ACIL Allen Box Bulleted List2"/>
    <w:uiPriority w:val="99"/>
    <w:rsid w:val="00C94F0C"/>
    <w:pPr>
      <w:numPr>
        <w:numId w:val="1"/>
      </w:numPr>
    </w:pPr>
  </w:style>
  <w:style w:type="numbering" w:customStyle="1" w:styleId="ACILAllenNumberedList2">
    <w:name w:val="ACIL Allen Numbered List2"/>
    <w:uiPriority w:val="99"/>
    <w:rsid w:val="00C94F0C"/>
    <w:pPr>
      <w:numPr>
        <w:numId w:val="2"/>
      </w:numPr>
    </w:pPr>
  </w:style>
  <w:style w:type="paragraph" w:styleId="Revision">
    <w:name w:val="Revision"/>
    <w:hidden/>
    <w:uiPriority w:val="99"/>
    <w:semiHidden/>
    <w:rsid w:val="00380184"/>
    <w:pPr>
      <w:spacing w:before="0" w:line="240" w:lineRule="auto"/>
    </w:pPr>
    <w:rPr>
      <w:rFonts w:ascii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2960">
      <w:bodyDiv w:val="1"/>
      <w:marLeft w:val="0"/>
      <w:marRight w:val="0"/>
      <w:marTop w:val="0"/>
      <w:marBottom w:val="0"/>
      <w:divBdr>
        <w:top w:val="none" w:sz="0" w:space="0" w:color="auto"/>
        <w:left w:val="none" w:sz="0" w:space="0" w:color="auto"/>
        <w:bottom w:val="none" w:sz="0" w:space="0" w:color="auto"/>
        <w:right w:val="none" w:sz="0" w:space="0" w:color="auto"/>
      </w:divBdr>
    </w:div>
    <w:div w:id="27992207">
      <w:bodyDiv w:val="1"/>
      <w:marLeft w:val="0"/>
      <w:marRight w:val="0"/>
      <w:marTop w:val="0"/>
      <w:marBottom w:val="0"/>
      <w:divBdr>
        <w:top w:val="none" w:sz="0" w:space="0" w:color="auto"/>
        <w:left w:val="none" w:sz="0" w:space="0" w:color="auto"/>
        <w:bottom w:val="none" w:sz="0" w:space="0" w:color="auto"/>
        <w:right w:val="none" w:sz="0" w:space="0" w:color="auto"/>
      </w:divBdr>
    </w:div>
    <w:div w:id="101069925">
      <w:bodyDiv w:val="1"/>
      <w:marLeft w:val="0"/>
      <w:marRight w:val="0"/>
      <w:marTop w:val="0"/>
      <w:marBottom w:val="0"/>
      <w:divBdr>
        <w:top w:val="none" w:sz="0" w:space="0" w:color="auto"/>
        <w:left w:val="none" w:sz="0" w:space="0" w:color="auto"/>
        <w:bottom w:val="none" w:sz="0" w:space="0" w:color="auto"/>
        <w:right w:val="none" w:sz="0" w:space="0" w:color="auto"/>
      </w:divBdr>
    </w:div>
    <w:div w:id="148521508">
      <w:bodyDiv w:val="1"/>
      <w:marLeft w:val="0"/>
      <w:marRight w:val="0"/>
      <w:marTop w:val="0"/>
      <w:marBottom w:val="0"/>
      <w:divBdr>
        <w:top w:val="none" w:sz="0" w:space="0" w:color="auto"/>
        <w:left w:val="none" w:sz="0" w:space="0" w:color="auto"/>
        <w:bottom w:val="none" w:sz="0" w:space="0" w:color="auto"/>
        <w:right w:val="none" w:sz="0" w:space="0" w:color="auto"/>
      </w:divBdr>
    </w:div>
    <w:div w:id="332954101">
      <w:bodyDiv w:val="1"/>
      <w:marLeft w:val="0"/>
      <w:marRight w:val="0"/>
      <w:marTop w:val="0"/>
      <w:marBottom w:val="0"/>
      <w:divBdr>
        <w:top w:val="none" w:sz="0" w:space="0" w:color="auto"/>
        <w:left w:val="none" w:sz="0" w:space="0" w:color="auto"/>
        <w:bottom w:val="none" w:sz="0" w:space="0" w:color="auto"/>
        <w:right w:val="none" w:sz="0" w:space="0" w:color="auto"/>
      </w:divBdr>
    </w:div>
    <w:div w:id="437599231">
      <w:bodyDiv w:val="1"/>
      <w:marLeft w:val="0"/>
      <w:marRight w:val="0"/>
      <w:marTop w:val="0"/>
      <w:marBottom w:val="0"/>
      <w:divBdr>
        <w:top w:val="none" w:sz="0" w:space="0" w:color="auto"/>
        <w:left w:val="none" w:sz="0" w:space="0" w:color="auto"/>
        <w:bottom w:val="none" w:sz="0" w:space="0" w:color="auto"/>
        <w:right w:val="none" w:sz="0" w:space="0" w:color="auto"/>
      </w:divBdr>
    </w:div>
    <w:div w:id="510491868">
      <w:bodyDiv w:val="1"/>
      <w:marLeft w:val="0"/>
      <w:marRight w:val="0"/>
      <w:marTop w:val="0"/>
      <w:marBottom w:val="0"/>
      <w:divBdr>
        <w:top w:val="none" w:sz="0" w:space="0" w:color="auto"/>
        <w:left w:val="none" w:sz="0" w:space="0" w:color="auto"/>
        <w:bottom w:val="none" w:sz="0" w:space="0" w:color="auto"/>
        <w:right w:val="none" w:sz="0" w:space="0" w:color="auto"/>
      </w:divBdr>
    </w:div>
    <w:div w:id="540020995">
      <w:bodyDiv w:val="1"/>
      <w:marLeft w:val="0"/>
      <w:marRight w:val="0"/>
      <w:marTop w:val="0"/>
      <w:marBottom w:val="0"/>
      <w:divBdr>
        <w:top w:val="none" w:sz="0" w:space="0" w:color="auto"/>
        <w:left w:val="none" w:sz="0" w:space="0" w:color="auto"/>
        <w:bottom w:val="none" w:sz="0" w:space="0" w:color="auto"/>
        <w:right w:val="none" w:sz="0" w:space="0" w:color="auto"/>
      </w:divBdr>
    </w:div>
    <w:div w:id="589124553">
      <w:bodyDiv w:val="1"/>
      <w:marLeft w:val="0"/>
      <w:marRight w:val="0"/>
      <w:marTop w:val="0"/>
      <w:marBottom w:val="0"/>
      <w:divBdr>
        <w:top w:val="none" w:sz="0" w:space="0" w:color="auto"/>
        <w:left w:val="none" w:sz="0" w:space="0" w:color="auto"/>
        <w:bottom w:val="none" w:sz="0" w:space="0" w:color="auto"/>
        <w:right w:val="none" w:sz="0" w:space="0" w:color="auto"/>
      </w:divBdr>
    </w:div>
    <w:div w:id="610554389">
      <w:bodyDiv w:val="1"/>
      <w:marLeft w:val="0"/>
      <w:marRight w:val="0"/>
      <w:marTop w:val="0"/>
      <w:marBottom w:val="0"/>
      <w:divBdr>
        <w:top w:val="none" w:sz="0" w:space="0" w:color="auto"/>
        <w:left w:val="none" w:sz="0" w:space="0" w:color="auto"/>
        <w:bottom w:val="none" w:sz="0" w:space="0" w:color="auto"/>
        <w:right w:val="none" w:sz="0" w:space="0" w:color="auto"/>
      </w:divBdr>
    </w:div>
    <w:div w:id="664628657">
      <w:bodyDiv w:val="1"/>
      <w:marLeft w:val="0"/>
      <w:marRight w:val="0"/>
      <w:marTop w:val="0"/>
      <w:marBottom w:val="0"/>
      <w:divBdr>
        <w:top w:val="none" w:sz="0" w:space="0" w:color="auto"/>
        <w:left w:val="none" w:sz="0" w:space="0" w:color="auto"/>
        <w:bottom w:val="none" w:sz="0" w:space="0" w:color="auto"/>
        <w:right w:val="none" w:sz="0" w:space="0" w:color="auto"/>
      </w:divBdr>
    </w:div>
    <w:div w:id="670182696">
      <w:bodyDiv w:val="1"/>
      <w:marLeft w:val="0"/>
      <w:marRight w:val="0"/>
      <w:marTop w:val="0"/>
      <w:marBottom w:val="0"/>
      <w:divBdr>
        <w:top w:val="none" w:sz="0" w:space="0" w:color="auto"/>
        <w:left w:val="none" w:sz="0" w:space="0" w:color="auto"/>
        <w:bottom w:val="none" w:sz="0" w:space="0" w:color="auto"/>
        <w:right w:val="none" w:sz="0" w:space="0" w:color="auto"/>
      </w:divBdr>
    </w:div>
    <w:div w:id="673920237">
      <w:bodyDiv w:val="1"/>
      <w:marLeft w:val="0"/>
      <w:marRight w:val="0"/>
      <w:marTop w:val="0"/>
      <w:marBottom w:val="0"/>
      <w:divBdr>
        <w:top w:val="none" w:sz="0" w:space="0" w:color="auto"/>
        <w:left w:val="none" w:sz="0" w:space="0" w:color="auto"/>
        <w:bottom w:val="none" w:sz="0" w:space="0" w:color="auto"/>
        <w:right w:val="none" w:sz="0" w:space="0" w:color="auto"/>
      </w:divBdr>
    </w:div>
    <w:div w:id="700478753">
      <w:bodyDiv w:val="1"/>
      <w:marLeft w:val="0"/>
      <w:marRight w:val="0"/>
      <w:marTop w:val="0"/>
      <w:marBottom w:val="0"/>
      <w:divBdr>
        <w:top w:val="none" w:sz="0" w:space="0" w:color="auto"/>
        <w:left w:val="none" w:sz="0" w:space="0" w:color="auto"/>
        <w:bottom w:val="none" w:sz="0" w:space="0" w:color="auto"/>
        <w:right w:val="none" w:sz="0" w:space="0" w:color="auto"/>
      </w:divBdr>
    </w:div>
    <w:div w:id="742919100">
      <w:bodyDiv w:val="1"/>
      <w:marLeft w:val="0"/>
      <w:marRight w:val="0"/>
      <w:marTop w:val="0"/>
      <w:marBottom w:val="0"/>
      <w:divBdr>
        <w:top w:val="none" w:sz="0" w:space="0" w:color="auto"/>
        <w:left w:val="none" w:sz="0" w:space="0" w:color="auto"/>
        <w:bottom w:val="none" w:sz="0" w:space="0" w:color="auto"/>
        <w:right w:val="none" w:sz="0" w:space="0" w:color="auto"/>
      </w:divBdr>
    </w:div>
    <w:div w:id="789281679">
      <w:bodyDiv w:val="1"/>
      <w:marLeft w:val="0"/>
      <w:marRight w:val="0"/>
      <w:marTop w:val="0"/>
      <w:marBottom w:val="0"/>
      <w:divBdr>
        <w:top w:val="none" w:sz="0" w:space="0" w:color="auto"/>
        <w:left w:val="none" w:sz="0" w:space="0" w:color="auto"/>
        <w:bottom w:val="none" w:sz="0" w:space="0" w:color="auto"/>
        <w:right w:val="none" w:sz="0" w:space="0" w:color="auto"/>
      </w:divBdr>
    </w:div>
    <w:div w:id="801196329">
      <w:bodyDiv w:val="1"/>
      <w:marLeft w:val="0"/>
      <w:marRight w:val="0"/>
      <w:marTop w:val="0"/>
      <w:marBottom w:val="0"/>
      <w:divBdr>
        <w:top w:val="none" w:sz="0" w:space="0" w:color="auto"/>
        <w:left w:val="none" w:sz="0" w:space="0" w:color="auto"/>
        <w:bottom w:val="none" w:sz="0" w:space="0" w:color="auto"/>
        <w:right w:val="none" w:sz="0" w:space="0" w:color="auto"/>
      </w:divBdr>
    </w:div>
    <w:div w:id="828402962">
      <w:bodyDiv w:val="1"/>
      <w:marLeft w:val="0"/>
      <w:marRight w:val="0"/>
      <w:marTop w:val="0"/>
      <w:marBottom w:val="0"/>
      <w:divBdr>
        <w:top w:val="none" w:sz="0" w:space="0" w:color="auto"/>
        <w:left w:val="none" w:sz="0" w:space="0" w:color="auto"/>
        <w:bottom w:val="none" w:sz="0" w:space="0" w:color="auto"/>
        <w:right w:val="none" w:sz="0" w:space="0" w:color="auto"/>
      </w:divBdr>
    </w:div>
    <w:div w:id="842164297">
      <w:bodyDiv w:val="1"/>
      <w:marLeft w:val="0"/>
      <w:marRight w:val="0"/>
      <w:marTop w:val="0"/>
      <w:marBottom w:val="0"/>
      <w:divBdr>
        <w:top w:val="none" w:sz="0" w:space="0" w:color="auto"/>
        <w:left w:val="none" w:sz="0" w:space="0" w:color="auto"/>
        <w:bottom w:val="none" w:sz="0" w:space="0" w:color="auto"/>
        <w:right w:val="none" w:sz="0" w:space="0" w:color="auto"/>
      </w:divBdr>
    </w:div>
    <w:div w:id="854730810">
      <w:bodyDiv w:val="1"/>
      <w:marLeft w:val="0"/>
      <w:marRight w:val="0"/>
      <w:marTop w:val="0"/>
      <w:marBottom w:val="0"/>
      <w:divBdr>
        <w:top w:val="none" w:sz="0" w:space="0" w:color="auto"/>
        <w:left w:val="none" w:sz="0" w:space="0" w:color="auto"/>
        <w:bottom w:val="none" w:sz="0" w:space="0" w:color="auto"/>
        <w:right w:val="none" w:sz="0" w:space="0" w:color="auto"/>
      </w:divBdr>
    </w:div>
    <w:div w:id="883835671">
      <w:bodyDiv w:val="1"/>
      <w:marLeft w:val="0"/>
      <w:marRight w:val="0"/>
      <w:marTop w:val="0"/>
      <w:marBottom w:val="0"/>
      <w:divBdr>
        <w:top w:val="none" w:sz="0" w:space="0" w:color="auto"/>
        <w:left w:val="none" w:sz="0" w:space="0" w:color="auto"/>
        <w:bottom w:val="none" w:sz="0" w:space="0" w:color="auto"/>
        <w:right w:val="none" w:sz="0" w:space="0" w:color="auto"/>
      </w:divBdr>
    </w:div>
    <w:div w:id="916325443">
      <w:bodyDiv w:val="1"/>
      <w:marLeft w:val="0"/>
      <w:marRight w:val="0"/>
      <w:marTop w:val="0"/>
      <w:marBottom w:val="0"/>
      <w:divBdr>
        <w:top w:val="none" w:sz="0" w:space="0" w:color="auto"/>
        <w:left w:val="none" w:sz="0" w:space="0" w:color="auto"/>
        <w:bottom w:val="none" w:sz="0" w:space="0" w:color="auto"/>
        <w:right w:val="none" w:sz="0" w:space="0" w:color="auto"/>
      </w:divBdr>
    </w:div>
    <w:div w:id="1007370187">
      <w:bodyDiv w:val="1"/>
      <w:marLeft w:val="0"/>
      <w:marRight w:val="0"/>
      <w:marTop w:val="0"/>
      <w:marBottom w:val="0"/>
      <w:divBdr>
        <w:top w:val="none" w:sz="0" w:space="0" w:color="auto"/>
        <w:left w:val="none" w:sz="0" w:space="0" w:color="auto"/>
        <w:bottom w:val="none" w:sz="0" w:space="0" w:color="auto"/>
        <w:right w:val="none" w:sz="0" w:space="0" w:color="auto"/>
      </w:divBdr>
    </w:div>
    <w:div w:id="1013190963">
      <w:bodyDiv w:val="1"/>
      <w:marLeft w:val="0"/>
      <w:marRight w:val="0"/>
      <w:marTop w:val="0"/>
      <w:marBottom w:val="0"/>
      <w:divBdr>
        <w:top w:val="none" w:sz="0" w:space="0" w:color="auto"/>
        <w:left w:val="none" w:sz="0" w:space="0" w:color="auto"/>
        <w:bottom w:val="none" w:sz="0" w:space="0" w:color="auto"/>
        <w:right w:val="none" w:sz="0" w:space="0" w:color="auto"/>
      </w:divBdr>
    </w:div>
    <w:div w:id="1017928851">
      <w:bodyDiv w:val="1"/>
      <w:marLeft w:val="0"/>
      <w:marRight w:val="0"/>
      <w:marTop w:val="0"/>
      <w:marBottom w:val="0"/>
      <w:divBdr>
        <w:top w:val="none" w:sz="0" w:space="0" w:color="auto"/>
        <w:left w:val="none" w:sz="0" w:space="0" w:color="auto"/>
        <w:bottom w:val="none" w:sz="0" w:space="0" w:color="auto"/>
        <w:right w:val="none" w:sz="0" w:space="0" w:color="auto"/>
      </w:divBdr>
    </w:div>
    <w:div w:id="1026836089">
      <w:bodyDiv w:val="1"/>
      <w:marLeft w:val="0"/>
      <w:marRight w:val="0"/>
      <w:marTop w:val="0"/>
      <w:marBottom w:val="0"/>
      <w:divBdr>
        <w:top w:val="none" w:sz="0" w:space="0" w:color="auto"/>
        <w:left w:val="none" w:sz="0" w:space="0" w:color="auto"/>
        <w:bottom w:val="none" w:sz="0" w:space="0" w:color="auto"/>
        <w:right w:val="none" w:sz="0" w:space="0" w:color="auto"/>
      </w:divBdr>
    </w:div>
    <w:div w:id="1027102984">
      <w:bodyDiv w:val="1"/>
      <w:marLeft w:val="0"/>
      <w:marRight w:val="0"/>
      <w:marTop w:val="0"/>
      <w:marBottom w:val="0"/>
      <w:divBdr>
        <w:top w:val="none" w:sz="0" w:space="0" w:color="auto"/>
        <w:left w:val="none" w:sz="0" w:space="0" w:color="auto"/>
        <w:bottom w:val="none" w:sz="0" w:space="0" w:color="auto"/>
        <w:right w:val="none" w:sz="0" w:space="0" w:color="auto"/>
      </w:divBdr>
    </w:div>
    <w:div w:id="1091511129">
      <w:bodyDiv w:val="1"/>
      <w:marLeft w:val="0"/>
      <w:marRight w:val="0"/>
      <w:marTop w:val="0"/>
      <w:marBottom w:val="0"/>
      <w:divBdr>
        <w:top w:val="none" w:sz="0" w:space="0" w:color="auto"/>
        <w:left w:val="none" w:sz="0" w:space="0" w:color="auto"/>
        <w:bottom w:val="none" w:sz="0" w:space="0" w:color="auto"/>
        <w:right w:val="none" w:sz="0" w:space="0" w:color="auto"/>
      </w:divBdr>
    </w:div>
    <w:div w:id="1112552077">
      <w:bodyDiv w:val="1"/>
      <w:marLeft w:val="0"/>
      <w:marRight w:val="0"/>
      <w:marTop w:val="0"/>
      <w:marBottom w:val="0"/>
      <w:divBdr>
        <w:top w:val="none" w:sz="0" w:space="0" w:color="auto"/>
        <w:left w:val="none" w:sz="0" w:space="0" w:color="auto"/>
        <w:bottom w:val="none" w:sz="0" w:space="0" w:color="auto"/>
        <w:right w:val="none" w:sz="0" w:space="0" w:color="auto"/>
      </w:divBdr>
    </w:div>
    <w:div w:id="1238058600">
      <w:bodyDiv w:val="1"/>
      <w:marLeft w:val="0"/>
      <w:marRight w:val="0"/>
      <w:marTop w:val="0"/>
      <w:marBottom w:val="0"/>
      <w:divBdr>
        <w:top w:val="none" w:sz="0" w:space="0" w:color="auto"/>
        <w:left w:val="none" w:sz="0" w:space="0" w:color="auto"/>
        <w:bottom w:val="none" w:sz="0" w:space="0" w:color="auto"/>
        <w:right w:val="none" w:sz="0" w:space="0" w:color="auto"/>
      </w:divBdr>
    </w:div>
    <w:div w:id="1280188974">
      <w:bodyDiv w:val="1"/>
      <w:marLeft w:val="0"/>
      <w:marRight w:val="0"/>
      <w:marTop w:val="0"/>
      <w:marBottom w:val="0"/>
      <w:divBdr>
        <w:top w:val="none" w:sz="0" w:space="0" w:color="auto"/>
        <w:left w:val="none" w:sz="0" w:space="0" w:color="auto"/>
        <w:bottom w:val="none" w:sz="0" w:space="0" w:color="auto"/>
        <w:right w:val="none" w:sz="0" w:space="0" w:color="auto"/>
      </w:divBdr>
    </w:div>
    <w:div w:id="1287199611">
      <w:bodyDiv w:val="1"/>
      <w:marLeft w:val="0"/>
      <w:marRight w:val="0"/>
      <w:marTop w:val="0"/>
      <w:marBottom w:val="0"/>
      <w:divBdr>
        <w:top w:val="none" w:sz="0" w:space="0" w:color="auto"/>
        <w:left w:val="none" w:sz="0" w:space="0" w:color="auto"/>
        <w:bottom w:val="none" w:sz="0" w:space="0" w:color="auto"/>
        <w:right w:val="none" w:sz="0" w:space="0" w:color="auto"/>
      </w:divBdr>
    </w:div>
    <w:div w:id="1351571278">
      <w:bodyDiv w:val="1"/>
      <w:marLeft w:val="0"/>
      <w:marRight w:val="0"/>
      <w:marTop w:val="0"/>
      <w:marBottom w:val="0"/>
      <w:divBdr>
        <w:top w:val="none" w:sz="0" w:space="0" w:color="auto"/>
        <w:left w:val="none" w:sz="0" w:space="0" w:color="auto"/>
        <w:bottom w:val="none" w:sz="0" w:space="0" w:color="auto"/>
        <w:right w:val="none" w:sz="0" w:space="0" w:color="auto"/>
      </w:divBdr>
    </w:div>
    <w:div w:id="1359156826">
      <w:bodyDiv w:val="1"/>
      <w:marLeft w:val="0"/>
      <w:marRight w:val="0"/>
      <w:marTop w:val="0"/>
      <w:marBottom w:val="0"/>
      <w:divBdr>
        <w:top w:val="none" w:sz="0" w:space="0" w:color="auto"/>
        <w:left w:val="none" w:sz="0" w:space="0" w:color="auto"/>
        <w:bottom w:val="none" w:sz="0" w:space="0" w:color="auto"/>
        <w:right w:val="none" w:sz="0" w:space="0" w:color="auto"/>
      </w:divBdr>
    </w:div>
    <w:div w:id="1407339531">
      <w:bodyDiv w:val="1"/>
      <w:marLeft w:val="0"/>
      <w:marRight w:val="0"/>
      <w:marTop w:val="0"/>
      <w:marBottom w:val="0"/>
      <w:divBdr>
        <w:top w:val="none" w:sz="0" w:space="0" w:color="auto"/>
        <w:left w:val="none" w:sz="0" w:space="0" w:color="auto"/>
        <w:bottom w:val="none" w:sz="0" w:space="0" w:color="auto"/>
        <w:right w:val="none" w:sz="0" w:space="0" w:color="auto"/>
      </w:divBdr>
      <w:divsChild>
        <w:div w:id="2088914220">
          <w:marLeft w:val="706"/>
          <w:marRight w:val="0"/>
          <w:marTop w:val="100"/>
          <w:marBottom w:val="0"/>
          <w:divBdr>
            <w:top w:val="none" w:sz="0" w:space="0" w:color="auto"/>
            <w:left w:val="none" w:sz="0" w:space="0" w:color="auto"/>
            <w:bottom w:val="none" w:sz="0" w:space="0" w:color="auto"/>
            <w:right w:val="none" w:sz="0" w:space="0" w:color="auto"/>
          </w:divBdr>
        </w:div>
        <w:div w:id="1658220346">
          <w:marLeft w:val="1282"/>
          <w:marRight w:val="0"/>
          <w:marTop w:val="100"/>
          <w:marBottom w:val="0"/>
          <w:divBdr>
            <w:top w:val="none" w:sz="0" w:space="0" w:color="auto"/>
            <w:left w:val="none" w:sz="0" w:space="0" w:color="auto"/>
            <w:bottom w:val="none" w:sz="0" w:space="0" w:color="auto"/>
            <w:right w:val="none" w:sz="0" w:space="0" w:color="auto"/>
          </w:divBdr>
        </w:div>
        <w:div w:id="1628461847">
          <w:marLeft w:val="706"/>
          <w:marRight w:val="0"/>
          <w:marTop w:val="100"/>
          <w:marBottom w:val="0"/>
          <w:divBdr>
            <w:top w:val="none" w:sz="0" w:space="0" w:color="auto"/>
            <w:left w:val="none" w:sz="0" w:space="0" w:color="auto"/>
            <w:bottom w:val="none" w:sz="0" w:space="0" w:color="auto"/>
            <w:right w:val="none" w:sz="0" w:space="0" w:color="auto"/>
          </w:divBdr>
        </w:div>
        <w:div w:id="1677224727">
          <w:marLeft w:val="1282"/>
          <w:marRight w:val="0"/>
          <w:marTop w:val="100"/>
          <w:marBottom w:val="0"/>
          <w:divBdr>
            <w:top w:val="none" w:sz="0" w:space="0" w:color="auto"/>
            <w:left w:val="none" w:sz="0" w:space="0" w:color="auto"/>
            <w:bottom w:val="none" w:sz="0" w:space="0" w:color="auto"/>
            <w:right w:val="none" w:sz="0" w:space="0" w:color="auto"/>
          </w:divBdr>
        </w:div>
        <w:div w:id="704645837">
          <w:marLeft w:val="706"/>
          <w:marRight w:val="0"/>
          <w:marTop w:val="100"/>
          <w:marBottom w:val="0"/>
          <w:divBdr>
            <w:top w:val="none" w:sz="0" w:space="0" w:color="auto"/>
            <w:left w:val="none" w:sz="0" w:space="0" w:color="auto"/>
            <w:bottom w:val="none" w:sz="0" w:space="0" w:color="auto"/>
            <w:right w:val="none" w:sz="0" w:space="0" w:color="auto"/>
          </w:divBdr>
        </w:div>
      </w:divsChild>
    </w:div>
    <w:div w:id="1423993563">
      <w:bodyDiv w:val="1"/>
      <w:marLeft w:val="0"/>
      <w:marRight w:val="0"/>
      <w:marTop w:val="0"/>
      <w:marBottom w:val="0"/>
      <w:divBdr>
        <w:top w:val="none" w:sz="0" w:space="0" w:color="auto"/>
        <w:left w:val="none" w:sz="0" w:space="0" w:color="auto"/>
        <w:bottom w:val="none" w:sz="0" w:space="0" w:color="auto"/>
        <w:right w:val="none" w:sz="0" w:space="0" w:color="auto"/>
      </w:divBdr>
    </w:div>
    <w:div w:id="1435780256">
      <w:bodyDiv w:val="1"/>
      <w:marLeft w:val="0"/>
      <w:marRight w:val="0"/>
      <w:marTop w:val="0"/>
      <w:marBottom w:val="0"/>
      <w:divBdr>
        <w:top w:val="none" w:sz="0" w:space="0" w:color="auto"/>
        <w:left w:val="none" w:sz="0" w:space="0" w:color="auto"/>
        <w:bottom w:val="none" w:sz="0" w:space="0" w:color="auto"/>
        <w:right w:val="none" w:sz="0" w:space="0" w:color="auto"/>
      </w:divBdr>
    </w:div>
    <w:div w:id="1455246459">
      <w:bodyDiv w:val="1"/>
      <w:marLeft w:val="0"/>
      <w:marRight w:val="0"/>
      <w:marTop w:val="0"/>
      <w:marBottom w:val="0"/>
      <w:divBdr>
        <w:top w:val="none" w:sz="0" w:space="0" w:color="auto"/>
        <w:left w:val="none" w:sz="0" w:space="0" w:color="auto"/>
        <w:bottom w:val="none" w:sz="0" w:space="0" w:color="auto"/>
        <w:right w:val="none" w:sz="0" w:space="0" w:color="auto"/>
      </w:divBdr>
    </w:div>
    <w:div w:id="1459837209">
      <w:bodyDiv w:val="1"/>
      <w:marLeft w:val="0"/>
      <w:marRight w:val="0"/>
      <w:marTop w:val="0"/>
      <w:marBottom w:val="0"/>
      <w:divBdr>
        <w:top w:val="none" w:sz="0" w:space="0" w:color="auto"/>
        <w:left w:val="none" w:sz="0" w:space="0" w:color="auto"/>
        <w:bottom w:val="none" w:sz="0" w:space="0" w:color="auto"/>
        <w:right w:val="none" w:sz="0" w:space="0" w:color="auto"/>
      </w:divBdr>
    </w:div>
    <w:div w:id="1487359411">
      <w:bodyDiv w:val="1"/>
      <w:marLeft w:val="0"/>
      <w:marRight w:val="0"/>
      <w:marTop w:val="0"/>
      <w:marBottom w:val="0"/>
      <w:divBdr>
        <w:top w:val="none" w:sz="0" w:space="0" w:color="auto"/>
        <w:left w:val="none" w:sz="0" w:space="0" w:color="auto"/>
        <w:bottom w:val="none" w:sz="0" w:space="0" w:color="auto"/>
        <w:right w:val="none" w:sz="0" w:space="0" w:color="auto"/>
      </w:divBdr>
    </w:div>
    <w:div w:id="1516261242">
      <w:bodyDiv w:val="1"/>
      <w:marLeft w:val="0"/>
      <w:marRight w:val="0"/>
      <w:marTop w:val="0"/>
      <w:marBottom w:val="0"/>
      <w:divBdr>
        <w:top w:val="none" w:sz="0" w:space="0" w:color="auto"/>
        <w:left w:val="none" w:sz="0" w:space="0" w:color="auto"/>
        <w:bottom w:val="none" w:sz="0" w:space="0" w:color="auto"/>
        <w:right w:val="none" w:sz="0" w:space="0" w:color="auto"/>
      </w:divBdr>
    </w:div>
    <w:div w:id="1559364395">
      <w:bodyDiv w:val="1"/>
      <w:marLeft w:val="0"/>
      <w:marRight w:val="0"/>
      <w:marTop w:val="0"/>
      <w:marBottom w:val="0"/>
      <w:divBdr>
        <w:top w:val="none" w:sz="0" w:space="0" w:color="auto"/>
        <w:left w:val="none" w:sz="0" w:space="0" w:color="auto"/>
        <w:bottom w:val="none" w:sz="0" w:space="0" w:color="auto"/>
        <w:right w:val="none" w:sz="0" w:space="0" w:color="auto"/>
      </w:divBdr>
    </w:div>
    <w:div w:id="1565027299">
      <w:bodyDiv w:val="1"/>
      <w:marLeft w:val="0"/>
      <w:marRight w:val="0"/>
      <w:marTop w:val="0"/>
      <w:marBottom w:val="0"/>
      <w:divBdr>
        <w:top w:val="none" w:sz="0" w:space="0" w:color="auto"/>
        <w:left w:val="none" w:sz="0" w:space="0" w:color="auto"/>
        <w:bottom w:val="none" w:sz="0" w:space="0" w:color="auto"/>
        <w:right w:val="none" w:sz="0" w:space="0" w:color="auto"/>
      </w:divBdr>
    </w:div>
    <w:div w:id="1633823040">
      <w:bodyDiv w:val="1"/>
      <w:marLeft w:val="0"/>
      <w:marRight w:val="0"/>
      <w:marTop w:val="0"/>
      <w:marBottom w:val="0"/>
      <w:divBdr>
        <w:top w:val="none" w:sz="0" w:space="0" w:color="auto"/>
        <w:left w:val="none" w:sz="0" w:space="0" w:color="auto"/>
        <w:bottom w:val="none" w:sz="0" w:space="0" w:color="auto"/>
        <w:right w:val="none" w:sz="0" w:space="0" w:color="auto"/>
      </w:divBdr>
    </w:div>
    <w:div w:id="1647122789">
      <w:bodyDiv w:val="1"/>
      <w:marLeft w:val="0"/>
      <w:marRight w:val="0"/>
      <w:marTop w:val="0"/>
      <w:marBottom w:val="0"/>
      <w:divBdr>
        <w:top w:val="none" w:sz="0" w:space="0" w:color="auto"/>
        <w:left w:val="none" w:sz="0" w:space="0" w:color="auto"/>
        <w:bottom w:val="none" w:sz="0" w:space="0" w:color="auto"/>
        <w:right w:val="none" w:sz="0" w:space="0" w:color="auto"/>
      </w:divBdr>
    </w:div>
    <w:div w:id="1649357552">
      <w:bodyDiv w:val="1"/>
      <w:marLeft w:val="0"/>
      <w:marRight w:val="0"/>
      <w:marTop w:val="0"/>
      <w:marBottom w:val="0"/>
      <w:divBdr>
        <w:top w:val="none" w:sz="0" w:space="0" w:color="auto"/>
        <w:left w:val="none" w:sz="0" w:space="0" w:color="auto"/>
        <w:bottom w:val="none" w:sz="0" w:space="0" w:color="auto"/>
        <w:right w:val="none" w:sz="0" w:space="0" w:color="auto"/>
      </w:divBdr>
    </w:div>
    <w:div w:id="1693721130">
      <w:bodyDiv w:val="1"/>
      <w:marLeft w:val="0"/>
      <w:marRight w:val="0"/>
      <w:marTop w:val="0"/>
      <w:marBottom w:val="0"/>
      <w:divBdr>
        <w:top w:val="none" w:sz="0" w:space="0" w:color="auto"/>
        <w:left w:val="none" w:sz="0" w:space="0" w:color="auto"/>
        <w:bottom w:val="none" w:sz="0" w:space="0" w:color="auto"/>
        <w:right w:val="none" w:sz="0" w:space="0" w:color="auto"/>
      </w:divBdr>
    </w:div>
    <w:div w:id="1700161659">
      <w:bodyDiv w:val="1"/>
      <w:marLeft w:val="0"/>
      <w:marRight w:val="0"/>
      <w:marTop w:val="0"/>
      <w:marBottom w:val="0"/>
      <w:divBdr>
        <w:top w:val="none" w:sz="0" w:space="0" w:color="auto"/>
        <w:left w:val="none" w:sz="0" w:space="0" w:color="auto"/>
        <w:bottom w:val="none" w:sz="0" w:space="0" w:color="auto"/>
        <w:right w:val="none" w:sz="0" w:space="0" w:color="auto"/>
      </w:divBdr>
    </w:div>
    <w:div w:id="1705404580">
      <w:bodyDiv w:val="1"/>
      <w:marLeft w:val="0"/>
      <w:marRight w:val="0"/>
      <w:marTop w:val="0"/>
      <w:marBottom w:val="0"/>
      <w:divBdr>
        <w:top w:val="none" w:sz="0" w:space="0" w:color="auto"/>
        <w:left w:val="none" w:sz="0" w:space="0" w:color="auto"/>
        <w:bottom w:val="none" w:sz="0" w:space="0" w:color="auto"/>
        <w:right w:val="none" w:sz="0" w:space="0" w:color="auto"/>
      </w:divBdr>
    </w:div>
    <w:div w:id="1729113768">
      <w:bodyDiv w:val="1"/>
      <w:marLeft w:val="0"/>
      <w:marRight w:val="0"/>
      <w:marTop w:val="0"/>
      <w:marBottom w:val="0"/>
      <w:divBdr>
        <w:top w:val="none" w:sz="0" w:space="0" w:color="auto"/>
        <w:left w:val="none" w:sz="0" w:space="0" w:color="auto"/>
        <w:bottom w:val="none" w:sz="0" w:space="0" w:color="auto"/>
        <w:right w:val="none" w:sz="0" w:space="0" w:color="auto"/>
      </w:divBdr>
    </w:div>
    <w:div w:id="1760835588">
      <w:bodyDiv w:val="1"/>
      <w:marLeft w:val="0"/>
      <w:marRight w:val="0"/>
      <w:marTop w:val="0"/>
      <w:marBottom w:val="0"/>
      <w:divBdr>
        <w:top w:val="none" w:sz="0" w:space="0" w:color="auto"/>
        <w:left w:val="none" w:sz="0" w:space="0" w:color="auto"/>
        <w:bottom w:val="none" w:sz="0" w:space="0" w:color="auto"/>
        <w:right w:val="none" w:sz="0" w:space="0" w:color="auto"/>
      </w:divBdr>
    </w:div>
    <w:div w:id="1765957123">
      <w:bodyDiv w:val="1"/>
      <w:marLeft w:val="0"/>
      <w:marRight w:val="0"/>
      <w:marTop w:val="0"/>
      <w:marBottom w:val="0"/>
      <w:divBdr>
        <w:top w:val="none" w:sz="0" w:space="0" w:color="auto"/>
        <w:left w:val="none" w:sz="0" w:space="0" w:color="auto"/>
        <w:bottom w:val="none" w:sz="0" w:space="0" w:color="auto"/>
        <w:right w:val="none" w:sz="0" w:space="0" w:color="auto"/>
      </w:divBdr>
    </w:div>
    <w:div w:id="1803888062">
      <w:bodyDiv w:val="1"/>
      <w:marLeft w:val="0"/>
      <w:marRight w:val="0"/>
      <w:marTop w:val="0"/>
      <w:marBottom w:val="0"/>
      <w:divBdr>
        <w:top w:val="none" w:sz="0" w:space="0" w:color="auto"/>
        <w:left w:val="none" w:sz="0" w:space="0" w:color="auto"/>
        <w:bottom w:val="none" w:sz="0" w:space="0" w:color="auto"/>
        <w:right w:val="none" w:sz="0" w:space="0" w:color="auto"/>
      </w:divBdr>
    </w:div>
    <w:div w:id="1829783102">
      <w:bodyDiv w:val="1"/>
      <w:marLeft w:val="0"/>
      <w:marRight w:val="0"/>
      <w:marTop w:val="0"/>
      <w:marBottom w:val="0"/>
      <w:divBdr>
        <w:top w:val="none" w:sz="0" w:space="0" w:color="auto"/>
        <w:left w:val="none" w:sz="0" w:space="0" w:color="auto"/>
        <w:bottom w:val="none" w:sz="0" w:space="0" w:color="auto"/>
        <w:right w:val="none" w:sz="0" w:space="0" w:color="auto"/>
      </w:divBdr>
    </w:div>
    <w:div w:id="1851136055">
      <w:bodyDiv w:val="1"/>
      <w:marLeft w:val="0"/>
      <w:marRight w:val="0"/>
      <w:marTop w:val="0"/>
      <w:marBottom w:val="0"/>
      <w:divBdr>
        <w:top w:val="none" w:sz="0" w:space="0" w:color="auto"/>
        <w:left w:val="none" w:sz="0" w:space="0" w:color="auto"/>
        <w:bottom w:val="none" w:sz="0" w:space="0" w:color="auto"/>
        <w:right w:val="none" w:sz="0" w:space="0" w:color="auto"/>
      </w:divBdr>
    </w:div>
    <w:div w:id="1871071632">
      <w:bodyDiv w:val="1"/>
      <w:marLeft w:val="0"/>
      <w:marRight w:val="0"/>
      <w:marTop w:val="0"/>
      <w:marBottom w:val="0"/>
      <w:divBdr>
        <w:top w:val="none" w:sz="0" w:space="0" w:color="auto"/>
        <w:left w:val="none" w:sz="0" w:space="0" w:color="auto"/>
        <w:bottom w:val="none" w:sz="0" w:space="0" w:color="auto"/>
        <w:right w:val="none" w:sz="0" w:space="0" w:color="auto"/>
      </w:divBdr>
    </w:div>
    <w:div w:id="1879932434">
      <w:bodyDiv w:val="1"/>
      <w:marLeft w:val="0"/>
      <w:marRight w:val="0"/>
      <w:marTop w:val="0"/>
      <w:marBottom w:val="0"/>
      <w:divBdr>
        <w:top w:val="none" w:sz="0" w:space="0" w:color="auto"/>
        <w:left w:val="none" w:sz="0" w:space="0" w:color="auto"/>
        <w:bottom w:val="none" w:sz="0" w:space="0" w:color="auto"/>
        <w:right w:val="none" w:sz="0" w:space="0" w:color="auto"/>
      </w:divBdr>
    </w:div>
    <w:div w:id="1887988634">
      <w:bodyDiv w:val="1"/>
      <w:marLeft w:val="0"/>
      <w:marRight w:val="0"/>
      <w:marTop w:val="0"/>
      <w:marBottom w:val="0"/>
      <w:divBdr>
        <w:top w:val="none" w:sz="0" w:space="0" w:color="auto"/>
        <w:left w:val="none" w:sz="0" w:space="0" w:color="auto"/>
        <w:bottom w:val="none" w:sz="0" w:space="0" w:color="auto"/>
        <w:right w:val="none" w:sz="0" w:space="0" w:color="auto"/>
      </w:divBdr>
    </w:div>
    <w:div w:id="1907493249">
      <w:bodyDiv w:val="1"/>
      <w:marLeft w:val="0"/>
      <w:marRight w:val="0"/>
      <w:marTop w:val="0"/>
      <w:marBottom w:val="0"/>
      <w:divBdr>
        <w:top w:val="none" w:sz="0" w:space="0" w:color="auto"/>
        <w:left w:val="none" w:sz="0" w:space="0" w:color="auto"/>
        <w:bottom w:val="none" w:sz="0" w:space="0" w:color="auto"/>
        <w:right w:val="none" w:sz="0" w:space="0" w:color="auto"/>
      </w:divBdr>
    </w:div>
    <w:div w:id="1943148844">
      <w:bodyDiv w:val="1"/>
      <w:marLeft w:val="0"/>
      <w:marRight w:val="0"/>
      <w:marTop w:val="0"/>
      <w:marBottom w:val="0"/>
      <w:divBdr>
        <w:top w:val="none" w:sz="0" w:space="0" w:color="auto"/>
        <w:left w:val="none" w:sz="0" w:space="0" w:color="auto"/>
        <w:bottom w:val="none" w:sz="0" w:space="0" w:color="auto"/>
        <w:right w:val="none" w:sz="0" w:space="0" w:color="auto"/>
      </w:divBdr>
    </w:div>
    <w:div w:id="1946300379">
      <w:bodyDiv w:val="1"/>
      <w:marLeft w:val="0"/>
      <w:marRight w:val="0"/>
      <w:marTop w:val="0"/>
      <w:marBottom w:val="0"/>
      <w:divBdr>
        <w:top w:val="none" w:sz="0" w:space="0" w:color="auto"/>
        <w:left w:val="none" w:sz="0" w:space="0" w:color="auto"/>
        <w:bottom w:val="none" w:sz="0" w:space="0" w:color="auto"/>
        <w:right w:val="none" w:sz="0" w:space="0" w:color="auto"/>
      </w:divBdr>
    </w:div>
    <w:div w:id="1954480924">
      <w:bodyDiv w:val="1"/>
      <w:marLeft w:val="0"/>
      <w:marRight w:val="0"/>
      <w:marTop w:val="0"/>
      <w:marBottom w:val="0"/>
      <w:divBdr>
        <w:top w:val="none" w:sz="0" w:space="0" w:color="auto"/>
        <w:left w:val="none" w:sz="0" w:space="0" w:color="auto"/>
        <w:bottom w:val="none" w:sz="0" w:space="0" w:color="auto"/>
        <w:right w:val="none" w:sz="0" w:space="0" w:color="auto"/>
      </w:divBdr>
    </w:div>
    <w:div w:id="1987970908">
      <w:bodyDiv w:val="1"/>
      <w:marLeft w:val="0"/>
      <w:marRight w:val="0"/>
      <w:marTop w:val="0"/>
      <w:marBottom w:val="0"/>
      <w:divBdr>
        <w:top w:val="none" w:sz="0" w:space="0" w:color="auto"/>
        <w:left w:val="none" w:sz="0" w:space="0" w:color="auto"/>
        <w:bottom w:val="none" w:sz="0" w:space="0" w:color="auto"/>
        <w:right w:val="none" w:sz="0" w:space="0" w:color="auto"/>
      </w:divBdr>
    </w:div>
    <w:div w:id="1990163054">
      <w:bodyDiv w:val="1"/>
      <w:marLeft w:val="0"/>
      <w:marRight w:val="0"/>
      <w:marTop w:val="0"/>
      <w:marBottom w:val="0"/>
      <w:divBdr>
        <w:top w:val="none" w:sz="0" w:space="0" w:color="auto"/>
        <w:left w:val="none" w:sz="0" w:space="0" w:color="auto"/>
        <w:bottom w:val="none" w:sz="0" w:space="0" w:color="auto"/>
        <w:right w:val="none" w:sz="0" w:space="0" w:color="auto"/>
      </w:divBdr>
    </w:div>
    <w:div w:id="2007634194">
      <w:bodyDiv w:val="1"/>
      <w:marLeft w:val="0"/>
      <w:marRight w:val="0"/>
      <w:marTop w:val="0"/>
      <w:marBottom w:val="0"/>
      <w:divBdr>
        <w:top w:val="none" w:sz="0" w:space="0" w:color="auto"/>
        <w:left w:val="none" w:sz="0" w:space="0" w:color="auto"/>
        <w:bottom w:val="none" w:sz="0" w:space="0" w:color="auto"/>
        <w:right w:val="none" w:sz="0" w:space="0" w:color="auto"/>
      </w:divBdr>
    </w:div>
    <w:div w:id="2027750575">
      <w:bodyDiv w:val="1"/>
      <w:marLeft w:val="0"/>
      <w:marRight w:val="0"/>
      <w:marTop w:val="0"/>
      <w:marBottom w:val="0"/>
      <w:divBdr>
        <w:top w:val="none" w:sz="0" w:space="0" w:color="auto"/>
        <w:left w:val="none" w:sz="0" w:space="0" w:color="auto"/>
        <w:bottom w:val="none" w:sz="0" w:space="0" w:color="auto"/>
        <w:right w:val="none" w:sz="0" w:space="0" w:color="auto"/>
      </w:divBdr>
    </w:div>
    <w:div w:id="2048985384">
      <w:bodyDiv w:val="1"/>
      <w:marLeft w:val="0"/>
      <w:marRight w:val="0"/>
      <w:marTop w:val="0"/>
      <w:marBottom w:val="0"/>
      <w:divBdr>
        <w:top w:val="none" w:sz="0" w:space="0" w:color="auto"/>
        <w:left w:val="none" w:sz="0" w:space="0" w:color="auto"/>
        <w:bottom w:val="none" w:sz="0" w:space="0" w:color="auto"/>
        <w:right w:val="none" w:sz="0" w:space="0" w:color="auto"/>
      </w:divBdr>
    </w:div>
    <w:div w:id="208340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4.xml"/><Relationship Id="rId26" Type="http://schemas.openxmlformats.org/officeDocument/2006/relationships/image" Target="media/image7.png"/><Relationship Id="rId39" Type="http://schemas.openxmlformats.org/officeDocument/2006/relationships/chart" Target="charts/chart9.xml"/><Relationship Id="rId21" Type="http://schemas.openxmlformats.org/officeDocument/2006/relationships/footer" Target="footer2.xml"/><Relationship Id="rId34" Type="http://schemas.openxmlformats.org/officeDocument/2006/relationships/chart" Target="charts/chart4.xml"/><Relationship Id="rId42" Type="http://schemas.openxmlformats.org/officeDocument/2006/relationships/chart" Target="charts/chart12.xml"/><Relationship Id="rId47" Type="http://schemas.openxmlformats.org/officeDocument/2006/relationships/chart" Target="charts/chart17.xml"/><Relationship Id="rId50" Type="http://schemas.openxmlformats.org/officeDocument/2006/relationships/chart" Target="charts/chart20.xml"/><Relationship Id="rId55" Type="http://schemas.openxmlformats.org/officeDocument/2006/relationships/chart" Target="charts/chart25.xml"/><Relationship Id="rId63" Type="http://schemas.openxmlformats.org/officeDocument/2006/relationships/chart" Target="charts/chart33.xml"/><Relationship Id="rId68" Type="http://schemas.openxmlformats.org/officeDocument/2006/relationships/header" Target="header9.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11.png"/><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chart" Target="charts/chart15.xml"/><Relationship Id="rId53" Type="http://schemas.openxmlformats.org/officeDocument/2006/relationships/chart" Target="charts/chart23.xml"/><Relationship Id="rId58" Type="http://schemas.openxmlformats.org/officeDocument/2006/relationships/chart" Target="charts/chart28.xml"/><Relationship Id="rId66" Type="http://schemas.openxmlformats.org/officeDocument/2006/relationships/chart" Target="charts/chart3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chart" Target="charts/chart6.xml"/><Relationship Id="rId49" Type="http://schemas.openxmlformats.org/officeDocument/2006/relationships/chart" Target="charts/chart19.xml"/><Relationship Id="rId57" Type="http://schemas.openxmlformats.org/officeDocument/2006/relationships/chart" Target="charts/chart27.xml"/><Relationship Id="rId61" Type="http://schemas.openxmlformats.org/officeDocument/2006/relationships/chart" Target="charts/chart3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10.png"/><Relationship Id="rId44" Type="http://schemas.openxmlformats.org/officeDocument/2006/relationships/chart" Target="charts/chart14.xml"/><Relationship Id="rId52" Type="http://schemas.openxmlformats.org/officeDocument/2006/relationships/chart" Target="charts/chart22.xml"/><Relationship Id="rId60" Type="http://schemas.openxmlformats.org/officeDocument/2006/relationships/chart" Target="charts/chart30.xml"/><Relationship Id="rId65" Type="http://schemas.openxmlformats.org/officeDocument/2006/relationships/chart" Target="charts/chart3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image" Target="media/image8.png"/><Relationship Id="rId30" Type="http://schemas.openxmlformats.org/officeDocument/2006/relationships/chart" Target="charts/chart2.xml"/><Relationship Id="rId35" Type="http://schemas.openxmlformats.org/officeDocument/2006/relationships/chart" Target="charts/chart5.xml"/><Relationship Id="rId43" Type="http://schemas.openxmlformats.org/officeDocument/2006/relationships/chart" Target="charts/chart13.xml"/><Relationship Id="rId48" Type="http://schemas.openxmlformats.org/officeDocument/2006/relationships/chart" Target="charts/chart18.xml"/><Relationship Id="rId56" Type="http://schemas.openxmlformats.org/officeDocument/2006/relationships/chart" Target="charts/chart26.xml"/><Relationship Id="rId64" Type="http://schemas.openxmlformats.org/officeDocument/2006/relationships/chart" Target="charts/chart34.xml"/><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chart" Target="charts/chart21.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chart" Target="charts/chart16.xml"/><Relationship Id="rId59" Type="http://schemas.openxmlformats.org/officeDocument/2006/relationships/chart" Target="charts/chart29.xml"/><Relationship Id="rId67" Type="http://schemas.openxmlformats.org/officeDocument/2006/relationships/header" Target="header8.xml"/><Relationship Id="rId20" Type="http://schemas.openxmlformats.org/officeDocument/2006/relationships/header" Target="header6.xml"/><Relationship Id="rId41" Type="http://schemas.openxmlformats.org/officeDocument/2006/relationships/chart" Target="charts/chart11.xml"/><Relationship Id="rId54" Type="http://schemas.openxmlformats.org/officeDocument/2006/relationships/chart" Target="charts/chart24.xml"/><Relationship Id="rId62" Type="http://schemas.openxmlformats.org/officeDocument/2006/relationships/chart" Target="charts/chart32.xml"/><Relationship Id="rId70"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CIL%20Allen%20Report.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participation!$C$1</c:f>
              <c:strCache>
                <c:ptCount val="1"/>
                <c:pt idx="0">
                  <c:v>Referrals</c:v>
                </c:pt>
              </c:strCache>
            </c:strRef>
          </c:tx>
          <c:spPr>
            <a:ln w="28575" cap="rnd">
              <a:solidFill>
                <a:schemeClr val="accent1"/>
              </a:solidFill>
              <a:round/>
            </a:ln>
            <a:effectLst/>
          </c:spPr>
          <c:marker>
            <c:symbol val="none"/>
          </c:marker>
          <c:cat>
            <c:strRef>
              <c:f>participation!$B$4:$B$7</c:f>
              <c:strCache>
                <c:ptCount val="4"/>
                <c:pt idx="0">
                  <c:v>2010-11</c:v>
                </c:pt>
                <c:pt idx="1">
                  <c:v>2011-12</c:v>
                </c:pt>
                <c:pt idx="2">
                  <c:v>2012-13</c:v>
                </c:pt>
                <c:pt idx="3">
                  <c:v>2013-14</c:v>
                </c:pt>
              </c:strCache>
            </c:strRef>
          </c:cat>
          <c:val>
            <c:numRef>
              <c:f>participation!$C$4:$C$7</c:f>
              <c:numCache>
                <c:formatCode>#,##0</c:formatCode>
                <c:ptCount val="4"/>
                <c:pt idx="0">
                  <c:v>39874</c:v>
                </c:pt>
                <c:pt idx="1">
                  <c:v>39216</c:v>
                </c:pt>
                <c:pt idx="2">
                  <c:v>41323</c:v>
                </c:pt>
                <c:pt idx="3">
                  <c:v>45317</c:v>
                </c:pt>
              </c:numCache>
            </c:numRef>
          </c:val>
          <c:smooth val="0"/>
          <c:extLst>
            <c:ext xmlns:c16="http://schemas.microsoft.com/office/drawing/2014/chart" uri="{C3380CC4-5D6E-409C-BE32-E72D297353CC}">
              <c16:uniqueId val="{00000000-CA0F-4387-8D9E-8B49B55E58C2}"/>
            </c:ext>
          </c:extLst>
        </c:ser>
        <c:ser>
          <c:idx val="1"/>
          <c:order val="1"/>
          <c:tx>
            <c:strRef>
              <c:f>participation!$D$1</c:f>
              <c:strCache>
                <c:ptCount val="1"/>
                <c:pt idx="0">
                  <c:v>PTAs</c:v>
                </c:pt>
              </c:strCache>
            </c:strRef>
          </c:tx>
          <c:spPr>
            <a:ln w="28575" cap="rnd">
              <a:solidFill>
                <a:schemeClr val="accent2"/>
              </a:solidFill>
              <a:round/>
            </a:ln>
            <a:effectLst/>
          </c:spPr>
          <c:marker>
            <c:symbol val="none"/>
          </c:marker>
          <c:cat>
            <c:strRef>
              <c:f>participation!$B$4:$B$7</c:f>
              <c:strCache>
                <c:ptCount val="4"/>
                <c:pt idx="0">
                  <c:v>2010-11</c:v>
                </c:pt>
                <c:pt idx="1">
                  <c:v>2011-12</c:v>
                </c:pt>
                <c:pt idx="2">
                  <c:v>2012-13</c:v>
                </c:pt>
                <c:pt idx="3">
                  <c:v>2013-14</c:v>
                </c:pt>
              </c:strCache>
            </c:strRef>
          </c:cat>
          <c:val>
            <c:numRef>
              <c:f>participation!$D$4:$D$7</c:f>
              <c:numCache>
                <c:formatCode>#,##0</c:formatCode>
                <c:ptCount val="4"/>
                <c:pt idx="0">
                  <c:v>31274</c:v>
                </c:pt>
                <c:pt idx="1">
                  <c:v>26902</c:v>
                </c:pt>
                <c:pt idx="2">
                  <c:v>29548</c:v>
                </c:pt>
                <c:pt idx="3">
                  <c:v>32358</c:v>
                </c:pt>
              </c:numCache>
            </c:numRef>
          </c:val>
          <c:smooth val="0"/>
          <c:extLst>
            <c:ext xmlns:c16="http://schemas.microsoft.com/office/drawing/2014/chart" uri="{C3380CC4-5D6E-409C-BE32-E72D297353CC}">
              <c16:uniqueId val="{00000001-CA0F-4387-8D9E-8B49B55E58C2}"/>
            </c:ext>
          </c:extLst>
        </c:ser>
        <c:ser>
          <c:idx val="2"/>
          <c:order val="2"/>
          <c:tx>
            <c:strRef>
              <c:f>participation!$E$1</c:f>
              <c:strCache>
                <c:ptCount val="1"/>
                <c:pt idx="0">
                  <c:v>Commencements</c:v>
                </c:pt>
              </c:strCache>
            </c:strRef>
          </c:tx>
          <c:spPr>
            <a:ln w="28575" cap="rnd">
              <a:solidFill>
                <a:schemeClr val="accent3"/>
              </a:solidFill>
              <a:round/>
            </a:ln>
            <a:effectLst/>
          </c:spPr>
          <c:marker>
            <c:symbol val="none"/>
          </c:marker>
          <c:cat>
            <c:strRef>
              <c:f>participation!$B$4:$B$7</c:f>
              <c:strCache>
                <c:ptCount val="4"/>
                <c:pt idx="0">
                  <c:v>2010-11</c:v>
                </c:pt>
                <c:pt idx="1">
                  <c:v>2011-12</c:v>
                </c:pt>
                <c:pt idx="2">
                  <c:v>2012-13</c:v>
                </c:pt>
                <c:pt idx="3">
                  <c:v>2013-14</c:v>
                </c:pt>
              </c:strCache>
            </c:strRef>
          </c:cat>
          <c:val>
            <c:numRef>
              <c:f>participation!$E$4:$E$7</c:f>
              <c:numCache>
                <c:formatCode>#,##0</c:formatCode>
                <c:ptCount val="4"/>
                <c:pt idx="0">
                  <c:v>24398</c:v>
                </c:pt>
                <c:pt idx="1">
                  <c:v>21185</c:v>
                </c:pt>
                <c:pt idx="2">
                  <c:v>23509</c:v>
                </c:pt>
                <c:pt idx="3">
                  <c:v>26027</c:v>
                </c:pt>
              </c:numCache>
            </c:numRef>
          </c:val>
          <c:smooth val="0"/>
          <c:extLst>
            <c:ext xmlns:c16="http://schemas.microsoft.com/office/drawing/2014/chart" uri="{C3380CC4-5D6E-409C-BE32-E72D297353CC}">
              <c16:uniqueId val="{00000002-CA0F-4387-8D9E-8B49B55E58C2}"/>
            </c:ext>
          </c:extLst>
        </c:ser>
        <c:dLbls>
          <c:showLegendKey val="0"/>
          <c:showVal val="0"/>
          <c:showCatName val="0"/>
          <c:showSerName val="0"/>
          <c:showPercent val="0"/>
          <c:showBubbleSize val="0"/>
        </c:dLbls>
        <c:smooth val="0"/>
        <c:axId val="617547280"/>
        <c:axId val="525129256"/>
      </c:lineChart>
      <c:catAx>
        <c:axId val="6175472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129256"/>
        <c:crosses val="autoZero"/>
        <c:auto val="1"/>
        <c:lblAlgn val="ctr"/>
        <c:lblOffset val="100"/>
        <c:noMultiLvlLbl val="0"/>
      </c:catAx>
      <c:valAx>
        <c:axId val="525129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54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EC-4C80-8E2B-7F45E0F77D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DEC-4C80-8E2B-7F45E0F77D50}"/>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1-7DEC-4C80-8E2B-7F45E0F77D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(gender.cald!$A$6,gender.cald!$A$9)</c:f>
              <c:strCache>
                <c:ptCount val="2"/>
                <c:pt idx="0">
                  <c:v>Female</c:v>
                </c:pt>
                <c:pt idx="1">
                  <c:v>Male</c:v>
                </c:pt>
              </c:strCache>
            </c:strRef>
          </c:cat>
          <c:val>
            <c:numRef>
              <c:f>(gender.cald!$D$6,gender.cald!$D$9)</c:f>
              <c:numCache>
                <c:formatCode>#,##0</c:formatCode>
                <c:ptCount val="2"/>
                <c:pt idx="0">
                  <c:v>3099</c:v>
                </c:pt>
                <c:pt idx="1">
                  <c:v>3558</c:v>
                </c:pt>
              </c:numCache>
            </c:numRef>
          </c:val>
          <c:extLst>
            <c:ext xmlns:c16="http://schemas.microsoft.com/office/drawing/2014/chart" uri="{C3380CC4-5D6E-409C-BE32-E72D297353CC}">
              <c16:uniqueId val="{00000004-7DEC-4C80-8E2B-7F45E0F77D50}"/>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24303801647436"/>
          <c:y val="5.1246214768227348E-2"/>
          <c:w val="0.86600923312258926"/>
          <c:h val="0.67559678729886241"/>
        </c:manualLayout>
      </c:layout>
      <c:lineChart>
        <c:grouping val="standard"/>
        <c:varyColors val="0"/>
        <c:ser>
          <c:idx val="0"/>
          <c:order val="0"/>
          <c:tx>
            <c:strRef>
              <c:f>Age!$I$4</c:f>
              <c:strCache>
                <c:ptCount val="1"/>
                <c:pt idx="0">
                  <c:v>Number of SEE clients</c:v>
                </c:pt>
              </c:strCache>
            </c:strRef>
          </c:tx>
          <c:spPr>
            <a:ln w="28575" cap="rnd">
              <a:solidFill>
                <a:schemeClr val="accent1"/>
              </a:solidFill>
              <a:round/>
            </a:ln>
            <a:effectLst/>
          </c:spPr>
          <c:marker>
            <c:symbol val="none"/>
          </c:marker>
          <c:cat>
            <c:strRef>
              <c:f>Age!$H$5:$H$14</c:f>
              <c:strCache>
                <c:ptCount val="10"/>
                <c:pt idx="0">
                  <c:v>15 - 19</c:v>
                </c:pt>
                <c:pt idx="1">
                  <c:v>20 - 24</c:v>
                </c:pt>
                <c:pt idx="2">
                  <c:v>25 - 29</c:v>
                </c:pt>
                <c:pt idx="3">
                  <c:v>30 - 34</c:v>
                </c:pt>
                <c:pt idx="4">
                  <c:v>35 - 39</c:v>
                </c:pt>
                <c:pt idx="5">
                  <c:v>40 - 44</c:v>
                </c:pt>
                <c:pt idx="6">
                  <c:v>45 - 49</c:v>
                </c:pt>
                <c:pt idx="7">
                  <c:v>50 - 54</c:v>
                </c:pt>
                <c:pt idx="8">
                  <c:v>55 - 59</c:v>
                </c:pt>
                <c:pt idx="9">
                  <c:v>60+</c:v>
                </c:pt>
              </c:strCache>
            </c:strRef>
          </c:cat>
          <c:val>
            <c:numRef>
              <c:f>Age!$I$5:$I$14</c:f>
              <c:numCache>
                <c:formatCode>#,##0</c:formatCode>
                <c:ptCount val="10"/>
                <c:pt idx="0">
                  <c:v>10017</c:v>
                </c:pt>
                <c:pt idx="1">
                  <c:v>7672</c:v>
                </c:pt>
                <c:pt idx="2">
                  <c:v>6926</c:v>
                </c:pt>
                <c:pt idx="3">
                  <c:v>7687</c:v>
                </c:pt>
                <c:pt idx="4">
                  <c:v>8655</c:v>
                </c:pt>
                <c:pt idx="5">
                  <c:v>9571</c:v>
                </c:pt>
                <c:pt idx="6">
                  <c:v>9428</c:v>
                </c:pt>
                <c:pt idx="7">
                  <c:v>8244</c:v>
                </c:pt>
                <c:pt idx="8">
                  <c:v>6412</c:v>
                </c:pt>
                <c:pt idx="9">
                  <c:v>3918</c:v>
                </c:pt>
              </c:numCache>
            </c:numRef>
          </c:val>
          <c:smooth val="1"/>
          <c:extLst>
            <c:ext xmlns:c16="http://schemas.microsoft.com/office/drawing/2014/chart" uri="{C3380CC4-5D6E-409C-BE32-E72D297353CC}">
              <c16:uniqueId val="{00000000-88B2-4F39-85EB-DD5FA45C6F30}"/>
            </c:ext>
          </c:extLst>
        </c:ser>
        <c:dLbls>
          <c:showLegendKey val="0"/>
          <c:showVal val="0"/>
          <c:showCatName val="0"/>
          <c:showSerName val="0"/>
          <c:showPercent val="0"/>
          <c:showBubbleSize val="0"/>
        </c:dLbls>
        <c:smooth val="0"/>
        <c:axId val="555298600"/>
        <c:axId val="555298992"/>
      </c:lineChart>
      <c:catAx>
        <c:axId val="55529860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Age group</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298992"/>
        <c:crosses val="autoZero"/>
        <c:auto val="1"/>
        <c:lblAlgn val="ctr"/>
        <c:lblOffset val="100"/>
        <c:noMultiLvlLbl val="0"/>
      </c:catAx>
      <c:valAx>
        <c:axId val="555298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298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319772528433944E-2"/>
          <c:y val="5.0925925925925923E-2"/>
          <c:w val="0.87712467191601051"/>
          <c:h val="0.67762430737824442"/>
        </c:manualLayout>
      </c:layout>
      <c:lineChart>
        <c:grouping val="standard"/>
        <c:varyColors val="0"/>
        <c:ser>
          <c:idx val="0"/>
          <c:order val="0"/>
          <c:tx>
            <c:strRef>
              <c:f>Age!$O$4</c:f>
              <c:strCache>
                <c:ptCount val="1"/>
                <c:pt idx="0">
                  <c:v>Non-CALD, non-Indigenous</c:v>
                </c:pt>
              </c:strCache>
            </c:strRef>
          </c:tx>
          <c:spPr>
            <a:ln w="28575" cap="rnd">
              <a:solidFill>
                <a:schemeClr val="accent1"/>
              </a:solidFill>
              <a:round/>
            </a:ln>
            <a:effectLst/>
          </c:spPr>
          <c:marker>
            <c:symbol val="none"/>
          </c:marker>
          <c:cat>
            <c:strRef>
              <c:f>Age!$N$5:$N$14</c:f>
              <c:strCache>
                <c:ptCount val="10"/>
                <c:pt idx="0">
                  <c:v>15 - 19</c:v>
                </c:pt>
                <c:pt idx="1">
                  <c:v>20 - 24</c:v>
                </c:pt>
                <c:pt idx="2">
                  <c:v>25 - 29</c:v>
                </c:pt>
                <c:pt idx="3">
                  <c:v>30 - 34</c:v>
                </c:pt>
                <c:pt idx="4">
                  <c:v>35 - 39</c:v>
                </c:pt>
                <c:pt idx="5">
                  <c:v>40 - 44</c:v>
                </c:pt>
                <c:pt idx="6">
                  <c:v>45 - 49</c:v>
                </c:pt>
                <c:pt idx="7">
                  <c:v>50 - 54</c:v>
                </c:pt>
                <c:pt idx="8">
                  <c:v>55 - 59</c:v>
                </c:pt>
                <c:pt idx="9">
                  <c:v>60+</c:v>
                </c:pt>
              </c:strCache>
            </c:strRef>
          </c:cat>
          <c:val>
            <c:numRef>
              <c:f>Age!$O$5:$O$14</c:f>
              <c:numCache>
                <c:formatCode>0%</c:formatCode>
                <c:ptCount val="10"/>
                <c:pt idx="0">
                  <c:v>0.65568533493061798</c:v>
                </c:pt>
                <c:pt idx="1">
                  <c:v>0.40354535974973932</c:v>
                </c:pt>
                <c:pt idx="2">
                  <c:v>0.22365001443834825</c:v>
                </c:pt>
                <c:pt idx="3">
                  <c:v>0.1568882528944972</c:v>
                </c:pt>
                <c:pt idx="4">
                  <c:v>0.14292316580011555</c:v>
                </c:pt>
                <c:pt idx="5">
                  <c:v>0.13718524710061644</c:v>
                </c:pt>
                <c:pt idx="6">
                  <c:v>0.13512940178192617</c:v>
                </c:pt>
                <c:pt idx="7">
                  <c:v>0.12506065016982049</c:v>
                </c:pt>
                <c:pt idx="8">
                  <c:v>0.10558328134747348</c:v>
                </c:pt>
                <c:pt idx="9">
                  <c:v>8.8114754098360656E-2</c:v>
                </c:pt>
              </c:numCache>
            </c:numRef>
          </c:val>
          <c:smooth val="0"/>
          <c:extLst>
            <c:ext xmlns:c16="http://schemas.microsoft.com/office/drawing/2014/chart" uri="{C3380CC4-5D6E-409C-BE32-E72D297353CC}">
              <c16:uniqueId val="{00000000-BB04-433C-8A4C-26E51AEF9531}"/>
            </c:ext>
          </c:extLst>
        </c:ser>
        <c:ser>
          <c:idx val="1"/>
          <c:order val="1"/>
          <c:tx>
            <c:strRef>
              <c:f>Age!$P$4</c:f>
              <c:strCache>
                <c:ptCount val="1"/>
                <c:pt idx="0">
                  <c:v>Proportion CALD</c:v>
                </c:pt>
              </c:strCache>
            </c:strRef>
          </c:tx>
          <c:spPr>
            <a:ln w="28575" cap="rnd">
              <a:solidFill>
                <a:schemeClr val="accent2"/>
              </a:solidFill>
              <a:round/>
            </a:ln>
            <a:effectLst/>
          </c:spPr>
          <c:marker>
            <c:symbol val="none"/>
          </c:marker>
          <c:cat>
            <c:strRef>
              <c:f>Age!$N$5:$N$14</c:f>
              <c:strCache>
                <c:ptCount val="10"/>
                <c:pt idx="0">
                  <c:v>15 - 19</c:v>
                </c:pt>
                <c:pt idx="1">
                  <c:v>20 - 24</c:v>
                </c:pt>
                <c:pt idx="2">
                  <c:v>25 - 29</c:v>
                </c:pt>
                <c:pt idx="3">
                  <c:v>30 - 34</c:v>
                </c:pt>
                <c:pt idx="4">
                  <c:v>35 - 39</c:v>
                </c:pt>
                <c:pt idx="5">
                  <c:v>40 - 44</c:v>
                </c:pt>
                <c:pt idx="6">
                  <c:v>45 - 49</c:v>
                </c:pt>
                <c:pt idx="7">
                  <c:v>50 - 54</c:v>
                </c:pt>
                <c:pt idx="8">
                  <c:v>55 - 59</c:v>
                </c:pt>
                <c:pt idx="9">
                  <c:v>60+</c:v>
                </c:pt>
              </c:strCache>
            </c:strRef>
          </c:cat>
          <c:val>
            <c:numRef>
              <c:f>Age!$P$5:$P$14</c:f>
              <c:numCache>
                <c:formatCode>0%</c:formatCode>
                <c:ptCount val="10"/>
                <c:pt idx="0">
                  <c:v>0.12987920535090347</c:v>
                </c:pt>
                <c:pt idx="1">
                  <c:v>0.44017205422314909</c:v>
                </c:pt>
                <c:pt idx="2">
                  <c:v>0.66589662142650885</c:v>
                </c:pt>
                <c:pt idx="3">
                  <c:v>0.75621178613243134</c:v>
                </c:pt>
                <c:pt idx="4">
                  <c:v>0.78809936452917384</c:v>
                </c:pt>
                <c:pt idx="5">
                  <c:v>0.80566294013164763</c:v>
                </c:pt>
                <c:pt idx="6">
                  <c:v>0.82095884599066615</c:v>
                </c:pt>
                <c:pt idx="7">
                  <c:v>0.85177098495875792</c:v>
                </c:pt>
                <c:pt idx="8">
                  <c:v>0.87960074859638182</c:v>
                </c:pt>
                <c:pt idx="9">
                  <c:v>0.90020418580908623</c:v>
                </c:pt>
              </c:numCache>
            </c:numRef>
          </c:val>
          <c:smooth val="0"/>
          <c:extLst>
            <c:ext xmlns:c16="http://schemas.microsoft.com/office/drawing/2014/chart" uri="{C3380CC4-5D6E-409C-BE32-E72D297353CC}">
              <c16:uniqueId val="{00000001-BB04-433C-8A4C-26E51AEF9531}"/>
            </c:ext>
          </c:extLst>
        </c:ser>
        <c:ser>
          <c:idx val="2"/>
          <c:order val="2"/>
          <c:tx>
            <c:strRef>
              <c:f>Age!$Q$4</c:f>
              <c:strCache>
                <c:ptCount val="1"/>
                <c:pt idx="0">
                  <c:v>Proportion Indigenous</c:v>
                </c:pt>
              </c:strCache>
            </c:strRef>
          </c:tx>
          <c:spPr>
            <a:ln w="28575" cap="rnd">
              <a:solidFill>
                <a:schemeClr val="accent3"/>
              </a:solidFill>
              <a:round/>
            </a:ln>
            <a:effectLst/>
          </c:spPr>
          <c:marker>
            <c:symbol val="none"/>
          </c:marker>
          <c:cat>
            <c:strRef>
              <c:f>Age!$N$5:$N$14</c:f>
              <c:strCache>
                <c:ptCount val="10"/>
                <c:pt idx="0">
                  <c:v>15 - 19</c:v>
                </c:pt>
                <c:pt idx="1">
                  <c:v>20 - 24</c:v>
                </c:pt>
                <c:pt idx="2">
                  <c:v>25 - 29</c:v>
                </c:pt>
                <c:pt idx="3">
                  <c:v>30 - 34</c:v>
                </c:pt>
                <c:pt idx="4">
                  <c:v>35 - 39</c:v>
                </c:pt>
                <c:pt idx="5">
                  <c:v>40 - 44</c:v>
                </c:pt>
                <c:pt idx="6">
                  <c:v>45 - 49</c:v>
                </c:pt>
                <c:pt idx="7">
                  <c:v>50 - 54</c:v>
                </c:pt>
                <c:pt idx="8">
                  <c:v>55 - 59</c:v>
                </c:pt>
                <c:pt idx="9">
                  <c:v>60+</c:v>
                </c:pt>
              </c:strCache>
            </c:strRef>
          </c:cat>
          <c:val>
            <c:numRef>
              <c:f>Age!$Q$5:$Q$14</c:f>
              <c:numCache>
                <c:formatCode>0%</c:formatCode>
                <c:ptCount val="10"/>
                <c:pt idx="0">
                  <c:v>0.21443545971847858</c:v>
                </c:pt>
                <c:pt idx="1">
                  <c:v>0.15628258602711156</c:v>
                </c:pt>
                <c:pt idx="2">
                  <c:v>0.11045336413514294</c:v>
                </c:pt>
                <c:pt idx="3">
                  <c:v>8.6899960973071413E-2</c:v>
                </c:pt>
                <c:pt idx="4">
                  <c:v>6.897746967071057E-2</c:v>
                </c:pt>
                <c:pt idx="5">
                  <c:v>5.7151812767735871E-2</c:v>
                </c:pt>
                <c:pt idx="6">
                  <c:v>4.3911752227407723E-2</c:v>
                </c:pt>
                <c:pt idx="7">
                  <c:v>2.316836487142164E-2</c:v>
                </c:pt>
                <c:pt idx="8">
                  <c:v>1.4815970056144729E-2</c:v>
                </c:pt>
                <c:pt idx="9">
                  <c:v>8.4226646248085763E-3</c:v>
                </c:pt>
              </c:numCache>
            </c:numRef>
          </c:val>
          <c:smooth val="0"/>
          <c:extLst>
            <c:ext xmlns:c16="http://schemas.microsoft.com/office/drawing/2014/chart" uri="{C3380CC4-5D6E-409C-BE32-E72D297353CC}">
              <c16:uniqueId val="{00000002-BB04-433C-8A4C-26E51AEF9531}"/>
            </c:ext>
          </c:extLst>
        </c:ser>
        <c:dLbls>
          <c:showLegendKey val="0"/>
          <c:showVal val="0"/>
          <c:showCatName val="0"/>
          <c:showSerName val="0"/>
          <c:showPercent val="0"/>
          <c:showBubbleSize val="0"/>
        </c:dLbls>
        <c:smooth val="0"/>
        <c:axId val="555299776"/>
        <c:axId val="555300168"/>
      </c:lineChart>
      <c:catAx>
        <c:axId val="555299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a:t>Age Group</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300168"/>
        <c:crosses val="autoZero"/>
        <c:auto val="1"/>
        <c:lblAlgn val="ctr"/>
        <c:lblOffset val="100"/>
        <c:noMultiLvlLbl val="0"/>
      </c:catAx>
      <c:valAx>
        <c:axId val="555300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29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425796618190022E-2"/>
          <c:y val="5.1246214768227348E-2"/>
          <c:w val="0.8878264745208736"/>
          <c:h val="0.6026862994326968"/>
        </c:manualLayout>
      </c:layout>
      <c:barChart>
        <c:barDir val="col"/>
        <c:grouping val="stacked"/>
        <c:varyColors val="0"/>
        <c:ser>
          <c:idx val="0"/>
          <c:order val="0"/>
          <c:tx>
            <c:strRef>
              <c:f>PriorEd!$W$5</c:f>
              <c:strCache>
                <c:ptCount val="1"/>
                <c:pt idx="0">
                  <c:v>Non-CALD, non-Indigenous</c:v>
                </c:pt>
              </c:strCache>
            </c:strRef>
          </c:tx>
          <c:spPr>
            <a:solidFill>
              <a:schemeClr val="accent1"/>
            </a:solidFill>
            <a:ln>
              <a:noFill/>
            </a:ln>
            <a:effectLst/>
          </c:spPr>
          <c:invertIfNegative val="0"/>
          <c:cat>
            <c:strRef>
              <c:f>PriorEd!$O$6:$O$13</c:f>
              <c:strCache>
                <c:ptCount val="8"/>
                <c:pt idx="0">
                  <c:v>Less than Year 10</c:v>
                </c:pt>
                <c:pt idx="1">
                  <c:v>Year 10</c:v>
                </c:pt>
                <c:pt idx="2">
                  <c:v>Cert I &amp; II</c:v>
                </c:pt>
                <c:pt idx="3">
                  <c:v>Year 11</c:v>
                </c:pt>
                <c:pt idx="4">
                  <c:v>Year 12</c:v>
                </c:pt>
                <c:pt idx="5">
                  <c:v>Cert III &amp; IV</c:v>
                </c:pt>
                <c:pt idx="6">
                  <c:v>Diploma and Assoc. Degree</c:v>
                </c:pt>
                <c:pt idx="7">
                  <c:v>Bachelors and higher</c:v>
                </c:pt>
              </c:strCache>
            </c:strRef>
          </c:cat>
          <c:val>
            <c:numRef>
              <c:f>PriorEd!$W$6:$W$13</c:f>
              <c:numCache>
                <c:formatCode>0%</c:formatCode>
                <c:ptCount val="8"/>
                <c:pt idx="0">
                  <c:v>7.9735918357858523E-2</c:v>
                </c:pt>
                <c:pt idx="1">
                  <c:v>8.6849385126810327E-2</c:v>
                </c:pt>
                <c:pt idx="2">
                  <c:v>7.4110235488295331E-2</c:v>
                </c:pt>
                <c:pt idx="3">
                  <c:v>3.1080735523165259E-2</c:v>
                </c:pt>
                <c:pt idx="4">
                  <c:v>3.468396215449706E-2</c:v>
                </c:pt>
                <c:pt idx="5">
                  <c:v>3.2080340330566987E-3</c:v>
                </c:pt>
                <c:pt idx="6">
                  <c:v>4.1843922170304764E-3</c:v>
                </c:pt>
                <c:pt idx="7">
                  <c:v>2.1619359787990794E-3</c:v>
                </c:pt>
              </c:numCache>
            </c:numRef>
          </c:val>
          <c:extLst>
            <c:ext xmlns:c16="http://schemas.microsoft.com/office/drawing/2014/chart" uri="{C3380CC4-5D6E-409C-BE32-E72D297353CC}">
              <c16:uniqueId val="{00000000-24B3-4839-94F1-502B18AAE85F}"/>
            </c:ext>
          </c:extLst>
        </c:ser>
        <c:ser>
          <c:idx val="1"/>
          <c:order val="1"/>
          <c:tx>
            <c:strRef>
              <c:f>PriorEd!$X$5</c:f>
              <c:strCache>
                <c:ptCount val="1"/>
                <c:pt idx="0">
                  <c:v>CALD</c:v>
                </c:pt>
              </c:strCache>
            </c:strRef>
          </c:tx>
          <c:spPr>
            <a:solidFill>
              <a:schemeClr val="accent2"/>
            </a:solidFill>
            <a:ln>
              <a:noFill/>
            </a:ln>
            <a:effectLst/>
          </c:spPr>
          <c:invertIfNegative val="0"/>
          <c:cat>
            <c:strRef>
              <c:f>PriorEd!$O$6:$O$13</c:f>
              <c:strCache>
                <c:ptCount val="8"/>
                <c:pt idx="0">
                  <c:v>Less than Year 10</c:v>
                </c:pt>
                <c:pt idx="1">
                  <c:v>Year 10</c:v>
                </c:pt>
                <c:pt idx="2">
                  <c:v>Cert I &amp; II</c:v>
                </c:pt>
                <c:pt idx="3">
                  <c:v>Year 11</c:v>
                </c:pt>
                <c:pt idx="4">
                  <c:v>Year 12</c:v>
                </c:pt>
                <c:pt idx="5">
                  <c:v>Cert III &amp; IV</c:v>
                </c:pt>
                <c:pt idx="6">
                  <c:v>Diploma and Assoc. Degree</c:v>
                </c:pt>
                <c:pt idx="7">
                  <c:v>Bachelors and higher</c:v>
                </c:pt>
              </c:strCache>
            </c:strRef>
          </c:cat>
          <c:val>
            <c:numRef>
              <c:f>PriorEd!$X$6:$X$13</c:f>
              <c:numCache>
                <c:formatCode>0%</c:formatCode>
                <c:ptCount val="8"/>
                <c:pt idx="0">
                  <c:v>0.18739103145268149</c:v>
                </c:pt>
                <c:pt idx="1">
                  <c:v>9.4334797870609291E-2</c:v>
                </c:pt>
                <c:pt idx="2">
                  <c:v>5.0259199851221611E-2</c:v>
                </c:pt>
                <c:pt idx="3">
                  <c:v>2.5338819536462328E-2</c:v>
                </c:pt>
                <c:pt idx="4">
                  <c:v>0.12478787456121998</c:v>
                </c:pt>
                <c:pt idx="5">
                  <c:v>2.3944022130785504E-3</c:v>
                </c:pt>
                <c:pt idx="6">
                  <c:v>2.9732431364344329E-2</c:v>
                </c:pt>
                <c:pt idx="7">
                  <c:v>4.4145337889671524E-2</c:v>
                </c:pt>
              </c:numCache>
            </c:numRef>
          </c:val>
          <c:extLst>
            <c:ext xmlns:c16="http://schemas.microsoft.com/office/drawing/2014/chart" uri="{C3380CC4-5D6E-409C-BE32-E72D297353CC}">
              <c16:uniqueId val="{00000001-24B3-4839-94F1-502B18AAE85F}"/>
            </c:ext>
          </c:extLst>
        </c:ser>
        <c:ser>
          <c:idx val="2"/>
          <c:order val="2"/>
          <c:tx>
            <c:strRef>
              <c:f>PriorEd!$Y$5</c:f>
              <c:strCache>
                <c:ptCount val="1"/>
                <c:pt idx="0">
                  <c:v>Indigenous</c:v>
                </c:pt>
              </c:strCache>
            </c:strRef>
          </c:tx>
          <c:spPr>
            <a:solidFill>
              <a:schemeClr val="accent3"/>
            </a:solidFill>
            <a:ln>
              <a:noFill/>
            </a:ln>
            <a:effectLst/>
          </c:spPr>
          <c:invertIfNegative val="0"/>
          <c:cat>
            <c:strRef>
              <c:f>PriorEd!$O$6:$O$13</c:f>
              <c:strCache>
                <c:ptCount val="8"/>
                <c:pt idx="0">
                  <c:v>Less than Year 10</c:v>
                </c:pt>
                <c:pt idx="1">
                  <c:v>Year 10</c:v>
                </c:pt>
                <c:pt idx="2">
                  <c:v>Cert I &amp; II</c:v>
                </c:pt>
                <c:pt idx="3">
                  <c:v>Year 11</c:v>
                </c:pt>
                <c:pt idx="4">
                  <c:v>Year 12</c:v>
                </c:pt>
                <c:pt idx="5">
                  <c:v>Cert III &amp; IV</c:v>
                </c:pt>
                <c:pt idx="6">
                  <c:v>Diploma and Assoc. Degree</c:v>
                </c:pt>
                <c:pt idx="7">
                  <c:v>Bachelors and higher</c:v>
                </c:pt>
              </c:strCache>
            </c:strRef>
          </c:cat>
          <c:val>
            <c:numRef>
              <c:f>PriorEd!$Y$6:$Y$13</c:f>
              <c:numCache>
                <c:formatCode>0%</c:formatCode>
                <c:ptCount val="8"/>
                <c:pt idx="0">
                  <c:v>3.6543692028732824E-2</c:v>
                </c:pt>
                <c:pt idx="1">
                  <c:v>3.8240695538972962E-2</c:v>
                </c:pt>
                <c:pt idx="2">
                  <c:v>2.3502336285654509E-2</c:v>
                </c:pt>
                <c:pt idx="3">
                  <c:v>1.6412116140130648E-2</c:v>
                </c:pt>
                <c:pt idx="4">
                  <c:v>9.1359230071832061E-3</c:v>
                </c:pt>
                <c:pt idx="5">
                  <c:v>8.8337169026198948E-4</c:v>
                </c:pt>
                <c:pt idx="6">
                  <c:v>6.9739870283841269E-4</c:v>
                </c:pt>
                <c:pt idx="7">
                  <c:v>1.8597298742357673E-4</c:v>
                </c:pt>
              </c:numCache>
            </c:numRef>
          </c:val>
          <c:extLst>
            <c:ext xmlns:c16="http://schemas.microsoft.com/office/drawing/2014/chart" uri="{C3380CC4-5D6E-409C-BE32-E72D297353CC}">
              <c16:uniqueId val="{00000002-24B3-4839-94F1-502B18AAE85F}"/>
            </c:ext>
          </c:extLst>
        </c:ser>
        <c:dLbls>
          <c:showLegendKey val="0"/>
          <c:showVal val="0"/>
          <c:showCatName val="0"/>
          <c:showSerName val="0"/>
          <c:showPercent val="0"/>
          <c:showBubbleSize val="0"/>
        </c:dLbls>
        <c:gapWidth val="150"/>
        <c:overlap val="100"/>
        <c:axId val="742002656"/>
        <c:axId val="742003048"/>
      </c:barChart>
      <c:catAx>
        <c:axId val="742002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a:t>Highest education level</a:t>
                </a:r>
                <a:r>
                  <a:rPr lang="en-AU" sz="900" baseline="0"/>
                  <a:t> prior to referral</a:t>
                </a:r>
                <a:endParaRPr lang="en-AU" sz="900"/>
              </a:p>
            </c:rich>
          </c:tx>
          <c:layout>
            <c:manualLayout>
              <c:xMode val="edge"/>
              <c:yMode val="edge"/>
              <c:x val="0.36330543587711916"/>
              <c:y val="0.8024078751162394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003048"/>
        <c:crosses val="autoZero"/>
        <c:auto val="1"/>
        <c:lblAlgn val="ctr"/>
        <c:lblOffset val="100"/>
        <c:noMultiLvlLbl val="0"/>
      </c:catAx>
      <c:valAx>
        <c:axId val="742003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00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payment!$P$9</c:f>
              <c:strCache>
                <c:ptCount val="1"/>
                <c:pt idx="0">
                  <c:v>Non-CALD, non-Indigenous</c:v>
                </c:pt>
              </c:strCache>
            </c:strRef>
          </c:tx>
          <c:spPr>
            <a:solidFill>
              <a:schemeClr val="accent1"/>
            </a:solidFill>
            <a:ln>
              <a:noFill/>
            </a:ln>
            <a:effectLst/>
          </c:spPr>
          <c:invertIfNegative val="0"/>
          <c:cat>
            <c:strRef>
              <c:f>payment!$K$10:$K$15</c:f>
              <c:strCache>
                <c:ptCount val="6"/>
                <c:pt idx="0">
                  <c:v>Newstart allowance</c:v>
                </c:pt>
                <c:pt idx="1">
                  <c:v>NFI</c:v>
                </c:pt>
                <c:pt idx="2">
                  <c:v>Youth allowance</c:v>
                </c:pt>
                <c:pt idx="3">
                  <c:v>Parenting payment</c:v>
                </c:pt>
                <c:pt idx="4">
                  <c:v>Disability support pension</c:v>
                </c:pt>
                <c:pt idx="5">
                  <c:v>Other</c:v>
                </c:pt>
              </c:strCache>
            </c:strRef>
          </c:cat>
          <c:val>
            <c:numRef>
              <c:f>payment!$P$10:$P$15</c:f>
              <c:numCache>
                <c:formatCode>0%</c:formatCode>
                <c:ptCount val="6"/>
                <c:pt idx="0">
                  <c:v>8.6094486183624086E-2</c:v>
                </c:pt>
                <c:pt idx="1">
                  <c:v>2.4894944607156501E-2</c:v>
                </c:pt>
                <c:pt idx="2">
                  <c:v>7.5601680886285494E-2</c:v>
                </c:pt>
                <c:pt idx="3">
                  <c:v>1.6312237361517892E-2</c:v>
                </c:pt>
                <c:pt idx="4">
                  <c:v>2.8613268814465808E-2</c:v>
                </c:pt>
                <c:pt idx="5">
                  <c:v>1.4771424933146568E-3</c:v>
                </c:pt>
              </c:numCache>
            </c:numRef>
          </c:val>
          <c:extLst>
            <c:ext xmlns:c16="http://schemas.microsoft.com/office/drawing/2014/chart" uri="{C3380CC4-5D6E-409C-BE32-E72D297353CC}">
              <c16:uniqueId val="{00000000-0C9D-443F-BDA0-2A5DEBD5EC21}"/>
            </c:ext>
          </c:extLst>
        </c:ser>
        <c:ser>
          <c:idx val="1"/>
          <c:order val="1"/>
          <c:tx>
            <c:strRef>
              <c:f>payment!$Q$9</c:f>
              <c:strCache>
                <c:ptCount val="1"/>
                <c:pt idx="0">
                  <c:v>CALD</c:v>
                </c:pt>
              </c:strCache>
            </c:strRef>
          </c:tx>
          <c:spPr>
            <a:solidFill>
              <a:schemeClr val="accent2"/>
            </a:solidFill>
            <a:ln>
              <a:noFill/>
            </a:ln>
            <a:effectLst/>
          </c:spPr>
          <c:invertIfNegative val="0"/>
          <c:cat>
            <c:strRef>
              <c:f>payment!$K$10:$K$15</c:f>
              <c:strCache>
                <c:ptCount val="6"/>
                <c:pt idx="0">
                  <c:v>Newstart allowance</c:v>
                </c:pt>
                <c:pt idx="1">
                  <c:v>NFI</c:v>
                </c:pt>
                <c:pt idx="2">
                  <c:v>Youth allowance</c:v>
                </c:pt>
                <c:pt idx="3">
                  <c:v>Parenting payment</c:v>
                </c:pt>
                <c:pt idx="4">
                  <c:v>Disability support pension</c:v>
                </c:pt>
                <c:pt idx="5">
                  <c:v>Other</c:v>
                </c:pt>
              </c:strCache>
            </c:strRef>
          </c:cat>
          <c:val>
            <c:numRef>
              <c:f>payment!$Q$10:$Q$15</c:f>
              <c:numCache>
                <c:formatCode>0%</c:formatCode>
                <c:ptCount val="6"/>
                <c:pt idx="0">
                  <c:v>0.3947790653253534</c:v>
                </c:pt>
                <c:pt idx="1">
                  <c:v>0.14099070418948173</c:v>
                </c:pt>
                <c:pt idx="2">
                  <c:v>1.8566153062523877E-2</c:v>
                </c:pt>
                <c:pt idx="3">
                  <c:v>9.2448745702279386E-2</c:v>
                </c:pt>
                <c:pt idx="4">
                  <c:v>1.50515726473959E-2</c:v>
                </c:pt>
                <c:pt idx="5">
                  <c:v>2.0399847192155863E-2</c:v>
                </c:pt>
              </c:numCache>
            </c:numRef>
          </c:val>
          <c:extLst>
            <c:ext xmlns:c16="http://schemas.microsoft.com/office/drawing/2014/chart" uri="{C3380CC4-5D6E-409C-BE32-E72D297353CC}">
              <c16:uniqueId val="{00000001-0C9D-443F-BDA0-2A5DEBD5EC21}"/>
            </c:ext>
          </c:extLst>
        </c:ser>
        <c:ser>
          <c:idx val="2"/>
          <c:order val="2"/>
          <c:tx>
            <c:strRef>
              <c:f>payment!$R$9</c:f>
              <c:strCache>
                <c:ptCount val="1"/>
                <c:pt idx="0">
                  <c:v>Indigenous</c:v>
                </c:pt>
              </c:strCache>
            </c:strRef>
          </c:tx>
          <c:spPr>
            <a:solidFill>
              <a:schemeClr val="accent3"/>
            </a:solidFill>
            <a:ln>
              <a:noFill/>
            </a:ln>
            <a:effectLst/>
          </c:spPr>
          <c:invertIfNegative val="0"/>
          <c:cat>
            <c:strRef>
              <c:f>payment!$K$10:$K$15</c:f>
              <c:strCache>
                <c:ptCount val="6"/>
                <c:pt idx="0">
                  <c:v>Newstart allowance</c:v>
                </c:pt>
                <c:pt idx="1">
                  <c:v>NFI</c:v>
                </c:pt>
                <c:pt idx="2">
                  <c:v>Youth allowance</c:v>
                </c:pt>
                <c:pt idx="3">
                  <c:v>Parenting payment</c:v>
                </c:pt>
                <c:pt idx="4">
                  <c:v>Disability support pension</c:v>
                </c:pt>
                <c:pt idx="5">
                  <c:v>Other</c:v>
                </c:pt>
              </c:strCache>
            </c:strRef>
          </c:cat>
          <c:val>
            <c:numRef>
              <c:f>payment!$R$10:$R$15</c:f>
              <c:numCache>
                <c:formatCode>0%</c:formatCode>
                <c:ptCount val="6"/>
                <c:pt idx="0">
                  <c:v>3.9042404176747737E-2</c:v>
                </c:pt>
                <c:pt idx="1">
                  <c:v>5.3355405577486309E-3</c:v>
                </c:pt>
                <c:pt idx="2">
                  <c:v>2.8434992996307144E-2</c:v>
                </c:pt>
                <c:pt idx="3">
                  <c:v>6.1632497134852925E-3</c:v>
                </c:pt>
                <c:pt idx="4">
                  <c:v>5.4246784668279639E-3</c:v>
                </c:pt>
                <c:pt idx="5">
                  <c:v>3.692856233286642E-4</c:v>
                </c:pt>
              </c:numCache>
            </c:numRef>
          </c:val>
          <c:extLst>
            <c:ext xmlns:c16="http://schemas.microsoft.com/office/drawing/2014/chart" uri="{C3380CC4-5D6E-409C-BE32-E72D297353CC}">
              <c16:uniqueId val="{00000002-0C9D-443F-BDA0-2A5DEBD5EC21}"/>
            </c:ext>
          </c:extLst>
        </c:ser>
        <c:dLbls>
          <c:showLegendKey val="0"/>
          <c:showVal val="0"/>
          <c:showCatName val="0"/>
          <c:showSerName val="0"/>
          <c:showPercent val="0"/>
          <c:showBubbleSize val="0"/>
        </c:dLbls>
        <c:gapWidth val="150"/>
        <c:overlap val="100"/>
        <c:axId val="742003832"/>
        <c:axId val="934878152"/>
      </c:barChart>
      <c:catAx>
        <c:axId val="742003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878152"/>
        <c:crosses val="autoZero"/>
        <c:auto val="1"/>
        <c:lblAlgn val="ctr"/>
        <c:lblOffset val="100"/>
        <c:noMultiLvlLbl val="0"/>
      </c:catAx>
      <c:valAx>
        <c:axId val="934878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003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'Entry ACSF'!$B$21</c:f>
              <c:strCache>
                <c:ptCount val="1"/>
                <c:pt idx="0">
                  <c:v>Non-Indigenous, non-CALD</c:v>
                </c:pt>
              </c:strCache>
            </c:strRef>
          </c:tx>
          <c:spPr>
            <a:ln w="28575" cap="rnd">
              <a:noFill/>
              <a:round/>
            </a:ln>
            <a:effectLst/>
          </c:spPr>
          <c:marker>
            <c:symbol val="circle"/>
            <c:size val="5"/>
            <c:spPr>
              <a:solidFill>
                <a:schemeClr val="accent1"/>
              </a:solidFill>
              <a:ln w="9525">
                <a:solidFill>
                  <a:schemeClr val="accent1"/>
                </a:solidFill>
              </a:ln>
              <a:effectLst/>
            </c:spPr>
          </c:marker>
          <c:cat>
            <c:multiLvlStrRef>
              <c:f>'Entry ACSF'!$C$19:$M$20</c:f>
              <c:multiLvlStrCache>
                <c:ptCount val="11"/>
                <c:lvl>
                  <c:pt idx="0">
                    <c:v>.01</c:v>
                  </c:pt>
                  <c:pt idx="1">
                    <c:v>.02</c:v>
                  </c:pt>
                  <c:pt idx="2">
                    <c:v>.03</c:v>
                  </c:pt>
                  <c:pt idx="3">
                    <c:v>.04</c:v>
                  </c:pt>
                  <c:pt idx="4">
                    <c:v>.05</c:v>
                  </c:pt>
                  <c:pt idx="5">
                    <c:v>.06</c:v>
                  </c:pt>
                  <c:pt idx="6">
                    <c:v>.07</c:v>
                  </c:pt>
                  <c:pt idx="7">
                    <c:v>.08</c:v>
                  </c:pt>
                  <c:pt idx="8">
                    <c:v>.09</c:v>
                  </c:pt>
                  <c:pt idx="9">
                    <c:v>.10</c:v>
                  </c:pt>
                  <c:pt idx="10">
                    <c:v>.11</c:v>
                  </c:pt>
                </c:lvl>
                <c:lvl>
                  <c:pt idx="0">
                    <c:v>Learning</c:v>
                  </c:pt>
                  <c:pt idx="2">
                    <c:v>Reading</c:v>
                  </c:pt>
                  <c:pt idx="4">
                    <c:v>Writing</c:v>
                  </c:pt>
                  <c:pt idx="6">
                    <c:v>Oral Communication</c:v>
                  </c:pt>
                  <c:pt idx="8">
                    <c:v>Numeracy</c:v>
                  </c:pt>
                </c:lvl>
              </c:multiLvlStrCache>
            </c:multiLvlStrRef>
          </c:cat>
          <c:val>
            <c:numRef>
              <c:f>'Entry ACSF'!$C$21:$M$21</c:f>
              <c:numCache>
                <c:formatCode>General</c:formatCode>
                <c:ptCount val="11"/>
                <c:pt idx="0">
                  <c:v>0.96651889999999996</c:v>
                </c:pt>
                <c:pt idx="1">
                  <c:v>0.8010832</c:v>
                </c:pt>
                <c:pt idx="2">
                  <c:v>1.18513</c:v>
                </c:pt>
                <c:pt idx="3">
                  <c:v>1.1654359999999999</c:v>
                </c:pt>
                <c:pt idx="4">
                  <c:v>0.90546530000000003</c:v>
                </c:pt>
                <c:pt idx="5">
                  <c:v>0.76907930000000002</c:v>
                </c:pt>
                <c:pt idx="6">
                  <c:v>1.9935989999999999</c:v>
                </c:pt>
                <c:pt idx="7">
                  <c:v>2.0039389999999999</c:v>
                </c:pt>
                <c:pt idx="8">
                  <c:v>0.96898079999999998</c:v>
                </c:pt>
                <c:pt idx="9">
                  <c:v>0.71048739999999999</c:v>
                </c:pt>
                <c:pt idx="10">
                  <c:v>0.79862140000000004</c:v>
                </c:pt>
              </c:numCache>
            </c:numRef>
          </c:val>
          <c:smooth val="0"/>
          <c:extLst>
            <c:ext xmlns:c16="http://schemas.microsoft.com/office/drawing/2014/chart" uri="{C3380CC4-5D6E-409C-BE32-E72D297353CC}">
              <c16:uniqueId val="{00000000-4DE9-4191-ABCC-073A8668476B}"/>
            </c:ext>
          </c:extLst>
        </c:ser>
        <c:ser>
          <c:idx val="1"/>
          <c:order val="1"/>
          <c:tx>
            <c:strRef>
              <c:f>'Entry ACSF'!$B$22</c:f>
              <c:strCache>
                <c:ptCount val="1"/>
                <c:pt idx="0">
                  <c:v>CALD</c:v>
                </c:pt>
              </c:strCache>
            </c:strRef>
          </c:tx>
          <c:spPr>
            <a:ln w="28575" cap="rnd">
              <a:noFill/>
              <a:round/>
            </a:ln>
            <a:effectLst/>
          </c:spPr>
          <c:marker>
            <c:symbol val="circle"/>
            <c:size val="5"/>
            <c:spPr>
              <a:solidFill>
                <a:schemeClr val="accent2"/>
              </a:solidFill>
              <a:ln w="9525">
                <a:solidFill>
                  <a:schemeClr val="accent2"/>
                </a:solidFill>
              </a:ln>
              <a:effectLst/>
            </c:spPr>
          </c:marker>
          <c:cat>
            <c:multiLvlStrRef>
              <c:f>'Entry ACSF'!$C$19:$M$20</c:f>
              <c:multiLvlStrCache>
                <c:ptCount val="11"/>
                <c:lvl>
                  <c:pt idx="0">
                    <c:v>.01</c:v>
                  </c:pt>
                  <c:pt idx="1">
                    <c:v>.02</c:v>
                  </c:pt>
                  <c:pt idx="2">
                    <c:v>.03</c:v>
                  </c:pt>
                  <c:pt idx="3">
                    <c:v>.04</c:v>
                  </c:pt>
                  <c:pt idx="4">
                    <c:v>.05</c:v>
                  </c:pt>
                  <c:pt idx="5">
                    <c:v>.06</c:v>
                  </c:pt>
                  <c:pt idx="6">
                    <c:v>.07</c:v>
                  </c:pt>
                  <c:pt idx="7">
                    <c:v>.08</c:v>
                  </c:pt>
                  <c:pt idx="8">
                    <c:v>.09</c:v>
                  </c:pt>
                  <c:pt idx="9">
                    <c:v>.10</c:v>
                  </c:pt>
                  <c:pt idx="10">
                    <c:v>.11</c:v>
                  </c:pt>
                </c:lvl>
                <c:lvl>
                  <c:pt idx="0">
                    <c:v>Learning</c:v>
                  </c:pt>
                  <c:pt idx="2">
                    <c:v>Reading</c:v>
                  </c:pt>
                  <c:pt idx="4">
                    <c:v>Writing</c:v>
                  </c:pt>
                  <c:pt idx="6">
                    <c:v>Oral Communication</c:v>
                  </c:pt>
                  <c:pt idx="8">
                    <c:v>Numeracy</c:v>
                  </c:pt>
                </c:lvl>
              </c:multiLvlStrCache>
            </c:multiLvlStrRef>
          </c:cat>
          <c:val>
            <c:numRef>
              <c:f>'Entry ACSF'!$C$22:$M$22</c:f>
              <c:numCache>
                <c:formatCode>General</c:formatCode>
                <c:ptCount val="11"/>
                <c:pt idx="0">
                  <c:v>0.67769069999999998</c:v>
                </c:pt>
                <c:pt idx="1">
                  <c:v>0.52894450000000004</c:v>
                </c:pt>
                <c:pt idx="2">
                  <c:v>0.65593690000000004</c:v>
                </c:pt>
                <c:pt idx="3">
                  <c:v>0.62795290000000004</c:v>
                </c:pt>
                <c:pt idx="4">
                  <c:v>0.59560769999999996</c:v>
                </c:pt>
                <c:pt idx="5">
                  <c:v>0.45869890000000002</c:v>
                </c:pt>
                <c:pt idx="6">
                  <c:v>0.84761949999999997</c:v>
                </c:pt>
                <c:pt idx="7">
                  <c:v>0.80878459999999996</c:v>
                </c:pt>
                <c:pt idx="8">
                  <c:v>0.64394370000000001</c:v>
                </c:pt>
                <c:pt idx="9">
                  <c:v>0.50573699999999999</c:v>
                </c:pt>
                <c:pt idx="10">
                  <c:v>0.44208500000000001</c:v>
                </c:pt>
              </c:numCache>
            </c:numRef>
          </c:val>
          <c:smooth val="0"/>
          <c:extLst>
            <c:ext xmlns:c16="http://schemas.microsoft.com/office/drawing/2014/chart" uri="{C3380CC4-5D6E-409C-BE32-E72D297353CC}">
              <c16:uniqueId val="{00000001-4DE9-4191-ABCC-073A8668476B}"/>
            </c:ext>
          </c:extLst>
        </c:ser>
        <c:ser>
          <c:idx val="2"/>
          <c:order val="2"/>
          <c:tx>
            <c:strRef>
              <c:f>'Entry ACSF'!$B$23</c:f>
              <c:strCache>
                <c:ptCount val="1"/>
                <c:pt idx="0">
                  <c:v>Indigenous</c:v>
                </c:pt>
              </c:strCache>
            </c:strRef>
          </c:tx>
          <c:spPr>
            <a:ln w="28575" cap="rnd">
              <a:noFill/>
              <a:round/>
            </a:ln>
            <a:effectLst/>
          </c:spPr>
          <c:marker>
            <c:symbol val="circle"/>
            <c:size val="5"/>
            <c:spPr>
              <a:solidFill>
                <a:schemeClr val="accent3"/>
              </a:solidFill>
              <a:ln w="9525">
                <a:solidFill>
                  <a:schemeClr val="accent3"/>
                </a:solidFill>
              </a:ln>
              <a:effectLst/>
            </c:spPr>
          </c:marker>
          <c:cat>
            <c:multiLvlStrRef>
              <c:f>'Entry ACSF'!$C$19:$M$20</c:f>
              <c:multiLvlStrCache>
                <c:ptCount val="11"/>
                <c:lvl>
                  <c:pt idx="0">
                    <c:v>.01</c:v>
                  </c:pt>
                  <c:pt idx="1">
                    <c:v>.02</c:v>
                  </c:pt>
                  <c:pt idx="2">
                    <c:v>.03</c:v>
                  </c:pt>
                  <c:pt idx="3">
                    <c:v>.04</c:v>
                  </c:pt>
                  <c:pt idx="4">
                    <c:v>.05</c:v>
                  </c:pt>
                  <c:pt idx="5">
                    <c:v>.06</c:v>
                  </c:pt>
                  <c:pt idx="6">
                    <c:v>.07</c:v>
                  </c:pt>
                  <c:pt idx="7">
                    <c:v>.08</c:v>
                  </c:pt>
                  <c:pt idx="8">
                    <c:v>.09</c:v>
                  </c:pt>
                  <c:pt idx="9">
                    <c:v>.10</c:v>
                  </c:pt>
                  <c:pt idx="10">
                    <c:v>.11</c:v>
                  </c:pt>
                </c:lvl>
                <c:lvl>
                  <c:pt idx="0">
                    <c:v>Learning</c:v>
                  </c:pt>
                  <c:pt idx="2">
                    <c:v>Reading</c:v>
                  </c:pt>
                  <c:pt idx="4">
                    <c:v>Writing</c:v>
                  </c:pt>
                  <c:pt idx="6">
                    <c:v>Oral Communication</c:v>
                  </c:pt>
                  <c:pt idx="8">
                    <c:v>Numeracy</c:v>
                  </c:pt>
                </c:lvl>
              </c:multiLvlStrCache>
            </c:multiLvlStrRef>
          </c:cat>
          <c:val>
            <c:numRef>
              <c:f>'Entry ACSF'!$C$23:$M$23</c:f>
              <c:numCache>
                <c:formatCode>General</c:formatCode>
                <c:ptCount val="11"/>
                <c:pt idx="0">
                  <c:v>0.85258970000000001</c:v>
                </c:pt>
                <c:pt idx="1">
                  <c:v>0.7091634</c:v>
                </c:pt>
                <c:pt idx="2">
                  <c:v>1.0916330000000001</c:v>
                </c:pt>
                <c:pt idx="3">
                  <c:v>1.011952</c:v>
                </c:pt>
                <c:pt idx="4">
                  <c:v>0.84860559999999996</c:v>
                </c:pt>
                <c:pt idx="5">
                  <c:v>0.68924300000000005</c:v>
                </c:pt>
                <c:pt idx="6">
                  <c:v>1.904382</c:v>
                </c:pt>
                <c:pt idx="7">
                  <c:v>1.9163349999999999</c:v>
                </c:pt>
                <c:pt idx="8">
                  <c:v>0.88047810000000004</c:v>
                </c:pt>
                <c:pt idx="9">
                  <c:v>0.58964150000000004</c:v>
                </c:pt>
                <c:pt idx="10">
                  <c:v>0.67330679999999998</c:v>
                </c:pt>
              </c:numCache>
            </c:numRef>
          </c:val>
          <c:smooth val="0"/>
          <c:extLst>
            <c:ext xmlns:c16="http://schemas.microsoft.com/office/drawing/2014/chart" uri="{C3380CC4-5D6E-409C-BE32-E72D297353CC}">
              <c16:uniqueId val="{00000002-4DE9-4191-ABCC-073A8668476B}"/>
            </c:ext>
          </c:extLst>
        </c:ser>
        <c:dLbls>
          <c:showLegendKey val="0"/>
          <c:showVal val="0"/>
          <c:showCatName val="0"/>
          <c:showSerName val="0"/>
          <c:showPercent val="0"/>
          <c:showBubbleSize val="0"/>
        </c:dLbls>
        <c:marker val="1"/>
        <c:smooth val="0"/>
        <c:axId val="934878936"/>
        <c:axId val="934879328"/>
      </c:lineChart>
      <c:catAx>
        <c:axId val="934878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879328"/>
        <c:crosses val="autoZero"/>
        <c:auto val="1"/>
        <c:lblAlgn val="ctr"/>
        <c:lblOffset val="100"/>
        <c:noMultiLvlLbl val="0"/>
      </c:catAx>
      <c:valAx>
        <c:axId val="934879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ACSF level of performance (max=5)</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878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'3 entry scores '!$A$23</c:f>
              <c:strCache>
                <c:ptCount val="1"/>
                <c:pt idx="0">
                  <c:v>Pre-1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entry scores '!$B$22:$L$22</c:f>
              <c:strCache>
                <c:ptCount val="11"/>
                <c:pt idx="0">
                  <c:v>learning01</c:v>
                </c:pt>
                <c:pt idx="1">
                  <c:v>learning02</c:v>
                </c:pt>
                <c:pt idx="2">
                  <c:v>reading03</c:v>
                </c:pt>
                <c:pt idx="3">
                  <c:v>reading04</c:v>
                </c:pt>
                <c:pt idx="4">
                  <c:v>writing05</c:v>
                </c:pt>
                <c:pt idx="5">
                  <c:v>writing06</c:v>
                </c:pt>
                <c:pt idx="6">
                  <c:v>oralcommunication07</c:v>
                </c:pt>
                <c:pt idx="7">
                  <c:v>oralcommunication08</c:v>
                </c:pt>
                <c:pt idx="8">
                  <c:v>numeracy09</c:v>
                </c:pt>
                <c:pt idx="9">
                  <c:v>numeracy10</c:v>
                </c:pt>
                <c:pt idx="10">
                  <c:v>numeracy11</c:v>
                </c:pt>
              </c:strCache>
            </c:strRef>
          </c:cat>
          <c:val>
            <c:numRef>
              <c:f>'3 entry scores '!$B$23:$L$23</c:f>
              <c:numCache>
                <c:formatCode>0%</c:formatCode>
                <c:ptCount val="11"/>
                <c:pt idx="0">
                  <c:v>0.33599939158100212</c:v>
                </c:pt>
                <c:pt idx="1">
                  <c:v>0.43817575703801354</c:v>
                </c:pt>
                <c:pt idx="2">
                  <c:v>0.33010533253900853</c:v>
                </c:pt>
                <c:pt idx="3">
                  <c:v>0.34472006388399479</c:v>
                </c:pt>
                <c:pt idx="4">
                  <c:v>0.39562445337355656</c:v>
                </c:pt>
                <c:pt idx="5">
                  <c:v>0.47675966182044033</c:v>
                </c:pt>
                <c:pt idx="6">
                  <c:v>0.21426489042120339</c:v>
                </c:pt>
                <c:pt idx="7">
                  <c:v>0.23315123014716135</c:v>
                </c:pt>
                <c:pt idx="8">
                  <c:v>0.35379564726908597</c:v>
                </c:pt>
                <c:pt idx="9">
                  <c:v>0.48094254243088741</c:v>
                </c:pt>
                <c:pt idx="10">
                  <c:v>0.48502401987502058</c:v>
                </c:pt>
              </c:numCache>
            </c:numRef>
          </c:val>
          <c:extLst>
            <c:ext xmlns:c16="http://schemas.microsoft.com/office/drawing/2014/chart" uri="{C3380CC4-5D6E-409C-BE32-E72D297353CC}">
              <c16:uniqueId val="{00000000-2537-4F47-9373-EEDA64C3D047}"/>
            </c:ext>
          </c:extLst>
        </c:ser>
        <c:ser>
          <c:idx val="1"/>
          <c:order val="1"/>
          <c:tx>
            <c:strRef>
              <c:f>'3 entry scores '!$A$24</c:f>
              <c:strCache>
                <c:ptCount val="1"/>
                <c:pt idx="0">
                  <c:v>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entry scores '!$B$22:$L$22</c:f>
              <c:strCache>
                <c:ptCount val="11"/>
                <c:pt idx="0">
                  <c:v>learning01</c:v>
                </c:pt>
                <c:pt idx="1">
                  <c:v>learning02</c:v>
                </c:pt>
                <c:pt idx="2">
                  <c:v>reading03</c:v>
                </c:pt>
                <c:pt idx="3">
                  <c:v>reading04</c:v>
                </c:pt>
                <c:pt idx="4">
                  <c:v>writing05</c:v>
                </c:pt>
                <c:pt idx="5">
                  <c:v>writing06</c:v>
                </c:pt>
                <c:pt idx="6">
                  <c:v>oralcommunication07</c:v>
                </c:pt>
                <c:pt idx="7">
                  <c:v>oralcommunication08</c:v>
                </c:pt>
                <c:pt idx="8">
                  <c:v>numeracy09</c:v>
                </c:pt>
                <c:pt idx="9">
                  <c:v>numeracy10</c:v>
                </c:pt>
                <c:pt idx="10">
                  <c:v>numeracy11</c:v>
                </c:pt>
              </c:strCache>
            </c:strRef>
          </c:cat>
          <c:val>
            <c:numRef>
              <c:f>'3 entry scores '!$B$24:$L$24</c:f>
              <c:numCache>
                <c:formatCode>0%</c:formatCode>
                <c:ptCount val="11"/>
                <c:pt idx="0">
                  <c:v>0.45522416437453261</c:v>
                </c:pt>
                <c:pt idx="1">
                  <c:v>0.3871572889863486</c:v>
                </c:pt>
                <c:pt idx="2">
                  <c:v>0.40046645456504382</c:v>
                </c:pt>
                <c:pt idx="3">
                  <c:v>0.39557375179039966</c:v>
                </c:pt>
                <c:pt idx="4">
                  <c:v>0.38990784987261229</c:v>
                </c:pt>
                <c:pt idx="5">
                  <c:v>0.35579835980378488</c:v>
                </c:pt>
                <c:pt idx="6">
                  <c:v>0.35137464667334239</c:v>
                </c:pt>
                <c:pt idx="7">
                  <c:v>0.34255257120403587</c:v>
                </c:pt>
                <c:pt idx="8">
                  <c:v>0.46801363872586921</c:v>
                </c:pt>
                <c:pt idx="9">
                  <c:v>0.37381009722028569</c:v>
                </c:pt>
                <c:pt idx="10">
                  <c:v>0.37691556918864794</c:v>
                </c:pt>
              </c:numCache>
            </c:numRef>
          </c:val>
          <c:extLst>
            <c:ext xmlns:c16="http://schemas.microsoft.com/office/drawing/2014/chart" uri="{C3380CC4-5D6E-409C-BE32-E72D297353CC}">
              <c16:uniqueId val="{00000001-2537-4F47-9373-EEDA64C3D047}"/>
            </c:ext>
          </c:extLst>
        </c:ser>
        <c:ser>
          <c:idx val="2"/>
          <c:order val="2"/>
          <c:tx>
            <c:strRef>
              <c:f>'3 entry scores '!$A$25</c:f>
              <c:strCache>
                <c:ptCount val="1"/>
                <c:pt idx="0">
                  <c:v>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entry scores '!$B$22:$L$22</c:f>
              <c:strCache>
                <c:ptCount val="11"/>
                <c:pt idx="0">
                  <c:v>learning01</c:v>
                </c:pt>
                <c:pt idx="1">
                  <c:v>learning02</c:v>
                </c:pt>
                <c:pt idx="2">
                  <c:v>reading03</c:v>
                </c:pt>
                <c:pt idx="3">
                  <c:v>reading04</c:v>
                </c:pt>
                <c:pt idx="4">
                  <c:v>writing05</c:v>
                </c:pt>
                <c:pt idx="5">
                  <c:v>writing06</c:v>
                </c:pt>
                <c:pt idx="6">
                  <c:v>oralcommunication07</c:v>
                </c:pt>
                <c:pt idx="7">
                  <c:v>oralcommunication08</c:v>
                </c:pt>
                <c:pt idx="8">
                  <c:v>numeracy09</c:v>
                </c:pt>
                <c:pt idx="9">
                  <c:v>numeracy10</c:v>
                </c:pt>
                <c:pt idx="10">
                  <c:v>numeracy11</c:v>
                </c:pt>
              </c:strCache>
            </c:strRef>
          </c:cat>
          <c:val>
            <c:numRef>
              <c:f>'3 entry scores '!$B$25:$L$25</c:f>
              <c:numCache>
                <c:formatCode>0%</c:formatCode>
                <c:ptCount val="11"/>
                <c:pt idx="0">
                  <c:v>0.18171447403445173</c:v>
                </c:pt>
                <c:pt idx="1">
                  <c:v>0.15320750890446555</c:v>
                </c:pt>
                <c:pt idx="2">
                  <c:v>0.22045048356634936</c:v>
                </c:pt>
                <c:pt idx="3">
                  <c:v>0.21281989530123077</c:v>
                </c:pt>
                <c:pt idx="4">
                  <c:v>0.18478191981544623</c:v>
                </c:pt>
                <c:pt idx="5">
                  <c:v>0.1450572294119884</c:v>
                </c:pt>
                <c:pt idx="6">
                  <c:v>0.28390351488725235</c:v>
                </c:pt>
                <c:pt idx="7">
                  <c:v>0.26577769890864844</c:v>
                </c:pt>
                <c:pt idx="8">
                  <c:v>0.14991190599926482</c:v>
                </c:pt>
                <c:pt idx="9">
                  <c:v>0.12224151699136805</c:v>
                </c:pt>
                <c:pt idx="10">
                  <c:v>0.1165882904693699</c:v>
                </c:pt>
              </c:numCache>
            </c:numRef>
          </c:val>
          <c:extLst>
            <c:ext xmlns:c16="http://schemas.microsoft.com/office/drawing/2014/chart" uri="{C3380CC4-5D6E-409C-BE32-E72D297353CC}">
              <c16:uniqueId val="{00000002-2537-4F47-9373-EEDA64C3D047}"/>
            </c:ext>
          </c:extLst>
        </c:ser>
        <c:ser>
          <c:idx val="3"/>
          <c:order val="3"/>
          <c:tx>
            <c:strRef>
              <c:f>'3 entry scores '!$A$26</c:f>
              <c:strCache>
                <c:ptCount val="1"/>
                <c:pt idx="0">
                  <c:v>3</c:v>
                </c:pt>
              </c:strCache>
            </c:strRef>
          </c:tx>
          <c:spPr>
            <a:solidFill>
              <a:schemeClr val="accent4"/>
            </a:solidFill>
            <a:ln>
              <a:noFill/>
            </a:ln>
            <a:effectLst/>
          </c:spPr>
          <c:invertIfNegative val="0"/>
          <c:dLbls>
            <c:delete val="1"/>
          </c:dLbls>
          <c:cat>
            <c:strRef>
              <c:f>'3 entry scores '!$B$22:$L$22</c:f>
              <c:strCache>
                <c:ptCount val="11"/>
                <c:pt idx="0">
                  <c:v>learning01</c:v>
                </c:pt>
                <c:pt idx="1">
                  <c:v>learning02</c:v>
                </c:pt>
                <c:pt idx="2">
                  <c:v>reading03</c:v>
                </c:pt>
                <c:pt idx="3">
                  <c:v>reading04</c:v>
                </c:pt>
                <c:pt idx="4">
                  <c:v>writing05</c:v>
                </c:pt>
                <c:pt idx="5">
                  <c:v>writing06</c:v>
                </c:pt>
                <c:pt idx="6">
                  <c:v>oralcommunication07</c:v>
                </c:pt>
                <c:pt idx="7">
                  <c:v>oralcommunication08</c:v>
                </c:pt>
                <c:pt idx="8">
                  <c:v>numeracy09</c:v>
                </c:pt>
                <c:pt idx="9">
                  <c:v>numeracy10</c:v>
                </c:pt>
                <c:pt idx="10">
                  <c:v>numeracy11</c:v>
                </c:pt>
              </c:strCache>
            </c:strRef>
          </c:cat>
          <c:val>
            <c:numRef>
              <c:f>'3 entry scores '!$B$26:$L$26</c:f>
              <c:numCache>
                <c:formatCode>0%</c:formatCode>
                <c:ptCount val="11"/>
                <c:pt idx="0">
                  <c:v>2.5655001077408642E-2</c:v>
                </c:pt>
                <c:pt idx="1">
                  <c:v>2.0432738012244434E-2</c:v>
                </c:pt>
                <c:pt idx="2">
                  <c:v>4.7127121544370223E-2</c:v>
                </c:pt>
                <c:pt idx="3">
                  <c:v>4.5530021674926799E-2</c:v>
                </c:pt>
                <c:pt idx="4">
                  <c:v>2.8747797649981619E-2</c:v>
                </c:pt>
                <c:pt idx="5">
                  <c:v>2.1725628382746252E-2</c:v>
                </c:pt>
                <c:pt idx="6">
                  <c:v>0.14690783719721648</c:v>
                </c:pt>
                <c:pt idx="7">
                  <c:v>0.15533697539705676</c:v>
                </c:pt>
                <c:pt idx="8">
                  <c:v>2.6770435906861192E-2</c:v>
                </c:pt>
                <c:pt idx="9">
                  <c:v>2.168760219537855E-2</c:v>
                </c:pt>
                <c:pt idx="10">
                  <c:v>2.0673570532239869E-2</c:v>
                </c:pt>
              </c:numCache>
            </c:numRef>
          </c:val>
          <c:extLst>
            <c:ext xmlns:c16="http://schemas.microsoft.com/office/drawing/2014/chart" uri="{C3380CC4-5D6E-409C-BE32-E72D297353CC}">
              <c16:uniqueId val="{00000003-2537-4F47-9373-EEDA64C3D047}"/>
            </c:ext>
          </c:extLst>
        </c:ser>
        <c:ser>
          <c:idx val="4"/>
          <c:order val="4"/>
          <c:tx>
            <c:strRef>
              <c:f>'3 entry scores '!$A$27</c:f>
              <c:strCache>
                <c:ptCount val="1"/>
                <c:pt idx="0">
                  <c:v>4</c:v>
                </c:pt>
              </c:strCache>
            </c:strRef>
          </c:tx>
          <c:spPr>
            <a:solidFill>
              <a:schemeClr val="accent5"/>
            </a:solidFill>
            <a:ln>
              <a:noFill/>
            </a:ln>
            <a:effectLst/>
          </c:spPr>
          <c:invertIfNegative val="0"/>
          <c:dLbls>
            <c:delete val="1"/>
          </c:dLbls>
          <c:cat>
            <c:strRef>
              <c:f>'3 entry scores '!$B$22:$L$22</c:f>
              <c:strCache>
                <c:ptCount val="11"/>
                <c:pt idx="0">
                  <c:v>learning01</c:v>
                </c:pt>
                <c:pt idx="1">
                  <c:v>learning02</c:v>
                </c:pt>
                <c:pt idx="2">
                  <c:v>reading03</c:v>
                </c:pt>
                <c:pt idx="3">
                  <c:v>reading04</c:v>
                </c:pt>
                <c:pt idx="4">
                  <c:v>writing05</c:v>
                </c:pt>
                <c:pt idx="5">
                  <c:v>writing06</c:v>
                </c:pt>
                <c:pt idx="6">
                  <c:v>oralcommunication07</c:v>
                </c:pt>
                <c:pt idx="7">
                  <c:v>oralcommunication08</c:v>
                </c:pt>
                <c:pt idx="8">
                  <c:v>numeracy09</c:v>
                </c:pt>
                <c:pt idx="9">
                  <c:v>numeracy10</c:v>
                </c:pt>
                <c:pt idx="10">
                  <c:v>numeracy11</c:v>
                </c:pt>
              </c:strCache>
            </c:strRef>
          </c:cat>
          <c:val>
            <c:numRef>
              <c:f>'3 entry scores '!$B$27:$L$27</c:f>
              <c:numCache>
                <c:formatCode>0%</c:formatCode>
                <c:ptCount val="11"/>
                <c:pt idx="0">
                  <c:v>1.36894274523722E-3</c:v>
                </c:pt>
                <c:pt idx="1">
                  <c:v>1.0140316631386814E-3</c:v>
                </c:pt>
                <c:pt idx="2">
                  <c:v>1.7999062020711597E-3</c:v>
                </c:pt>
                <c:pt idx="3">
                  <c:v>1.343591953658753E-3</c:v>
                </c:pt>
                <c:pt idx="4">
                  <c:v>9.1262849682481335E-4</c:v>
                </c:pt>
                <c:pt idx="5">
                  <c:v>6.464451852509095E-4</c:v>
                </c:pt>
                <c:pt idx="6">
                  <c:v>3.4223568630930503E-3</c:v>
                </c:pt>
                <c:pt idx="7">
                  <c:v>3.0420949894160447E-3</c:v>
                </c:pt>
                <c:pt idx="8">
                  <c:v>1.4323197241833876E-3</c:v>
                </c:pt>
                <c:pt idx="9">
                  <c:v>1.2548641831341184E-3</c:v>
                </c:pt>
                <c:pt idx="10">
                  <c:v>7.3517295577554408E-4</c:v>
                </c:pt>
              </c:numCache>
            </c:numRef>
          </c:val>
          <c:extLst>
            <c:ext xmlns:c16="http://schemas.microsoft.com/office/drawing/2014/chart" uri="{C3380CC4-5D6E-409C-BE32-E72D297353CC}">
              <c16:uniqueId val="{00000004-2537-4F47-9373-EEDA64C3D047}"/>
            </c:ext>
          </c:extLst>
        </c:ser>
        <c:ser>
          <c:idx val="5"/>
          <c:order val="5"/>
          <c:tx>
            <c:strRef>
              <c:f>'3 entry scores '!$A$28</c:f>
              <c:strCache>
                <c:ptCount val="1"/>
                <c:pt idx="0">
                  <c:v>5</c:v>
                </c:pt>
              </c:strCache>
            </c:strRef>
          </c:tx>
          <c:spPr>
            <a:solidFill>
              <a:schemeClr val="accent6"/>
            </a:solidFill>
            <a:ln>
              <a:noFill/>
            </a:ln>
            <a:effectLst/>
          </c:spPr>
          <c:invertIfNegative val="0"/>
          <c:dLbls>
            <c:delete val="1"/>
          </c:dLbls>
          <c:cat>
            <c:strRef>
              <c:f>'3 entry scores '!$B$22:$L$22</c:f>
              <c:strCache>
                <c:ptCount val="11"/>
                <c:pt idx="0">
                  <c:v>learning01</c:v>
                </c:pt>
                <c:pt idx="1">
                  <c:v>learning02</c:v>
                </c:pt>
                <c:pt idx="2">
                  <c:v>reading03</c:v>
                </c:pt>
                <c:pt idx="3">
                  <c:v>reading04</c:v>
                </c:pt>
                <c:pt idx="4">
                  <c:v>writing05</c:v>
                </c:pt>
                <c:pt idx="5">
                  <c:v>writing06</c:v>
                </c:pt>
                <c:pt idx="6">
                  <c:v>oralcommunication07</c:v>
                </c:pt>
                <c:pt idx="7">
                  <c:v>oralcommunication08</c:v>
                </c:pt>
                <c:pt idx="8">
                  <c:v>numeracy09</c:v>
                </c:pt>
                <c:pt idx="9">
                  <c:v>numeracy10</c:v>
                </c:pt>
                <c:pt idx="10">
                  <c:v>numeracy11</c:v>
                </c:pt>
              </c:strCache>
            </c:strRef>
          </c:cat>
          <c:val>
            <c:numRef>
              <c:f>'3 entry scores '!$B$28:$L$28</c:f>
              <c:numCache>
                <c:formatCode>0%</c:formatCode>
                <c:ptCount val="11"/>
                <c:pt idx="0">
                  <c:v>3.8026187367700556E-5</c:v>
                </c:pt>
                <c:pt idx="1">
                  <c:v>1.2675395789233518E-5</c:v>
                </c:pt>
                <c:pt idx="2">
                  <c:v>5.0701583156934073E-5</c:v>
                </c:pt>
                <c:pt idx="3">
                  <c:v>1.2675395789233518E-5</c:v>
                </c:pt>
                <c:pt idx="4">
                  <c:v>2.5350791578467036E-5</c:v>
                </c:pt>
                <c:pt idx="5">
                  <c:v>1.2675395789233518E-5</c:v>
                </c:pt>
                <c:pt idx="6">
                  <c:v>1.2675395789233518E-4</c:v>
                </c:pt>
                <c:pt idx="7">
                  <c:v>1.394293536815687E-4</c:v>
                </c:pt>
                <c:pt idx="8">
                  <c:v>7.6052374735401112E-5</c:v>
                </c:pt>
                <c:pt idx="9">
                  <c:v>6.3376978946167589E-5</c:v>
                </c:pt>
                <c:pt idx="10">
                  <c:v>6.3376978946167589E-5</c:v>
                </c:pt>
              </c:numCache>
            </c:numRef>
          </c:val>
          <c:extLst>
            <c:ext xmlns:c16="http://schemas.microsoft.com/office/drawing/2014/chart" uri="{C3380CC4-5D6E-409C-BE32-E72D297353CC}">
              <c16:uniqueId val="{00000005-2537-4F47-9373-EEDA64C3D047}"/>
            </c:ext>
          </c:extLst>
        </c:ser>
        <c:dLbls>
          <c:showLegendKey val="0"/>
          <c:showVal val="1"/>
          <c:showCatName val="0"/>
          <c:showSerName val="0"/>
          <c:showPercent val="0"/>
          <c:showBubbleSize val="0"/>
        </c:dLbls>
        <c:gapWidth val="150"/>
        <c:overlap val="100"/>
        <c:axId val="617126016"/>
        <c:axId val="617126408"/>
      </c:barChart>
      <c:catAx>
        <c:axId val="6171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126408"/>
        <c:crosses val="autoZero"/>
        <c:auto val="1"/>
        <c:lblAlgn val="ctr"/>
        <c:lblOffset val="100"/>
        <c:noMultiLvlLbl val="0"/>
      </c:catAx>
      <c:valAx>
        <c:axId val="617126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clients by ACSF level</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12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'4 % with zero in all 2'!$B$21</c:f>
              <c:strCache>
                <c:ptCount val="1"/>
                <c:pt idx="0">
                  <c:v>Non-Indigenous, non-CALD</c:v>
                </c:pt>
              </c:strCache>
            </c:strRef>
          </c:tx>
          <c:spPr>
            <a:ln w="28575" cap="rnd">
              <a:solidFill>
                <a:schemeClr val="accent1"/>
              </a:solidFill>
              <a:round/>
            </a:ln>
            <a:effectLst/>
          </c:spPr>
          <c:marker>
            <c:symbol val="none"/>
          </c:marker>
          <c:cat>
            <c:strRef>
              <c:f>'4 % with zero in all 2'!$C$20:$F$20</c:f>
              <c:strCache>
                <c:ptCount val="4"/>
                <c:pt idx="0">
                  <c:v>2010-11</c:v>
                </c:pt>
                <c:pt idx="1">
                  <c:v>2011-12</c:v>
                </c:pt>
                <c:pt idx="2">
                  <c:v>2012-13</c:v>
                </c:pt>
                <c:pt idx="3">
                  <c:v>2013-14</c:v>
                </c:pt>
              </c:strCache>
            </c:strRef>
          </c:cat>
          <c:val>
            <c:numRef>
              <c:f>'4 % with zero in all 2'!$C$21:$F$21</c:f>
              <c:numCache>
                <c:formatCode>0%</c:formatCode>
                <c:ptCount val="4"/>
                <c:pt idx="0">
                  <c:v>1.718390000000003E-2</c:v>
                </c:pt>
                <c:pt idx="1">
                  <c:v>1.7516700000000052E-2</c:v>
                </c:pt>
                <c:pt idx="2">
                  <c:v>1.8031099999999967E-2</c:v>
                </c:pt>
                <c:pt idx="3">
                  <c:v>1.5384599999999971E-2</c:v>
                </c:pt>
              </c:numCache>
            </c:numRef>
          </c:val>
          <c:smooth val="0"/>
          <c:extLst>
            <c:ext xmlns:c16="http://schemas.microsoft.com/office/drawing/2014/chart" uri="{C3380CC4-5D6E-409C-BE32-E72D297353CC}">
              <c16:uniqueId val="{00000000-9399-42B6-BDCC-092D1DEDC9F9}"/>
            </c:ext>
          </c:extLst>
        </c:ser>
        <c:ser>
          <c:idx val="1"/>
          <c:order val="1"/>
          <c:tx>
            <c:strRef>
              <c:f>'4 % with zero in all 2'!$B$22</c:f>
              <c:strCache>
                <c:ptCount val="1"/>
                <c:pt idx="0">
                  <c:v>CALD</c:v>
                </c:pt>
              </c:strCache>
            </c:strRef>
          </c:tx>
          <c:spPr>
            <a:ln w="28575" cap="rnd">
              <a:solidFill>
                <a:schemeClr val="accent2"/>
              </a:solidFill>
              <a:round/>
            </a:ln>
            <a:effectLst/>
          </c:spPr>
          <c:marker>
            <c:symbol val="none"/>
          </c:marker>
          <c:cat>
            <c:strRef>
              <c:f>'4 % with zero in all 2'!$C$20:$F$20</c:f>
              <c:strCache>
                <c:ptCount val="4"/>
                <c:pt idx="0">
                  <c:v>2010-11</c:v>
                </c:pt>
                <c:pt idx="1">
                  <c:v>2011-12</c:v>
                </c:pt>
                <c:pt idx="2">
                  <c:v>2012-13</c:v>
                </c:pt>
                <c:pt idx="3">
                  <c:v>2013-14</c:v>
                </c:pt>
              </c:strCache>
            </c:strRef>
          </c:cat>
          <c:val>
            <c:numRef>
              <c:f>'4 % with zero in all 2'!$C$22:$F$22</c:f>
              <c:numCache>
                <c:formatCode>0%</c:formatCode>
                <c:ptCount val="4"/>
                <c:pt idx="0">
                  <c:v>0.15654100000000004</c:v>
                </c:pt>
                <c:pt idx="1">
                  <c:v>0.19410260000000001</c:v>
                </c:pt>
                <c:pt idx="2">
                  <c:v>0.20312370000000002</c:v>
                </c:pt>
                <c:pt idx="3">
                  <c:v>0.23659920000000001</c:v>
                </c:pt>
              </c:numCache>
            </c:numRef>
          </c:val>
          <c:smooth val="0"/>
          <c:extLst>
            <c:ext xmlns:c16="http://schemas.microsoft.com/office/drawing/2014/chart" uri="{C3380CC4-5D6E-409C-BE32-E72D297353CC}">
              <c16:uniqueId val="{00000001-9399-42B6-BDCC-092D1DEDC9F9}"/>
            </c:ext>
          </c:extLst>
        </c:ser>
        <c:ser>
          <c:idx val="2"/>
          <c:order val="2"/>
          <c:tx>
            <c:strRef>
              <c:f>'4 % with zero in all 2'!$B$23</c:f>
              <c:strCache>
                <c:ptCount val="1"/>
                <c:pt idx="0">
                  <c:v>Indigenous</c:v>
                </c:pt>
              </c:strCache>
            </c:strRef>
          </c:tx>
          <c:spPr>
            <a:ln w="28575" cap="rnd">
              <a:solidFill>
                <a:schemeClr val="accent3"/>
              </a:solidFill>
              <a:round/>
            </a:ln>
            <a:effectLst/>
          </c:spPr>
          <c:marker>
            <c:symbol val="none"/>
          </c:marker>
          <c:cat>
            <c:strRef>
              <c:f>'4 % with zero in all 2'!$C$20:$F$20</c:f>
              <c:strCache>
                <c:ptCount val="4"/>
                <c:pt idx="0">
                  <c:v>2010-11</c:v>
                </c:pt>
                <c:pt idx="1">
                  <c:v>2011-12</c:v>
                </c:pt>
                <c:pt idx="2">
                  <c:v>2012-13</c:v>
                </c:pt>
                <c:pt idx="3">
                  <c:v>2013-14</c:v>
                </c:pt>
              </c:strCache>
            </c:strRef>
          </c:cat>
          <c:val>
            <c:numRef>
              <c:f>'4 % with zero in all 2'!$C$23:$F$23</c:f>
              <c:numCache>
                <c:formatCode>0%</c:formatCode>
                <c:ptCount val="4"/>
                <c:pt idx="0">
                  <c:v>4.7433900000000029E-2</c:v>
                </c:pt>
                <c:pt idx="1">
                  <c:v>2.4258699999999966E-2</c:v>
                </c:pt>
                <c:pt idx="2">
                  <c:v>2.0196199999999997E-2</c:v>
                </c:pt>
                <c:pt idx="3">
                  <c:v>3.0217200000000055E-2</c:v>
                </c:pt>
              </c:numCache>
            </c:numRef>
          </c:val>
          <c:smooth val="0"/>
          <c:extLst>
            <c:ext xmlns:c16="http://schemas.microsoft.com/office/drawing/2014/chart" uri="{C3380CC4-5D6E-409C-BE32-E72D297353CC}">
              <c16:uniqueId val="{00000002-9399-42B6-BDCC-092D1DEDC9F9}"/>
            </c:ext>
          </c:extLst>
        </c:ser>
        <c:ser>
          <c:idx val="3"/>
          <c:order val="3"/>
          <c:tx>
            <c:strRef>
              <c:f>'4 % with zero in all 2'!$B$24</c:f>
              <c:strCache>
                <c:ptCount val="1"/>
                <c:pt idx="0">
                  <c:v>All cohorts</c:v>
                </c:pt>
              </c:strCache>
            </c:strRef>
          </c:tx>
          <c:spPr>
            <a:ln w="28575" cap="rnd">
              <a:solidFill>
                <a:schemeClr val="tx1">
                  <a:lumMod val="65000"/>
                  <a:lumOff val="35000"/>
                </a:schemeClr>
              </a:solidFill>
              <a:prstDash val="sysDot"/>
              <a:round/>
            </a:ln>
            <a:effectLst/>
          </c:spPr>
          <c:marker>
            <c:symbol val="none"/>
          </c:marker>
          <c:cat>
            <c:strRef>
              <c:f>'4 % with zero in all 2'!$C$20:$F$20</c:f>
              <c:strCache>
                <c:ptCount val="4"/>
                <c:pt idx="0">
                  <c:v>2010-11</c:v>
                </c:pt>
                <c:pt idx="1">
                  <c:v>2011-12</c:v>
                </c:pt>
                <c:pt idx="2">
                  <c:v>2012-13</c:v>
                </c:pt>
                <c:pt idx="3">
                  <c:v>2013-14</c:v>
                </c:pt>
              </c:strCache>
            </c:strRef>
          </c:cat>
          <c:val>
            <c:numRef>
              <c:f>'4 % with zero in all 2'!$C$24:$F$24</c:f>
              <c:numCache>
                <c:formatCode>0%</c:formatCode>
                <c:ptCount val="4"/>
                <c:pt idx="0">
                  <c:v>0.12719996557511082</c:v>
                </c:pt>
                <c:pt idx="1">
                  <c:v>0.14042212434936796</c:v>
                </c:pt>
                <c:pt idx="2">
                  <c:v>0.13659553458774482</c:v>
                </c:pt>
                <c:pt idx="3">
                  <c:v>0.15394644468959984</c:v>
                </c:pt>
              </c:numCache>
            </c:numRef>
          </c:val>
          <c:smooth val="0"/>
          <c:extLst>
            <c:ext xmlns:c16="http://schemas.microsoft.com/office/drawing/2014/chart" uri="{C3380CC4-5D6E-409C-BE32-E72D297353CC}">
              <c16:uniqueId val="{00000003-9399-42B6-BDCC-092D1DEDC9F9}"/>
            </c:ext>
          </c:extLst>
        </c:ser>
        <c:dLbls>
          <c:showLegendKey val="0"/>
          <c:showVal val="0"/>
          <c:showCatName val="0"/>
          <c:showSerName val="0"/>
          <c:showPercent val="0"/>
          <c:showBubbleSize val="0"/>
        </c:dLbls>
        <c:smooth val="0"/>
        <c:axId val="617127192"/>
        <c:axId val="617127584"/>
      </c:lineChart>
      <c:catAx>
        <c:axId val="617127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127584"/>
        <c:crosses val="autoZero"/>
        <c:auto val="1"/>
        <c:lblAlgn val="ctr"/>
        <c:lblOffset val="100"/>
        <c:noMultiLvlLbl val="0"/>
      </c:catAx>
      <c:valAx>
        <c:axId val="617127584"/>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127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'4 % with zero in all 2'!$B$21</c:f>
              <c:strCache>
                <c:ptCount val="1"/>
                <c:pt idx="0">
                  <c:v>Non-Indigenous, non-CALD</c:v>
                </c:pt>
              </c:strCache>
            </c:strRef>
          </c:tx>
          <c:spPr>
            <a:ln w="28575" cap="rnd">
              <a:solidFill>
                <a:schemeClr val="accent1"/>
              </a:solidFill>
              <a:round/>
            </a:ln>
            <a:effectLst/>
          </c:spPr>
          <c:marker>
            <c:symbol val="none"/>
          </c:marker>
          <c:cat>
            <c:strRef>
              <c:f>'4 % with zero in all 2'!$K$20:$N$20</c:f>
              <c:strCache>
                <c:ptCount val="4"/>
                <c:pt idx="0">
                  <c:v>2010-11</c:v>
                </c:pt>
                <c:pt idx="1">
                  <c:v>2011-12</c:v>
                </c:pt>
                <c:pt idx="2">
                  <c:v>2012-13</c:v>
                </c:pt>
                <c:pt idx="3">
                  <c:v>2013-14</c:v>
                </c:pt>
              </c:strCache>
            </c:strRef>
          </c:cat>
          <c:val>
            <c:numRef>
              <c:f>'4 % with zero in all 2'!$K$21:$N$21</c:f>
              <c:numCache>
                <c:formatCode>0%</c:formatCode>
                <c:ptCount val="4"/>
                <c:pt idx="0">
                  <c:v>3.9497299999999957E-2</c:v>
                </c:pt>
                <c:pt idx="1">
                  <c:v>4.5079800000000003E-2</c:v>
                </c:pt>
                <c:pt idx="2">
                  <c:v>4.145080000000001E-2</c:v>
                </c:pt>
                <c:pt idx="3">
                  <c:v>4.1941400000000018E-2</c:v>
                </c:pt>
              </c:numCache>
            </c:numRef>
          </c:val>
          <c:smooth val="0"/>
          <c:extLst>
            <c:ext xmlns:c16="http://schemas.microsoft.com/office/drawing/2014/chart" uri="{C3380CC4-5D6E-409C-BE32-E72D297353CC}">
              <c16:uniqueId val="{00000000-5EF8-4EDE-9C3A-5896E01144E1}"/>
            </c:ext>
          </c:extLst>
        </c:ser>
        <c:ser>
          <c:idx val="1"/>
          <c:order val="1"/>
          <c:tx>
            <c:strRef>
              <c:f>'4 % with zero in all 2'!$B$22</c:f>
              <c:strCache>
                <c:ptCount val="1"/>
                <c:pt idx="0">
                  <c:v>CALD</c:v>
                </c:pt>
              </c:strCache>
            </c:strRef>
          </c:tx>
          <c:spPr>
            <a:ln w="28575" cap="rnd">
              <a:solidFill>
                <a:schemeClr val="accent2"/>
              </a:solidFill>
              <a:round/>
            </a:ln>
            <a:effectLst/>
          </c:spPr>
          <c:marker>
            <c:symbol val="none"/>
          </c:marker>
          <c:cat>
            <c:strRef>
              <c:f>'4 % with zero in all 2'!$K$20:$N$20</c:f>
              <c:strCache>
                <c:ptCount val="4"/>
                <c:pt idx="0">
                  <c:v>2010-11</c:v>
                </c:pt>
                <c:pt idx="1">
                  <c:v>2011-12</c:v>
                </c:pt>
                <c:pt idx="2">
                  <c:v>2012-13</c:v>
                </c:pt>
                <c:pt idx="3">
                  <c:v>2013-14</c:v>
                </c:pt>
              </c:strCache>
            </c:strRef>
          </c:cat>
          <c:val>
            <c:numRef>
              <c:f>'4 % with zero in all 2'!$K$22:$N$22</c:f>
              <c:numCache>
                <c:formatCode>0%</c:formatCode>
                <c:ptCount val="4"/>
                <c:pt idx="0">
                  <c:v>0.19340349999999995</c:v>
                </c:pt>
                <c:pt idx="1">
                  <c:v>0.24299990000000005</c:v>
                </c:pt>
                <c:pt idx="2">
                  <c:v>0.25384019999999996</c:v>
                </c:pt>
                <c:pt idx="3">
                  <c:v>0.28453439999999997</c:v>
                </c:pt>
              </c:numCache>
            </c:numRef>
          </c:val>
          <c:smooth val="0"/>
          <c:extLst>
            <c:ext xmlns:c16="http://schemas.microsoft.com/office/drawing/2014/chart" uri="{C3380CC4-5D6E-409C-BE32-E72D297353CC}">
              <c16:uniqueId val="{00000001-5EF8-4EDE-9C3A-5896E01144E1}"/>
            </c:ext>
          </c:extLst>
        </c:ser>
        <c:ser>
          <c:idx val="2"/>
          <c:order val="2"/>
          <c:tx>
            <c:strRef>
              <c:f>'4 % with zero in all 2'!$B$23</c:f>
              <c:strCache>
                <c:ptCount val="1"/>
                <c:pt idx="0">
                  <c:v>Indigenous</c:v>
                </c:pt>
              </c:strCache>
            </c:strRef>
          </c:tx>
          <c:spPr>
            <a:ln w="28575" cap="rnd">
              <a:solidFill>
                <a:schemeClr val="accent3"/>
              </a:solidFill>
              <a:round/>
            </a:ln>
            <a:effectLst/>
          </c:spPr>
          <c:marker>
            <c:symbol val="none"/>
          </c:marker>
          <c:cat>
            <c:strRef>
              <c:f>'4 % with zero in all 2'!$K$20:$N$20</c:f>
              <c:strCache>
                <c:ptCount val="4"/>
                <c:pt idx="0">
                  <c:v>2010-11</c:v>
                </c:pt>
                <c:pt idx="1">
                  <c:v>2011-12</c:v>
                </c:pt>
                <c:pt idx="2">
                  <c:v>2012-13</c:v>
                </c:pt>
                <c:pt idx="3">
                  <c:v>2013-14</c:v>
                </c:pt>
              </c:strCache>
            </c:strRef>
          </c:cat>
          <c:val>
            <c:numRef>
              <c:f>'4 % with zero in all 2'!$K$23:$N$23</c:f>
              <c:numCache>
                <c:formatCode>0%</c:formatCode>
                <c:ptCount val="4"/>
                <c:pt idx="0">
                  <c:v>7.6982899999999965E-2</c:v>
                </c:pt>
                <c:pt idx="1">
                  <c:v>7.4797899999999973E-2</c:v>
                </c:pt>
                <c:pt idx="2">
                  <c:v>7.386029999999999E-2</c:v>
                </c:pt>
                <c:pt idx="3">
                  <c:v>9.1595800000000005E-2</c:v>
                </c:pt>
              </c:numCache>
            </c:numRef>
          </c:val>
          <c:smooth val="0"/>
          <c:extLst>
            <c:ext xmlns:c16="http://schemas.microsoft.com/office/drawing/2014/chart" uri="{C3380CC4-5D6E-409C-BE32-E72D297353CC}">
              <c16:uniqueId val="{00000002-5EF8-4EDE-9C3A-5896E01144E1}"/>
            </c:ext>
          </c:extLst>
        </c:ser>
        <c:ser>
          <c:idx val="3"/>
          <c:order val="3"/>
          <c:tx>
            <c:strRef>
              <c:f>'4 % with zero in all 2'!$B$24</c:f>
              <c:strCache>
                <c:ptCount val="1"/>
                <c:pt idx="0">
                  <c:v>All cohorts</c:v>
                </c:pt>
              </c:strCache>
            </c:strRef>
          </c:tx>
          <c:spPr>
            <a:ln w="28575" cap="rnd">
              <a:solidFill>
                <a:schemeClr val="tx1">
                  <a:lumMod val="65000"/>
                  <a:lumOff val="35000"/>
                </a:schemeClr>
              </a:solidFill>
              <a:prstDash val="sysDot"/>
              <a:round/>
            </a:ln>
            <a:effectLst/>
          </c:spPr>
          <c:marker>
            <c:symbol val="none"/>
          </c:marker>
          <c:cat>
            <c:strRef>
              <c:f>'4 % with zero in all 2'!$K$20:$N$20</c:f>
              <c:strCache>
                <c:ptCount val="4"/>
                <c:pt idx="0">
                  <c:v>2010-11</c:v>
                </c:pt>
                <c:pt idx="1">
                  <c:v>2011-12</c:v>
                </c:pt>
                <c:pt idx="2">
                  <c:v>2012-13</c:v>
                </c:pt>
                <c:pt idx="3">
                  <c:v>2013-14</c:v>
                </c:pt>
              </c:strCache>
            </c:strRef>
          </c:cat>
          <c:val>
            <c:numRef>
              <c:f>'4 % with zero in all 2'!$K$24:$N$24</c:f>
              <c:numCache>
                <c:formatCode>0%</c:formatCode>
                <c:ptCount val="4"/>
                <c:pt idx="0">
                  <c:v>0.16119454365506261</c:v>
                </c:pt>
                <c:pt idx="1">
                  <c:v>0.18469370245381228</c:v>
                </c:pt>
                <c:pt idx="2">
                  <c:v>0.18037193482911842</c:v>
                </c:pt>
                <c:pt idx="3">
                  <c:v>0.19747267074516098</c:v>
                </c:pt>
              </c:numCache>
            </c:numRef>
          </c:val>
          <c:smooth val="0"/>
          <c:extLst>
            <c:ext xmlns:c16="http://schemas.microsoft.com/office/drawing/2014/chart" uri="{C3380CC4-5D6E-409C-BE32-E72D297353CC}">
              <c16:uniqueId val="{00000003-5EF8-4EDE-9C3A-5896E01144E1}"/>
            </c:ext>
          </c:extLst>
        </c:ser>
        <c:dLbls>
          <c:showLegendKey val="0"/>
          <c:showVal val="0"/>
          <c:showCatName val="0"/>
          <c:showSerName val="0"/>
          <c:showPercent val="0"/>
          <c:showBubbleSize val="0"/>
        </c:dLbls>
        <c:smooth val="0"/>
        <c:axId val="432628080"/>
        <c:axId val="432628472"/>
      </c:lineChart>
      <c:catAx>
        <c:axId val="43262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628472"/>
        <c:crosses val="autoZero"/>
        <c:auto val="1"/>
        <c:lblAlgn val="ctr"/>
        <c:lblOffset val="100"/>
        <c:noMultiLvlLbl val="0"/>
      </c:catAx>
      <c:valAx>
        <c:axId val="432628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62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48368114602735"/>
          <c:y val="6.455399061032864E-2"/>
          <c:w val="0.83815253583320237"/>
          <c:h val="0.67680492403238324"/>
        </c:manualLayout>
      </c:layout>
      <c:lineChart>
        <c:grouping val="standard"/>
        <c:varyColors val="0"/>
        <c:ser>
          <c:idx val="0"/>
          <c:order val="0"/>
          <c:tx>
            <c:strRef>
              <c:f>'program takeup'!$B$22</c:f>
              <c:strCache>
                <c:ptCount val="1"/>
                <c:pt idx="0">
                  <c:v>Non-CALD, non-Indigenous</c:v>
                </c:pt>
              </c:strCache>
            </c:strRef>
          </c:tx>
          <c:spPr>
            <a:ln w="28575" cap="rnd">
              <a:solidFill>
                <a:schemeClr val="accent1"/>
              </a:solidFill>
              <a:round/>
            </a:ln>
            <a:effectLst/>
          </c:spPr>
          <c:marker>
            <c:symbol val="none"/>
          </c:marker>
          <c:cat>
            <c:strRef>
              <c:f>'program takeup'!$A$23:$A$26</c:f>
              <c:strCache>
                <c:ptCount val="4"/>
                <c:pt idx="0">
                  <c:v>2010-11</c:v>
                </c:pt>
                <c:pt idx="1">
                  <c:v>2011-12</c:v>
                </c:pt>
                <c:pt idx="2">
                  <c:v>2012-13</c:v>
                </c:pt>
                <c:pt idx="3">
                  <c:v>2013-14</c:v>
                </c:pt>
              </c:strCache>
            </c:strRef>
          </c:cat>
          <c:val>
            <c:numRef>
              <c:f>'program takeup'!$B$23:$B$26</c:f>
              <c:numCache>
                <c:formatCode>0%</c:formatCode>
                <c:ptCount val="4"/>
                <c:pt idx="0">
                  <c:v>0.22954603744549884</c:v>
                </c:pt>
                <c:pt idx="1">
                  <c:v>0.20865533230293662</c:v>
                </c:pt>
                <c:pt idx="2">
                  <c:v>0.19088082901554404</c:v>
                </c:pt>
                <c:pt idx="3">
                  <c:v>6.4102564102564097E-2</c:v>
                </c:pt>
              </c:numCache>
            </c:numRef>
          </c:val>
          <c:smooth val="0"/>
          <c:extLst>
            <c:ext xmlns:c16="http://schemas.microsoft.com/office/drawing/2014/chart" uri="{C3380CC4-5D6E-409C-BE32-E72D297353CC}">
              <c16:uniqueId val="{00000000-BDCC-4EE1-83F4-07714A42B91E}"/>
            </c:ext>
          </c:extLst>
        </c:ser>
        <c:ser>
          <c:idx val="1"/>
          <c:order val="1"/>
          <c:tx>
            <c:strRef>
              <c:f>'program takeup'!$C$22</c:f>
              <c:strCache>
                <c:ptCount val="1"/>
                <c:pt idx="0">
                  <c:v>CALD</c:v>
                </c:pt>
              </c:strCache>
            </c:strRef>
          </c:tx>
          <c:spPr>
            <a:ln w="28575" cap="rnd">
              <a:solidFill>
                <a:schemeClr val="accent2"/>
              </a:solidFill>
              <a:round/>
            </a:ln>
            <a:effectLst/>
          </c:spPr>
          <c:marker>
            <c:symbol val="none"/>
          </c:marker>
          <c:cat>
            <c:strRef>
              <c:f>'program takeup'!$A$23:$A$26</c:f>
              <c:strCache>
                <c:ptCount val="4"/>
                <c:pt idx="0">
                  <c:v>2010-11</c:v>
                </c:pt>
                <c:pt idx="1">
                  <c:v>2011-12</c:v>
                </c:pt>
                <c:pt idx="2">
                  <c:v>2012-13</c:v>
                </c:pt>
                <c:pt idx="3">
                  <c:v>2013-14</c:v>
                </c:pt>
              </c:strCache>
            </c:strRef>
          </c:cat>
          <c:val>
            <c:numRef>
              <c:f>'program takeup'!$C$23:$C$26</c:f>
              <c:numCache>
                <c:formatCode>0%</c:formatCode>
                <c:ptCount val="4"/>
                <c:pt idx="0">
                  <c:v>8.4866962305986698E-2</c:v>
                </c:pt>
                <c:pt idx="1">
                  <c:v>8.6478896506153466E-2</c:v>
                </c:pt>
                <c:pt idx="2">
                  <c:v>6.3502960611001455E-2</c:v>
                </c:pt>
                <c:pt idx="3">
                  <c:v>2.5587044534412955E-2</c:v>
                </c:pt>
              </c:numCache>
            </c:numRef>
          </c:val>
          <c:smooth val="0"/>
          <c:extLst>
            <c:ext xmlns:c16="http://schemas.microsoft.com/office/drawing/2014/chart" uri="{C3380CC4-5D6E-409C-BE32-E72D297353CC}">
              <c16:uniqueId val="{00000001-BDCC-4EE1-83F4-07714A42B91E}"/>
            </c:ext>
          </c:extLst>
        </c:ser>
        <c:ser>
          <c:idx val="2"/>
          <c:order val="2"/>
          <c:tx>
            <c:strRef>
              <c:f>'program takeup'!$D$22</c:f>
              <c:strCache>
                <c:ptCount val="1"/>
                <c:pt idx="0">
                  <c:v>Indigenous</c:v>
                </c:pt>
              </c:strCache>
            </c:strRef>
          </c:tx>
          <c:spPr>
            <a:ln w="28575" cap="rnd">
              <a:solidFill>
                <a:schemeClr val="accent3"/>
              </a:solidFill>
              <a:round/>
            </a:ln>
            <a:effectLst/>
          </c:spPr>
          <c:marker>
            <c:symbol val="none"/>
          </c:marker>
          <c:cat>
            <c:strRef>
              <c:f>'program takeup'!$A$23:$A$26</c:f>
              <c:strCache>
                <c:ptCount val="4"/>
                <c:pt idx="0">
                  <c:v>2010-11</c:v>
                </c:pt>
                <c:pt idx="1">
                  <c:v>2011-12</c:v>
                </c:pt>
                <c:pt idx="2">
                  <c:v>2012-13</c:v>
                </c:pt>
                <c:pt idx="3">
                  <c:v>2013-14</c:v>
                </c:pt>
              </c:strCache>
            </c:strRef>
          </c:cat>
          <c:val>
            <c:numRef>
              <c:f>'program takeup'!$D$23:$D$26</c:f>
              <c:numCache>
                <c:formatCode>0%</c:formatCode>
                <c:ptCount val="4"/>
                <c:pt idx="0">
                  <c:v>0.1671850699844479</c:v>
                </c:pt>
                <c:pt idx="1">
                  <c:v>0.27897574123989216</c:v>
                </c:pt>
                <c:pt idx="2">
                  <c:v>0.22331217541834969</c:v>
                </c:pt>
                <c:pt idx="3">
                  <c:v>0.12039660056657224</c:v>
                </c:pt>
              </c:numCache>
            </c:numRef>
          </c:val>
          <c:smooth val="0"/>
          <c:extLst>
            <c:ext xmlns:c16="http://schemas.microsoft.com/office/drawing/2014/chart" uri="{C3380CC4-5D6E-409C-BE32-E72D297353CC}">
              <c16:uniqueId val="{00000002-BDCC-4EE1-83F4-07714A42B91E}"/>
            </c:ext>
          </c:extLst>
        </c:ser>
        <c:ser>
          <c:idx val="3"/>
          <c:order val="3"/>
          <c:tx>
            <c:strRef>
              <c:f>'program takeup'!$E$22</c:f>
              <c:strCache>
                <c:ptCount val="1"/>
                <c:pt idx="0">
                  <c:v>All cohorts</c:v>
                </c:pt>
              </c:strCache>
            </c:strRef>
          </c:tx>
          <c:spPr>
            <a:ln w="28575" cap="rnd">
              <a:solidFill>
                <a:schemeClr val="tx1">
                  <a:lumMod val="65000"/>
                  <a:lumOff val="35000"/>
                </a:schemeClr>
              </a:solidFill>
              <a:prstDash val="sysDot"/>
              <a:round/>
            </a:ln>
            <a:effectLst/>
          </c:spPr>
          <c:marker>
            <c:symbol val="none"/>
          </c:marker>
          <c:cat>
            <c:strRef>
              <c:f>'program takeup'!$A$23:$A$26</c:f>
              <c:strCache>
                <c:ptCount val="4"/>
                <c:pt idx="0">
                  <c:v>2010-11</c:v>
                </c:pt>
                <c:pt idx="1">
                  <c:v>2011-12</c:v>
                </c:pt>
                <c:pt idx="2">
                  <c:v>2012-13</c:v>
                </c:pt>
                <c:pt idx="3">
                  <c:v>2013-14</c:v>
                </c:pt>
              </c:strCache>
            </c:strRef>
          </c:cat>
          <c:val>
            <c:numRef>
              <c:f>'program takeup'!$E$23:$E$26</c:f>
              <c:numCache>
                <c:formatCode>0%</c:formatCode>
                <c:ptCount val="4"/>
                <c:pt idx="0">
                  <c:v>0.1136881965661173</c:v>
                </c:pt>
                <c:pt idx="1">
                  <c:v>0.13012640851112509</c:v>
                </c:pt>
                <c:pt idx="2">
                  <c:v>0.11262274397937352</c:v>
                </c:pt>
                <c:pt idx="3">
                  <c:v>4.6234078828602948E-2</c:v>
                </c:pt>
              </c:numCache>
            </c:numRef>
          </c:val>
          <c:smooth val="0"/>
          <c:extLst>
            <c:ext xmlns:c16="http://schemas.microsoft.com/office/drawing/2014/chart" uri="{C3380CC4-5D6E-409C-BE32-E72D297353CC}">
              <c16:uniqueId val="{00000003-BDCC-4EE1-83F4-07714A42B91E}"/>
            </c:ext>
          </c:extLst>
        </c:ser>
        <c:dLbls>
          <c:showLegendKey val="0"/>
          <c:showVal val="0"/>
          <c:showCatName val="0"/>
          <c:showSerName val="0"/>
          <c:showPercent val="0"/>
          <c:showBubbleSize val="0"/>
        </c:dLbls>
        <c:smooth val="0"/>
        <c:axId val="432629256"/>
        <c:axId val="680118800"/>
      </c:lineChart>
      <c:catAx>
        <c:axId val="432629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118800"/>
        <c:crosses val="autoZero"/>
        <c:auto val="1"/>
        <c:lblAlgn val="ctr"/>
        <c:lblOffset val="100"/>
        <c:noMultiLvlLbl val="0"/>
      </c:catAx>
      <c:valAx>
        <c:axId val="680118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629256"/>
        <c:crosses val="autoZero"/>
        <c:crossBetween val="between"/>
      </c:valAx>
      <c:spPr>
        <a:noFill/>
        <a:ln>
          <a:noFill/>
        </a:ln>
        <a:effectLst/>
      </c:spPr>
    </c:plotArea>
    <c:legend>
      <c:legendPos val="b"/>
      <c:layout>
        <c:manualLayout>
          <c:xMode val="edge"/>
          <c:yMode val="edge"/>
          <c:x val="0"/>
          <c:y val="0.83654670806994191"/>
          <c:w val="0.99677640113497612"/>
          <c:h val="0.163453291930058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TakeupChart!$H$1</c:f>
              <c:strCache>
                <c:ptCount val="1"/>
                <c:pt idx="0">
                  <c:v>Proportion of JSA clients with LLN needs commencing SEE</c:v>
                </c:pt>
              </c:strCache>
            </c:strRef>
          </c:tx>
          <c:spPr>
            <a:solidFill>
              <a:schemeClr val="tx2"/>
            </a:solidFill>
            <a:ln>
              <a:noFill/>
            </a:ln>
            <a:effectLst/>
          </c:spPr>
          <c:invertIfNegative val="0"/>
          <c:cat>
            <c:strLit>
              <c:ptCount val="133"/>
              <c:pt idx="0">
                <c:v>100%</c:v>
              </c:pt>
              <c:pt idx="1">
                <c:v>300%</c:v>
              </c:pt>
              <c:pt idx="2">
                <c:v>400%</c:v>
              </c:pt>
              <c:pt idx="3">
                <c:v>500%</c:v>
              </c:pt>
              <c:pt idx="4">
                <c:v>600%</c:v>
              </c:pt>
              <c:pt idx="5">
                <c:v>700%</c:v>
              </c:pt>
              <c:pt idx="6">
                <c:v>800%</c:v>
              </c:pt>
              <c:pt idx="7">
                <c:v>900%</c:v>
              </c:pt>
              <c:pt idx="8">
                <c:v>1000%</c:v>
              </c:pt>
              <c:pt idx="9">
                <c:v>1100%</c:v>
              </c:pt>
              <c:pt idx="10">
                <c:v>1200%</c:v>
              </c:pt>
              <c:pt idx="11">
                <c:v>1300%</c:v>
              </c:pt>
              <c:pt idx="12">
                <c:v>1400%</c:v>
              </c:pt>
              <c:pt idx="13">
                <c:v>1500%</c:v>
              </c:pt>
              <c:pt idx="14">
                <c:v>1600%</c:v>
              </c:pt>
              <c:pt idx="15">
                <c:v>1700%</c:v>
              </c:pt>
              <c:pt idx="16">
                <c:v>1800%</c:v>
              </c:pt>
              <c:pt idx="17">
                <c:v>1900%</c:v>
              </c:pt>
              <c:pt idx="18">
                <c:v>2000%</c:v>
              </c:pt>
              <c:pt idx="19">
                <c:v>2100%</c:v>
              </c:pt>
              <c:pt idx="20">
                <c:v>2200%</c:v>
              </c:pt>
              <c:pt idx="21">
                <c:v>2300%</c:v>
              </c:pt>
              <c:pt idx="22">
                <c:v>2400%</c:v>
              </c:pt>
              <c:pt idx="23">
                <c:v>2500%</c:v>
              </c:pt>
              <c:pt idx="24">
                <c:v>2600%</c:v>
              </c:pt>
              <c:pt idx="25">
                <c:v>2700%</c:v>
              </c:pt>
              <c:pt idx="26">
                <c:v>2800%</c:v>
              </c:pt>
              <c:pt idx="27">
                <c:v>2900%</c:v>
              </c:pt>
              <c:pt idx="28">
                <c:v>3000%</c:v>
              </c:pt>
              <c:pt idx="29">
                <c:v>3100%</c:v>
              </c:pt>
              <c:pt idx="30">
                <c:v>3200%</c:v>
              </c:pt>
              <c:pt idx="31">
                <c:v>3300%</c:v>
              </c:pt>
              <c:pt idx="32">
                <c:v>3400%</c:v>
              </c:pt>
              <c:pt idx="33">
                <c:v>3500%</c:v>
              </c:pt>
              <c:pt idx="34">
                <c:v>3600%</c:v>
              </c:pt>
              <c:pt idx="35">
                <c:v>3700%</c:v>
              </c:pt>
              <c:pt idx="36">
                <c:v>3800%</c:v>
              </c:pt>
              <c:pt idx="37">
                <c:v>3900%</c:v>
              </c:pt>
              <c:pt idx="38">
                <c:v>4000%</c:v>
              </c:pt>
              <c:pt idx="39">
                <c:v>4100%</c:v>
              </c:pt>
              <c:pt idx="40">
                <c:v>4200%</c:v>
              </c:pt>
              <c:pt idx="41">
                <c:v>4300%</c:v>
              </c:pt>
              <c:pt idx="42">
                <c:v>4400%</c:v>
              </c:pt>
              <c:pt idx="43">
                <c:v>4500%</c:v>
              </c:pt>
              <c:pt idx="44">
                <c:v>4600%</c:v>
              </c:pt>
              <c:pt idx="45">
                <c:v>4700%</c:v>
              </c:pt>
              <c:pt idx="46">
                <c:v>4800%</c:v>
              </c:pt>
              <c:pt idx="47">
                <c:v>4900%</c:v>
              </c:pt>
              <c:pt idx="48">
                <c:v>5000%</c:v>
              </c:pt>
              <c:pt idx="49">
                <c:v>5100%</c:v>
              </c:pt>
              <c:pt idx="50">
                <c:v>5200%</c:v>
              </c:pt>
              <c:pt idx="51">
                <c:v>5300%</c:v>
              </c:pt>
              <c:pt idx="52">
                <c:v>5400%</c:v>
              </c:pt>
              <c:pt idx="53">
                <c:v>5500%</c:v>
              </c:pt>
              <c:pt idx="54">
                <c:v>5600%</c:v>
              </c:pt>
              <c:pt idx="55">
                <c:v>5700%</c:v>
              </c:pt>
              <c:pt idx="56">
                <c:v>5800%</c:v>
              </c:pt>
              <c:pt idx="57">
                <c:v>5900%</c:v>
              </c:pt>
              <c:pt idx="58">
                <c:v>6000%</c:v>
              </c:pt>
              <c:pt idx="59">
                <c:v>6100%</c:v>
              </c:pt>
              <c:pt idx="60">
                <c:v>6200%</c:v>
              </c:pt>
              <c:pt idx="61">
                <c:v>6300%</c:v>
              </c:pt>
              <c:pt idx="62">
                <c:v>6400%</c:v>
              </c:pt>
              <c:pt idx="63">
                <c:v>6500%</c:v>
              </c:pt>
              <c:pt idx="64">
                <c:v>6600%</c:v>
              </c:pt>
              <c:pt idx="65">
                <c:v>6700%</c:v>
              </c:pt>
              <c:pt idx="66">
                <c:v>6800%</c:v>
              </c:pt>
              <c:pt idx="67">
                <c:v>6900%</c:v>
              </c:pt>
              <c:pt idx="68">
                <c:v>7000%</c:v>
              </c:pt>
              <c:pt idx="69">
                <c:v>7100%</c:v>
              </c:pt>
              <c:pt idx="70">
                <c:v>7200%</c:v>
              </c:pt>
              <c:pt idx="71">
                <c:v>7300%</c:v>
              </c:pt>
              <c:pt idx="72">
                <c:v>7400%</c:v>
              </c:pt>
              <c:pt idx="73">
                <c:v>7500%</c:v>
              </c:pt>
              <c:pt idx="74">
                <c:v>7600%</c:v>
              </c:pt>
              <c:pt idx="75">
                <c:v>7700%</c:v>
              </c:pt>
              <c:pt idx="76">
                <c:v>7800%</c:v>
              </c:pt>
              <c:pt idx="77">
                <c:v>7900%</c:v>
              </c:pt>
              <c:pt idx="78">
                <c:v>8000%</c:v>
              </c:pt>
              <c:pt idx="79">
                <c:v>8100%</c:v>
              </c:pt>
              <c:pt idx="80">
                <c:v>8200%</c:v>
              </c:pt>
              <c:pt idx="81">
                <c:v>8300%</c:v>
              </c:pt>
              <c:pt idx="82">
                <c:v>8400%</c:v>
              </c:pt>
              <c:pt idx="83">
                <c:v>8500%</c:v>
              </c:pt>
              <c:pt idx="84">
                <c:v>8600%</c:v>
              </c:pt>
              <c:pt idx="85">
                <c:v>8700%</c:v>
              </c:pt>
              <c:pt idx="86">
                <c:v>8800%</c:v>
              </c:pt>
              <c:pt idx="87">
                <c:v>8900%</c:v>
              </c:pt>
              <c:pt idx="88">
                <c:v>9000%</c:v>
              </c:pt>
              <c:pt idx="89">
                <c:v>9100%</c:v>
              </c:pt>
              <c:pt idx="90">
                <c:v>9200%</c:v>
              </c:pt>
              <c:pt idx="91">
                <c:v>9300%</c:v>
              </c:pt>
              <c:pt idx="92">
                <c:v>9400%</c:v>
              </c:pt>
              <c:pt idx="93">
                <c:v>9500%</c:v>
              </c:pt>
              <c:pt idx="94">
                <c:v>9600%</c:v>
              </c:pt>
              <c:pt idx="95">
                <c:v>9700%</c:v>
              </c:pt>
              <c:pt idx="96">
                <c:v>9800%</c:v>
              </c:pt>
              <c:pt idx="97">
                <c:v>9900%</c:v>
              </c:pt>
              <c:pt idx="98">
                <c:v>10000%</c:v>
              </c:pt>
              <c:pt idx="99">
                <c:v>10100%</c:v>
              </c:pt>
              <c:pt idx="100">
                <c:v>10200%</c:v>
              </c:pt>
              <c:pt idx="101">
                <c:v>10300%</c:v>
              </c:pt>
              <c:pt idx="102">
                <c:v>10400%</c:v>
              </c:pt>
              <c:pt idx="103">
                <c:v>10500%</c:v>
              </c:pt>
              <c:pt idx="104">
                <c:v>10600%</c:v>
              </c:pt>
              <c:pt idx="105">
                <c:v>10700%</c:v>
              </c:pt>
              <c:pt idx="106">
                <c:v>10800%</c:v>
              </c:pt>
              <c:pt idx="107">
                <c:v>10900%</c:v>
              </c:pt>
              <c:pt idx="108">
                <c:v>11000%</c:v>
              </c:pt>
              <c:pt idx="109">
                <c:v>11100%</c:v>
              </c:pt>
              <c:pt idx="110">
                <c:v>11200%</c:v>
              </c:pt>
              <c:pt idx="111">
                <c:v>11300%</c:v>
              </c:pt>
              <c:pt idx="112">
                <c:v>11400%</c:v>
              </c:pt>
              <c:pt idx="113">
                <c:v>11500%</c:v>
              </c:pt>
              <c:pt idx="114">
                <c:v>11600%</c:v>
              </c:pt>
              <c:pt idx="115">
                <c:v>11700%</c:v>
              </c:pt>
              <c:pt idx="116">
                <c:v>11800%</c:v>
              </c:pt>
              <c:pt idx="117">
                <c:v>11900%</c:v>
              </c:pt>
              <c:pt idx="118">
                <c:v>12000%</c:v>
              </c:pt>
              <c:pt idx="119">
                <c:v>12100%</c:v>
              </c:pt>
              <c:pt idx="120">
                <c:v>12200%</c:v>
              </c:pt>
              <c:pt idx="121">
                <c:v>12300%</c:v>
              </c:pt>
              <c:pt idx="122">
                <c:v>12400%</c:v>
              </c:pt>
              <c:pt idx="123">
                <c:v>12500%</c:v>
              </c:pt>
              <c:pt idx="124">
                <c:v>12600%</c:v>
              </c:pt>
              <c:pt idx="125">
                <c:v>12700%</c:v>
              </c:pt>
              <c:pt idx="126">
                <c:v>12800%</c:v>
              </c:pt>
              <c:pt idx="127">
                <c:v>12900%</c:v>
              </c:pt>
              <c:pt idx="128">
                <c:v>13000%</c:v>
              </c:pt>
              <c:pt idx="129">
                <c:v>13100%</c:v>
              </c:pt>
              <c:pt idx="130">
                <c:v>13200%</c:v>
              </c:pt>
              <c:pt idx="131">
                <c:v>13300%</c:v>
              </c:pt>
              <c:pt idx="132">
                <c:v>13400%</c:v>
              </c:pt>
              <c:extLst>
                <c:ext xmlns:c15="http://schemas.microsoft.com/office/drawing/2012/chart" uri="{02D57815-91ED-43cb-92C2-25804820EDAC}">
                  <c15:autoCat val="1"/>
                </c:ext>
              </c:extLst>
            </c:strLit>
          </c:cat>
          <c:val>
            <c:numRef>
              <c:f>TakeupChart!$H$3:$H$136</c:f>
              <c:numCache>
                <c:formatCode>0%</c:formatCode>
                <c:ptCount val="133"/>
                <c:pt idx="0">
                  <c:v>0.58890674993513104</c:v>
                </c:pt>
                <c:pt idx="1">
                  <c:v>0.43190614757279472</c:v>
                </c:pt>
                <c:pt idx="2">
                  <c:v>0.34022911299817671</c:v>
                </c:pt>
                <c:pt idx="3">
                  <c:v>0.2839812536023022</c:v>
                </c:pt>
                <c:pt idx="4">
                  <c:v>0.23574469624051506</c:v>
                </c:pt>
                <c:pt idx="5">
                  <c:v>0.23097209805262525</c:v>
                </c:pt>
                <c:pt idx="6">
                  <c:v>0.23035297768251972</c:v>
                </c:pt>
                <c:pt idx="7">
                  <c:v>0.21365994542312733</c:v>
                </c:pt>
                <c:pt idx="8">
                  <c:v>0.20636929594349662</c:v>
                </c:pt>
                <c:pt idx="9">
                  <c:v>0.19986500486423944</c:v>
                </c:pt>
                <c:pt idx="10">
                  <c:v>0.19912520032528525</c:v>
                </c:pt>
                <c:pt idx="11">
                  <c:v>0.19714246779712061</c:v>
                </c:pt>
                <c:pt idx="12">
                  <c:v>0.19069775669021469</c:v>
                </c:pt>
                <c:pt idx="13">
                  <c:v>0.18573602516839888</c:v>
                </c:pt>
                <c:pt idx="14">
                  <c:v>0.18217987408952382</c:v>
                </c:pt>
                <c:pt idx="15">
                  <c:v>0.18170468888183025</c:v>
                </c:pt>
                <c:pt idx="16">
                  <c:v>0.17993948275316049</c:v>
                </c:pt>
                <c:pt idx="17">
                  <c:v>0.17132779410464172</c:v>
                </c:pt>
                <c:pt idx="18">
                  <c:v>0.17064219746772874</c:v>
                </c:pt>
                <c:pt idx="19">
                  <c:v>0.17043054851530209</c:v>
                </c:pt>
                <c:pt idx="20">
                  <c:v>0.16925729897211039</c:v>
                </c:pt>
                <c:pt idx="21">
                  <c:v>0.16575796285901631</c:v>
                </c:pt>
                <c:pt idx="22">
                  <c:v>0.14762932173184426</c:v>
                </c:pt>
                <c:pt idx="23">
                  <c:v>0.1433668516111796</c:v>
                </c:pt>
                <c:pt idx="24">
                  <c:v>0.14174995367442089</c:v>
                </c:pt>
                <c:pt idx="25">
                  <c:v>0.13896358330890862</c:v>
                </c:pt>
                <c:pt idx="26">
                  <c:v>0.13874620563980092</c:v>
                </c:pt>
                <c:pt idx="27">
                  <c:v>0.13732483532062048</c:v>
                </c:pt>
                <c:pt idx="28">
                  <c:v>0.13647546633743954</c:v>
                </c:pt>
                <c:pt idx="29">
                  <c:v>0.13274687999128112</c:v>
                </c:pt>
                <c:pt idx="30">
                  <c:v>0.13087694424649893</c:v>
                </c:pt>
                <c:pt idx="31">
                  <c:v>0.12244658848852835</c:v>
                </c:pt>
                <c:pt idx="32">
                  <c:v>0.1187149321670995</c:v>
                </c:pt>
                <c:pt idx="33">
                  <c:v>0.11643581219480331</c:v>
                </c:pt>
                <c:pt idx="34">
                  <c:v>0.11398715869254862</c:v>
                </c:pt>
                <c:pt idx="35">
                  <c:v>0.10821359707219967</c:v>
                </c:pt>
                <c:pt idx="36">
                  <c:v>0.10734708155320775</c:v>
                </c:pt>
                <c:pt idx="37">
                  <c:v>0.10477886092113828</c:v>
                </c:pt>
                <c:pt idx="38">
                  <c:v>0.1037489700103093</c:v>
                </c:pt>
                <c:pt idx="39">
                  <c:v>0.10227493766759344</c:v>
                </c:pt>
                <c:pt idx="40">
                  <c:v>0.10215311038313178</c:v>
                </c:pt>
                <c:pt idx="41">
                  <c:v>0.10142690754430242</c:v>
                </c:pt>
                <c:pt idx="42">
                  <c:v>9.753603551579311E-2</c:v>
                </c:pt>
                <c:pt idx="43">
                  <c:v>9.6758169745176398E-2</c:v>
                </c:pt>
                <c:pt idx="44">
                  <c:v>9.4197125984253297E-2</c:v>
                </c:pt>
                <c:pt idx="45">
                  <c:v>9.183908710427939E-2</c:v>
                </c:pt>
                <c:pt idx="46">
                  <c:v>9.1284478950200407E-2</c:v>
                </c:pt>
                <c:pt idx="47">
                  <c:v>9.1266798619535877E-2</c:v>
                </c:pt>
                <c:pt idx="48">
                  <c:v>9.0596952156486124E-2</c:v>
                </c:pt>
                <c:pt idx="49">
                  <c:v>9.0502780209916769E-2</c:v>
                </c:pt>
                <c:pt idx="50">
                  <c:v>9.0029790514280436E-2</c:v>
                </c:pt>
                <c:pt idx="51">
                  <c:v>9.0010998604213008E-2</c:v>
                </c:pt>
                <c:pt idx="52">
                  <c:v>8.9375303449422419E-2</c:v>
                </c:pt>
                <c:pt idx="53">
                  <c:v>8.8225874218535172E-2</c:v>
                </c:pt>
                <c:pt idx="54">
                  <c:v>8.6225666964020731E-2</c:v>
                </c:pt>
                <c:pt idx="55">
                  <c:v>8.5413365795967686E-2</c:v>
                </c:pt>
                <c:pt idx="56">
                  <c:v>8.4745832108935146E-2</c:v>
                </c:pt>
                <c:pt idx="57">
                  <c:v>8.0433168610087744E-2</c:v>
                </c:pt>
                <c:pt idx="58">
                  <c:v>7.8848363333258245E-2</c:v>
                </c:pt>
                <c:pt idx="59">
                  <c:v>7.7021739721268967E-2</c:v>
                </c:pt>
                <c:pt idx="60">
                  <c:v>7.7013907336893381E-2</c:v>
                </c:pt>
                <c:pt idx="61">
                  <c:v>7.6230423224890334E-2</c:v>
                </c:pt>
                <c:pt idx="62">
                  <c:v>7.3635991936782969E-2</c:v>
                </c:pt>
                <c:pt idx="63">
                  <c:v>7.3316809702816413E-2</c:v>
                </c:pt>
                <c:pt idx="64">
                  <c:v>7.2806814778853299E-2</c:v>
                </c:pt>
                <c:pt idx="65">
                  <c:v>7.2397672706528096E-2</c:v>
                </c:pt>
                <c:pt idx="66">
                  <c:v>7.1473653817144142E-2</c:v>
                </c:pt>
                <c:pt idx="67">
                  <c:v>7.13611797411942E-2</c:v>
                </c:pt>
                <c:pt idx="68">
                  <c:v>7.002133691608832E-2</c:v>
                </c:pt>
                <c:pt idx="69">
                  <c:v>6.8772477523784584E-2</c:v>
                </c:pt>
                <c:pt idx="70">
                  <c:v>6.8409654415214696E-2</c:v>
                </c:pt>
                <c:pt idx="71">
                  <c:v>6.7206824473160606E-2</c:v>
                </c:pt>
                <c:pt idx="72">
                  <c:v>6.5488219467954537E-2</c:v>
                </c:pt>
                <c:pt idx="73">
                  <c:v>6.5151025259738995E-2</c:v>
                </c:pt>
                <c:pt idx="74">
                  <c:v>6.4478579055247259E-2</c:v>
                </c:pt>
                <c:pt idx="75">
                  <c:v>6.3783225916894157E-2</c:v>
                </c:pt>
                <c:pt idx="76">
                  <c:v>6.3256169727008274E-2</c:v>
                </c:pt>
                <c:pt idx="77">
                  <c:v>6.2685815977951476E-2</c:v>
                </c:pt>
                <c:pt idx="78">
                  <c:v>6.2206377817948903E-2</c:v>
                </c:pt>
                <c:pt idx="79">
                  <c:v>5.936281486467862E-2</c:v>
                </c:pt>
                <c:pt idx="80">
                  <c:v>5.7606083590810847E-2</c:v>
                </c:pt>
                <c:pt idx="81">
                  <c:v>5.7152054211669759E-2</c:v>
                </c:pt>
                <c:pt idx="82">
                  <c:v>5.6870640084475267E-2</c:v>
                </c:pt>
                <c:pt idx="83">
                  <c:v>5.6859210907871022E-2</c:v>
                </c:pt>
                <c:pt idx="84">
                  <c:v>5.6679925539825815E-2</c:v>
                </c:pt>
                <c:pt idx="85">
                  <c:v>5.6434373419629182E-2</c:v>
                </c:pt>
                <c:pt idx="86">
                  <c:v>5.6384357268326565E-2</c:v>
                </c:pt>
                <c:pt idx="87">
                  <c:v>5.3270439890125004E-2</c:v>
                </c:pt>
                <c:pt idx="88">
                  <c:v>5.2559505856757019E-2</c:v>
                </c:pt>
                <c:pt idx="89">
                  <c:v>5.1794334882401177E-2</c:v>
                </c:pt>
                <c:pt idx="90">
                  <c:v>5.1715241839351257E-2</c:v>
                </c:pt>
                <c:pt idx="91">
                  <c:v>4.8246147840943922E-2</c:v>
                </c:pt>
                <c:pt idx="92">
                  <c:v>4.8165651902832243E-2</c:v>
                </c:pt>
                <c:pt idx="93">
                  <c:v>4.6329855201733869E-2</c:v>
                </c:pt>
                <c:pt idx="94">
                  <c:v>4.6311950376388925E-2</c:v>
                </c:pt>
                <c:pt idx="95">
                  <c:v>4.5617253905179067E-2</c:v>
                </c:pt>
                <c:pt idx="96">
                  <c:v>4.3071034808198981E-2</c:v>
                </c:pt>
                <c:pt idx="97">
                  <c:v>4.2762926317455742E-2</c:v>
                </c:pt>
                <c:pt idx="98">
                  <c:v>4.2649803236947656E-2</c:v>
                </c:pt>
                <c:pt idx="99">
                  <c:v>4.2279446385241858E-2</c:v>
                </c:pt>
                <c:pt idx="100">
                  <c:v>4.1614358030598063E-2</c:v>
                </c:pt>
                <c:pt idx="101">
                  <c:v>4.1434094270474613E-2</c:v>
                </c:pt>
                <c:pt idx="102">
                  <c:v>4.0272090173684577E-2</c:v>
                </c:pt>
                <c:pt idx="103">
                  <c:v>3.9587504664660302E-2</c:v>
                </c:pt>
                <c:pt idx="104">
                  <c:v>3.9553690091862825E-2</c:v>
                </c:pt>
                <c:pt idx="105">
                  <c:v>3.9035836953895217E-2</c:v>
                </c:pt>
                <c:pt idx="106">
                  <c:v>3.875645155171515E-2</c:v>
                </c:pt>
                <c:pt idx="107">
                  <c:v>3.8582578136410445E-2</c:v>
                </c:pt>
                <c:pt idx="108">
                  <c:v>3.6592358527449929E-2</c:v>
                </c:pt>
                <c:pt idx="109">
                  <c:v>3.5474371444473261E-2</c:v>
                </c:pt>
                <c:pt idx="110">
                  <c:v>3.4001755219178351E-2</c:v>
                </c:pt>
                <c:pt idx="111">
                  <c:v>3.3583592155971974E-2</c:v>
                </c:pt>
                <c:pt idx="112">
                  <c:v>2.7788433600895019E-2</c:v>
                </c:pt>
                <c:pt idx="113">
                  <c:v>2.7754036745164259E-2</c:v>
                </c:pt>
                <c:pt idx="114">
                  <c:v>2.3669162192658775E-2</c:v>
                </c:pt>
                <c:pt idx="115">
                  <c:v>2.2921569659062068E-2</c:v>
                </c:pt>
                <c:pt idx="116">
                  <c:v>2.254005461011676E-2</c:v>
                </c:pt>
                <c:pt idx="117">
                  <c:v>1.9721791525960156E-2</c:v>
                </c:pt>
                <c:pt idx="118">
                  <c:v>1.9649534642878129E-2</c:v>
                </c:pt>
                <c:pt idx="119">
                  <c:v>1.8673582650305765E-2</c:v>
                </c:pt>
                <c:pt idx="120">
                  <c:v>1.8516655100932037E-2</c:v>
                </c:pt>
                <c:pt idx="121">
                  <c:v>1.6852483554714578E-2</c:v>
                </c:pt>
                <c:pt idx="122">
                  <c:v>1.6629655224888632E-2</c:v>
                </c:pt>
                <c:pt idx="123">
                  <c:v>1.5400689475897164E-2</c:v>
                </c:pt>
                <c:pt idx="124">
                  <c:v>1.4547275053778558E-2</c:v>
                </c:pt>
                <c:pt idx="125">
                  <c:v>1.4114164774136398E-2</c:v>
                </c:pt>
                <c:pt idx="126">
                  <c:v>1.3052183517299606E-2</c:v>
                </c:pt>
                <c:pt idx="127">
                  <c:v>9.256648684340953E-3</c:v>
                </c:pt>
                <c:pt idx="128">
                  <c:v>8.5232582806043459E-3</c:v>
                </c:pt>
                <c:pt idx="129">
                  <c:v>3.3075028636726502E-3</c:v>
                </c:pt>
                <c:pt idx="130">
                  <c:v>0</c:v>
                </c:pt>
                <c:pt idx="131">
                  <c:v>0</c:v>
                </c:pt>
                <c:pt idx="132">
                  <c:v>0</c:v>
                </c:pt>
              </c:numCache>
              <c:extLst/>
            </c:numRef>
          </c:val>
          <c:extLst>
            <c:ext xmlns:c16="http://schemas.microsoft.com/office/drawing/2014/chart" uri="{C3380CC4-5D6E-409C-BE32-E72D297353CC}">
              <c16:uniqueId val="{00000000-C8B3-4E70-AC47-95E9B93BE60A}"/>
            </c:ext>
          </c:extLst>
        </c:ser>
        <c:dLbls>
          <c:showLegendKey val="0"/>
          <c:showVal val="0"/>
          <c:showCatName val="0"/>
          <c:showSerName val="0"/>
          <c:showPercent val="0"/>
          <c:showBubbleSize val="0"/>
        </c:dLbls>
        <c:gapWidth val="100"/>
        <c:axId val="525130432"/>
        <c:axId val="840495136"/>
      </c:barChart>
      <c:lineChart>
        <c:grouping val="standard"/>
        <c:varyColors val="0"/>
        <c:ser>
          <c:idx val="0"/>
          <c:order val="0"/>
          <c:tx>
            <c:strRef>
              <c:f>TakeupChart!$G$1</c:f>
              <c:strCache>
                <c:ptCount val="1"/>
                <c:pt idx="0">
                  <c:v>Proportion of JSA clients with LLN needs referred to SEE</c:v>
                </c:pt>
              </c:strCache>
            </c:strRef>
          </c:tx>
          <c:spPr>
            <a:ln w="28575" cap="rnd">
              <a:noFill/>
              <a:round/>
            </a:ln>
            <a:effectLst/>
          </c:spPr>
          <c:marker>
            <c:symbol val="circle"/>
            <c:size val="5"/>
            <c:spPr>
              <a:solidFill>
                <a:schemeClr val="accent2"/>
              </a:solidFill>
              <a:ln w="9525">
                <a:solidFill>
                  <a:schemeClr val="accent2"/>
                </a:solidFill>
              </a:ln>
              <a:effectLst/>
            </c:spPr>
          </c:marker>
          <c:cat>
            <c:strLit>
              <c:ptCount val="133"/>
              <c:pt idx="0">
                <c:v>100%</c:v>
              </c:pt>
              <c:pt idx="1">
                <c:v>300%</c:v>
              </c:pt>
              <c:pt idx="2">
                <c:v>400%</c:v>
              </c:pt>
              <c:pt idx="3">
                <c:v>500%</c:v>
              </c:pt>
              <c:pt idx="4">
                <c:v>600%</c:v>
              </c:pt>
              <c:pt idx="5">
                <c:v>700%</c:v>
              </c:pt>
              <c:pt idx="6">
                <c:v>800%</c:v>
              </c:pt>
              <c:pt idx="7">
                <c:v>900%</c:v>
              </c:pt>
              <c:pt idx="8">
                <c:v>1000%</c:v>
              </c:pt>
              <c:pt idx="9">
                <c:v>1100%</c:v>
              </c:pt>
              <c:pt idx="10">
                <c:v>1200%</c:v>
              </c:pt>
              <c:pt idx="11">
                <c:v>1300%</c:v>
              </c:pt>
              <c:pt idx="12">
                <c:v>1400%</c:v>
              </c:pt>
              <c:pt idx="13">
                <c:v>1500%</c:v>
              </c:pt>
              <c:pt idx="14">
                <c:v>1600%</c:v>
              </c:pt>
              <c:pt idx="15">
                <c:v>1700%</c:v>
              </c:pt>
              <c:pt idx="16">
                <c:v>1800%</c:v>
              </c:pt>
              <c:pt idx="17">
                <c:v>1900%</c:v>
              </c:pt>
              <c:pt idx="18">
                <c:v>2000%</c:v>
              </c:pt>
              <c:pt idx="19">
                <c:v>2100%</c:v>
              </c:pt>
              <c:pt idx="20">
                <c:v>2200%</c:v>
              </c:pt>
              <c:pt idx="21">
                <c:v>2300%</c:v>
              </c:pt>
              <c:pt idx="22">
                <c:v>2400%</c:v>
              </c:pt>
              <c:pt idx="23">
                <c:v>2500%</c:v>
              </c:pt>
              <c:pt idx="24">
                <c:v>2600%</c:v>
              </c:pt>
              <c:pt idx="25">
                <c:v>2700%</c:v>
              </c:pt>
              <c:pt idx="26">
                <c:v>2800%</c:v>
              </c:pt>
              <c:pt idx="27">
                <c:v>2900%</c:v>
              </c:pt>
              <c:pt idx="28">
                <c:v>3000%</c:v>
              </c:pt>
              <c:pt idx="29">
                <c:v>3100%</c:v>
              </c:pt>
              <c:pt idx="30">
                <c:v>3200%</c:v>
              </c:pt>
              <c:pt idx="31">
                <c:v>3300%</c:v>
              </c:pt>
              <c:pt idx="32">
                <c:v>3400%</c:v>
              </c:pt>
              <c:pt idx="33">
                <c:v>3500%</c:v>
              </c:pt>
              <c:pt idx="34">
                <c:v>3600%</c:v>
              </c:pt>
              <c:pt idx="35">
                <c:v>3700%</c:v>
              </c:pt>
              <c:pt idx="36">
                <c:v>3800%</c:v>
              </c:pt>
              <c:pt idx="37">
                <c:v>3900%</c:v>
              </c:pt>
              <c:pt idx="38">
                <c:v>4000%</c:v>
              </c:pt>
              <c:pt idx="39">
                <c:v>4100%</c:v>
              </c:pt>
              <c:pt idx="40">
                <c:v>4200%</c:v>
              </c:pt>
              <c:pt idx="41">
                <c:v>4300%</c:v>
              </c:pt>
              <c:pt idx="42">
                <c:v>4400%</c:v>
              </c:pt>
              <c:pt idx="43">
                <c:v>4500%</c:v>
              </c:pt>
              <c:pt idx="44">
                <c:v>4600%</c:v>
              </c:pt>
              <c:pt idx="45">
                <c:v>4700%</c:v>
              </c:pt>
              <c:pt idx="46">
                <c:v>4800%</c:v>
              </c:pt>
              <c:pt idx="47">
                <c:v>4900%</c:v>
              </c:pt>
              <c:pt idx="48">
                <c:v>5000%</c:v>
              </c:pt>
              <c:pt idx="49">
                <c:v>5100%</c:v>
              </c:pt>
              <c:pt idx="50">
                <c:v>5200%</c:v>
              </c:pt>
              <c:pt idx="51">
                <c:v>5300%</c:v>
              </c:pt>
              <c:pt idx="52">
                <c:v>5400%</c:v>
              </c:pt>
              <c:pt idx="53">
                <c:v>5500%</c:v>
              </c:pt>
              <c:pt idx="54">
                <c:v>5600%</c:v>
              </c:pt>
              <c:pt idx="55">
                <c:v>5700%</c:v>
              </c:pt>
              <c:pt idx="56">
                <c:v>5800%</c:v>
              </c:pt>
              <c:pt idx="57">
                <c:v>5900%</c:v>
              </c:pt>
              <c:pt idx="58">
                <c:v>6000%</c:v>
              </c:pt>
              <c:pt idx="59">
                <c:v>6100%</c:v>
              </c:pt>
              <c:pt idx="60">
                <c:v>6200%</c:v>
              </c:pt>
              <c:pt idx="61">
                <c:v>6300%</c:v>
              </c:pt>
              <c:pt idx="62">
                <c:v>6400%</c:v>
              </c:pt>
              <c:pt idx="63">
                <c:v>6500%</c:v>
              </c:pt>
              <c:pt idx="64">
                <c:v>6600%</c:v>
              </c:pt>
              <c:pt idx="65">
                <c:v>6700%</c:v>
              </c:pt>
              <c:pt idx="66">
                <c:v>6800%</c:v>
              </c:pt>
              <c:pt idx="67">
                <c:v>6900%</c:v>
              </c:pt>
              <c:pt idx="68">
                <c:v>7000%</c:v>
              </c:pt>
              <c:pt idx="69">
                <c:v>7100%</c:v>
              </c:pt>
              <c:pt idx="70">
                <c:v>7200%</c:v>
              </c:pt>
              <c:pt idx="71">
                <c:v>7300%</c:v>
              </c:pt>
              <c:pt idx="72">
                <c:v>7400%</c:v>
              </c:pt>
              <c:pt idx="73">
                <c:v>7500%</c:v>
              </c:pt>
              <c:pt idx="74">
                <c:v>7600%</c:v>
              </c:pt>
              <c:pt idx="75">
                <c:v>7700%</c:v>
              </c:pt>
              <c:pt idx="76">
                <c:v>7800%</c:v>
              </c:pt>
              <c:pt idx="77">
                <c:v>7900%</c:v>
              </c:pt>
              <c:pt idx="78">
                <c:v>8000%</c:v>
              </c:pt>
              <c:pt idx="79">
                <c:v>8100%</c:v>
              </c:pt>
              <c:pt idx="80">
                <c:v>8200%</c:v>
              </c:pt>
              <c:pt idx="81">
                <c:v>8300%</c:v>
              </c:pt>
              <c:pt idx="82">
                <c:v>8400%</c:v>
              </c:pt>
              <c:pt idx="83">
                <c:v>8500%</c:v>
              </c:pt>
              <c:pt idx="84">
                <c:v>8600%</c:v>
              </c:pt>
              <c:pt idx="85">
                <c:v>8700%</c:v>
              </c:pt>
              <c:pt idx="86">
                <c:v>8800%</c:v>
              </c:pt>
              <c:pt idx="87">
                <c:v>8900%</c:v>
              </c:pt>
              <c:pt idx="88">
                <c:v>9000%</c:v>
              </c:pt>
              <c:pt idx="89">
                <c:v>9100%</c:v>
              </c:pt>
              <c:pt idx="90">
                <c:v>9200%</c:v>
              </c:pt>
              <c:pt idx="91">
                <c:v>9300%</c:v>
              </c:pt>
              <c:pt idx="92">
                <c:v>9400%</c:v>
              </c:pt>
              <c:pt idx="93">
                <c:v>9500%</c:v>
              </c:pt>
              <c:pt idx="94">
                <c:v>9600%</c:v>
              </c:pt>
              <c:pt idx="95">
                <c:v>9700%</c:v>
              </c:pt>
              <c:pt idx="96">
                <c:v>9800%</c:v>
              </c:pt>
              <c:pt idx="97">
                <c:v>9900%</c:v>
              </c:pt>
              <c:pt idx="98">
                <c:v>10000%</c:v>
              </c:pt>
              <c:pt idx="99">
                <c:v>10100%</c:v>
              </c:pt>
              <c:pt idx="100">
                <c:v>10200%</c:v>
              </c:pt>
              <c:pt idx="101">
                <c:v>10300%</c:v>
              </c:pt>
              <c:pt idx="102">
                <c:v>10400%</c:v>
              </c:pt>
              <c:pt idx="103">
                <c:v>10500%</c:v>
              </c:pt>
              <c:pt idx="104">
                <c:v>10600%</c:v>
              </c:pt>
              <c:pt idx="105">
                <c:v>10700%</c:v>
              </c:pt>
              <c:pt idx="106">
                <c:v>10800%</c:v>
              </c:pt>
              <c:pt idx="107">
                <c:v>10900%</c:v>
              </c:pt>
              <c:pt idx="108">
                <c:v>11000%</c:v>
              </c:pt>
              <c:pt idx="109">
                <c:v>11100%</c:v>
              </c:pt>
              <c:pt idx="110">
                <c:v>11200%</c:v>
              </c:pt>
              <c:pt idx="111">
                <c:v>11300%</c:v>
              </c:pt>
              <c:pt idx="112">
                <c:v>11400%</c:v>
              </c:pt>
              <c:pt idx="113">
                <c:v>11500%</c:v>
              </c:pt>
              <c:pt idx="114">
                <c:v>11600%</c:v>
              </c:pt>
              <c:pt idx="115">
                <c:v>11700%</c:v>
              </c:pt>
              <c:pt idx="116">
                <c:v>11800%</c:v>
              </c:pt>
              <c:pt idx="117">
                <c:v>11900%</c:v>
              </c:pt>
              <c:pt idx="118">
                <c:v>12000%</c:v>
              </c:pt>
              <c:pt idx="119">
                <c:v>12100%</c:v>
              </c:pt>
              <c:pt idx="120">
                <c:v>12200%</c:v>
              </c:pt>
              <c:pt idx="121">
                <c:v>12300%</c:v>
              </c:pt>
              <c:pt idx="122">
                <c:v>12400%</c:v>
              </c:pt>
              <c:pt idx="123">
                <c:v>12500%</c:v>
              </c:pt>
              <c:pt idx="124">
                <c:v>12600%</c:v>
              </c:pt>
              <c:pt idx="125">
                <c:v>12700%</c:v>
              </c:pt>
              <c:pt idx="126">
                <c:v>12800%</c:v>
              </c:pt>
              <c:pt idx="127">
                <c:v>12900%</c:v>
              </c:pt>
              <c:pt idx="128">
                <c:v>13000%</c:v>
              </c:pt>
              <c:pt idx="129">
                <c:v>13100%</c:v>
              </c:pt>
              <c:pt idx="130">
                <c:v>13200%</c:v>
              </c:pt>
              <c:pt idx="131">
                <c:v>13300%</c:v>
              </c:pt>
              <c:pt idx="132">
                <c:v>13400%</c:v>
              </c:pt>
              <c:extLst>
                <c:ext xmlns:c15="http://schemas.microsoft.com/office/drawing/2012/chart" uri="{02D57815-91ED-43cb-92C2-25804820EDAC}">
                  <c15:autoCat val="1"/>
                </c:ext>
              </c:extLst>
            </c:strLit>
          </c:cat>
          <c:val>
            <c:numRef>
              <c:f>TakeupChart!$G$3:$G$136</c:f>
              <c:numCache>
                <c:formatCode>0%</c:formatCode>
                <c:ptCount val="133"/>
                <c:pt idx="0">
                  <c:v>0.8884662527923074</c:v>
                </c:pt>
                <c:pt idx="1">
                  <c:v>0.86381229514558944</c:v>
                </c:pt>
                <c:pt idx="2">
                  <c:v>0.53747850673024855</c:v>
                </c:pt>
                <c:pt idx="3">
                  <c:v>0.57250620726224122</c:v>
                </c:pt>
                <c:pt idx="4">
                  <c:v>0.5617745952965465</c:v>
                </c:pt>
                <c:pt idx="5">
                  <c:v>0.36477067060313162</c:v>
                </c:pt>
                <c:pt idx="6">
                  <c:v>0.33100454519566336</c:v>
                </c:pt>
                <c:pt idx="7">
                  <c:v>0.34212078037794152</c:v>
                </c:pt>
                <c:pt idx="8">
                  <c:v>0.41889886937784387</c:v>
                </c:pt>
                <c:pt idx="9">
                  <c:v>0.26493733202934067</c:v>
                </c:pt>
                <c:pt idx="10">
                  <c:v>0.43203056856289568</c:v>
                </c:pt>
                <c:pt idx="11">
                  <c:v>0.28054889648051778</c:v>
                </c:pt>
                <c:pt idx="12">
                  <c:v>0.24797446806360071</c:v>
                </c:pt>
                <c:pt idx="13">
                  <c:v>0.31522056842865409</c:v>
                </c:pt>
                <c:pt idx="14">
                  <c:v>0.2881021548654682</c:v>
                </c:pt>
                <c:pt idx="15">
                  <c:v>0.48678910478218723</c:v>
                </c:pt>
                <c:pt idx="16">
                  <c:v>0.38387089654007567</c:v>
                </c:pt>
                <c:pt idx="17">
                  <c:v>0.27305367185427276</c:v>
                </c:pt>
                <c:pt idx="18">
                  <c:v>0.35441071781759048</c:v>
                </c:pt>
                <c:pt idx="19">
                  <c:v>0.24868270697758085</c:v>
                </c:pt>
                <c:pt idx="20">
                  <c:v>0.2947068264455569</c:v>
                </c:pt>
                <c:pt idx="21">
                  <c:v>0.19733090816549562</c:v>
                </c:pt>
                <c:pt idx="22">
                  <c:v>0.27443513913519679</c:v>
                </c:pt>
                <c:pt idx="23">
                  <c:v>0.2125652519888423</c:v>
                </c:pt>
                <c:pt idx="24">
                  <c:v>0.22803253417189445</c:v>
                </c:pt>
                <c:pt idx="25">
                  <c:v>0.26374720913731636</c:v>
                </c:pt>
                <c:pt idx="26">
                  <c:v>0.23467360618980682</c:v>
                </c:pt>
                <c:pt idx="27">
                  <c:v>0.24910086406996271</c:v>
                </c:pt>
                <c:pt idx="28">
                  <c:v>0.34928466808395542</c:v>
                </c:pt>
                <c:pt idx="29">
                  <c:v>0.45053486542495408</c:v>
                </c:pt>
                <c:pt idx="30">
                  <c:v>0.24901365498227671</c:v>
                </c:pt>
                <c:pt idx="31">
                  <c:v>0.27184682853113529</c:v>
                </c:pt>
                <c:pt idx="32">
                  <c:v>0.19664063123063147</c:v>
                </c:pt>
                <c:pt idx="33">
                  <c:v>0.20616616287703704</c:v>
                </c:pt>
                <c:pt idx="34">
                  <c:v>0.22423703349353827</c:v>
                </c:pt>
                <c:pt idx="35">
                  <c:v>0.1775812875030969</c:v>
                </c:pt>
                <c:pt idx="36">
                  <c:v>0.18087889570614674</c:v>
                </c:pt>
                <c:pt idx="37">
                  <c:v>0.19196711015478618</c:v>
                </c:pt>
                <c:pt idx="38">
                  <c:v>0.26974732202680418</c:v>
                </c:pt>
                <c:pt idx="39">
                  <c:v>0.15485515640579192</c:v>
                </c:pt>
                <c:pt idx="40">
                  <c:v>0.15011524147765096</c:v>
                </c:pt>
                <c:pt idx="41">
                  <c:v>0.13185497980759314</c:v>
                </c:pt>
                <c:pt idx="42">
                  <c:v>0.15387453978484328</c:v>
                </c:pt>
                <c:pt idx="43">
                  <c:v>0.22354473699747648</c:v>
                </c:pt>
                <c:pt idx="44">
                  <c:v>0.18566390049070214</c:v>
                </c:pt>
                <c:pt idx="45">
                  <c:v>0.1687068388411945</c:v>
                </c:pt>
                <c:pt idx="46">
                  <c:v>0.2206877513081768</c:v>
                </c:pt>
                <c:pt idx="47">
                  <c:v>0.16123801089451337</c:v>
                </c:pt>
                <c:pt idx="48">
                  <c:v>0.17260069746886111</c:v>
                </c:pt>
                <c:pt idx="49">
                  <c:v>0.27594475142435404</c:v>
                </c:pt>
                <c:pt idx="50">
                  <c:v>0.2343750744793251</c:v>
                </c:pt>
                <c:pt idx="51">
                  <c:v>0.13131741577189981</c:v>
                </c:pt>
                <c:pt idx="52">
                  <c:v>0.14501290957025492</c:v>
                </c:pt>
                <c:pt idx="53">
                  <c:v>0.18311030498186545</c:v>
                </c:pt>
                <c:pt idx="54">
                  <c:v>0.17652498748539677</c:v>
                </c:pt>
                <c:pt idx="55">
                  <c:v>0.13541143357897317</c:v>
                </c:pt>
                <c:pt idx="56">
                  <c:v>0.21489121713337125</c:v>
                </c:pt>
                <c:pt idx="57">
                  <c:v>0.24129950583026324</c:v>
                </c:pt>
                <c:pt idx="58">
                  <c:v>0.14392955211626504</c:v>
                </c:pt>
                <c:pt idx="59">
                  <c:v>0.15306231078366825</c:v>
                </c:pt>
                <c:pt idx="60">
                  <c:v>0.12586501667017411</c:v>
                </c:pt>
                <c:pt idx="61">
                  <c:v>0.1372147618048026</c:v>
                </c:pt>
                <c:pt idx="62">
                  <c:v>0.13284843906120639</c:v>
                </c:pt>
                <c:pt idx="63">
                  <c:v>0.1313592840508794</c:v>
                </c:pt>
                <c:pt idx="64">
                  <c:v>0.1273166289850105</c:v>
                </c:pt>
                <c:pt idx="65">
                  <c:v>0.17013453086034103</c:v>
                </c:pt>
                <c:pt idx="66">
                  <c:v>0.11107170110434353</c:v>
                </c:pt>
                <c:pt idx="67">
                  <c:v>0.25690024706829911</c:v>
                </c:pt>
                <c:pt idx="68">
                  <c:v>0.10114193110101646</c:v>
                </c:pt>
                <c:pt idx="69">
                  <c:v>0.10472172713849016</c:v>
                </c:pt>
                <c:pt idx="70">
                  <c:v>0.1373027692856606</c:v>
                </c:pt>
                <c:pt idx="71">
                  <c:v>0.1271085593296733</c:v>
                </c:pt>
                <c:pt idx="72">
                  <c:v>0.11404533829297449</c:v>
                </c:pt>
                <c:pt idx="73">
                  <c:v>0.15201905893939099</c:v>
                </c:pt>
                <c:pt idx="74">
                  <c:v>0.12865444177690183</c:v>
                </c:pt>
                <c:pt idx="75">
                  <c:v>0.10699121766704826</c:v>
                </c:pt>
                <c:pt idx="76">
                  <c:v>0.16057335392240563</c:v>
                </c:pt>
                <c:pt idx="77">
                  <c:v>0.11030292619197231</c:v>
                </c:pt>
                <c:pt idx="78">
                  <c:v>0.11350644264184183</c:v>
                </c:pt>
                <c:pt idx="79">
                  <c:v>0.11936393956661186</c:v>
                </c:pt>
                <c:pt idx="80">
                  <c:v>0.12892790136991</c:v>
                </c:pt>
                <c:pt idx="81">
                  <c:v>9.8684913483504305E-2</c:v>
                </c:pt>
                <c:pt idx="82">
                  <c:v>0.10926327701269264</c:v>
                </c:pt>
                <c:pt idx="83">
                  <c:v>0.11101084034393865</c:v>
                </c:pt>
                <c:pt idx="84">
                  <c:v>8.9815882009262438E-2</c:v>
                </c:pt>
                <c:pt idx="85">
                  <c:v>9.3342929875504813E-2</c:v>
                </c:pt>
                <c:pt idx="86">
                  <c:v>0.10227860155649936</c:v>
                </c:pt>
                <c:pt idx="87">
                  <c:v>0.16780188565389376</c:v>
                </c:pt>
                <c:pt idx="88">
                  <c:v>9.2737205045335697E-2</c:v>
                </c:pt>
                <c:pt idx="89">
                  <c:v>9.3229802788322116E-2</c:v>
                </c:pt>
                <c:pt idx="90">
                  <c:v>0.27667654384052925</c:v>
                </c:pt>
                <c:pt idx="91">
                  <c:v>0.11045030071763264</c:v>
                </c:pt>
                <c:pt idx="92">
                  <c:v>7.4595009613617119E-2</c:v>
                </c:pt>
                <c:pt idx="93">
                  <c:v>0.14962264712691101</c:v>
                </c:pt>
                <c:pt idx="94">
                  <c:v>9.3132823284386518E-2</c:v>
                </c:pt>
                <c:pt idx="95">
                  <c:v>9.0474220245271811E-2</c:v>
                </c:pt>
                <c:pt idx="96">
                  <c:v>6.7683054698598394E-2</c:v>
                </c:pt>
                <c:pt idx="97">
                  <c:v>0.17105170526982297</c:v>
                </c:pt>
                <c:pt idx="98">
                  <c:v>8.0308672052550364E-2</c:v>
                </c:pt>
                <c:pt idx="99">
                  <c:v>0.10569861596310465</c:v>
                </c:pt>
                <c:pt idx="100">
                  <c:v>6.8541295579808578E-2</c:v>
                </c:pt>
                <c:pt idx="101">
                  <c:v>7.5334716855408379E-2</c:v>
                </c:pt>
                <c:pt idx="102">
                  <c:v>6.4882811946491814E-2</c:v>
                </c:pt>
                <c:pt idx="103">
                  <c:v>7.6751284553933236E-2</c:v>
                </c:pt>
                <c:pt idx="104">
                  <c:v>6.1196275236467007E-2</c:v>
                </c:pt>
                <c:pt idx="105">
                  <c:v>0.12547233306609176</c:v>
                </c:pt>
                <c:pt idx="106">
                  <c:v>9.0928597871331701E-2</c:v>
                </c:pt>
                <c:pt idx="107">
                  <c:v>6.7208361915037554E-2</c:v>
                </c:pt>
                <c:pt idx="108">
                  <c:v>8.6041491672652529E-2</c:v>
                </c:pt>
                <c:pt idx="109">
                  <c:v>6.136107493098078E-2</c:v>
                </c:pt>
                <c:pt idx="110">
                  <c:v>7.2860904041096464E-2</c:v>
                </c:pt>
                <c:pt idx="111">
                  <c:v>5.4446126677106084E-2</c:v>
                </c:pt>
                <c:pt idx="112">
                  <c:v>5.9454323053077712E-2</c:v>
                </c:pt>
                <c:pt idx="113">
                  <c:v>0.3638862595477092</c:v>
                </c:pt>
                <c:pt idx="114">
                  <c:v>3.7655485306502597E-2</c:v>
                </c:pt>
                <c:pt idx="115">
                  <c:v>5.2647980310658184E-2</c:v>
                </c:pt>
                <c:pt idx="116">
                  <c:v>4.1323433451880727E-2</c:v>
                </c:pt>
                <c:pt idx="117">
                  <c:v>0.10353940551129082</c:v>
                </c:pt>
                <c:pt idx="118">
                  <c:v>4.3041837789161617E-2</c:v>
                </c:pt>
                <c:pt idx="119">
                  <c:v>3.5441697683233388E-2</c:v>
                </c:pt>
                <c:pt idx="120">
                  <c:v>7.1421383960737855E-2</c:v>
                </c:pt>
                <c:pt idx="121">
                  <c:v>3.5390215464900614E-2</c:v>
                </c:pt>
                <c:pt idx="122">
                  <c:v>2.3846298058330866E-2</c:v>
                </c:pt>
                <c:pt idx="123">
                  <c:v>7.3703299634650721E-2</c:v>
                </c:pt>
                <c:pt idx="124">
                  <c:v>5.8189100215114233E-2</c:v>
                </c:pt>
                <c:pt idx="125">
                  <c:v>2.9572535717238169E-2</c:v>
                </c:pt>
                <c:pt idx="126">
                  <c:v>3.9156550551898817E-2</c:v>
                </c:pt>
                <c:pt idx="127">
                  <c:v>1.6199135197596668E-2</c:v>
                </c:pt>
                <c:pt idx="128">
                  <c:v>2.1308145701510864E-2</c:v>
                </c:pt>
                <c:pt idx="129">
                  <c:v>4.6305040091417102E-2</c:v>
                </c:pt>
                <c:pt idx="130">
                  <c:v>7.3383258938131399E-2</c:v>
                </c:pt>
                <c:pt idx="131">
                  <c:v>4.7581165560430308E-2</c:v>
                </c:pt>
                <c:pt idx="132">
                  <c:v>3.7742043589239799E-2</c:v>
                </c:pt>
              </c:numCache>
              <c:extLst/>
            </c:numRef>
          </c:val>
          <c:smooth val="0"/>
          <c:extLst>
            <c:ext xmlns:c16="http://schemas.microsoft.com/office/drawing/2014/chart" uri="{C3380CC4-5D6E-409C-BE32-E72D297353CC}">
              <c16:uniqueId val="{00000001-C8B3-4E70-AC47-95E9B93BE60A}"/>
            </c:ext>
          </c:extLst>
        </c:ser>
        <c:dLbls>
          <c:showLegendKey val="0"/>
          <c:showVal val="0"/>
          <c:showCatName val="0"/>
          <c:showSerName val="0"/>
          <c:showPercent val="0"/>
          <c:showBubbleSize val="0"/>
        </c:dLbls>
        <c:marker val="1"/>
        <c:smooth val="0"/>
        <c:axId val="525130432"/>
        <c:axId val="840495136"/>
      </c:lineChart>
      <c:catAx>
        <c:axId val="525130432"/>
        <c:scaling>
          <c:orientation val="minMax"/>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SDAs</a:t>
                </a:r>
              </a:p>
            </c:rich>
          </c:tx>
          <c:overlay val="0"/>
          <c:spPr>
            <a:noFill/>
            <a:ln>
              <a:noFill/>
            </a:ln>
            <a:effectLst/>
          </c:spPr>
        </c:title>
        <c:numFmt formatCode="General" sourceLinked="0"/>
        <c:majorTickMark val="none"/>
        <c:minorTickMark val="none"/>
        <c:tickLblPos val="nextTo"/>
        <c:crossAx val="840495136"/>
        <c:crosses val="autoZero"/>
        <c:auto val="1"/>
        <c:lblAlgn val="ctr"/>
        <c:lblOffset val="100"/>
        <c:noMultiLvlLbl val="0"/>
      </c:catAx>
      <c:valAx>
        <c:axId val="840495136"/>
        <c:scaling>
          <c:orientation val="minMax"/>
          <c:max val="0.9"/>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13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80808912376678"/>
          <c:y val="5.9978189749182113E-2"/>
          <c:w val="0.8308175432539735"/>
          <c:h val="0.69516267527627751"/>
        </c:manualLayout>
      </c:layout>
      <c:barChart>
        <c:barDir val="col"/>
        <c:grouping val="clustered"/>
        <c:varyColors val="0"/>
        <c:ser>
          <c:idx val="0"/>
          <c:order val="0"/>
          <c:spPr>
            <a:solidFill>
              <a:schemeClr val="accent1"/>
            </a:solidFill>
            <a:ln>
              <a:noFill/>
            </a:ln>
            <a:effectLst/>
          </c:spPr>
          <c:invertIfNegative val="0"/>
          <c:cat>
            <c:strRef>
              <c:f>'Hours histogram'!$A$20:$A$30</c:f>
              <c:strCache>
                <c:ptCount val="11"/>
                <c:pt idx="0">
                  <c:v>1-4</c:v>
                </c:pt>
                <c:pt idx="1">
                  <c:v>5-9</c:v>
                </c:pt>
                <c:pt idx="2">
                  <c:v>10-15</c:v>
                </c:pt>
                <c:pt idx="3">
                  <c:v>15-19</c:v>
                </c:pt>
                <c:pt idx="4">
                  <c:v>20-24</c:v>
                </c:pt>
                <c:pt idx="5">
                  <c:v>25-29</c:v>
                </c:pt>
                <c:pt idx="6">
                  <c:v>30-34</c:v>
                </c:pt>
                <c:pt idx="7">
                  <c:v>35-39</c:v>
                </c:pt>
                <c:pt idx="8">
                  <c:v>40-44</c:v>
                </c:pt>
                <c:pt idx="9">
                  <c:v>45-49</c:v>
                </c:pt>
                <c:pt idx="10">
                  <c:v>50+</c:v>
                </c:pt>
              </c:strCache>
            </c:strRef>
          </c:cat>
          <c:val>
            <c:numRef>
              <c:f>'Hours histogram'!$B$20:$B$30</c:f>
              <c:numCache>
                <c:formatCode>0%</c:formatCode>
                <c:ptCount val="11"/>
                <c:pt idx="0">
                  <c:v>0.32898105478750639</c:v>
                </c:pt>
                <c:pt idx="1">
                  <c:v>0.30017921146953402</c:v>
                </c:pt>
                <c:pt idx="2">
                  <c:v>0.13748079877112135</c:v>
                </c:pt>
                <c:pt idx="3">
                  <c:v>0.14388120839733742</c:v>
                </c:pt>
                <c:pt idx="4">
                  <c:v>4.3650793650793648E-2</c:v>
                </c:pt>
                <c:pt idx="5">
                  <c:v>1.6769073220686125E-2</c:v>
                </c:pt>
                <c:pt idx="6">
                  <c:v>1.5488991295442909E-2</c:v>
                </c:pt>
                <c:pt idx="7">
                  <c:v>5.248335893497184E-3</c:v>
                </c:pt>
                <c:pt idx="8">
                  <c:v>3.4562211981566822E-3</c:v>
                </c:pt>
                <c:pt idx="9">
                  <c:v>2.8161802355350742E-3</c:v>
                </c:pt>
                <c:pt idx="10">
                  <c:v>2.0481310803891449E-3</c:v>
                </c:pt>
              </c:numCache>
            </c:numRef>
          </c:val>
          <c:extLst>
            <c:ext xmlns:c16="http://schemas.microsoft.com/office/drawing/2014/chart" uri="{C3380CC4-5D6E-409C-BE32-E72D297353CC}">
              <c16:uniqueId val="{00000000-B617-4ABC-8B06-A1185ED22585}"/>
            </c:ext>
          </c:extLst>
        </c:ser>
        <c:dLbls>
          <c:showLegendKey val="0"/>
          <c:showVal val="0"/>
          <c:showCatName val="0"/>
          <c:showSerName val="0"/>
          <c:showPercent val="0"/>
          <c:showBubbleSize val="0"/>
        </c:dLbls>
        <c:gapWidth val="219"/>
        <c:overlap val="-27"/>
        <c:axId val="680119584"/>
        <c:axId val="680119976"/>
      </c:barChart>
      <c:catAx>
        <c:axId val="6801195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Hours</a:t>
                </a:r>
                <a:r>
                  <a:rPr lang="en-AU" sz="900" baseline="0"/>
                  <a:t> of small group training</a:t>
                </a:r>
                <a:endParaRPr lang="en-AU" sz="900"/>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119976"/>
        <c:crosses val="autoZero"/>
        <c:auto val="1"/>
        <c:lblAlgn val="ctr"/>
        <c:lblOffset val="100"/>
        <c:noMultiLvlLbl val="0"/>
      </c:catAx>
      <c:valAx>
        <c:axId val="680119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119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9247367633433"/>
          <c:y val="6.7484662576687116E-2"/>
          <c:w val="0.83772713813118693"/>
          <c:h val="0.65599729481667557"/>
        </c:manualLayout>
      </c:layout>
      <c:lineChart>
        <c:grouping val="standard"/>
        <c:varyColors val="0"/>
        <c:ser>
          <c:idx val="0"/>
          <c:order val="0"/>
          <c:tx>
            <c:strRef>
              <c:f>'program takeup'!$R$22</c:f>
              <c:strCache>
                <c:ptCount val="1"/>
                <c:pt idx="0">
                  <c:v>Non-CALD, non-Indigenous</c:v>
                </c:pt>
              </c:strCache>
            </c:strRef>
          </c:tx>
          <c:spPr>
            <a:ln w="28575" cap="rnd">
              <a:solidFill>
                <a:schemeClr val="accent1"/>
              </a:solidFill>
              <a:round/>
            </a:ln>
            <a:effectLst/>
          </c:spPr>
          <c:marker>
            <c:symbol val="none"/>
          </c:marker>
          <c:cat>
            <c:strRef>
              <c:f>'program takeup'!$Q$23:$Q$26</c:f>
              <c:strCache>
                <c:ptCount val="4"/>
                <c:pt idx="0">
                  <c:v>2010-11</c:v>
                </c:pt>
                <c:pt idx="1">
                  <c:v>2011-12</c:v>
                </c:pt>
                <c:pt idx="2">
                  <c:v>2012-13</c:v>
                </c:pt>
                <c:pt idx="3">
                  <c:v>2013-14</c:v>
                </c:pt>
              </c:strCache>
            </c:strRef>
          </c:cat>
          <c:val>
            <c:numRef>
              <c:f>'program takeup'!$R$23:$R$26</c:f>
              <c:numCache>
                <c:formatCode>0%</c:formatCode>
                <c:ptCount val="4"/>
                <c:pt idx="0">
                  <c:v>3.5393690689920494E-2</c:v>
                </c:pt>
                <c:pt idx="1">
                  <c:v>3.7351880473982482E-2</c:v>
                </c:pt>
                <c:pt idx="2">
                  <c:v>6.6943005181347146E-2</c:v>
                </c:pt>
                <c:pt idx="3">
                  <c:v>5.3846153846153849E-2</c:v>
                </c:pt>
              </c:numCache>
            </c:numRef>
          </c:val>
          <c:smooth val="0"/>
          <c:extLst>
            <c:ext xmlns:c16="http://schemas.microsoft.com/office/drawing/2014/chart" uri="{C3380CC4-5D6E-409C-BE32-E72D297353CC}">
              <c16:uniqueId val="{00000000-DBDF-4B88-82D7-91AA42B5C8E4}"/>
            </c:ext>
          </c:extLst>
        </c:ser>
        <c:ser>
          <c:idx val="1"/>
          <c:order val="1"/>
          <c:tx>
            <c:strRef>
              <c:f>'program takeup'!$S$22</c:f>
              <c:strCache>
                <c:ptCount val="1"/>
                <c:pt idx="0">
                  <c:v>CALD</c:v>
                </c:pt>
              </c:strCache>
            </c:strRef>
          </c:tx>
          <c:spPr>
            <a:ln w="28575" cap="rnd">
              <a:solidFill>
                <a:schemeClr val="accent2"/>
              </a:solidFill>
              <a:round/>
            </a:ln>
            <a:effectLst/>
          </c:spPr>
          <c:marker>
            <c:symbol val="none"/>
          </c:marker>
          <c:cat>
            <c:strRef>
              <c:f>'program takeup'!$Q$23:$Q$26</c:f>
              <c:strCache>
                <c:ptCount val="4"/>
                <c:pt idx="0">
                  <c:v>2010-11</c:v>
                </c:pt>
                <c:pt idx="1">
                  <c:v>2011-12</c:v>
                </c:pt>
                <c:pt idx="2">
                  <c:v>2012-13</c:v>
                </c:pt>
                <c:pt idx="3">
                  <c:v>2013-14</c:v>
                </c:pt>
              </c:strCache>
            </c:strRef>
          </c:cat>
          <c:val>
            <c:numRef>
              <c:f>'program takeup'!$S$23:$S$26</c:f>
              <c:numCache>
                <c:formatCode>0%</c:formatCode>
                <c:ptCount val="4"/>
                <c:pt idx="0">
                  <c:v>5.0942350332594234E-2</c:v>
                </c:pt>
                <c:pt idx="1">
                  <c:v>6.6986041133228716E-2</c:v>
                </c:pt>
                <c:pt idx="2">
                  <c:v>0.11327555136016476</c:v>
                </c:pt>
                <c:pt idx="3">
                  <c:v>9.0688259109311747E-2</c:v>
                </c:pt>
              </c:numCache>
            </c:numRef>
          </c:val>
          <c:smooth val="0"/>
          <c:extLst>
            <c:ext xmlns:c16="http://schemas.microsoft.com/office/drawing/2014/chart" uri="{C3380CC4-5D6E-409C-BE32-E72D297353CC}">
              <c16:uniqueId val="{00000001-DBDF-4B88-82D7-91AA42B5C8E4}"/>
            </c:ext>
          </c:extLst>
        </c:ser>
        <c:ser>
          <c:idx val="2"/>
          <c:order val="2"/>
          <c:tx>
            <c:strRef>
              <c:f>'program takeup'!$T$22</c:f>
              <c:strCache>
                <c:ptCount val="1"/>
                <c:pt idx="0">
                  <c:v>Indigenous</c:v>
                </c:pt>
              </c:strCache>
            </c:strRef>
          </c:tx>
          <c:spPr>
            <a:ln w="28575" cap="rnd">
              <a:solidFill>
                <a:schemeClr val="accent3"/>
              </a:solidFill>
              <a:round/>
            </a:ln>
            <a:effectLst/>
          </c:spPr>
          <c:marker>
            <c:symbol val="none"/>
          </c:marker>
          <c:cat>
            <c:strRef>
              <c:f>'program takeup'!$Q$23:$Q$26</c:f>
              <c:strCache>
                <c:ptCount val="4"/>
                <c:pt idx="0">
                  <c:v>2010-11</c:v>
                </c:pt>
                <c:pt idx="1">
                  <c:v>2011-12</c:v>
                </c:pt>
                <c:pt idx="2">
                  <c:v>2012-13</c:v>
                </c:pt>
                <c:pt idx="3">
                  <c:v>2013-14</c:v>
                </c:pt>
              </c:strCache>
            </c:strRef>
          </c:cat>
          <c:val>
            <c:numRef>
              <c:f>'program takeup'!$T$23:$T$26</c:f>
              <c:numCache>
                <c:formatCode>0%</c:formatCode>
                <c:ptCount val="4"/>
                <c:pt idx="0">
                  <c:v>1.2441679626749611E-2</c:v>
                </c:pt>
                <c:pt idx="1">
                  <c:v>1.4824797843665768E-2</c:v>
                </c:pt>
                <c:pt idx="2">
                  <c:v>3.693017888055395E-2</c:v>
                </c:pt>
                <c:pt idx="3">
                  <c:v>4.1548630783758263E-2</c:v>
                </c:pt>
              </c:numCache>
            </c:numRef>
          </c:val>
          <c:smooth val="0"/>
          <c:extLst>
            <c:ext xmlns:c16="http://schemas.microsoft.com/office/drawing/2014/chart" uri="{C3380CC4-5D6E-409C-BE32-E72D297353CC}">
              <c16:uniqueId val="{00000002-DBDF-4B88-82D7-91AA42B5C8E4}"/>
            </c:ext>
          </c:extLst>
        </c:ser>
        <c:ser>
          <c:idx val="3"/>
          <c:order val="3"/>
          <c:tx>
            <c:strRef>
              <c:f>'program takeup'!$U$22</c:f>
              <c:strCache>
                <c:ptCount val="1"/>
                <c:pt idx="0">
                  <c:v>All cohorts</c:v>
                </c:pt>
              </c:strCache>
            </c:strRef>
          </c:tx>
          <c:spPr>
            <a:ln w="28575" cap="rnd">
              <a:solidFill>
                <a:schemeClr val="tx1">
                  <a:lumMod val="65000"/>
                  <a:lumOff val="35000"/>
                </a:schemeClr>
              </a:solidFill>
              <a:prstDash val="sysDot"/>
              <a:round/>
            </a:ln>
            <a:effectLst/>
          </c:spPr>
          <c:marker>
            <c:symbol val="none"/>
          </c:marker>
          <c:cat>
            <c:strRef>
              <c:f>'program takeup'!$Q$23:$Q$26</c:f>
              <c:strCache>
                <c:ptCount val="4"/>
                <c:pt idx="0">
                  <c:v>2010-11</c:v>
                </c:pt>
                <c:pt idx="1">
                  <c:v>2011-12</c:v>
                </c:pt>
                <c:pt idx="2">
                  <c:v>2012-13</c:v>
                </c:pt>
                <c:pt idx="3">
                  <c:v>2013-14</c:v>
                </c:pt>
              </c:strCache>
            </c:strRef>
          </c:cat>
          <c:val>
            <c:numRef>
              <c:f>'program takeup'!$U$23:$U$26</c:f>
              <c:numCache>
                <c:formatCode>0%</c:formatCode>
                <c:ptCount val="4"/>
                <c:pt idx="0">
                  <c:v>4.6172382632643401E-2</c:v>
                </c:pt>
                <c:pt idx="1">
                  <c:v>5.5940056054452895E-2</c:v>
                </c:pt>
                <c:pt idx="2">
                  <c:v>9.3641999012562399E-2</c:v>
                </c:pt>
                <c:pt idx="3">
                  <c:v>7.5318423427941025E-2</c:v>
                </c:pt>
              </c:numCache>
            </c:numRef>
          </c:val>
          <c:smooth val="0"/>
          <c:extLst>
            <c:ext xmlns:c16="http://schemas.microsoft.com/office/drawing/2014/chart" uri="{C3380CC4-5D6E-409C-BE32-E72D297353CC}">
              <c16:uniqueId val="{00000003-DBDF-4B88-82D7-91AA42B5C8E4}"/>
            </c:ext>
          </c:extLst>
        </c:ser>
        <c:dLbls>
          <c:showLegendKey val="0"/>
          <c:showVal val="0"/>
          <c:showCatName val="0"/>
          <c:showSerName val="0"/>
          <c:showPercent val="0"/>
          <c:showBubbleSize val="0"/>
        </c:dLbls>
        <c:smooth val="0"/>
        <c:axId val="429375152"/>
        <c:axId val="429375544"/>
      </c:lineChart>
      <c:catAx>
        <c:axId val="4293751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375544"/>
        <c:crosses val="autoZero"/>
        <c:auto val="1"/>
        <c:lblAlgn val="ctr"/>
        <c:lblOffset val="100"/>
        <c:noMultiLvlLbl val="0"/>
      </c:catAx>
      <c:valAx>
        <c:axId val="429375544"/>
        <c:scaling>
          <c:orientation val="minMax"/>
          <c:max val="0.1200000000000000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375152"/>
        <c:crosses val="autoZero"/>
        <c:crossBetween val="between"/>
        <c:majorUnit val="4.0000000000000008E-2"/>
      </c:valAx>
      <c:spPr>
        <a:noFill/>
        <a:ln>
          <a:noFill/>
        </a:ln>
        <a:effectLst/>
      </c:spPr>
    </c:plotArea>
    <c:legend>
      <c:legendPos val="b"/>
      <c:layout>
        <c:manualLayout>
          <c:xMode val="edge"/>
          <c:yMode val="edge"/>
          <c:x val="0"/>
          <c:y val="0.85366600647311719"/>
          <c:w val="1"/>
          <c:h val="0.146333993526882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80808912376678"/>
          <c:y val="5.7606703325477876E-2"/>
          <c:w val="0.8308175432539735"/>
          <c:h val="0.68347611301140376"/>
        </c:manualLayout>
      </c:layout>
      <c:barChart>
        <c:barDir val="col"/>
        <c:grouping val="clustered"/>
        <c:varyColors val="0"/>
        <c:ser>
          <c:idx val="0"/>
          <c:order val="0"/>
          <c:spPr>
            <a:solidFill>
              <a:schemeClr val="accent1"/>
            </a:solidFill>
            <a:ln>
              <a:noFill/>
            </a:ln>
            <a:effectLst/>
          </c:spPr>
          <c:invertIfNegative val="0"/>
          <c:cat>
            <c:strRef>
              <c:f>'Hours histogram'!$Q$20:$Q$36</c:f>
              <c:strCache>
                <c:ptCount val="17"/>
                <c:pt idx="0">
                  <c:v>1-9</c:v>
                </c:pt>
                <c:pt idx="1">
                  <c:v>10-19</c:v>
                </c:pt>
                <c:pt idx="2">
                  <c:v>20-29</c:v>
                </c:pt>
                <c:pt idx="3">
                  <c:v>30-39</c:v>
                </c:pt>
                <c:pt idx="4">
                  <c:v>40-49</c:v>
                </c:pt>
                <c:pt idx="5">
                  <c:v>50-59</c:v>
                </c:pt>
                <c:pt idx="6">
                  <c:v>60-69</c:v>
                </c:pt>
                <c:pt idx="7">
                  <c:v>70-79</c:v>
                </c:pt>
                <c:pt idx="8">
                  <c:v>80-89</c:v>
                </c:pt>
                <c:pt idx="9">
                  <c:v>90-99</c:v>
                </c:pt>
                <c:pt idx="10">
                  <c:v>100-109</c:v>
                </c:pt>
                <c:pt idx="11">
                  <c:v>110-119</c:v>
                </c:pt>
                <c:pt idx="12">
                  <c:v>120-129</c:v>
                </c:pt>
                <c:pt idx="13">
                  <c:v>130-139</c:v>
                </c:pt>
                <c:pt idx="14">
                  <c:v>140-149</c:v>
                </c:pt>
                <c:pt idx="15">
                  <c:v>150-159</c:v>
                </c:pt>
                <c:pt idx="16">
                  <c:v>160+</c:v>
                </c:pt>
              </c:strCache>
            </c:strRef>
          </c:cat>
          <c:val>
            <c:numRef>
              <c:f>'Hours histogram'!$R$20:$R$36</c:f>
              <c:numCache>
                <c:formatCode>0%</c:formatCode>
                <c:ptCount val="17"/>
                <c:pt idx="0">
                  <c:v>4.7981721249047982E-2</c:v>
                </c:pt>
                <c:pt idx="1">
                  <c:v>0.20506473724295507</c:v>
                </c:pt>
                <c:pt idx="2">
                  <c:v>0.14984767707539984</c:v>
                </c:pt>
                <c:pt idx="3">
                  <c:v>0.16565118050266564</c:v>
                </c:pt>
                <c:pt idx="4">
                  <c:v>9.8438690022848441E-2</c:v>
                </c:pt>
                <c:pt idx="5">
                  <c:v>4.2650418888042649E-2</c:v>
                </c:pt>
                <c:pt idx="6">
                  <c:v>8.1111957349581112E-2</c:v>
                </c:pt>
                <c:pt idx="7">
                  <c:v>4.0936785986290934E-2</c:v>
                </c:pt>
                <c:pt idx="8">
                  <c:v>5.0076161462300074E-2</c:v>
                </c:pt>
                <c:pt idx="9">
                  <c:v>3.7509520182787512E-2</c:v>
                </c:pt>
                <c:pt idx="10">
                  <c:v>2.6275704493526276E-2</c:v>
                </c:pt>
                <c:pt idx="11">
                  <c:v>1.5041888804265042E-2</c:v>
                </c:pt>
                <c:pt idx="12">
                  <c:v>1.1805026656511805E-2</c:v>
                </c:pt>
                <c:pt idx="13">
                  <c:v>7.4257425742574254E-3</c:v>
                </c:pt>
                <c:pt idx="14">
                  <c:v>3.4272658035034271E-3</c:v>
                </c:pt>
                <c:pt idx="15">
                  <c:v>3.9984767707539988E-3</c:v>
                </c:pt>
                <c:pt idx="16">
                  <c:v>1.2757044935262756E-2</c:v>
                </c:pt>
              </c:numCache>
            </c:numRef>
          </c:val>
          <c:extLst>
            <c:ext xmlns:c16="http://schemas.microsoft.com/office/drawing/2014/chart" uri="{C3380CC4-5D6E-409C-BE32-E72D297353CC}">
              <c16:uniqueId val="{00000000-2223-4498-A9E3-FA19AD0F4F4F}"/>
            </c:ext>
          </c:extLst>
        </c:ser>
        <c:dLbls>
          <c:showLegendKey val="0"/>
          <c:showVal val="0"/>
          <c:showCatName val="0"/>
          <c:showSerName val="0"/>
          <c:showPercent val="0"/>
          <c:showBubbleSize val="0"/>
        </c:dLbls>
        <c:gapWidth val="219"/>
        <c:overlap val="-27"/>
        <c:axId val="429376328"/>
        <c:axId val="429376720"/>
      </c:barChart>
      <c:catAx>
        <c:axId val="42937632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Hours of</a:t>
                </a:r>
                <a:r>
                  <a:rPr lang="en-AU" sz="900" baseline="0"/>
                  <a:t> mixed mode</a:t>
                </a:r>
                <a:endParaRPr lang="en-AU" sz="900"/>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376720"/>
        <c:crosses val="autoZero"/>
        <c:auto val="1"/>
        <c:lblAlgn val="ctr"/>
        <c:lblOffset val="100"/>
        <c:noMultiLvlLbl val="0"/>
      </c:catAx>
      <c:valAx>
        <c:axId val="42937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376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940253075394336E-2"/>
          <c:y val="6.7484662576687116E-2"/>
          <c:w val="0.85613003446454172"/>
          <c:h val="0.65963249058812301"/>
        </c:manualLayout>
      </c:layout>
      <c:lineChart>
        <c:grouping val="standard"/>
        <c:varyColors val="0"/>
        <c:ser>
          <c:idx val="0"/>
          <c:order val="0"/>
          <c:tx>
            <c:strRef>
              <c:f>'program takeup'!$J$22</c:f>
              <c:strCache>
                <c:ptCount val="1"/>
                <c:pt idx="0">
                  <c:v>Non-CALD, non-Indigenous</c:v>
                </c:pt>
              </c:strCache>
            </c:strRef>
          </c:tx>
          <c:spPr>
            <a:ln w="28575" cap="rnd">
              <a:solidFill>
                <a:schemeClr val="accent1"/>
              </a:solidFill>
              <a:round/>
            </a:ln>
            <a:effectLst/>
          </c:spPr>
          <c:marker>
            <c:symbol val="none"/>
          </c:marker>
          <c:cat>
            <c:strRef>
              <c:f>'program takeup'!$I$23:$I$26</c:f>
              <c:strCache>
                <c:ptCount val="4"/>
                <c:pt idx="0">
                  <c:v>2010-11</c:v>
                </c:pt>
                <c:pt idx="1">
                  <c:v>2011-12</c:v>
                </c:pt>
                <c:pt idx="2">
                  <c:v>2012-13</c:v>
                </c:pt>
                <c:pt idx="3">
                  <c:v>2013-14</c:v>
                </c:pt>
              </c:strCache>
            </c:strRef>
          </c:cat>
          <c:val>
            <c:numRef>
              <c:f>'program takeup'!$J$23:$J$26</c:f>
              <c:numCache>
                <c:formatCode>0%</c:formatCode>
                <c:ptCount val="4"/>
                <c:pt idx="0">
                  <c:v>1.1028468838163632E-2</c:v>
                </c:pt>
                <c:pt idx="1">
                  <c:v>6.5430190623390005E-2</c:v>
                </c:pt>
                <c:pt idx="2">
                  <c:v>3.0051813471502591E-2</c:v>
                </c:pt>
                <c:pt idx="3">
                  <c:v>6.2087912087912089E-2</c:v>
                </c:pt>
              </c:numCache>
            </c:numRef>
          </c:val>
          <c:smooth val="0"/>
          <c:extLst>
            <c:ext xmlns:c16="http://schemas.microsoft.com/office/drawing/2014/chart" uri="{C3380CC4-5D6E-409C-BE32-E72D297353CC}">
              <c16:uniqueId val="{00000000-D027-455E-B4CC-44B02AF536B0}"/>
            </c:ext>
          </c:extLst>
        </c:ser>
        <c:ser>
          <c:idx val="1"/>
          <c:order val="1"/>
          <c:tx>
            <c:strRef>
              <c:f>'program takeup'!$K$22</c:f>
              <c:strCache>
                <c:ptCount val="1"/>
                <c:pt idx="0">
                  <c:v>CALD</c:v>
                </c:pt>
              </c:strCache>
            </c:strRef>
          </c:tx>
          <c:spPr>
            <a:ln w="28575" cap="rnd">
              <a:solidFill>
                <a:schemeClr val="accent2"/>
              </a:solidFill>
              <a:round/>
            </a:ln>
            <a:effectLst/>
          </c:spPr>
          <c:marker>
            <c:symbol val="none"/>
          </c:marker>
          <c:cat>
            <c:strRef>
              <c:f>'program takeup'!$I$23:$I$26</c:f>
              <c:strCache>
                <c:ptCount val="4"/>
                <c:pt idx="0">
                  <c:v>2010-11</c:v>
                </c:pt>
                <c:pt idx="1">
                  <c:v>2011-12</c:v>
                </c:pt>
                <c:pt idx="2">
                  <c:v>2012-13</c:v>
                </c:pt>
                <c:pt idx="3">
                  <c:v>2013-14</c:v>
                </c:pt>
              </c:strCache>
            </c:strRef>
          </c:cat>
          <c:val>
            <c:numRef>
              <c:f>'program takeup'!$K$23:$K$26</c:f>
              <c:numCache>
                <c:formatCode>0%</c:formatCode>
                <c:ptCount val="4"/>
                <c:pt idx="0">
                  <c:v>2.2505543237250555E-2</c:v>
                </c:pt>
                <c:pt idx="1">
                  <c:v>5.509209548195259E-2</c:v>
                </c:pt>
                <c:pt idx="2">
                  <c:v>4.5739294602248348E-2</c:v>
                </c:pt>
                <c:pt idx="3">
                  <c:v>3.7165991902834011E-2</c:v>
                </c:pt>
              </c:numCache>
            </c:numRef>
          </c:val>
          <c:smooth val="0"/>
          <c:extLst>
            <c:ext xmlns:c16="http://schemas.microsoft.com/office/drawing/2014/chart" uri="{C3380CC4-5D6E-409C-BE32-E72D297353CC}">
              <c16:uniqueId val="{00000001-D027-455E-B4CC-44B02AF536B0}"/>
            </c:ext>
          </c:extLst>
        </c:ser>
        <c:ser>
          <c:idx val="2"/>
          <c:order val="2"/>
          <c:tx>
            <c:strRef>
              <c:f>'program takeup'!$L$22</c:f>
              <c:strCache>
                <c:ptCount val="1"/>
                <c:pt idx="0">
                  <c:v>Indigenous</c:v>
                </c:pt>
              </c:strCache>
            </c:strRef>
          </c:tx>
          <c:spPr>
            <a:ln w="28575" cap="rnd">
              <a:solidFill>
                <a:schemeClr val="accent3"/>
              </a:solidFill>
              <a:round/>
            </a:ln>
            <a:effectLst/>
          </c:spPr>
          <c:marker>
            <c:symbol val="none"/>
          </c:marker>
          <c:cat>
            <c:strRef>
              <c:f>'program takeup'!$I$23:$I$26</c:f>
              <c:strCache>
                <c:ptCount val="4"/>
                <c:pt idx="0">
                  <c:v>2010-11</c:v>
                </c:pt>
                <c:pt idx="1">
                  <c:v>2011-12</c:v>
                </c:pt>
                <c:pt idx="2">
                  <c:v>2012-13</c:v>
                </c:pt>
                <c:pt idx="3">
                  <c:v>2013-14</c:v>
                </c:pt>
              </c:strCache>
            </c:strRef>
          </c:cat>
          <c:val>
            <c:numRef>
              <c:f>'program takeup'!$L$23:$L$26</c:f>
              <c:numCache>
                <c:formatCode>0%</c:formatCode>
                <c:ptCount val="4"/>
                <c:pt idx="0">
                  <c:v>1.2441679626749611E-2</c:v>
                </c:pt>
                <c:pt idx="1">
                  <c:v>7.1428571428571425E-2</c:v>
                </c:pt>
                <c:pt idx="2">
                  <c:v>3.2313906520484707E-2</c:v>
                </c:pt>
                <c:pt idx="3">
                  <c:v>4.5797922568460811E-2</c:v>
                </c:pt>
              </c:numCache>
            </c:numRef>
          </c:val>
          <c:smooth val="0"/>
          <c:extLst>
            <c:ext xmlns:c16="http://schemas.microsoft.com/office/drawing/2014/chart" uri="{C3380CC4-5D6E-409C-BE32-E72D297353CC}">
              <c16:uniqueId val="{00000002-D027-455E-B4CC-44B02AF536B0}"/>
            </c:ext>
          </c:extLst>
        </c:ser>
        <c:ser>
          <c:idx val="3"/>
          <c:order val="3"/>
          <c:tx>
            <c:strRef>
              <c:f>'program takeup'!$M$22</c:f>
              <c:strCache>
                <c:ptCount val="1"/>
                <c:pt idx="0">
                  <c:v>All cohorts</c:v>
                </c:pt>
              </c:strCache>
            </c:strRef>
          </c:tx>
          <c:spPr>
            <a:ln w="28575" cap="rnd">
              <a:solidFill>
                <a:schemeClr val="tx1">
                  <a:lumMod val="65000"/>
                  <a:lumOff val="35000"/>
                </a:schemeClr>
              </a:solidFill>
              <a:prstDash val="sysDot"/>
              <a:round/>
            </a:ln>
            <a:effectLst/>
          </c:spPr>
          <c:marker>
            <c:symbol val="none"/>
          </c:marker>
          <c:cat>
            <c:strRef>
              <c:f>'program takeup'!$I$23:$I$26</c:f>
              <c:strCache>
                <c:ptCount val="4"/>
                <c:pt idx="0">
                  <c:v>2010-11</c:v>
                </c:pt>
                <c:pt idx="1">
                  <c:v>2011-12</c:v>
                </c:pt>
                <c:pt idx="2">
                  <c:v>2012-13</c:v>
                </c:pt>
                <c:pt idx="3">
                  <c:v>2013-14</c:v>
                </c:pt>
              </c:strCache>
            </c:strRef>
          </c:cat>
          <c:val>
            <c:numRef>
              <c:f>'program takeup'!$M$23:$M$26</c:f>
              <c:numCache>
                <c:formatCode>0%</c:formatCode>
                <c:ptCount val="4"/>
                <c:pt idx="0">
                  <c:v>2.0009466844528593E-2</c:v>
                </c:pt>
                <c:pt idx="1">
                  <c:v>5.8799977120631473E-2</c:v>
                </c:pt>
                <c:pt idx="2">
                  <c:v>4.03752262877832E-2</c:v>
                </c:pt>
                <c:pt idx="3">
                  <c:v>4.4880152442082037E-2</c:v>
                </c:pt>
              </c:numCache>
            </c:numRef>
          </c:val>
          <c:smooth val="0"/>
          <c:extLst>
            <c:ext xmlns:c16="http://schemas.microsoft.com/office/drawing/2014/chart" uri="{C3380CC4-5D6E-409C-BE32-E72D297353CC}">
              <c16:uniqueId val="{00000003-D027-455E-B4CC-44B02AF536B0}"/>
            </c:ext>
          </c:extLst>
        </c:ser>
        <c:dLbls>
          <c:showLegendKey val="0"/>
          <c:showVal val="0"/>
          <c:showCatName val="0"/>
          <c:showSerName val="0"/>
          <c:showPercent val="0"/>
          <c:showBubbleSize val="0"/>
        </c:dLbls>
        <c:smooth val="0"/>
        <c:axId val="670078376"/>
        <c:axId val="670078768"/>
      </c:lineChart>
      <c:catAx>
        <c:axId val="670078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078768"/>
        <c:crosses val="autoZero"/>
        <c:auto val="1"/>
        <c:lblAlgn val="ctr"/>
        <c:lblOffset val="100"/>
        <c:noMultiLvlLbl val="0"/>
      </c:catAx>
      <c:valAx>
        <c:axId val="670078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078376"/>
        <c:crosses val="autoZero"/>
        <c:crossBetween val="between"/>
      </c:valAx>
      <c:spPr>
        <a:noFill/>
        <a:ln>
          <a:noFill/>
        </a:ln>
        <a:effectLst/>
      </c:spPr>
    </c:plotArea>
    <c:legend>
      <c:legendPos val="b"/>
      <c:layout>
        <c:manualLayout>
          <c:xMode val="edge"/>
          <c:yMode val="edge"/>
          <c:x val="0"/>
          <c:y val="0.85384714364578962"/>
          <c:w val="0.99578624778164593"/>
          <c:h val="0.140971861912094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80808912376678"/>
          <c:y val="5.7986294148655769E-2"/>
          <c:w val="0.8308175432539735"/>
          <c:h val="0.67611894454152643"/>
        </c:manualLayout>
      </c:layout>
      <c:barChart>
        <c:barDir val="col"/>
        <c:grouping val="clustered"/>
        <c:varyColors val="0"/>
        <c:ser>
          <c:idx val="0"/>
          <c:order val="0"/>
          <c:spPr>
            <a:solidFill>
              <a:schemeClr val="accent1"/>
            </a:solidFill>
            <a:ln>
              <a:noFill/>
            </a:ln>
            <a:effectLst/>
          </c:spPr>
          <c:invertIfNegative val="0"/>
          <c:cat>
            <c:strRef>
              <c:f>'Hours histogram'!$I$20:$I$33</c:f>
              <c:strCache>
                <c:ptCount val="14"/>
                <c:pt idx="0">
                  <c:v>1-9</c:v>
                </c:pt>
                <c:pt idx="1">
                  <c:v>10-19</c:v>
                </c:pt>
                <c:pt idx="2">
                  <c:v>20-29</c:v>
                </c:pt>
                <c:pt idx="3">
                  <c:v>30-39</c:v>
                </c:pt>
                <c:pt idx="4">
                  <c:v>40-49</c:v>
                </c:pt>
                <c:pt idx="5">
                  <c:v>50-59</c:v>
                </c:pt>
                <c:pt idx="6">
                  <c:v>60-69</c:v>
                </c:pt>
                <c:pt idx="7">
                  <c:v>70-79</c:v>
                </c:pt>
                <c:pt idx="8">
                  <c:v>80-89</c:v>
                </c:pt>
                <c:pt idx="9">
                  <c:v>90-99</c:v>
                </c:pt>
                <c:pt idx="10">
                  <c:v>100-109</c:v>
                </c:pt>
                <c:pt idx="11">
                  <c:v>110-119</c:v>
                </c:pt>
                <c:pt idx="12">
                  <c:v>120-129</c:v>
                </c:pt>
                <c:pt idx="13">
                  <c:v>130+</c:v>
                </c:pt>
              </c:strCache>
            </c:strRef>
          </c:cat>
          <c:val>
            <c:numRef>
              <c:f>'Hours histogram'!$J$20:$J$33</c:f>
              <c:numCache>
                <c:formatCode>0%</c:formatCode>
                <c:ptCount val="14"/>
                <c:pt idx="0">
                  <c:v>0.21485750880563562</c:v>
                </c:pt>
                <c:pt idx="1">
                  <c:v>0.14729426833173231</c:v>
                </c:pt>
                <c:pt idx="2">
                  <c:v>0.13640730067243034</c:v>
                </c:pt>
                <c:pt idx="3">
                  <c:v>7.8770413064361194E-2</c:v>
                </c:pt>
                <c:pt idx="4">
                  <c:v>0.15754082612872239</c:v>
                </c:pt>
                <c:pt idx="5">
                  <c:v>3.009926352865834E-2</c:v>
                </c:pt>
                <c:pt idx="6">
                  <c:v>4.7390329811079088E-2</c:v>
                </c:pt>
                <c:pt idx="7">
                  <c:v>9.1578610310598788E-2</c:v>
                </c:pt>
                <c:pt idx="8">
                  <c:v>4.6749919948767212E-2</c:v>
                </c:pt>
                <c:pt idx="9">
                  <c:v>8.0051232788984957E-3</c:v>
                </c:pt>
                <c:pt idx="10">
                  <c:v>5.763688760806916E-3</c:v>
                </c:pt>
                <c:pt idx="11">
                  <c:v>1.3768812039705411E-2</c:v>
                </c:pt>
                <c:pt idx="12">
                  <c:v>1.3768812039705411E-2</c:v>
                </c:pt>
                <c:pt idx="13">
                  <c:v>8.0051232788984957E-3</c:v>
                </c:pt>
              </c:numCache>
            </c:numRef>
          </c:val>
          <c:extLst>
            <c:ext xmlns:c16="http://schemas.microsoft.com/office/drawing/2014/chart" uri="{C3380CC4-5D6E-409C-BE32-E72D297353CC}">
              <c16:uniqueId val="{00000000-8C25-4435-8AC8-99C6F13A5906}"/>
            </c:ext>
          </c:extLst>
        </c:ser>
        <c:dLbls>
          <c:showLegendKey val="0"/>
          <c:showVal val="0"/>
          <c:showCatName val="0"/>
          <c:showSerName val="0"/>
          <c:showPercent val="0"/>
          <c:showBubbleSize val="0"/>
        </c:dLbls>
        <c:gapWidth val="219"/>
        <c:overlap val="-27"/>
        <c:axId val="670079552"/>
        <c:axId val="806691896"/>
      </c:barChart>
      <c:catAx>
        <c:axId val="67007955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Hours of work experience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691896"/>
        <c:crosses val="autoZero"/>
        <c:auto val="1"/>
        <c:lblAlgn val="ctr"/>
        <c:lblOffset val="100"/>
        <c:noMultiLvlLbl val="0"/>
      </c:catAx>
      <c:valAx>
        <c:axId val="806691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0795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Comp_client!$J$23</c:f>
              <c:strCache>
                <c:ptCount val="1"/>
                <c:pt idx="0">
                  <c:v>Completed SEE training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Comp_client!$K$6:$N$6</c:f>
              <c:strCache>
                <c:ptCount val="4"/>
                <c:pt idx="0">
                  <c:v>Non-CALD, non-Indigenous</c:v>
                </c:pt>
                <c:pt idx="1">
                  <c:v>CALD</c:v>
                </c:pt>
                <c:pt idx="2">
                  <c:v>Indigenous</c:v>
                </c:pt>
                <c:pt idx="3">
                  <c:v>All cohorts</c:v>
                </c:pt>
              </c:strCache>
            </c:strRef>
          </c:cat>
          <c:val>
            <c:numRef>
              <c:f>Comp_client!$K$23:$N$23</c:f>
              <c:numCache>
                <c:formatCode>0%</c:formatCode>
                <c:ptCount val="4"/>
                <c:pt idx="0">
                  <c:v>0.1022598156798384</c:v>
                </c:pt>
                <c:pt idx="1">
                  <c:v>0.23205084553399161</c:v>
                </c:pt>
                <c:pt idx="2">
                  <c:v>2.8985507246376812E-2</c:v>
                </c:pt>
                <c:pt idx="3">
                  <c:v>0.18283530969814135</c:v>
                </c:pt>
              </c:numCache>
            </c:numRef>
          </c:val>
          <c:extLst>
            <c:ext xmlns:c16="http://schemas.microsoft.com/office/drawing/2014/chart" uri="{C3380CC4-5D6E-409C-BE32-E72D297353CC}">
              <c16:uniqueId val="{00000000-6AE4-49D2-B017-E2830EDD7DF2}"/>
            </c:ext>
          </c:extLst>
        </c:ser>
        <c:ser>
          <c:idx val="1"/>
          <c:order val="1"/>
          <c:tx>
            <c:strRef>
              <c:f>Comp_client!$J$24</c:f>
              <c:strCache>
                <c:ptCount val="1"/>
                <c:pt idx="0">
                  <c:v>Progressed to employment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Comp_client!$K$6:$N$6</c:f>
              <c:strCache>
                <c:ptCount val="4"/>
                <c:pt idx="0">
                  <c:v>Non-CALD, non-Indigenous</c:v>
                </c:pt>
                <c:pt idx="1">
                  <c:v>CALD</c:v>
                </c:pt>
                <c:pt idx="2">
                  <c:v>Indigenous</c:v>
                </c:pt>
                <c:pt idx="3">
                  <c:v>All cohorts</c:v>
                </c:pt>
              </c:strCache>
            </c:strRef>
          </c:cat>
          <c:val>
            <c:numRef>
              <c:f>Comp_client!$K$24:$N$24</c:f>
              <c:numCache>
                <c:formatCode>0%</c:formatCode>
                <c:ptCount val="4"/>
                <c:pt idx="0">
                  <c:v>0.1170938012877162</c:v>
                </c:pt>
                <c:pt idx="1">
                  <c:v>0.12870275791624106</c:v>
                </c:pt>
                <c:pt idx="2">
                  <c:v>6.0559006211180127E-2</c:v>
                </c:pt>
                <c:pt idx="3">
                  <c:v>0.11989100817438691</c:v>
                </c:pt>
              </c:numCache>
            </c:numRef>
          </c:val>
          <c:extLst>
            <c:ext xmlns:c16="http://schemas.microsoft.com/office/drawing/2014/chart" uri="{C3380CC4-5D6E-409C-BE32-E72D297353CC}">
              <c16:uniqueId val="{00000001-6AE4-49D2-B017-E2830EDD7DF2}"/>
            </c:ext>
          </c:extLst>
        </c:ser>
        <c:ser>
          <c:idx val="2"/>
          <c:order val="2"/>
          <c:tx>
            <c:strRef>
              <c:f>Comp_client!$J$25</c:f>
              <c:strCache>
                <c:ptCount val="1"/>
                <c:pt idx="0">
                  <c:v>Progressed to other training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Comp_client!$K$6:$N$6</c:f>
              <c:strCache>
                <c:ptCount val="4"/>
                <c:pt idx="0">
                  <c:v>Non-CALD, non-Indigenous</c:v>
                </c:pt>
                <c:pt idx="1">
                  <c:v>CALD</c:v>
                </c:pt>
                <c:pt idx="2">
                  <c:v>Indigenous</c:v>
                </c:pt>
                <c:pt idx="3">
                  <c:v>All cohorts</c:v>
                </c:pt>
              </c:strCache>
            </c:strRef>
          </c:cat>
          <c:val>
            <c:numRef>
              <c:f>Comp_client!$K$25:$N$25</c:f>
              <c:numCache>
                <c:formatCode>0%</c:formatCode>
                <c:ptCount val="4"/>
                <c:pt idx="0">
                  <c:v>0.14272187855068805</c:v>
                </c:pt>
                <c:pt idx="1">
                  <c:v>0.10636704119850188</c:v>
                </c:pt>
                <c:pt idx="2">
                  <c:v>7.43616287094548E-2</c:v>
                </c:pt>
                <c:pt idx="3">
                  <c:v>0.11231029181191299</c:v>
                </c:pt>
              </c:numCache>
            </c:numRef>
          </c:val>
          <c:extLst>
            <c:ext xmlns:c16="http://schemas.microsoft.com/office/drawing/2014/chart" uri="{C3380CC4-5D6E-409C-BE32-E72D297353CC}">
              <c16:uniqueId val="{00000002-6AE4-49D2-B017-E2830EDD7DF2}"/>
            </c:ext>
          </c:extLst>
        </c:ser>
        <c:dLbls>
          <c:showLegendKey val="0"/>
          <c:showVal val="0"/>
          <c:showCatName val="0"/>
          <c:showSerName val="0"/>
          <c:showPercent val="0"/>
          <c:showBubbleSize val="0"/>
        </c:dLbls>
        <c:gapWidth val="150"/>
        <c:overlap val="100"/>
        <c:axId val="806692680"/>
        <c:axId val="806693072"/>
      </c:barChart>
      <c:catAx>
        <c:axId val="806692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693072"/>
        <c:crosses val="autoZero"/>
        <c:auto val="1"/>
        <c:lblAlgn val="ctr"/>
        <c:lblOffset val="100"/>
        <c:noMultiLvlLbl val="0"/>
      </c:catAx>
      <c:valAx>
        <c:axId val="8066930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692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Comp_client!$Q$8</c:f>
              <c:strCache>
                <c:ptCount val="1"/>
                <c:pt idx="0">
                  <c:v>Non-CALD, non-Indigenous</c:v>
                </c:pt>
              </c:strCache>
            </c:strRef>
          </c:tx>
          <c:spPr>
            <a:solidFill>
              <a:schemeClr val="accent1"/>
            </a:solidFill>
            <a:ln>
              <a:noFill/>
            </a:ln>
            <a:effectLst/>
          </c:spPr>
          <c:invertIfNegative val="0"/>
          <c:cat>
            <c:multiLvlStrRef>
              <c:f>Comp_client!$I$9:$J$16</c:f>
              <c:multiLvlStrCache>
                <c:ptCount val="8"/>
                <c:lvl>
                  <c:pt idx="0">
                    <c:v>Completed SEE training</c:v>
                  </c:pt>
                  <c:pt idx="1">
                    <c:v>Progressed to employment</c:v>
                  </c:pt>
                  <c:pt idx="2">
                    <c:v>Progressed to other training</c:v>
                  </c:pt>
                  <c:pt idx="3">
                    <c:v>Failed to attend</c:v>
                  </c:pt>
                  <c:pt idx="4">
                    <c:v>Personal issues</c:v>
                  </c:pt>
                  <c:pt idx="5">
                    <c:v>Health reasons</c:v>
                  </c:pt>
                  <c:pt idx="6">
                    <c:v>SEE no longer available</c:v>
                  </c:pt>
                  <c:pt idx="7">
                    <c:v>Other</c:v>
                  </c:pt>
                </c:lvl>
                <c:lvl>
                  <c:pt idx="0">
                    <c:v>Completed</c:v>
                  </c:pt>
                  <c:pt idx="3">
                    <c:v>Not completed</c:v>
                  </c:pt>
                </c:lvl>
              </c:multiLvlStrCache>
            </c:multiLvlStrRef>
          </c:cat>
          <c:val>
            <c:numRef>
              <c:f>Comp_client!$Q$9:$Q$16</c:f>
              <c:numCache>
                <c:formatCode>0%</c:formatCode>
                <c:ptCount val="8"/>
                <c:pt idx="0">
                  <c:v>0.1022598156798384</c:v>
                </c:pt>
                <c:pt idx="1">
                  <c:v>0.1170938012877162</c:v>
                </c:pt>
                <c:pt idx="2">
                  <c:v>0.14272187855068805</c:v>
                </c:pt>
                <c:pt idx="3">
                  <c:v>0.35898245171064258</c:v>
                </c:pt>
                <c:pt idx="4">
                  <c:v>0.1751041535159702</c:v>
                </c:pt>
                <c:pt idx="5">
                  <c:v>6.640575684888271E-2</c:v>
                </c:pt>
                <c:pt idx="6">
                  <c:v>1.1930311829314481E-2</c:v>
                </c:pt>
                <c:pt idx="7">
                  <c:v>2.5501830576947354E-2</c:v>
                </c:pt>
              </c:numCache>
            </c:numRef>
          </c:val>
          <c:extLst>
            <c:ext xmlns:c16="http://schemas.microsoft.com/office/drawing/2014/chart" uri="{C3380CC4-5D6E-409C-BE32-E72D297353CC}">
              <c16:uniqueId val="{00000000-5BC7-477A-AB28-B12EBB729DBD}"/>
            </c:ext>
          </c:extLst>
        </c:ser>
        <c:ser>
          <c:idx val="1"/>
          <c:order val="1"/>
          <c:tx>
            <c:strRef>
              <c:f>Comp_client!$R$8</c:f>
              <c:strCache>
                <c:ptCount val="1"/>
                <c:pt idx="0">
                  <c:v>CALD</c:v>
                </c:pt>
              </c:strCache>
            </c:strRef>
          </c:tx>
          <c:spPr>
            <a:solidFill>
              <a:schemeClr val="accent2"/>
            </a:solidFill>
            <a:ln>
              <a:noFill/>
            </a:ln>
            <a:effectLst/>
          </c:spPr>
          <c:invertIfNegative val="0"/>
          <c:cat>
            <c:multiLvlStrRef>
              <c:f>Comp_client!$I$9:$J$16</c:f>
              <c:multiLvlStrCache>
                <c:ptCount val="8"/>
                <c:lvl>
                  <c:pt idx="0">
                    <c:v>Completed SEE training</c:v>
                  </c:pt>
                  <c:pt idx="1">
                    <c:v>Progressed to employment</c:v>
                  </c:pt>
                  <c:pt idx="2">
                    <c:v>Progressed to other training</c:v>
                  </c:pt>
                  <c:pt idx="3">
                    <c:v>Failed to attend</c:v>
                  </c:pt>
                  <c:pt idx="4">
                    <c:v>Personal issues</c:v>
                  </c:pt>
                  <c:pt idx="5">
                    <c:v>Health reasons</c:v>
                  </c:pt>
                  <c:pt idx="6">
                    <c:v>SEE no longer available</c:v>
                  </c:pt>
                  <c:pt idx="7">
                    <c:v>Other</c:v>
                  </c:pt>
                </c:lvl>
                <c:lvl>
                  <c:pt idx="0">
                    <c:v>Completed</c:v>
                  </c:pt>
                  <c:pt idx="3">
                    <c:v>Not completed</c:v>
                  </c:pt>
                </c:lvl>
              </c:multiLvlStrCache>
            </c:multiLvlStrRef>
          </c:cat>
          <c:val>
            <c:numRef>
              <c:f>Comp_client!$R$9:$R$16</c:f>
              <c:numCache>
                <c:formatCode>0%</c:formatCode>
                <c:ptCount val="8"/>
                <c:pt idx="0">
                  <c:v>0.23205084553399161</c:v>
                </c:pt>
                <c:pt idx="1">
                  <c:v>0.12870275791624106</c:v>
                </c:pt>
                <c:pt idx="2">
                  <c:v>0.10636704119850188</c:v>
                </c:pt>
                <c:pt idx="3">
                  <c:v>0.17546249006923165</c:v>
                </c:pt>
                <c:pt idx="4">
                  <c:v>0.23500170241743276</c:v>
                </c:pt>
                <c:pt idx="5">
                  <c:v>0.1066167290886392</c:v>
                </c:pt>
                <c:pt idx="6">
                  <c:v>3.4502326637158099E-3</c:v>
                </c:pt>
                <c:pt idx="7">
                  <c:v>1.2348201112246056E-2</c:v>
                </c:pt>
              </c:numCache>
            </c:numRef>
          </c:val>
          <c:extLst>
            <c:ext xmlns:c16="http://schemas.microsoft.com/office/drawing/2014/chart" uri="{C3380CC4-5D6E-409C-BE32-E72D297353CC}">
              <c16:uniqueId val="{00000001-5BC7-477A-AB28-B12EBB729DBD}"/>
            </c:ext>
          </c:extLst>
        </c:ser>
        <c:ser>
          <c:idx val="2"/>
          <c:order val="2"/>
          <c:tx>
            <c:strRef>
              <c:f>Comp_client!$S$8</c:f>
              <c:strCache>
                <c:ptCount val="1"/>
                <c:pt idx="0">
                  <c:v>Indigenous</c:v>
                </c:pt>
              </c:strCache>
            </c:strRef>
          </c:tx>
          <c:spPr>
            <a:solidFill>
              <a:schemeClr val="accent3"/>
            </a:solidFill>
            <a:ln>
              <a:noFill/>
            </a:ln>
            <a:effectLst/>
          </c:spPr>
          <c:invertIfNegative val="0"/>
          <c:cat>
            <c:multiLvlStrRef>
              <c:f>Comp_client!$I$9:$J$16</c:f>
              <c:multiLvlStrCache>
                <c:ptCount val="8"/>
                <c:lvl>
                  <c:pt idx="0">
                    <c:v>Completed SEE training</c:v>
                  </c:pt>
                  <c:pt idx="1">
                    <c:v>Progressed to employment</c:v>
                  </c:pt>
                  <c:pt idx="2">
                    <c:v>Progressed to other training</c:v>
                  </c:pt>
                  <c:pt idx="3">
                    <c:v>Failed to attend</c:v>
                  </c:pt>
                  <c:pt idx="4">
                    <c:v>Personal issues</c:v>
                  </c:pt>
                  <c:pt idx="5">
                    <c:v>Health reasons</c:v>
                  </c:pt>
                  <c:pt idx="6">
                    <c:v>SEE no longer available</c:v>
                  </c:pt>
                  <c:pt idx="7">
                    <c:v>Other</c:v>
                  </c:pt>
                </c:lvl>
                <c:lvl>
                  <c:pt idx="0">
                    <c:v>Completed</c:v>
                  </c:pt>
                  <c:pt idx="3">
                    <c:v>Not completed</c:v>
                  </c:pt>
                </c:lvl>
              </c:multiLvlStrCache>
            </c:multiLvlStrRef>
          </c:cat>
          <c:val>
            <c:numRef>
              <c:f>Comp_client!$S$9:$S$16</c:f>
              <c:numCache>
                <c:formatCode>0%</c:formatCode>
                <c:ptCount val="8"/>
                <c:pt idx="0">
                  <c:v>2.8985507246376812E-2</c:v>
                </c:pt>
                <c:pt idx="1">
                  <c:v>6.0559006211180127E-2</c:v>
                </c:pt>
                <c:pt idx="2">
                  <c:v>7.43616287094548E-2</c:v>
                </c:pt>
                <c:pt idx="3">
                  <c:v>0.57039337474120078</c:v>
                </c:pt>
                <c:pt idx="4">
                  <c:v>0.16080055210489994</c:v>
                </c:pt>
                <c:pt idx="5">
                  <c:v>3.4161490683229816E-2</c:v>
                </c:pt>
                <c:pt idx="6">
                  <c:v>4.6238785369220152E-2</c:v>
                </c:pt>
                <c:pt idx="7">
                  <c:v>2.4499654934437544E-2</c:v>
                </c:pt>
              </c:numCache>
            </c:numRef>
          </c:val>
          <c:extLst>
            <c:ext xmlns:c16="http://schemas.microsoft.com/office/drawing/2014/chart" uri="{C3380CC4-5D6E-409C-BE32-E72D297353CC}">
              <c16:uniqueId val="{00000002-5BC7-477A-AB28-B12EBB729DBD}"/>
            </c:ext>
          </c:extLst>
        </c:ser>
        <c:dLbls>
          <c:showLegendKey val="0"/>
          <c:showVal val="0"/>
          <c:showCatName val="0"/>
          <c:showSerName val="0"/>
          <c:showPercent val="0"/>
          <c:showBubbleSize val="0"/>
        </c:dLbls>
        <c:gapWidth val="219"/>
        <c:axId val="801330992"/>
        <c:axId val="801331384"/>
      </c:barChart>
      <c:catAx>
        <c:axId val="8013309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331384"/>
        <c:crosses val="autoZero"/>
        <c:auto val="1"/>
        <c:lblAlgn val="ctr"/>
        <c:lblOffset val="100"/>
        <c:noMultiLvlLbl val="0"/>
      </c:catAx>
      <c:valAx>
        <c:axId val="801331384"/>
        <c:scaling>
          <c:orientation val="minMax"/>
          <c:max val="0.60000000000000009"/>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33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540463692038499E-2"/>
          <c:y val="0"/>
          <c:w val="0.93888888888888888"/>
          <c:h val="0.6920465150189558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 hours'!$A$5:$A$17</c:f>
              <c:strCache>
                <c:ptCount val="13"/>
                <c:pt idx="0">
                  <c:v>1-100</c:v>
                </c:pt>
                <c:pt idx="1">
                  <c:v>100-200</c:v>
                </c:pt>
                <c:pt idx="2">
                  <c:v>200-300</c:v>
                </c:pt>
                <c:pt idx="3">
                  <c:v>300-400</c:v>
                </c:pt>
                <c:pt idx="4">
                  <c:v>400-500</c:v>
                </c:pt>
                <c:pt idx="5">
                  <c:v>500-600</c:v>
                </c:pt>
                <c:pt idx="6">
                  <c:v>600-700</c:v>
                </c:pt>
                <c:pt idx="7">
                  <c:v>700-800</c:v>
                </c:pt>
                <c:pt idx="8">
                  <c:v>800-900</c:v>
                </c:pt>
                <c:pt idx="9">
                  <c:v>900-1000</c:v>
                </c:pt>
                <c:pt idx="10">
                  <c:v>1000-1100</c:v>
                </c:pt>
                <c:pt idx="11">
                  <c:v>1100-1200</c:v>
                </c:pt>
                <c:pt idx="12">
                  <c:v>1200+</c:v>
                </c:pt>
              </c:strCache>
            </c:strRef>
          </c:cat>
          <c:val>
            <c:numRef>
              <c:f>'av hours'!$C$5:$C$17</c:f>
              <c:numCache>
                <c:formatCode>0.0%</c:formatCode>
                <c:ptCount val="13"/>
                <c:pt idx="0">
                  <c:v>0.30233611352228557</c:v>
                </c:pt>
                <c:pt idx="1">
                  <c:v>0.14694116315054534</c:v>
                </c:pt>
                <c:pt idx="2">
                  <c:v>0.10865380986526776</c:v>
                </c:pt>
                <c:pt idx="3">
                  <c:v>7.0479676944559755E-2</c:v>
                </c:pt>
                <c:pt idx="4">
                  <c:v>6.3931765860286066E-2</c:v>
                </c:pt>
                <c:pt idx="5">
                  <c:v>4.4703173944220104E-2</c:v>
                </c:pt>
                <c:pt idx="6">
                  <c:v>5.2005887458957616E-2</c:v>
                </c:pt>
                <c:pt idx="7">
                  <c:v>6.5837641997207236E-2</c:v>
                </c:pt>
                <c:pt idx="8">
                  <c:v>0.10233233951013322</c:v>
                </c:pt>
                <c:pt idx="9">
                  <c:v>7.3215835754991132E-3</c:v>
                </c:pt>
                <c:pt idx="10">
                  <c:v>6.7554817526512432E-3</c:v>
                </c:pt>
                <c:pt idx="11">
                  <c:v>3.7928822130807263E-3</c:v>
                </c:pt>
                <c:pt idx="12">
                  <c:v>2.4682039476167112E-2</c:v>
                </c:pt>
              </c:numCache>
            </c:numRef>
          </c:val>
          <c:extLst>
            <c:ext xmlns:c16="http://schemas.microsoft.com/office/drawing/2014/chart" uri="{C3380CC4-5D6E-409C-BE32-E72D297353CC}">
              <c16:uniqueId val="{00000000-31A9-49F8-907D-FA888C652BFD}"/>
            </c:ext>
          </c:extLst>
        </c:ser>
        <c:dLbls>
          <c:showLegendKey val="0"/>
          <c:showVal val="0"/>
          <c:showCatName val="0"/>
          <c:showSerName val="0"/>
          <c:showPercent val="0"/>
          <c:showBubbleSize val="0"/>
        </c:dLbls>
        <c:gapWidth val="219"/>
        <c:overlap val="-27"/>
        <c:axId val="801332168"/>
        <c:axId val="801332560"/>
      </c:barChart>
      <c:catAx>
        <c:axId val="80133216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b="0" i="0" u="none" strike="noStrike" kern="1200" baseline="0">
                    <a:solidFill>
                      <a:sysClr val="windowText" lastClr="000000">
                        <a:lumMod val="65000"/>
                        <a:lumOff val="35000"/>
                      </a:sysClr>
                    </a:solidFill>
                    <a:latin typeface="+mn-lt"/>
                    <a:ea typeface="+mn-ea"/>
                    <a:cs typeface="+mn-cs"/>
                  </a:rPr>
                  <a:t>SEE Programme </a:t>
                </a:r>
                <a:r>
                  <a:rPr lang="en-AU" sz="900"/>
                  <a:t>hours</a:t>
                </a:r>
                <a:r>
                  <a:rPr lang="en-AU" sz="900" baseline="0"/>
                  <a:t> undertaken</a:t>
                </a:r>
                <a:endParaRPr lang="en-AU" sz="900"/>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332560"/>
        <c:crosses val="autoZero"/>
        <c:auto val="1"/>
        <c:lblAlgn val="ctr"/>
        <c:lblOffset val="100"/>
        <c:noMultiLvlLbl val="0"/>
      </c:catAx>
      <c:valAx>
        <c:axId val="801332560"/>
        <c:scaling>
          <c:orientation val="minMax"/>
        </c:scaling>
        <c:delete val="1"/>
        <c:axPos val="l"/>
        <c:numFmt formatCode="0.0%" sourceLinked="1"/>
        <c:majorTickMark val="none"/>
        <c:minorTickMark val="none"/>
        <c:tickLblPos val="nextTo"/>
        <c:crossAx val="8013321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'av hours cohort'!$U$4</c:f>
              <c:strCache>
                <c:ptCount val="1"/>
                <c:pt idx="0">
                  <c:v>Non-CALD, non-Indigenous</c:v>
                </c:pt>
              </c:strCache>
            </c:strRef>
          </c:tx>
          <c:spPr>
            <a:ln w="28575" cap="rnd">
              <a:solidFill>
                <a:schemeClr val="accent1"/>
              </a:solidFill>
              <a:round/>
            </a:ln>
            <a:effectLst/>
          </c:spPr>
          <c:marker>
            <c:symbol val="none"/>
          </c:marker>
          <c:cat>
            <c:strRef>
              <c:f>'av hours cohort'!$A$5:$A$17</c:f>
              <c:strCache>
                <c:ptCount val="13"/>
                <c:pt idx="0">
                  <c:v>1-100</c:v>
                </c:pt>
                <c:pt idx="1">
                  <c:v>100-200</c:v>
                </c:pt>
                <c:pt idx="2">
                  <c:v>200-300</c:v>
                </c:pt>
                <c:pt idx="3">
                  <c:v>300-400</c:v>
                </c:pt>
                <c:pt idx="4">
                  <c:v>400-500</c:v>
                </c:pt>
                <c:pt idx="5">
                  <c:v>500-600</c:v>
                </c:pt>
                <c:pt idx="6">
                  <c:v>600-700</c:v>
                </c:pt>
                <c:pt idx="7">
                  <c:v>700-800</c:v>
                </c:pt>
                <c:pt idx="8">
                  <c:v>800-900</c:v>
                </c:pt>
                <c:pt idx="9">
                  <c:v>900-1000</c:v>
                </c:pt>
                <c:pt idx="10">
                  <c:v>1000-1100</c:v>
                </c:pt>
                <c:pt idx="11">
                  <c:v>1100-1200</c:v>
                </c:pt>
                <c:pt idx="12">
                  <c:v>1200+</c:v>
                </c:pt>
              </c:strCache>
            </c:strRef>
          </c:cat>
          <c:val>
            <c:numRef>
              <c:f>'av hours cohort'!$U$5:$U$17</c:f>
              <c:numCache>
                <c:formatCode>0%</c:formatCode>
                <c:ptCount val="13"/>
                <c:pt idx="0">
                  <c:v>0.45612865594533791</c:v>
                </c:pt>
                <c:pt idx="1">
                  <c:v>0.18306807766019498</c:v>
                </c:pt>
                <c:pt idx="2">
                  <c:v>0.10607449379218399</c:v>
                </c:pt>
                <c:pt idx="3">
                  <c:v>6.9660861594867091E-2</c:v>
                </c:pt>
                <c:pt idx="4">
                  <c:v>4.5829514207149404E-2</c:v>
                </c:pt>
                <c:pt idx="5">
                  <c:v>2.7664361303224732E-2</c:v>
                </c:pt>
                <c:pt idx="6">
                  <c:v>2.633113907174402E-2</c:v>
                </c:pt>
                <c:pt idx="7">
                  <c:v>3.3497208565952841E-2</c:v>
                </c:pt>
                <c:pt idx="8">
                  <c:v>3.8246812765602864E-2</c:v>
                </c:pt>
                <c:pt idx="9">
                  <c:v>3.333055578701775E-3</c:v>
                </c:pt>
                <c:pt idx="10">
                  <c:v>1.4998750104157988E-3</c:v>
                </c:pt>
                <c:pt idx="11">
                  <c:v>1.4998750104157988E-3</c:v>
                </c:pt>
                <c:pt idx="12">
                  <c:v>7.166069494208816E-3</c:v>
                </c:pt>
              </c:numCache>
            </c:numRef>
          </c:val>
          <c:smooth val="0"/>
          <c:extLst>
            <c:ext xmlns:c16="http://schemas.microsoft.com/office/drawing/2014/chart" uri="{C3380CC4-5D6E-409C-BE32-E72D297353CC}">
              <c16:uniqueId val="{00000000-558B-4BA9-9FAB-0DEC2651E5C5}"/>
            </c:ext>
          </c:extLst>
        </c:ser>
        <c:ser>
          <c:idx val="1"/>
          <c:order val="1"/>
          <c:tx>
            <c:strRef>
              <c:f>'av hours cohort'!$V$4</c:f>
              <c:strCache>
                <c:ptCount val="1"/>
                <c:pt idx="0">
                  <c:v>CALD</c:v>
                </c:pt>
              </c:strCache>
            </c:strRef>
          </c:tx>
          <c:spPr>
            <a:ln w="28575" cap="rnd">
              <a:solidFill>
                <a:schemeClr val="accent2"/>
              </a:solidFill>
              <a:round/>
            </a:ln>
            <a:effectLst/>
          </c:spPr>
          <c:marker>
            <c:symbol val="none"/>
          </c:marker>
          <c:cat>
            <c:strRef>
              <c:f>'av hours cohort'!$A$5:$A$17</c:f>
              <c:strCache>
                <c:ptCount val="13"/>
                <c:pt idx="0">
                  <c:v>1-100</c:v>
                </c:pt>
                <c:pt idx="1">
                  <c:v>100-200</c:v>
                </c:pt>
                <c:pt idx="2">
                  <c:v>200-300</c:v>
                </c:pt>
                <c:pt idx="3">
                  <c:v>300-400</c:v>
                </c:pt>
                <c:pt idx="4">
                  <c:v>400-500</c:v>
                </c:pt>
                <c:pt idx="5">
                  <c:v>500-600</c:v>
                </c:pt>
                <c:pt idx="6">
                  <c:v>600-700</c:v>
                </c:pt>
                <c:pt idx="7">
                  <c:v>700-800</c:v>
                </c:pt>
                <c:pt idx="8">
                  <c:v>800-900</c:v>
                </c:pt>
                <c:pt idx="9">
                  <c:v>900-1000</c:v>
                </c:pt>
                <c:pt idx="10">
                  <c:v>1000-1100</c:v>
                </c:pt>
                <c:pt idx="11">
                  <c:v>1100-1200</c:v>
                </c:pt>
                <c:pt idx="12">
                  <c:v>1200+</c:v>
                </c:pt>
              </c:strCache>
            </c:strRef>
          </c:cat>
          <c:val>
            <c:numRef>
              <c:f>'av hours cohort'!$V$5:$V$17</c:f>
              <c:numCache>
                <c:formatCode>0%</c:formatCode>
                <c:ptCount val="13"/>
                <c:pt idx="0">
                  <c:v>0.2125788206002544</c:v>
                </c:pt>
                <c:pt idx="1">
                  <c:v>0.13385294038050391</c:v>
                </c:pt>
                <c:pt idx="2">
                  <c:v>0.11434061324456712</c:v>
                </c:pt>
                <c:pt idx="3">
                  <c:v>7.4801764498931014E-2</c:v>
                </c:pt>
                <c:pt idx="4">
                  <c:v>7.4071067088847392E-2</c:v>
                </c:pt>
                <c:pt idx="5">
                  <c:v>5.3340910936104574E-2</c:v>
                </c:pt>
                <c:pt idx="6">
                  <c:v>6.4734377960001088E-2</c:v>
                </c:pt>
                <c:pt idx="7">
                  <c:v>8.2271115802008063E-2</c:v>
                </c:pt>
                <c:pt idx="8">
                  <c:v>0.13366350031122298</c:v>
                </c:pt>
                <c:pt idx="9">
                  <c:v>9.4178777299667119E-3</c:v>
                </c:pt>
                <c:pt idx="10">
                  <c:v>9.1201861925252359E-3</c:v>
                </c:pt>
                <c:pt idx="11">
                  <c:v>4.9254418013044299E-3</c:v>
                </c:pt>
                <c:pt idx="12">
                  <c:v>3.2854320586722954E-2</c:v>
                </c:pt>
              </c:numCache>
            </c:numRef>
          </c:val>
          <c:smooth val="1"/>
          <c:extLst>
            <c:ext xmlns:c16="http://schemas.microsoft.com/office/drawing/2014/chart" uri="{C3380CC4-5D6E-409C-BE32-E72D297353CC}">
              <c16:uniqueId val="{00000001-558B-4BA9-9FAB-0DEC2651E5C5}"/>
            </c:ext>
          </c:extLst>
        </c:ser>
        <c:ser>
          <c:idx val="2"/>
          <c:order val="2"/>
          <c:tx>
            <c:strRef>
              <c:f>'av hours cohort'!$W$4</c:f>
              <c:strCache>
                <c:ptCount val="1"/>
                <c:pt idx="0">
                  <c:v>Indigenous</c:v>
                </c:pt>
              </c:strCache>
            </c:strRef>
          </c:tx>
          <c:spPr>
            <a:ln w="28575" cap="rnd">
              <a:solidFill>
                <a:schemeClr val="accent3"/>
              </a:solidFill>
              <a:round/>
            </a:ln>
            <a:effectLst/>
          </c:spPr>
          <c:marker>
            <c:symbol val="none"/>
          </c:marker>
          <c:cat>
            <c:strRef>
              <c:f>'av hours cohort'!$A$5:$A$17</c:f>
              <c:strCache>
                <c:ptCount val="13"/>
                <c:pt idx="0">
                  <c:v>1-100</c:v>
                </c:pt>
                <c:pt idx="1">
                  <c:v>100-200</c:v>
                </c:pt>
                <c:pt idx="2">
                  <c:v>200-300</c:v>
                </c:pt>
                <c:pt idx="3">
                  <c:v>300-400</c:v>
                </c:pt>
                <c:pt idx="4">
                  <c:v>400-500</c:v>
                </c:pt>
                <c:pt idx="5">
                  <c:v>500-600</c:v>
                </c:pt>
                <c:pt idx="6">
                  <c:v>600-700</c:v>
                </c:pt>
                <c:pt idx="7">
                  <c:v>700-800</c:v>
                </c:pt>
                <c:pt idx="8">
                  <c:v>800-900</c:v>
                </c:pt>
                <c:pt idx="9">
                  <c:v>900-1000</c:v>
                </c:pt>
                <c:pt idx="10">
                  <c:v>1000-1100</c:v>
                </c:pt>
                <c:pt idx="11">
                  <c:v>1100-1200</c:v>
                </c:pt>
                <c:pt idx="12">
                  <c:v>1200+</c:v>
                </c:pt>
              </c:strCache>
            </c:strRef>
          </c:cat>
          <c:val>
            <c:numRef>
              <c:f>'av hours cohort'!$W$5:$W$17</c:f>
              <c:numCache>
                <c:formatCode>0%</c:formatCode>
                <c:ptCount val="13"/>
                <c:pt idx="0">
                  <c:v>0.66757560733763011</c:v>
                </c:pt>
                <c:pt idx="1">
                  <c:v>0.15964303420922163</c:v>
                </c:pt>
                <c:pt idx="2">
                  <c:v>6.4452156668319285E-2</c:v>
                </c:pt>
                <c:pt idx="3">
                  <c:v>3.3465542885473473E-2</c:v>
                </c:pt>
                <c:pt idx="4">
                  <c:v>2.5037183936539417E-2</c:v>
                </c:pt>
                <c:pt idx="5">
                  <c:v>1.6360932077342589E-2</c:v>
                </c:pt>
                <c:pt idx="6">
                  <c:v>1.1898859692612791E-2</c:v>
                </c:pt>
                <c:pt idx="7">
                  <c:v>1.1650966782350025E-2</c:v>
                </c:pt>
                <c:pt idx="8">
                  <c:v>6.1973227565691623E-3</c:v>
                </c:pt>
                <c:pt idx="9">
                  <c:v>0</c:v>
                </c:pt>
                <c:pt idx="10">
                  <c:v>7.4367873078829945E-4</c:v>
                </c:pt>
                <c:pt idx="11">
                  <c:v>2.4789291026276647E-4</c:v>
                </c:pt>
                <c:pt idx="12">
                  <c:v>1.9831432821021317E-3</c:v>
                </c:pt>
              </c:numCache>
            </c:numRef>
          </c:val>
          <c:smooth val="0"/>
          <c:extLst>
            <c:ext xmlns:c16="http://schemas.microsoft.com/office/drawing/2014/chart" uri="{C3380CC4-5D6E-409C-BE32-E72D297353CC}">
              <c16:uniqueId val="{00000002-558B-4BA9-9FAB-0DEC2651E5C5}"/>
            </c:ext>
          </c:extLst>
        </c:ser>
        <c:dLbls>
          <c:showLegendKey val="0"/>
          <c:showVal val="0"/>
          <c:showCatName val="0"/>
          <c:showSerName val="0"/>
          <c:showPercent val="0"/>
          <c:showBubbleSize val="0"/>
        </c:dLbls>
        <c:smooth val="0"/>
        <c:axId val="430671960"/>
        <c:axId val="430672352"/>
      </c:lineChart>
      <c:catAx>
        <c:axId val="43067196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b="0" i="0" u="none" strike="noStrike" kern="1200" baseline="0">
                    <a:solidFill>
                      <a:sysClr val="windowText" lastClr="000000">
                        <a:lumMod val="65000"/>
                        <a:lumOff val="35000"/>
                      </a:sysClr>
                    </a:solidFill>
                    <a:latin typeface="+mn-lt"/>
                    <a:ea typeface="+mn-ea"/>
                    <a:cs typeface="+mn-cs"/>
                  </a:rPr>
                  <a:t>SEE Programme </a:t>
                </a:r>
                <a:r>
                  <a:rPr lang="en-AU" sz="900" baseline="0"/>
                  <a:t>hours undertaken</a:t>
                </a:r>
                <a:endParaRPr lang="en-AU" sz="900"/>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672352"/>
        <c:crosses val="autoZero"/>
        <c:auto val="1"/>
        <c:lblAlgn val="ctr"/>
        <c:lblOffset val="100"/>
        <c:noMultiLvlLbl val="0"/>
      </c:catAx>
      <c:valAx>
        <c:axId val="430672352"/>
        <c:scaling>
          <c:orientation val="minMax"/>
          <c:max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Proportion of client cohort</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671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3623-49C1-A754-C9F2FF6A4300}"/>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3-3623-49C1-A754-C9F2FF6A4300}"/>
              </c:ext>
            </c:extLst>
          </c:dPt>
          <c:dPt>
            <c:idx val="3"/>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5-3623-49C1-A754-C9F2FF6A430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'av hours'!$Q$23:$R$26</c:f>
              <c:multiLvlStrCache>
                <c:ptCount val="4"/>
                <c:lvl>
                  <c:pt idx="0">
                    <c:v>Non-CALD, non-Indigenous</c:v>
                  </c:pt>
                  <c:pt idx="1">
                    <c:v>CALD</c:v>
                  </c:pt>
                  <c:pt idx="2">
                    <c:v>Indigenous</c:v>
                  </c:pt>
                </c:lvl>
                <c:lvl>
                  <c:pt idx="0">
                    <c:v>Client cohorts</c:v>
                  </c:pt>
                  <c:pt idx="3">
                    <c:v>All cohorts</c:v>
                  </c:pt>
                </c:lvl>
              </c:multiLvlStrCache>
            </c:multiLvlStrRef>
          </c:cat>
          <c:val>
            <c:numRef>
              <c:f>'av hours'!$S$23:$S$26</c:f>
              <c:numCache>
                <c:formatCode>0</c:formatCode>
                <c:ptCount val="4"/>
                <c:pt idx="0">
                  <c:v>217.16739999999999</c:v>
                </c:pt>
                <c:pt idx="1">
                  <c:v>426.60250000000002</c:v>
                </c:pt>
                <c:pt idx="2">
                  <c:v>116.755</c:v>
                </c:pt>
                <c:pt idx="3">
                  <c:v>355.55380000000002</c:v>
                </c:pt>
              </c:numCache>
            </c:numRef>
          </c:val>
          <c:extLst>
            <c:ext xmlns:c16="http://schemas.microsoft.com/office/drawing/2014/chart" uri="{C3380CC4-5D6E-409C-BE32-E72D297353CC}">
              <c16:uniqueId val="{00000006-3623-49C1-A754-C9F2FF6A4300}"/>
            </c:ext>
          </c:extLst>
        </c:ser>
        <c:dLbls>
          <c:showLegendKey val="0"/>
          <c:showVal val="0"/>
          <c:showCatName val="0"/>
          <c:showSerName val="0"/>
          <c:showPercent val="0"/>
          <c:showBubbleSize val="0"/>
        </c:dLbls>
        <c:gapWidth val="219"/>
        <c:overlap val="-27"/>
        <c:axId val="430673136"/>
        <c:axId val="795690096"/>
      </c:barChart>
      <c:catAx>
        <c:axId val="43067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690096"/>
        <c:crosses val="autoZero"/>
        <c:auto val="1"/>
        <c:lblAlgn val="ctr"/>
        <c:lblOffset val="100"/>
        <c:noMultiLvlLbl val="0"/>
      </c:catAx>
      <c:valAx>
        <c:axId val="795690096"/>
        <c:scaling>
          <c:orientation val="minMax"/>
        </c:scaling>
        <c:delete val="1"/>
        <c:axPos val="l"/>
        <c:numFmt formatCode="0" sourceLinked="1"/>
        <c:majorTickMark val="none"/>
        <c:minorTickMark val="none"/>
        <c:tickLblPos val="nextTo"/>
        <c:crossAx val="4306731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'number of referrals'!$G$5:$G$8</c:f>
              <c:strCache>
                <c:ptCount val="4"/>
                <c:pt idx="0">
                  <c:v>1</c:v>
                </c:pt>
                <c:pt idx="1">
                  <c:v>2</c:v>
                </c:pt>
                <c:pt idx="2">
                  <c:v>3</c:v>
                </c:pt>
                <c:pt idx="3">
                  <c:v>4 or more</c:v>
                </c:pt>
              </c:strCache>
            </c:strRef>
          </c:cat>
          <c:val>
            <c:numRef>
              <c:f>'number of referrals'!$H$5:$H$8</c:f>
              <c:numCache>
                <c:formatCode>0%</c:formatCode>
                <c:ptCount val="4"/>
                <c:pt idx="0">
                  <c:v>0.69721086218316008</c:v>
                </c:pt>
                <c:pt idx="1">
                  <c:v>0.23065843837719069</c:v>
                </c:pt>
                <c:pt idx="2">
                  <c:v>5.8915674050400026E-2</c:v>
                </c:pt>
                <c:pt idx="3">
                  <c:v>1.3215025389249256E-2</c:v>
                </c:pt>
              </c:numCache>
            </c:numRef>
          </c:val>
          <c:extLst>
            <c:ext xmlns:c16="http://schemas.microsoft.com/office/drawing/2014/chart" uri="{C3380CC4-5D6E-409C-BE32-E72D297353CC}">
              <c16:uniqueId val="{00000000-8156-43A1-AD87-68CB9C16B847}"/>
            </c:ext>
          </c:extLst>
        </c:ser>
        <c:dLbls>
          <c:showLegendKey val="0"/>
          <c:showVal val="0"/>
          <c:showCatName val="0"/>
          <c:showSerName val="0"/>
          <c:showPercent val="0"/>
          <c:showBubbleSize val="0"/>
        </c:dLbls>
        <c:gapWidth val="219"/>
        <c:overlap val="-27"/>
        <c:axId val="840495920"/>
        <c:axId val="840496312"/>
      </c:barChart>
      <c:catAx>
        <c:axId val="8404959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Number of referrals over</a:t>
                </a:r>
                <a:r>
                  <a:rPr lang="en-AU" sz="900" baseline="0"/>
                  <a:t> 2010-11 </a:t>
                </a:r>
                <a:r>
                  <a:rPr lang="en-AU" sz="900" b="0" i="0" u="none" strike="noStrike" baseline="0">
                    <a:effectLst/>
                  </a:rPr>
                  <a:t>–</a:t>
                </a:r>
                <a:r>
                  <a:rPr lang="en-AU" sz="900" baseline="0"/>
                  <a:t> 2013-14 per individual</a:t>
                </a:r>
                <a:endParaRPr lang="en-AU" sz="900"/>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496312"/>
        <c:crosses val="autoZero"/>
        <c:auto val="1"/>
        <c:lblAlgn val="ctr"/>
        <c:lblOffset val="100"/>
        <c:noMultiLvlLbl val="0"/>
      </c:catAx>
      <c:valAx>
        <c:axId val="840496312"/>
        <c:scaling>
          <c:orientation val="minMax"/>
        </c:scaling>
        <c:delete val="1"/>
        <c:axPos val="l"/>
        <c:numFmt formatCode="0%" sourceLinked="1"/>
        <c:majorTickMark val="none"/>
        <c:minorTickMark val="none"/>
        <c:tickLblPos val="nextTo"/>
        <c:crossAx val="840495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63275502511873"/>
          <c:y val="6.0563708362450501E-2"/>
          <c:w val="0.84641476419221184"/>
          <c:h val="0.6523030533133044"/>
        </c:manualLayout>
      </c:layout>
      <c:lineChart>
        <c:grouping val="standard"/>
        <c:varyColors val="0"/>
        <c:ser>
          <c:idx val="0"/>
          <c:order val="0"/>
          <c:tx>
            <c:strRef>
              <c:f>'5 improv with time'!$K$20</c:f>
              <c:strCache>
                <c:ptCount val="1"/>
                <c:pt idx="0">
                  <c:v>Learning</c:v>
                </c:pt>
              </c:strCache>
            </c:strRef>
          </c:tx>
          <c:spPr>
            <a:ln w="28575" cap="rnd">
              <a:solidFill>
                <a:schemeClr val="accent1"/>
              </a:solidFill>
              <a:round/>
            </a:ln>
            <a:effectLst/>
          </c:spPr>
          <c:marker>
            <c:symbol val="none"/>
          </c:marker>
          <c:cat>
            <c:strRef>
              <c:f>'5 improv with time'!$J$22:$J$30</c:f>
              <c:strCache>
                <c:ptCount val="9"/>
                <c:pt idx="0">
                  <c:v>1 - 100</c:v>
                </c:pt>
                <c:pt idx="1">
                  <c:v>100-200</c:v>
                </c:pt>
                <c:pt idx="2">
                  <c:v>200-300</c:v>
                </c:pt>
                <c:pt idx="3">
                  <c:v>300-400</c:v>
                </c:pt>
                <c:pt idx="4">
                  <c:v>400-500</c:v>
                </c:pt>
                <c:pt idx="5">
                  <c:v>500-600</c:v>
                </c:pt>
                <c:pt idx="6">
                  <c:v>600-700</c:v>
                </c:pt>
                <c:pt idx="7">
                  <c:v>700-800</c:v>
                </c:pt>
                <c:pt idx="8">
                  <c:v>800-900</c:v>
                </c:pt>
              </c:strCache>
            </c:strRef>
          </c:cat>
          <c:val>
            <c:numRef>
              <c:f>'5 improv with time'!$K$22:$K$30</c:f>
              <c:numCache>
                <c:formatCode>General</c:formatCode>
                <c:ptCount val="9"/>
                <c:pt idx="0">
                  <c:v>5.2896199999999997E-2</c:v>
                </c:pt>
                <c:pt idx="1">
                  <c:v>0.1001645</c:v>
                </c:pt>
                <c:pt idx="2">
                  <c:v>0.17714189999999999</c:v>
                </c:pt>
                <c:pt idx="3">
                  <c:v>0.22636819999999999</c:v>
                </c:pt>
                <c:pt idx="4">
                  <c:v>0.31172090000000002</c:v>
                </c:pt>
                <c:pt idx="5">
                  <c:v>0.3542728</c:v>
                </c:pt>
                <c:pt idx="6">
                  <c:v>0.43170599999999998</c:v>
                </c:pt>
                <c:pt idx="7">
                  <c:v>0.49191089999999998</c:v>
                </c:pt>
                <c:pt idx="8">
                  <c:v>0.5588997</c:v>
                </c:pt>
              </c:numCache>
            </c:numRef>
          </c:val>
          <c:smooth val="0"/>
          <c:extLst>
            <c:ext xmlns:c16="http://schemas.microsoft.com/office/drawing/2014/chart" uri="{C3380CC4-5D6E-409C-BE32-E72D297353CC}">
              <c16:uniqueId val="{00000000-E807-4794-AD6D-1A71B0D3D163}"/>
            </c:ext>
          </c:extLst>
        </c:ser>
        <c:ser>
          <c:idx val="1"/>
          <c:order val="1"/>
          <c:tx>
            <c:strRef>
              <c:f>'5 improv with time'!$L$20</c:f>
              <c:strCache>
                <c:ptCount val="1"/>
                <c:pt idx="0">
                  <c:v>Reading</c:v>
                </c:pt>
              </c:strCache>
            </c:strRef>
          </c:tx>
          <c:spPr>
            <a:ln w="28575" cap="rnd">
              <a:solidFill>
                <a:schemeClr val="accent2"/>
              </a:solidFill>
              <a:round/>
            </a:ln>
            <a:effectLst/>
          </c:spPr>
          <c:marker>
            <c:symbol val="none"/>
          </c:marker>
          <c:cat>
            <c:strRef>
              <c:f>'5 improv with time'!$J$22:$J$30</c:f>
              <c:strCache>
                <c:ptCount val="9"/>
                <c:pt idx="0">
                  <c:v>1 - 100</c:v>
                </c:pt>
                <c:pt idx="1">
                  <c:v>100-200</c:v>
                </c:pt>
                <c:pt idx="2">
                  <c:v>200-300</c:v>
                </c:pt>
                <c:pt idx="3">
                  <c:v>300-400</c:v>
                </c:pt>
                <c:pt idx="4">
                  <c:v>400-500</c:v>
                </c:pt>
                <c:pt idx="5">
                  <c:v>500-600</c:v>
                </c:pt>
                <c:pt idx="6">
                  <c:v>600-700</c:v>
                </c:pt>
                <c:pt idx="7">
                  <c:v>700-800</c:v>
                </c:pt>
                <c:pt idx="8">
                  <c:v>800-900</c:v>
                </c:pt>
              </c:strCache>
            </c:strRef>
          </c:cat>
          <c:val>
            <c:numRef>
              <c:f>'5 improv with time'!$L$22:$L$30</c:f>
              <c:numCache>
                <c:formatCode>General</c:formatCode>
                <c:ptCount val="9"/>
                <c:pt idx="0">
                  <c:v>4.9883299999999998E-2</c:v>
                </c:pt>
                <c:pt idx="1">
                  <c:v>0.13491069999999999</c:v>
                </c:pt>
                <c:pt idx="2">
                  <c:v>0.29392040000000003</c:v>
                </c:pt>
                <c:pt idx="3">
                  <c:v>0.36757879999999998</c:v>
                </c:pt>
                <c:pt idx="4">
                  <c:v>0.50412140000000005</c:v>
                </c:pt>
                <c:pt idx="5">
                  <c:v>0.59394449999999999</c:v>
                </c:pt>
                <c:pt idx="6">
                  <c:v>0.71516729999999995</c:v>
                </c:pt>
                <c:pt idx="7">
                  <c:v>0.83645959999999997</c:v>
                </c:pt>
                <c:pt idx="8">
                  <c:v>0.87127829999999995</c:v>
                </c:pt>
              </c:numCache>
            </c:numRef>
          </c:val>
          <c:smooth val="0"/>
          <c:extLst>
            <c:ext xmlns:c16="http://schemas.microsoft.com/office/drawing/2014/chart" uri="{C3380CC4-5D6E-409C-BE32-E72D297353CC}">
              <c16:uniqueId val="{00000001-E807-4794-AD6D-1A71B0D3D163}"/>
            </c:ext>
          </c:extLst>
        </c:ser>
        <c:ser>
          <c:idx val="2"/>
          <c:order val="2"/>
          <c:tx>
            <c:strRef>
              <c:f>'5 improv with time'!$M$20</c:f>
              <c:strCache>
                <c:ptCount val="1"/>
                <c:pt idx="0">
                  <c:v>Writing</c:v>
                </c:pt>
              </c:strCache>
            </c:strRef>
          </c:tx>
          <c:spPr>
            <a:ln w="28575" cap="rnd">
              <a:solidFill>
                <a:schemeClr val="accent3"/>
              </a:solidFill>
              <a:round/>
            </a:ln>
            <a:effectLst/>
          </c:spPr>
          <c:marker>
            <c:symbol val="none"/>
          </c:marker>
          <c:cat>
            <c:strRef>
              <c:f>'5 improv with time'!$J$22:$J$30</c:f>
              <c:strCache>
                <c:ptCount val="9"/>
                <c:pt idx="0">
                  <c:v>1 - 100</c:v>
                </c:pt>
                <c:pt idx="1">
                  <c:v>100-200</c:v>
                </c:pt>
                <c:pt idx="2">
                  <c:v>200-300</c:v>
                </c:pt>
                <c:pt idx="3">
                  <c:v>300-400</c:v>
                </c:pt>
                <c:pt idx="4">
                  <c:v>400-500</c:v>
                </c:pt>
                <c:pt idx="5">
                  <c:v>500-600</c:v>
                </c:pt>
                <c:pt idx="6">
                  <c:v>600-700</c:v>
                </c:pt>
                <c:pt idx="7">
                  <c:v>700-800</c:v>
                </c:pt>
                <c:pt idx="8">
                  <c:v>800-900</c:v>
                </c:pt>
              </c:strCache>
            </c:strRef>
          </c:cat>
          <c:val>
            <c:numRef>
              <c:f>'5 improv with time'!$M$22:$M$30</c:f>
              <c:numCache>
                <c:formatCode>General</c:formatCode>
                <c:ptCount val="9"/>
                <c:pt idx="0">
                  <c:v>4.1247600000000002E-2</c:v>
                </c:pt>
                <c:pt idx="1">
                  <c:v>9.2917600000000003E-2</c:v>
                </c:pt>
                <c:pt idx="2">
                  <c:v>0.23074430000000001</c:v>
                </c:pt>
                <c:pt idx="3">
                  <c:v>0.29344940000000003</c:v>
                </c:pt>
                <c:pt idx="4">
                  <c:v>0.42310009999999998</c:v>
                </c:pt>
                <c:pt idx="5">
                  <c:v>0.4888229</c:v>
                </c:pt>
                <c:pt idx="6">
                  <c:v>0.59503569999999995</c:v>
                </c:pt>
                <c:pt idx="7">
                  <c:v>0.70597889999999996</c:v>
                </c:pt>
                <c:pt idx="8">
                  <c:v>0.74555020000000005</c:v>
                </c:pt>
              </c:numCache>
            </c:numRef>
          </c:val>
          <c:smooth val="0"/>
          <c:extLst>
            <c:ext xmlns:c16="http://schemas.microsoft.com/office/drawing/2014/chart" uri="{C3380CC4-5D6E-409C-BE32-E72D297353CC}">
              <c16:uniqueId val="{00000002-E807-4794-AD6D-1A71B0D3D163}"/>
            </c:ext>
          </c:extLst>
        </c:ser>
        <c:ser>
          <c:idx val="3"/>
          <c:order val="3"/>
          <c:tx>
            <c:strRef>
              <c:f>'5 improv with time'!$N$20</c:f>
              <c:strCache>
                <c:ptCount val="1"/>
                <c:pt idx="0">
                  <c:v>Oral communication</c:v>
                </c:pt>
              </c:strCache>
            </c:strRef>
          </c:tx>
          <c:spPr>
            <a:ln w="28575" cap="rnd">
              <a:solidFill>
                <a:schemeClr val="accent4"/>
              </a:solidFill>
              <a:round/>
            </a:ln>
            <a:effectLst/>
          </c:spPr>
          <c:marker>
            <c:symbol val="none"/>
          </c:marker>
          <c:cat>
            <c:strRef>
              <c:f>'5 improv with time'!$J$22:$J$30</c:f>
              <c:strCache>
                <c:ptCount val="9"/>
                <c:pt idx="0">
                  <c:v>1 - 100</c:v>
                </c:pt>
                <c:pt idx="1">
                  <c:v>100-200</c:v>
                </c:pt>
                <c:pt idx="2">
                  <c:v>200-300</c:v>
                </c:pt>
                <c:pt idx="3">
                  <c:v>300-400</c:v>
                </c:pt>
                <c:pt idx="4">
                  <c:v>400-500</c:v>
                </c:pt>
                <c:pt idx="5">
                  <c:v>500-600</c:v>
                </c:pt>
                <c:pt idx="6">
                  <c:v>600-700</c:v>
                </c:pt>
                <c:pt idx="7">
                  <c:v>700-800</c:v>
                </c:pt>
                <c:pt idx="8">
                  <c:v>800-900</c:v>
                </c:pt>
              </c:strCache>
            </c:strRef>
          </c:cat>
          <c:val>
            <c:numRef>
              <c:f>'5 improv with time'!$N$22:$N$30</c:f>
              <c:numCache>
                <c:formatCode>General</c:formatCode>
                <c:ptCount val="9"/>
                <c:pt idx="0">
                  <c:v>1.3664300000000001E-2</c:v>
                </c:pt>
                <c:pt idx="1">
                  <c:v>3.00063E-2</c:v>
                </c:pt>
                <c:pt idx="2">
                  <c:v>8.5623099999999994E-2</c:v>
                </c:pt>
                <c:pt idx="3">
                  <c:v>0.1090381</c:v>
                </c:pt>
                <c:pt idx="4">
                  <c:v>0.17621629999999999</c:v>
                </c:pt>
                <c:pt idx="5">
                  <c:v>0.21208260000000001</c:v>
                </c:pt>
                <c:pt idx="6">
                  <c:v>0.2852441</c:v>
                </c:pt>
                <c:pt idx="7">
                  <c:v>0.35087930000000001</c:v>
                </c:pt>
                <c:pt idx="8">
                  <c:v>0.43187700000000001</c:v>
                </c:pt>
              </c:numCache>
            </c:numRef>
          </c:val>
          <c:smooth val="0"/>
          <c:extLst>
            <c:ext xmlns:c16="http://schemas.microsoft.com/office/drawing/2014/chart" uri="{C3380CC4-5D6E-409C-BE32-E72D297353CC}">
              <c16:uniqueId val="{00000003-E807-4794-AD6D-1A71B0D3D163}"/>
            </c:ext>
          </c:extLst>
        </c:ser>
        <c:ser>
          <c:idx val="4"/>
          <c:order val="4"/>
          <c:tx>
            <c:strRef>
              <c:f>'5 improv with time'!$O$20</c:f>
              <c:strCache>
                <c:ptCount val="1"/>
                <c:pt idx="0">
                  <c:v>Numeracy</c:v>
                </c:pt>
              </c:strCache>
            </c:strRef>
          </c:tx>
          <c:spPr>
            <a:ln w="28575" cap="rnd">
              <a:solidFill>
                <a:schemeClr val="accent5"/>
              </a:solidFill>
              <a:round/>
            </a:ln>
            <a:effectLst/>
          </c:spPr>
          <c:marker>
            <c:symbol val="none"/>
          </c:marker>
          <c:cat>
            <c:strRef>
              <c:f>'5 improv with time'!$J$22:$J$30</c:f>
              <c:strCache>
                <c:ptCount val="9"/>
                <c:pt idx="0">
                  <c:v>1 - 100</c:v>
                </c:pt>
                <c:pt idx="1">
                  <c:v>100-200</c:v>
                </c:pt>
                <c:pt idx="2">
                  <c:v>200-300</c:v>
                </c:pt>
                <c:pt idx="3">
                  <c:v>300-400</c:v>
                </c:pt>
                <c:pt idx="4">
                  <c:v>400-500</c:v>
                </c:pt>
                <c:pt idx="5">
                  <c:v>500-600</c:v>
                </c:pt>
                <c:pt idx="6">
                  <c:v>600-700</c:v>
                </c:pt>
                <c:pt idx="7">
                  <c:v>700-800</c:v>
                </c:pt>
                <c:pt idx="8">
                  <c:v>800-900</c:v>
                </c:pt>
              </c:strCache>
            </c:strRef>
          </c:cat>
          <c:val>
            <c:numRef>
              <c:f>'5 improv with time'!$O$22:$O$30</c:f>
              <c:numCache>
                <c:formatCode>General</c:formatCode>
                <c:ptCount val="9"/>
                <c:pt idx="0">
                  <c:v>2.4584499999999999E-2</c:v>
                </c:pt>
                <c:pt idx="1">
                  <c:v>7.8919900000000001E-2</c:v>
                </c:pt>
                <c:pt idx="2">
                  <c:v>0.1966321</c:v>
                </c:pt>
                <c:pt idx="3">
                  <c:v>0.2401327</c:v>
                </c:pt>
                <c:pt idx="4">
                  <c:v>0.35122639999999999</c:v>
                </c:pt>
                <c:pt idx="5">
                  <c:v>0.4082249</c:v>
                </c:pt>
                <c:pt idx="6">
                  <c:v>0.53327849999999999</c:v>
                </c:pt>
                <c:pt idx="7">
                  <c:v>0.64290740000000002</c:v>
                </c:pt>
                <c:pt idx="8">
                  <c:v>0.68700110000000003</c:v>
                </c:pt>
              </c:numCache>
            </c:numRef>
          </c:val>
          <c:smooth val="0"/>
          <c:extLst>
            <c:ext xmlns:c16="http://schemas.microsoft.com/office/drawing/2014/chart" uri="{C3380CC4-5D6E-409C-BE32-E72D297353CC}">
              <c16:uniqueId val="{00000004-E807-4794-AD6D-1A71B0D3D163}"/>
            </c:ext>
          </c:extLst>
        </c:ser>
        <c:dLbls>
          <c:showLegendKey val="0"/>
          <c:showVal val="0"/>
          <c:showCatName val="0"/>
          <c:showSerName val="0"/>
          <c:showPercent val="0"/>
          <c:showBubbleSize val="0"/>
        </c:dLbls>
        <c:smooth val="0"/>
        <c:axId val="795690880"/>
        <c:axId val="795691272"/>
      </c:lineChart>
      <c:catAx>
        <c:axId val="79569088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Hours completed</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691272"/>
        <c:crosses val="autoZero"/>
        <c:auto val="1"/>
        <c:lblAlgn val="ctr"/>
        <c:lblOffset val="100"/>
        <c:noMultiLvlLbl val="0"/>
      </c:catAx>
      <c:valAx>
        <c:axId val="795691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Average improvement level</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69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'Improvement ACSF '!$B$21</c:f>
              <c:strCache>
                <c:ptCount val="1"/>
                <c:pt idx="0">
                  <c:v>Non-Indigenous, non-CALD</c:v>
                </c:pt>
              </c:strCache>
            </c:strRef>
          </c:tx>
          <c:spPr>
            <a:ln w="28575" cap="rnd">
              <a:noFill/>
              <a:round/>
            </a:ln>
            <a:effectLst/>
          </c:spPr>
          <c:marker>
            <c:symbol val="circle"/>
            <c:size val="5"/>
            <c:spPr>
              <a:solidFill>
                <a:schemeClr val="accent1"/>
              </a:solidFill>
              <a:ln w="9525">
                <a:solidFill>
                  <a:schemeClr val="accent1"/>
                </a:solidFill>
              </a:ln>
              <a:effectLst/>
            </c:spPr>
          </c:marker>
          <c:cat>
            <c:multiLvlStrRef>
              <c:f>'Improvement ACSF '!$C$19:$M$20</c:f>
              <c:multiLvlStrCache>
                <c:ptCount val="11"/>
                <c:lvl>
                  <c:pt idx="0">
                    <c:v>.01</c:v>
                  </c:pt>
                  <c:pt idx="1">
                    <c:v>.02</c:v>
                  </c:pt>
                  <c:pt idx="2">
                    <c:v>.03</c:v>
                  </c:pt>
                  <c:pt idx="3">
                    <c:v>.04</c:v>
                  </c:pt>
                  <c:pt idx="4">
                    <c:v>.05</c:v>
                  </c:pt>
                  <c:pt idx="5">
                    <c:v>.06</c:v>
                  </c:pt>
                  <c:pt idx="6">
                    <c:v>.07</c:v>
                  </c:pt>
                  <c:pt idx="7">
                    <c:v>.08</c:v>
                  </c:pt>
                  <c:pt idx="8">
                    <c:v>.09</c:v>
                  </c:pt>
                  <c:pt idx="9">
                    <c:v>.10</c:v>
                  </c:pt>
                  <c:pt idx="10">
                    <c:v>.11</c:v>
                  </c:pt>
                </c:lvl>
                <c:lvl>
                  <c:pt idx="0">
                    <c:v>Learning</c:v>
                  </c:pt>
                  <c:pt idx="2">
                    <c:v>Reading</c:v>
                  </c:pt>
                  <c:pt idx="4">
                    <c:v>Writing</c:v>
                  </c:pt>
                  <c:pt idx="6">
                    <c:v>Oral Communication</c:v>
                  </c:pt>
                  <c:pt idx="8">
                    <c:v>Numeracy</c:v>
                  </c:pt>
                </c:lvl>
              </c:multiLvlStrCache>
            </c:multiLvlStrRef>
          </c:cat>
          <c:val>
            <c:numRef>
              <c:f>'Improvement ACSF '!$C$21:$M$21</c:f>
              <c:numCache>
                <c:formatCode>General</c:formatCode>
                <c:ptCount val="11"/>
                <c:pt idx="0">
                  <c:v>0.52092559999999999</c:v>
                </c:pt>
                <c:pt idx="1">
                  <c:v>0.4687346</c:v>
                </c:pt>
                <c:pt idx="2">
                  <c:v>0.78975870000000004</c:v>
                </c:pt>
                <c:pt idx="3">
                  <c:v>0.59724270000000002</c:v>
                </c:pt>
                <c:pt idx="4">
                  <c:v>0.79812899999999998</c:v>
                </c:pt>
                <c:pt idx="5">
                  <c:v>0.67700640000000001</c:v>
                </c:pt>
                <c:pt idx="6">
                  <c:v>0.14032500000000001</c:v>
                </c:pt>
                <c:pt idx="7">
                  <c:v>0.14623340000000001</c:v>
                </c:pt>
                <c:pt idx="8">
                  <c:v>0.69670109999999996</c:v>
                </c:pt>
                <c:pt idx="9">
                  <c:v>0.77301819999999999</c:v>
                </c:pt>
                <c:pt idx="10">
                  <c:v>0.49138359999999998</c:v>
                </c:pt>
              </c:numCache>
            </c:numRef>
          </c:val>
          <c:smooth val="0"/>
          <c:extLst>
            <c:ext xmlns:c16="http://schemas.microsoft.com/office/drawing/2014/chart" uri="{C3380CC4-5D6E-409C-BE32-E72D297353CC}">
              <c16:uniqueId val="{00000000-BA5E-490C-9328-0C9B5FD07351}"/>
            </c:ext>
          </c:extLst>
        </c:ser>
        <c:ser>
          <c:idx val="1"/>
          <c:order val="1"/>
          <c:tx>
            <c:strRef>
              <c:f>'Improvement ACSF '!$B$22</c:f>
              <c:strCache>
                <c:ptCount val="1"/>
                <c:pt idx="0">
                  <c:v>CALD</c:v>
                </c:pt>
              </c:strCache>
            </c:strRef>
          </c:tx>
          <c:spPr>
            <a:ln w="28575" cap="rnd">
              <a:noFill/>
              <a:round/>
            </a:ln>
            <a:effectLst/>
          </c:spPr>
          <c:marker>
            <c:symbol val="circle"/>
            <c:size val="5"/>
            <c:spPr>
              <a:solidFill>
                <a:schemeClr val="accent2"/>
              </a:solidFill>
              <a:ln w="9525">
                <a:solidFill>
                  <a:schemeClr val="accent2"/>
                </a:solidFill>
              </a:ln>
              <a:effectLst/>
            </c:spPr>
          </c:marker>
          <c:cat>
            <c:multiLvlStrRef>
              <c:f>'Improvement ACSF '!$C$19:$M$20</c:f>
              <c:multiLvlStrCache>
                <c:ptCount val="11"/>
                <c:lvl>
                  <c:pt idx="0">
                    <c:v>.01</c:v>
                  </c:pt>
                  <c:pt idx="1">
                    <c:v>.02</c:v>
                  </c:pt>
                  <c:pt idx="2">
                    <c:v>.03</c:v>
                  </c:pt>
                  <c:pt idx="3">
                    <c:v>.04</c:v>
                  </c:pt>
                  <c:pt idx="4">
                    <c:v>.05</c:v>
                  </c:pt>
                  <c:pt idx="5">
                    <c:v>.06</c:v>
                  </c:pt>
                  <c:pt idx="6">
                    <c:v>.07</c:v>
                  </c:pt>
                  <c:pt idx="7">
                    <c:v>.08</c:v>
                  </c:pt>
                  <c:pt idx="8">
                    <c:v>.09</c:v>
                  </c:pt>
                  <c:pt idx="9">
                    <c:v>.10</c:v>
                  </c:pt>
                  <c:pt idx="10">
                    <c:v>.11</c:v>
                  </c:pt>
                </c:lvl>
                <c:lvl>
                  <c:pt idx="0">
                    <c:v>Learning</c:v>
                  </c:pt>
                  <c:pt idx="2">
                    <c:v>Reading</c:v>
                  </c:pt>
                  <c:pt idx="4">
                    <c:v>Writing</c:v>
                  </c:pt>
                  <c:pt idx="6">
                    <c:v>Oral Communication</c:v>
                  </c:pt>
                  <c:pt idx="8">
                    <c:v>Numeracy</c:v>
                  </c:pt>
                </c:lvl>
              </c:multiLvlStrCache>
            </c:multiLvlStrRef>
          </c:cat>
          <c:val>
            <c:numRef>
              <c:f>'Improvement ACSF '!$C$22:$M$22</c:f>
              <c:numCache>
                <c:formatCode>General</c:formatCode>
                <c:ptCount val="11"/>
                <c:pt idx="0">
                  <c:v>0.48683870000000001</c:v>
                </c:pt>
                <c:pt idx="1">
                  <c:v>0.43736049999999999</c:v>
                </c:pt>
                <c:pt idx="2">
                  <c:v>0.83521100000000004</c:v>
                </c:pt>
                <c:pt idx="3">
                  <c:v>0.68558229999999998</c:v>
                </c:pt>
                <c:pt idx="4">
                  <c:v>0.66953949999999995</c:v>
                </c:pt>
                <c:pt idx="5">
                  <c:v>0.55407300000000004</c:v>
                </c:pt>
                <c:pt idx="6">
                  <c:v>0.32827990000000001</c:v>
                </c:pt>
                <c:pt idx="7">
                  <c:v>0.40070610000000001</c:v>
                </c:pt>
                <c:pt idx="8">
                  <c:v>0.65510619999999997</c:v>
                </c:pt>
                <c:pt idx="9">
                  <c:v>0.58242039999999995</c:v>
                </c:pt>
                <c:pt idx="10">
                  <c:v>0.47671459999999999</c:v>
                </c:pt>
              </c:numCache>
            </c:numRef>
          </c:val>
          <c:smooth val="0"/>
          <c:extLst>
            <c:ext xmlns:c16="http://schemas.microsoft.com/office/drawing/2014/chart" uri="{C3380CC4-5D6E-409C-BE32-E72D297353CC}">
              <c16:uniqueId val="{00000001-BA5E-490C-9328-0C9B5FD07351}"/>
            </c:ext>
          </c:extLst>
        </c:ser>
        <c:ser>
          <c:idx val="2"/>
          <c:order val="2"/>
          <c:tx>
            <c:strRef>
              <c:f>'Improvement ACSF '!$B$23</c:f>
              <c:strCache>
                <c:ptCount val="1"/>
                <c:pt idx="0">
                  <c:v>Indigenous</c:v>
                </c:pt>
              </c:strCache>
            </c:strRef>
          </c:tx>
          <c:spPr>
            <a:ln w="28575" cap="rnd">
              <a:noFill/>
              <a:round/>
            </a:ln>
            <a:effectLst/>
          </c:spPr>
          <c:marker>
            <c:symbol val="circle"/>
            <c:size val="5"/>
            <c:spPr>
              <a:solidFill>
                <a:schemeClr val="accent3"/>
              </a:solidFill>
              <a:ln w="9525">
                <a:solidFill>
                  <a:schemeClr val="accent3"/>
                </a:solidFill>
              </a:ln>
              <a:effectLst/>
            </c:spPr>
          </c:marker>
          <c:cat>
            <c:multiLvlStrRef>
              <c:f>'Improvement ACSF '!$C$19:$M$20</c:f>
              <c:multiLvlStrCache>
                <c:ptCount val="11"/>
                <c:lvl>
                  <c:pt idx="0">
                    <c:v>.01</c:v>
                  </c:pt>
                  <c:pt idx="1">
                    <c:v>.02</c:v>
                  </c:pt>
                  <c:pt idx="2">
                    <c:v>.03</c:v>
                  </c:pt>
                  <c:pt idx="3">
                    <c:v>.04</c:v>
                  </c:pt>
                  <c:pt idx="4">
                    <c:v>.05</c:v>
                  </c:pt>
                  <c:pt idx="5">
                    <c:v>.06</c:v>
                  </c:pt>
                  <c:pt idx="6">
                    <c:v>.07</c:v>
                  </c:pt>
                  <c:pt idx="7">
                    <c:v>.08</c:v>
                  </c:pt>
                  <c:pt idx="8">
                    <c:v>.09</c:v>
                  </c:pt>
                  <c:pt idx="9">
                    <c:v>.10</c:v>
                  </c:pt>
                  <c:pt idx="10">
                    <c:v>.11</c:v>
                  </c:pt>
                </c:lvl>
                <c:lvl>
                  <c:pt idx="0">
                    <c:v>Learning</c:v>
                  </c:pt>
                  <c:pt idx="2">
                    <c:v>Reading</c:v>
                  </c:pt>
                  <c:pt idx="4">
                    <c:v>Writing</c:v>
                  </c:pt>
                  <c:pt idx="6">
                    <c:v>Oral Communication</c:v>
                  </c:pt>
                  <c:pt idx="8">
                    <c:v>Numeracy</c:v>
                  </c:pt>
                </c:lvl>
              </c:multiLvlStrCache>
            </c:multiLvlStrRef>
          </c:cat>
          <c:val>
            <c:numRef>
              <c:f>'Improvement ACSF '!$C$23:$M$23</c:f>
              <c:numCache>
                <c:formatCode>General</c:formatCode>
                <c:ptCount val="11"/>
                <c:pt idx="0">
                  <c:v>0.46215139999999999</c:v>
                </c:pt>
                <c:pt idx="1">
                  <c:v>0.38645420000000003</c:v>
                </c:pt>
                <c:pt idx="2">
                  <c:v>0.66135460000000001</c:v>
                </c:pt>
                <c:pt idx="3">
                  <c:v>0.56972109999999998</c:v>
                </c:pt>
                <c:pt idx="4">
                  <c:v>0.67729090000000003</c:v>
                </c:pt>
                <c:pt idx="5">
                  <c:v>0.61752989999999996</c:v>
                </c:pt>
                <c:pt idx="6">
                  <c:v>0.12748999999999999</c:v>
                </c:pt>
                <c:pt idx="7">
                  <c:v>0.13944219999999999</c:v>
                </c:pt>
                <c:pt idx="8">
                  <c:v>0.58167329999999995</c:v>
                </c:pt>
                <c:pt idx="9">
                  <c:v>0.6454183</c:v>
                </c:pt>
                <c:pt idx="10">
                  <c:v>0.4581673</c:v>
                </c:pt>
              </c:numCache>
            </c:numRef>
          </c:val>
          <c:smooth val="0"/>
          <c:extLst>
            <c:ext xmlns:c16="http://schemas.microsoft.com/office/drawing/2014/chart" uri="{C3380CC4-5D6E-409C-BE32-E72D297353CC}">
              <c16:uniqueId val="{00000002-BA5E-490C-9328-0C9B5FD07351}"/>
            </c:ext>
          </c:extLst>
        </c:ser>
        <c:dLbls>
          <c:showLegendKey val="0"/>
          <c:showVal val="0"/>
          <c:showCatName val="0"/>
          <c:showSerName val="0"/>
          <c:showPercent val="0"/>
          <c:showBubbleSize val="0"/>
        </c:dLbls>
        <c:marker val="1"/>
        <c:smooth val="0"/>
        <c:axId val="617488448"/>
        <c:axId val="617488840"/>
      </c:lineChart>
      <c:catAx>
        <c:axId val="61748844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b="0" i="0" u="none" strike="noStrike" baseline="0">
                    <a:effectLst/>
                  </a:rPr>
                  <a:t>ACSF core skill area</a:t>
                </a:r>
                <a:r>
                  <a:rPr lang="en-AU" sz="900" b="0" i="0" u="none" strike="noStrike" baseline="0"/>
                  <a:t> </a:t>
                </a:r>
                <a:endParaRPr lang="en-AU" sz="900"/>
              </a:p>
            </c:rich>
          </c:tx>
          <c:layout>
            <c:manualLayout>
              <c:xMode val="edge"/>
              <c:yMode val="edge"/>
              <c:x val="0.44822373499526613"/>
              <c:y val="0.7983187518226888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488840"/>
        <c:crosses val="autoZero"/>
        <c:auto val="1"/>
        <c:lblAlgn val="ctr"/>
        <c:lblOffset val="100"/>
        <c:noMultiLvlLbl val="0"/>
      </c:catAx>
      <c:valAx>
        <c:axId val="617488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ACSF level improvement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48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'entry exit scores MGupdate'!$A$23</c:f>
              <c:strCache>
                <c:ptCount val="1"/>
                <c:pt idx="0">
                  <c:v>Pre-level 1</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lumMod val="9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'entry exit scores MGupdate'!$B$22:$AG$22</c:f>
              <c:strCache>
                <c:ptCount val="32"/>
                <c:pt idx="0">
                  <c:v>Entry: learning01</c:v>
                </c:pt>
                <c:pt idx="1">
                  <c:v>&gt;500 hours: learning01</c:v>
                </c:pt>
                <c:pt idx="3">
                  <c:v>Entry: learning02</c:v>
                </c:pt>
                <c:pt idx="4">
                  <c:v>&gt;500 hours: learning02</c:v>
                </c:pt>
                <c:pt idx="6">
                  <c:v>Entry: reading03</c:v>
                </c:pt>
                <c:pt idx="7">
                  <c:v>&gt;500 hours: reading03</c:v>
                </c:pt>
                <c:pt idx="9">
                  <c:v>Entry: reading04</c:v>
                </c:pt>
                <c:pt idx="10">
                  <c:v>&gt;500 hours: reading04</c:v>
                </c:pt>
                <c:pt idx="12">
                  <c:v>Entry: writing05</c:v>
                </c:pt>
                <c:pt idx="13">
                  <c:v>&gt;500 hours: writing05</c:v>
                </c:pt>
                <c:pt idx="15">
                  <c:v>Entry: writing06</c:v>
                </c:pt>
                <c:pt idx="16">
                  <c:v>&gt;500 hours: writing06</c:v>
                </c:pt>
                <c:pt idx="18">
                  <c:v>Entry: oral comm07</c:v>
                </c:pt>
                <c:pt idx="19">
                  <c:v>&gt;500 hours: oral comm07</c:v>
                </c:pt>
                <c:pt idx="21">
                  <c:v>Entry: oral comm08</c:v>
                </c:pt>
                <c:pt idx="22">
                  <c:v>&gt;500 hours: oral comm08</c:v>
                </c:pt>
                <c:pt idx="24">
                  <c:v>Entry: numeracy09</c:v>
                </c:pt>
                <c:pt idx="25">
                  <c:v>&gt;500 hours: numeracy09</c:v>
                </c:pt>
                <c:pt idx="27">
                  <c:v>Entry: numeracy10</c:v>
                </c:pt>
                <c:pt idx="28">
                  <c:v>&gt;500 hours: numeracy10</c:v>
                </c:pt>
                <c:pt idx="30">
                  <c:v>Entry: numeracy11</c:v>
                </c:pt>
                <c:pt idx="31">
                  <c:v>&gt;500 hours: numeracy11</c:v>
                </c:pt>
              </c:strCache>
            </c:strRef>
          </c:cat>
          <c:val>
            <c:numRef>
              <c:f>'entry exit scores MGupdate'!$B$23:$AG$23</c:f>
              <c:numCache>
                <c:formatCode>0%</c:formatCode>
                <c:ptCount val="32"/>
                <c:pt idx="0">
                  <c:v>0.43361024736622267</c:v>
                </c:pt>
                <c:pt idx="1">
                  <c:v>0.19524759827354157</c:v>
                </c:pt>
                <c:pt idx="3">
                  <c:v>0.55678284680001855</c:v>
                </c:pt>
                <c:pt idx="4">
                  <c:v>0.28041026593029195</c:v>
                </c:pt>
                <c:pt idx="6">
                  <c:v>0.45760430686406461</c:v>
                </c:pt>
                <c:pt idx="7">
                  <c:v>8.4930616791200633E-2</c:v>
                </c:pt>
                <c:pt idx="9">
                  <c:v>0.4718986401819279</c:v>
                </c:pt>
                <c:pt idx="10">
                  <c:v>0.1353784749617116</c:v>
                </c:pt>
                <c:pt idx="12">
                  <c:v>0.50884113797744468</c:v>
                </c:pt>
                <c:pt idx="13">
                  <c:v>0.13407899011463312</c:v>
                </c:pt>
                <c:pt idx="15">
                  <c:v>0.60379635216039351</c:v>
                </c:pt>
                <c:pt idx="16">
                  <c:v>0.25321390448786374</c:v>
                </c:pt>
                <c:pt idx="18">
                  <c:v>0.33132222583190235</c:v>
                </c:pt>
                <c:pt idx="19">
                  <c:v>0.17733327145310251</c:v>
                </c:pt>
                <c:pt idx="21">
                  <c:v>0.35661577017682278</c:v>
                </c:pt>
                <c:pt idx="22">
                  <c:v>0.16911867081264212</c:v>
                </c:pt>
                <c:pt idx="24">
                  <c:v>0.45579431011277671</c:v>
                </c:pt>
                <c:pt idx="25">
                  <c:v>0.10484058105536734</c:v>
                </c:pt>
                <c:pt idx="27">
                  <c:v>0.58402561841555667</c:v>
                </c:pt>
                <c:pt idx="28">
                  <c:v>0.21125910799647282</c:v>
                </c:pt>
                <c:pt idx="30">
                  <c:v>0.61683761080428834</c:v>
                </c:pt>
                <c:pt idx="31">
                  <c:v>0.27813616744790459</c:v>
                </c:pt>
              </c:numCache>
            </c:numRef>
          </c:val>
          <c:extLst>
            <c:ext xmlns:c16="http://schemas.microsoft.com/office/drawing/2014/chart" uri="{C3380CC4-5D6E-409C-BE32-E72D297353CC}">
              <c16:uniqueId val="{00000000-3905-45F0-9717-2DA18D329946}"/>
            </c:ext>
          </c:extLst>
        </c:ser>
        <c:ser>
          <c:idx val="1"/>
          <c:order val="1"/>
          <c:tx>
            <c:strRef>
              <c:f>'entry exit scores MGupdate'!$A$24</c:f>
              <c:strCache>
                <c:ptCount val="1"/>
                <c:pt idx="0">
                  <c:v>1</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'entry exit scores MGupdate'!$B$22:$AG$22</c:f>
              <c:strCache>
                <c:ptCount val="32"/>
                <c:pt idx="0">
                  <c:v>Entry: learning01</c:v>
                </c:pt>
                <c:pt idx="1">
                  <c:v>&gt;500 hours: learning01</c:v>
                </c:pt>
                <c:pt idx="3">
                  <c:v>Entry: learning02</c:v>
                </c:pt>
                <c:pt idx="4">
                  <c:v>&gt;500 hours: learning02</c:v>
                </c:pt>
                <c:pt idx="6">
                  <c:v>Entry: reading03</c:v>
                </c:pt>
                <c:pt idx="7">
                  <c:v>&gt;500 hours: reading03</c:v>
                </c:pt>
                <c:pt idx="9">
                  <c:v>Entry: reading04</c:v>
                </c:pt>
                <c:pt idx="10">
                  <c:v>&gt;500 hours: reading04</c:v>
                </c:pt>
                <c:pt idx="12">
                  <c:v>Entry: writing05</c:v>
                </c:pt>
                <c:pt idx="13">
                  <c:v>&gt;500 hours: writing05</c:v>
                </c:pt>
                <c:pt idx="15">
                  <c:v>Entry: writing06</c:v>
                </c:pt>
                <c:pt idx="16">
                  <c:v>&gt;500 hours: writing06</c:v>
                </c:pt>
                <c:pt idx="18">
                  <c:v>Entry: oral comm07</c:v>
                </c:pt>
                <c:pt idx="19">
                  <c:v>&gt;500 hours: oral comm07</c:v>
                </c:pt>
                <c:pt idx="21">
                  <c:v>Entry: oral comm08</c:v>
                </c:pt>
                <c:pt idx="22">
                  <c:v>&gt;500 hours: oral comm08</c:v>
                </c:pt>
                <c:pt idx="24">
                  <c:v>Entry: numeracy09</c:v>
                </c:pt>
                <c:pt idx="25">
                  <c:v>&gt;500 hours: numeracy09</c:v>
                </c:pt>
                <c:pt idx="27">
                  <c:v>Entry: numeracy10</c:v>
                </c:pt>
                <c:pt idx="28">
                  <c:v>&gt;500 hours: numeracy10</c:v>
                </c:pt>
                <c:pt idx="30">
                  <c:v>Entry: numeracy11</c:v>
                </c:pt>
                <c:pt idx="31">
                  <c:v>&gt;500 hours: numeracy11</c:v>
                </c:pt>
              </c:strCache>
            </c:strRef>
          </c:cat>
          <c:val>
            <c:numRef>
              <c:f>'entry exit scores MGupdate'!$B$24:$AG$24</c:f>
              <c:numCache>
                <c:formatCode>0%</c:formatCode>
                <c:ptCount val="32"/>
                <c:pt idx="0">
                  <c:v>0.43769434259989792</c:v>
                </c:pt>
                <c:pt idx="1">
                  <c:v>0.49208706548475428</c:v>
                </c:pt>
                <c:pt idx="3">
                  <c:v>0.33897990439504339</c:v>
                </c:pt>
                <c:pt idx="4">
                  <c:v>0.49046270942590614</c:v>
                </c:pt>
                <c:pt idx="6">
                  <c:v>0.39397595953032905</c:v>
                </c:pt>
                <c:pt idx="7">
                  <c:v>0.43690536965702881</c:v>
                </c:pt>
                <c:pt idx="9">
                  <c:v>0.39017032533531348</c:v>
                </c:pt>
                <c:pt idx="10">
                  <c:v>0.4706919756810693</c:v>
                </c:pt>
                <c:pt idx="12">
                  <c:v>0.36520165220216272</c:v>
                </c:pt>
                <c:pt idx="13">
                  <c:v>0.51682368775235532</c:v>
                </c:pt>
                <c:pt idx="15">
                  <c:v>0.30769944771893998</c:v>
                </c:pt>
                <c:pt idx="16">
                  <c:v>0.49412911310159185</c:v>
                </c:pt>
                <c:pt idx="18">
                  <c:v>0.42456026360978327</c:v>
                </c:pt>
                <c:pt idx="19">
                  <c:v>0.47268761312479696</c:v>
                </c:pt>
                <c:pt idx="21">
                  <c:v>0.4117974660045482</c:v>
                </c:pt>
                <c:pt idx="22">
                  <c:v>0.45885738153803313</c:v>
                </c:pt>
                <c:pt idx="24">
                  <c:v>0.42688077226528054</c:v>
                </c:pt>
                <c:pt idx="25">
                  <c:v>0.52225367800621891</c:v>
                </c:pt>
                <c:pt idx="27">
                  <c:v>0.31888429943843688</c:v>
                </c:pt>
                <c:pt idx="28">
                  <c:v>0.4983524388545969</c:v>
                </c:pt>
                <c:pt idx="30">
                  <c:v>0.29804613171207128</c:v>
                </c:pt>
                <c:pt idx="31">
                  <c:v>0.51515292152039727</c:v>
                </c:pt>
              </c:numCache>
            </c:numRef>
          </c:val>
          <c:extLst>
            <c:ext xmlns:c16="http://schemas.microsoft.com/office/drawing/2014/chart" uri="{C3380CC4-5D6E-409C-BE32-E72D297353CC}">
              <c16:uniqueId val="{00000001-3905-45F0-9717-2DA18D329946}"/>
            </c:ext>
          </c:extLst>
        </c:ser>
        <c:ser>
          <c:idx val="2"/>
          <c:order val="2"/>
          <c:tx>
            <c:strRef>
              <c:f>'entry exit scores MGupdate'!$A$25</c:f>
              <c:strCache>
                <c:ptCount val="1"/>
                <c:pt idx="0">
                  <c:v>2</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'entry exit scores MGupdate'!$B$22:$AG$22</c:f>
              <c:strCache>
                <c:ptCount val="32"/>
                <c:pt idx="0">
                  <c:v>Entry: learning01</c:v>
                </c:pt>
                <c:pt idx="1">
                  <c:v>&gt;500 hours: learning01</c:v>
                </c:pt>
                <c:pt idx="3">
                  <c:v>Entry: learning02</c:v>
                </c:pt>
                <c:pt idx="4">
                  <c:v>&gt;500 hours: learning02</c:v>
                </c:pt>
                <c:pt idx="6">
                  <c:v>Entry: reading03</c:v>
                </c:pt>
                <c:pt idx="7">
                  <c:v>&gt;500 hours: reading03</c:v>
                </c:pt>
                <c:pt idx="9">
                  <c:v>Entry: reading04</c:v>
                </c:pt>
                <c:pt idx="10">
                  <c:v>&gt;500 hours: reading04</c:v>
                </c:pt>
                <c:pt idx="12">
                  <c:v>Entry: writing05</c:v>
                </c:pt>
                <c:pt idx="13">
                  <c:v>&gt;500 hours: writing05</c:v>
                </c:pt>
                <c:pt idx="15">
                  <c:v>Entry: writing06</c:v>
                </c:pt>
                <c:pt idx="16">
                  <c:v>&gt;500 hours: writing06</c:v>
                </c:pt>
                <c:pt idx="18">
                  <c:v>Entry: oral comm07</c:v>
                </c:pt>
                <c:pt idx="19">
                  <c:v>&gt;500 hours: oral comm07</c:v>
                </c:pt>
                <c:pt idx="21">
                  <c:v>Entry: oral comm08</c:v>
                </c:pt>
                <c:pt idx="22">
                  <c:v>&gt;500 hours: oral comm08</c:v>
                </c:pt>
                <c:pt idx="24">
                  <c:v>Entry: numeracy09</c:v>
                </c:pt>
                <c:pt idx="25">
                  <c:v>&gt;500 hours: numeracy09</c:v>
                </c:pt>
                <c:pt idx="27">
                  <c:v>Entry: numeracy10</c:v>
                </c:pt>
                <c:pt idx="28">
                  <c:v>&gt;500 hours: numeracy10</c:v>
                </c:pt>
                <c:pt idx="30">
                  <c:v>Entry: numeracy11</c:v>
                </c:pt>
                <c:pt idx="31">
                  <c:v>&gt;500 hours: numeracy11</c:v>
                </c:pt>
              </c:strCache>
            </c:strRef>
          </c:cat>
          <c:val>
            <c:numRef>
              <c:f>'entry exit scores MGupdate'!$B$25:$AG$25</c:f>
              <c:numCache>
                <c:formatCode>0%</c:formatCode>
                <c:ptCount val="32"/>
                <c:pt idx="0">
                  <c:v>0.11713927692950295</c:v>
                </c:pt>
                <c:pt idx="1">
                  <c:v>0.24560263609783264</c:v>
                </c:pt>
                <c:pt idx="3">
                  <c:v>9.5326495567828462E-2</c:v>
                </c:pt>
                <c:pt idx="4">
                  <c:v>0.18740427901796072</c:v>
                </c:pt>
                <c:pt idx="6">
                  <c:v>0.12860258968765953</c:v>
                </c:pt>
                <c:pt idx="7">
                  <c:v>0.34872604074813202</c:v>
                </c:pt>
                <c:pt idx="9">
                  <c:v>0.12108414164384833</c:v>
                </c:pt>
                <c:pt idx="10">
                  <c:v>0.30236227781129621</c:v>
                </c:pt>
                <c:pt idx="12">
                  <c:v>0.11546851069754491</c:v>
                </c:pt>
                <c:pt idx="13">
                  <c:v>0.2663943936510883</c:v>
                </c:pt>
                <c:pt idx="15">
                  <c:v>8.2610108135703353E-2</c:v>
                </c:pt>
                <c:pt idx="16">
                  <c:v>0.20044553766185547</c:v>
                </c:pt>
                <c:pt idx="18">
                  <c:v>0.18977119784656796</c:v>
                </c:pt>
                <c:pt idx="19">
                  <c:v>0.25706594885598921</c:v>
                </c:pt>
                <c:pt idx="21">
                  <c:v>0.1728314846614378</c:v>
                </c:pt>
                <c:pt idx="22">
                  <c:v>0.27298463823270058</c:v>
                </c:pt>
                <c:pt idx="24">
                  <c:v>0.10238084188054021</c:v>
                </c:pt>
                <c:pt idx="25">
                  <c:v>0.30844201048869913</c:v>
                </c:pt>
                <c:pt idx="27">
                  <c:v>8.4977026964310573E-2</c:v>
                </c:pt>
                <c:pt idx="28">
                  <c:v>0.24393186986587459</c:v>
                </c:pt>
                <c:pt idx="30">
                  <c:v>7.5277300784331924E-2</c:v>
                </c:pt>
                <c:pt idx="31">
                  <c:v>0.1798394208010396</c:v>
                </c:pt>
              </c:numCache>
            </c:numRef>
          </c:val>
          <c:extLst>
            <c:ext xmlns:c16="http://schemas.microsoft.com/office/drawing/2014/chart" uri="{C3380CC4-5D6E-409C-BE32-E72D297353CC}">
              <c16:uniqueId val="{00000002-3905-45F0-9717-2DA18D329946}"/>
            </c:ext>
          </c:extLst>
        </c:ser>
        <c:ser>
          <c:idx val="3"/>
          <c:order val="3"/>
          <c:tx>
            <c:strRef>
              <c:f>'entry exit scores MGupdate'!$A$26</c:f>
              <c:strCache>
                <c:ptCount val="1"/>
                <c:pt idx="0">
                  <c:v>3</c:v>
                </c:pt>
              </c:strCache>
            </c:strRef>
          </c:tx>
          <c:spPr>
            <a:solidFill>
              <a:schemeClr val="accent4"/>
            </a:solidFill>
            <a:ln>
              <a:noFill/>
            </a:ln>
            <a:effectLst/>
          </c:spPr>
          <c:invertIfNegative val="0"/>
          <c:dLbls>
            <c:delete val="1"/>
          </c:dLbls>
          <c:cat>
            <c:strRef>
              <c:f>'entry exit scores MGupdate'!$B$22:$AG$22</c:f>
              <c:strCache>
                <c:ptCount val="32"/>
                <c:pt idx="0">
                  <c:v>Entry: learning01</c:v>
                </c:pt>
                <c:pt idx="1">
                  <c:v>&gt;500 hours: learning01</c:v>
                </c:pt>
                <c:pt idx="3">
                  <c:v>Entry: learning02</c:v>
                </c:pt>
                <c:pt idx="4">
                  <c:v>&gt;500 hours: learning02</c:v>
                </c:pt>
                <c:pt idx="6">
                  <c:v>Entry: reading03</c:v>
                </c:pt>
                <c:pt idx="7">
                  <c:v>&gt;500 hours: reading03</c:v>
                </c:pt>
                <c:pt idx="9">
                  <c:v>Entry: reading04</c:v>
                </c:pt>
                <c:pt idx="10">
                  <c:v>&gt;500 hours: reading04</c:v>
                </c:pt>
                <c:pt idx="12">
                  <c:v>Entry: writing05</c:v>
                </c:pt>
                <c:pt idx="13">
                  <c:v>&gt;500 hours: writing05</c:v>
                </c:pt>
                <c:pt idx="15">
                  <c:v>Entry: writing06</c:v>
                </c:pt>
                <c:pt idx="16">
                  <c:v>&gt;500 hours: writing06</c:v>
                </c:pt>
                <c:pt idx="18">
                  <c:v>Entry: oral comm07</c:v>
                </c:pt>
                <c:pt idx="19">
                  <c:v>&gt;500 hours: oral comm07</c:v>
                </c:pt>
                <c:pt idx="21">
                  <c:v>Entry: oral comm08</c:v>
                </c:pt>
                <c:pt idx="22">
                  <c:v>&gt;500 hours: oral comm08</c:v>
                </c:pt>
                <c:pt idx="24">
                  <c:v>Entry: numeracy09</c:v>
                </c:pt>
                <c:pt idx="25">
                  <c:v>&gt;500 hours: numeracy09</c:v>
                </c:pt>
                <c:pt idx="27">
                  <c:v>Entry: numeracy10</c:v>
                </c:pt>
                <c:pt idx="28">
                  <c:v>&gt;500 hours: numeracy10</c:v>
                </c:pt>
                <c:pt idx="30">
                  <c:v>Entry: numeracy11</c:v>
                </c:pt>
                <c:pt idx="31">
                  <c:v>&gt;500 hours: numeracy11</c:v>
                </c:pt>
              </c:strCache>
            </c:strRef>
          </c:cat>
          <c:val>
            <c:numRef>
              <c:f>'entry exit scores MGupdate'!$B$26:$AG$26</c:f>
              <c:numCache>
                <c:formatCode>0%</c:formatCode>
                <c:ptCount val="32"/>
                <c:pt idx="0">
                  <c:v>1.1277672065716804E-2</c:v>
                </c:pt>
                <c:pt idx="1">
                  <c:v>5.4764004269735926E-2</c:v>
                </c:pt>
                <c:pt idx="3">
                  <c:v>8.6322921984499004E-3</c:v>
                </c:pt>
                <c:pt idx="4">
                  <c:v>3.5735833294658188E-2</c:v>
                </c:pt>
                <c:pt idx="6">
                  <c:v>1.9585093052397085E-2</c:v>
                </c:pt>
                <c:pt idx="7">
                  <c:v>0.11221979857984871</c:v>
                </c:pt>
                <c:pt idx="9">
                  <c:v>1.6707662319580451E-2</c:v>
                </c:pt>
                <c:pt idx="10">
                  <c:v>8.2656518308813293E-2</c:v>
                </c:pt>
                <c:pt idx="12">
                  <c:v>1.0395878776627837E-2</c:v>
                </c:pt>
                <c:pt idx="13">
                  <c:v>7.0821924165777136E-2</c:v>
                </c:pt>
                <c:pt idx="15">
                  <c:v>5.8940919849631039E-3</c:v>
                </c:pt>
                <c:pt idx="16">
                  <c:v>4.6781454494825264E-2</c:v>
                </c:pt>
                <c:pt idx="18">
                  <c:v>5.3603749941987286E-2</c:v>
                </c:pt>
                <c:pt idx="19">
                  <c:v>8.2285236923933733E-2</c:v>
                </c:pt>
                <c:pt idx="21">
                  <c:v>5.815194690676196E-2</c:v>
                </c:pt>
                <c:pt idx="22">
                  <c:v>9.3052397085441135E-2</c:v>
                </c:pt>
                <c:pt idx="24">
                  <c:v>1.424792314475333E-2</c:v>
                </c:pt>
                <c:pt idx="25">
                  <c:v>6.1447069197568108E-2</c:v>
                </c:pt>
                <c:pt idx="27">
                  <c:v>1.1463312758156588E-2</c:v>
                </c:pt>
                <c:pt idx="28">
                  <c:v>4.487863739731749E-2</c:v>
                </c:pt>
                <c:pt idx="30">
                  <c:v>9.5604956606488139E-3</c:v>
                </c:pt>
                <c:pt idx="31">
                  <c:v>2.5943286768459646E-2</c:v>
                </c:pt>
              </c:numCache>
            </c:numRef>
          </c:val>
          <c:extLst>
            <c:ext xmlns:c16="http://schemas.microsoft.com/office/drawing/2014/chart" uri="{C3380CC4-5D6E-409C-BE32-E72D297353CC}">
              <c16:uniqueId val="{00000003-3905-45F0-9717-2DA18D329946}"/>
            </c:ext>
          </c:extLst>
        </c:ser>
        <c:ser>
          <c:idx val="4"/>
          <c:order val="4"/>
          <c:tx>
            <c:strRef>
              <c:f>'entry exit scores MGupdate'!$A$27</c:f>
              <c:strCache>
                <c:ptCount val="1"/>
                <c:pt idx="0">
                  <c:v>4</c:v>
                </c:pt>
              </c:strCache>
            </c:strRef>
          </c:tx>
          <c:spPr>
            <a:solidFill>
              <a:schemeClr val="accent5"/>
            </a:solidFill>
            <a:ln>
              <a:noFill/>
            </a:ln>
            <a:effectLst/>
          </c:spPr>
          <c:invertIfNegative val="0"/>
          <c:dLbls>
            <c:delete val="1"/>
          </c:dLbls>
          <c:cat>
            <c:strRef>
              <c:f>'entry exit scores MGupdate'!$B$22:$AG$22</c:f>
              <c:strCache>
                <c:ptCount val="32"/>
                <c:pt idx="0">
                  <c:v>Entry: learning01</c:v>
                </c:pt>
                <c:pt idx="1">
                  <c:v>&gt;500 hours: learning01</c:v>
                </c:pt>
                <c:pt idx="3">
                  <c:v>Entry: learning02</c:v>
                </c:pt>
                <c:pt idx="4">
                  <c:v>&gt;500 hours: learning02</c:v>
                </c:pt>
                <c:pt idx="6">
                  <c:v>Entry: reading03</c:v>
                </c:pt>
                <c:pt idx="7">
                  <c:v>&gt;500 hours: reading03</c:v>
                </c:pt>
                <c:pt idx="9">
                  <c:v>Entry: reading04</c:v>
                </c:pt>
                <c:pt idx="10">
                  <c:v>&gt;500 hours: reading04</c:v>
                </c:pt>
                <c:pt idx="12">
                  <c:v>Entry: writing05</c:v>
                </c:pt>
                <c:pt idx="13">
                  <c:v>&gt;500 hours: writing05</c:v>
                </c:pt>
                <c:pt idx="15">
                  <c:v>Entry: writing06</c:v>
                </c:pt>
                <c:pt idx="16">
                  <c:v>&gt;500 hours: writing06</c:v>
                </c:pt>
                <c:pt idx="18">
                  <c:v>Entry: oral comm07</c:v>
                </c:pt>
                <c:pt idx="19">
                  <c:v>&gt;500 hours: oral comm07</c:v>
                </c:pt>
                <c:pt idx="21">
                  <c:v>Entry: oral comm08</c:v>
                </c:pt>
                <c:pt idx="22">
                  <c:v>&gt;500 hours: oral comm08</c:v>
                </c:pt>
                <c:pt idx="24">
                  <c:v>Entry: numeracy09</c:v>
                </c:pt>
                <c:pt idx="25">
                  <c:v>&gt;500 hours: numeracy09</c:v>
                </c:pt>
                <c:pt idx="27">
                  <c:v>Entry: numeracy10</c:v>
                </c:pt>
                <c:pt idx="28">
                  <c:v>&gt;500 hours: numeracy10</c:v>
                </c:pt>
                <c:pt idx="30">
                  <c:v>Entry: numeracy11</c:v>
                </c:pt>
                <c:pt idx="31">
                  <c:v>&gt;500 hours: numeracy11</c:v>
                </c:pt>
              </c:strCache>
            </c:strRef>
          </c:cat>
          <c:val>
            <c:numRef>
              <c:f>'entry exit scores MGupdate'!$B$27:$AG$27</c:f>
              <c:numCache>
                <c:formatCode>0%</c:formatCode>
                <c:ptCount val="32"/>
                <c:pt idx="0">
                  <c:v>2.3205086554972849E-4</c:v>
                </c:pt>
                <c:pt idx="1">
                  <c:v>1.2298695874135611E-2</c:v>
                </c:pt>
                <c:pt idx="3">
                  <c:v>2.7846103865967418E-4</c:v>
                </c:pt>
                <c:pt idx="4">
                  <c:v>5.9869123311829956E-3</c:v>
                </c:pt>
                <c:pt idx="6">
                  <c:v>2.3205086554972849E-4</c:v>
                </c:pt>
                <c:pt idx="7">
                  <c:v>1.7218174223789854E-2</c:v>
                </c:pt>
                <c:pt idx="9">
                  <c:v>9.2820346219891402E-5</c:v>
                </c:pt>
                <c:pt idx="10">
                  <c:v>8.8643430639996287E-3</c:v>
                </c:pt>
                <c:pt idx="12">
                  <c:v>9.2820346219891402E-5</c:v>
                </c:pt>
                <c:pt idx="13">
                  <c:v>1.1881004316146099E-2</c:v>
                </c:pt>
                <c:pt idx="15">
                  <c:v>0</c:v>
                </c:pt>
                <c:pt idx="16">
                  <c:v>5.4299902538636471E-3</c:v>
                </c:pt>
                <c:pt idx="18">
                  <c:v>6.4974242353923984E-4</c:v>
                </c:pt>
                <c:pt idx="19">
                  <c:v>1.0581519469067619E-2</c:v>
                </c:pt>
                <c:pt idx="21">
                  <c:v>5.1051190420940272E-4</c:v>
                </c:pt>
                <c:pt idx="22">
                  <c:v>5.9405021580730497E-3</c:v>
                </c:pt>
                <c:pt idx="24">
                  <c:v>6.033322504292941E-4</c:v>
                </c:pt>
                <c:pt idx="25">
                  <c:v>2.9702510790365249E-3</c:v>
                </c:pt>
                <c:pt idx="27">
                  <c:v>5.5692207731934836E-4</c:v>
                </c:pt>
                <c:pt idx="28">
                  <c:v>1.4851255395182624E-3</c:v>
                </c:pt>
                <c:pt idx="30">
                  <c:v>2.3205086554972849E-4</c:v>
                </c:pt>
                <c:pt idx="31">
                  <c:v>9.2820346219891397E-4</c:v>
                </c:pt>
              </c:numCache>
            </c:numRef>
          </c:val>
          <c:extLst>
            <c:ext xmlns:c16="http://schemas.microsoft.com/office/drawing/2014/chart" uri="{C3380CC4-5D6E-409C-BE32-E72D297353CC}">
              <c16:uniqueId val="{00000004-3905-45F0-9717-2DA18D329946}"/>
            </c:ext>
          </c:extLst>
        </c:ser>
        <c:ser>
          <c:idx val="5"/>
          <c:order val="5"/>
          <c:tx>
            <c:strRef>
              <c:f>'entry exit scores MGupdate'!$A$28</c:f>
              <c:strCache>
                <c:ptCount val="1"/>
                <c:pt idx="0">
                  <c:v>5</c:v>
                </c:pt>
              </c:strCache>
            </c:strRef>
          </c:tx>
          <c:spPr>
            <a:solidFill>
              <a:schemeClr val="accent6"/>
            </a:solidFill>
            <a:ln>
              <a:noFill/>
            </a:ln>
            <a:effectLst/>
          </c:spPr>
          <c:invertIfNegative val="0"/>
          <c:dLbls>
            <c:delete val="1"/>
          </c:dLbls>
          <c:cat>
            <c:strRef>
              <c:f>'entry exit scores MGupdate'!$B$22:$AG$22</c:f>
              <c:strCache>
                <c:ptCount val="32"/>
                <c:pt idx="0">
                  <c:v>Entry: learning01</c:v>
                </c:pt>
                <c:pt idx="1">
                  <c:v>&gt;500 hours: learning01</c:v>
                </c:pt>
                <c:pt idx="3">
                  <c:v>Entry: learning02</c:v>
                </c:pt>
                <c:pt idx="4">
                  <c:v>&gt;500 hours: learning02</c:v>
                </c:pt>
                <c:pt idx="6">
                  <c:v>Entry: reading03</c:v>
                </c:pt>
                <c:pt idx="7">
                  <c:v>&gt;500 hours: reading03</c:v>
                </c:pt>
                <c:pt idx="9">
                  <c:v>Entry: reading04</c:v>
                </c:pt>
                <c:pt idx="10">
                  <c:v>&gt;500 hours: reading04</c:v>
                </c:pt>
                <c:pt idx="12">
                  <c:v>Entry: writing05</c:v>
                </c:pt>
                <c:pt idx="13">
                  <c:v>&gt;500 hours: writing05</c:v>
                </c:pt>
                <c:pt idx="15">
                  <c:v>Entry: writing06</c:v>
                </c:pt>
                <c:pt idx="16">
                  <c:v>&gt;500 hours: writing06</c:v>
                </c:pt>
                <c:pt idx="18">
                  <c:v>Entry: oral comm07</c:v>
                </c:pt>
                <c:pt idx="19">
                  <c:v>&gt;500 hours: oral comm07</c:v>
                </c:pt>
                <c:pt idx="21">
                  <c:v>Entry: oral comm08</c:v>
                </c:pt>
                <c:pt idx="22">
                  <c:v>&gt;500 hours: oral comm08</c:v>
                </c:pt>
                <c:pt idx="24">
                  <c:v>Entry: numeracy09</c:v>
                </c:pt>
                <c:pt idx="25">
                  <c:v>&gt;500 hours: numeracy09</c:v>
                </c:pt>
                <c:pt idx="27">
                  <c:v>Entry: numeracy10</c:v>
                </c:pt>
                <c:pt idx="28">
                  <c:v>&gt;500 hours: numeracy10</c:v>
                </c:pt>
                <c:pt idx="30">
                  <c:v>Entry: numeracy11</c:v>
                </c:pt>
                <c:pt idx="31">
                  <c:v>&gt;500 hours: numeracy11</c:v>
                </c:pt>
              </c:strCache>
            </c:strRef>
          </c:cat>
          <c:val>
            <c:numRef>
              <c:f>'entry exit scores MGupdate'!$B$28:$AG$28</c:f>
              <c:numCache>
                <c:formatCode>0%</c:formatCode>
                <c:ptCount val="32"/>
                <c:pt idx="0">
                  <c:v>4.6410173109945701E-5</c:v>
                </c:pt>
                <c:pt idx="1">
                  <c:v>0</c:v>
                </c:pt>
                <c:pt idx="3">
                  <c:v>0</c:v>
                </c:pt>
                <c:pt idx="4">
                  <c:v>0</c:v>
                </c:pt>
                <c:pt idx="6">
                  <c:v>0</c:v>
                </c:pt>
                <c:pt idx="7">
                  <c:v>0</c:v>
                </c:pt>
                <c:pt idx="9">
                  <c:v>4.6410173109945701E-5</c:v>
                </c:pt>
                <c:pt idx="10">
                  <c:v>4.6410173109945701E-5</c:v>
                </c:pt>
                <c:pt idx="12">
                  <c:v>0</c:v>
                </c:pt>
                <c:pt idx="13">
                  <c:v>0</c:v>
                </c:pt>
                <c:pt idx="15">
                  <c:v>0</c:v>
                </c:pt>
                <c:pt idx="16">
                  <c:v>0</c:v>
                </c:pt>
                <c:pt idx="18">
                  <c:v>9.2820346219891402E-5</c:v>
                </c:pt>
                <c:pt idx="19">
                  <c:v>4.6410173109945701E-5</c:v>
                </c:pt>
                <c:pt idx="21">
                  <c:v>9.2820346219891402E-5</c:v>
                </c:pt>
                <c:pt idx="22">
                  <c:v>4.6410173109945701E-5</c:v>
                </c:pt>
                <c:pt idx="24">
                  <c:v>9.2820346219891402E-5</c:v>
                </c:pt>
                <c:pt idx="25">
                  <c:v>4.6410173109945701E-5</c:v>
                </c:pt>
                <c:pt idx="27">
                  <c:v>9.2820346219891402E-5</c:v>
                </c:pt>
                <c:pt idx="28">
                  <c:v>9.2820346219891402E-5</c:v>
                </c:pt>
                <c:pt idx="30">
                  <c:v>4.6410173109945701E-5</c:v>
                </c:pt>
                <c:pt idx="31">
                  <c:v>0</c:v>
                </c:pt>
              </c:numCache>
            </c:numRef>
          </c:val>
          <c:extLst>
            <c:ext xmlns:c16="http://schemas.microsoft.com/office/drawing/2014/chart" uri="{C3380CC4-5D6E-409C-BE32-E72D297353CC}">
              <c16:uniqueId val="{00000005-3905-45F0-9717-2DA18D329946}"/>
            </c:ext>
          </c:extLst>
        </c:ser>
        <c:dLbls>
          <c:dLblPos val="ctr"/>
          <c:showLegendKey val="0"/>
          <c:showVal val="1"/>
          <c:showCatName val="0"/>
          <c:showSerName val="0"/>
          <c:showPercent val="0"/>
          <c:showBubbleSize val="0"/>
        </c:dLbls>
        <c:gapWidth val="10"/>
        <c:overlap val="100"/>
        <c:axId val="816817112"/>
        <c:axId val="944509600"/>
      </c:barChart>
      <c:catAx>
        <c:axId val="816817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4509600"/>
        <c:crosses val="autoZero"/>
        <c:auto val="1"/>
        <c:lblAlgn val="ctr"/>
        <c:lblOffset val="100"/>
        <c:noMultiLvlLbl val="0"/>
      </c:catAx>
      <c:valAx>
        <c:axId val="944509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clients by level</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817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'0''s before and after MGupdate'!$A$22</c:f>
              <c:strCache>
                <c:ptCount val="1"/>
                <c:pt idx="0">
                  <c:v>Latest ACSF assessment (&gt; 500 hours)</c:v>
                </c:pt>
              </c:strCache>
            </c:strRef>
          </c:tx>
          <c:spPr>
            <a:solidFill>
              <a:schemeClr val="tx2"/>
            </a:solidFill>
            <a:ln>
              <a:noFill/>
            </a:ln>
            <a:effectLst/>
          </c:spPr>
          <c:invertIfNegative val="0"/>
          <c:val>
            <c:numRef>
              <c:f>'0''s before and after MGupdate'!$B$22:$E$22</c:f>
              <c:numCache>
                <c:formatCode>0%</c:formatCode>
                <c:ptCount val="4"/>
                <c:pt idx="0">
                  <c:v>0.10246305418719212</c:v>
                </c:pt>
                <c:pt idx="1">
                  <c:v>0.44415597902279452</c:v>
                </c:pt>
                <c:pt idx="2">
                  <c:v>8.7649402390438252E-2</c:v>
                </c:pt>
                <c:pt idx="3">
                  <c:v>0.40785260129020279</c:v>
                </c:pt>
              </c:numCache>
            </c:numRef>
          </c:val>
          <c:extLst>
            <c:ext xmlns:c16="http://schemas.microsoft.com/office/drawing/2014/chart" uri="{C3380CC4-5D6E-409C-BE32-E72D297353CC}">
              <c16:uniqueId val="{00000000-DBAC-4511-B98F-66BCEF3B1198}"/>
            </c:ext>
          </c:extLst>
        </c:ser>
        <c:dLbls>
          <c:showLegendKey val="0"/>
          <c:showVal val="0"/>
          <c:showCatName val="0"/>
          <c:showSerName val="0"/>
          <c:showPercent val="0"/>
          <c:showBubbleSize val="0"/>
        </c:dLbls>
        <c:gapWidth val="219"/>
        <c:axId val="816816328"/>
        <c:axId val="816815936"/>
      </c:barChart>
      <c:lineChart>
        <c:grouping val="standard"/>
        <c:varyColors val="0"/>
        <c:ser>
          <c:idx val="0"/>
          <c:order val="0"/>
          <c:tx>
            <c:strRef>
              <c:f>'0''s before and after MGupdate'!$A$21</c:f>
              <c:strCache>
                <c:ptCount val="1"/>
                <c:pt idx="0">
                  <c:v>Entry ACSF assessment</c:v>
                </c:pt>
              </c:strCache>
            </c:strRef>
          </c:tx>
          <c:spPr>
            <a:ln w="28575" cap="rnd">
              <a:noFill/>
              <a:round/>
            </a:ln>
            <a:effectLst/>
          </c:spPr>
          <c:marker>
            <c:symbol val="circle"/>
            <c:size val="5"/>
            <c:spPr>
              <a:solidFill>
                <a:schemeClr val="accent2"/>
              </a:solidFill>
              <a:ln w="9525">
                <a:solidFill>
                  <a:schemeClr val="accent2"/>
                </a:solidFill>
              </a:ln>
              <a:effectLst/>
            </c:spPr>
          </c:marker>
          <c:cat>
            <c:strRef>
              <c:f>'0''s before and after MGupdate'!$B$20:$E$20</c:f>
              <c:strCache>
                <c:ptCount val="4"/>
                <c:pt idx="0">
                  <c:v>Non-CALD, non-Indigenous</c:v>
                </c:pt>
                <c:pt idx="1">
                  <c:v>CALD</c:v>
                </c:pt>
                <c:pt idx="2">
                  <c:v>Indigenous</c:v>
                </c:pt>
                <c:pt idx="3">
                  <c:v>All cohorts</c:v>
                </c:pt>
              </c:strCache>
            </c:strRef>
          </c:cat>
          <c:val>
            <c:numRef>
              <c:f>'0''s before and after MGupdate'!$B$21:$E$21</c:f>
              <c:numCache>
                <c:formatCode>0%</c:formatCode>
                <c:ptCount val="4"/>
                <c:pt idx="0">
                  <c:v>0.2103448275862069</c:v>
                </c:pt>
                <c:pt idx="1">
                  <c:v>0.73461758139051869</c:v>
                </c:pt>
                <c:pt idx="2">
                  <c:v>0.23505976095617531</c:v>
                </c:pt>
                <c:pt idx="3">
                  <c:v>0.67935211398338513</c:v>
                </c:pt>
              </c:numCache>
            </c:numRef>
          </c:val>
          <c:smooth val="0"/>
          <c:extLst>
            <c:ext xmlns:c16="http://schemas.microsoft.com/office/drawing/2014/chart" uri="{C3380CC4-5D6E-409C-BE32-E72D297353CC}">
              <c16:uniqueId val="{00000001-DBAC-4511-B98F-66BCEF3B1198}"/>
            </c:ext>
          </c:extLst>
        </c:ser>
        <c:dLbls>
          <c:showLegendKey val="0"/>
          <c:showVal val="0"/>
          <c:showCatName val="0"/>
          <c:showSerName val="0"/>
          <c:showPercent val="0"/>
          <c:showBubbleSize val="0"/>
        </c:dLbls>
        <c:marker val="1"/>
        <c:smooth val="0"/>
        <c:axId val="816816328"/>
        <c:axId val="816815936"/>
      </c:lineChart>
      <c:catAx>
        <c:axId val="816816328"/>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815936"/>
        <c:crosses val="autoZero"/>
        <c:auto val="1"/>
        <c:lblAlgn val="ctr"/>
        <c:lblOffset val="100"/>
        <c:noMultiLvlLbl val="0"/>
      </c:catAx>
      <c:valAx>
        <c:axId val="816815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Proportion of</a:t>
                </a:r>
                <a:r>
                  <a:rPr lang="en-AU" sz="900" baseline="0"/>
                  <a:t> clients pre-level 1 or level 1 on 11 indicators</a:t>
                </a:r>
                <a:endParaRPr lang="en-AU" sz="900"/>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816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'0''s before and after MGupdate'!$A$22</c:f>
              <c:strCache>
                <c:ptCount val="1"/>
                <c:pt idx="0">
                  <c:v>Latest ACSF assessment (&gt; 500 hours)</c:v>
                </c:pt>
              </c:strCache>
            </c:strRef>
          </c:tx>
          <c:spPr>
            <a:solidFill>
              <a:schemeClr val="tx2"/>
            </a:solidFill>
            <a:ln>
              <a:noFill/>
            </a:ln>
            <a:effectLst/>
          </c:spPr>
          <c:invertIfNegative val="0"/>
          <c:cat>
            <c:strRef>
              <c:f>'0''s before and after MGupdate'!$K$20:$N$20</c:f>
              <c:strCache>
                <c:ptCount val="4"/>
                <c:pt idx="0">
                  <c:v>Non-CALD, non-Indigenous</c:v>
                </c:pt>
                <c:pt idx="1">
                  <c:v>CALD</c:v>
                </c:pt>
                <c:pt idx="2">
                  <c:v>Indigenous</c:v>
                </c:pt>
                <c:pt idx="3">
                  <c:v>All cohorts</c:v>
                </c:pt>
              </c:strCache>
            </c:strRef>
          </c:cat>
          <c:val>
            <c:numRef>
              <c:f>'0''s before and after MGupdate'!$K$22:$N$22</c:f>
              <c:numCache>
                <c:formatCode>0%</c:formatCode>
                <c:ptCount val="4"/>
                <c:pt idx="0">
                  <c:v>0.17733990147783252</c:v>
                </c:pt>
                <c:pt idx="1">
                  <c:v>0.46362739498416322</c:v>
                </c:pt>
                <c:pt idx="2">
                  <c:v>0.23505976095617531</c:v>
                </c:pt>
                <c:pt idx="3">
                  <c:v>0.43402793892421221</c:v>
                </c:pt>
              </c:numCache>
            </c:numRef>
          </c:val>
          <c:extLst>
            <c:ext xmlns:c16="http://schemas.microsoft.com/office/drawing/2014/chart" uri="{C3380CC4-5D6E-409C-BE32-E72D297353CC}">
              <c16:uniqueId val="{00000000-83BC-4141-8F37-93959C0D08A5}"/>
            </c:ext>
          </c:extLst>
        </c:ser>
        <c:dLbls>
          <c:showLegendKey val="0"/>
          <c:showVal val="0"/>
          <c:showCatName val="0"/>
          <c:showSerName val="0"/>
          <c:showPercent val="0"/>
          <c:showBubbleSize val="0"/>
        </c:dLbls>
        <c:gapWidth val="219"/>
        <c:axId val="944509992"/>
        <c:axId val="944510384"/>
      </c:barChart>
      <c:lineChart>
        <c:grouping val="standard"/>
        <c:varyColors val="0"/>
        <c:ser>
          <c:idx val="0"/>
          <c:order val="0"/>
          <c:tx>
            <c:strRef>
              <c:f>'0''s before and after MGupdate'!$A$21</c:f>
              <c:strCache>
                <c:ptCount val="1"/>
                <c:pt idx="0">
                  <c:v>Entry ACSF assessment</c:v>
                </c:pt>
              </c:strCache>
            </c:strRef>
          </c:tx>
          <c:spPr>
            <a:ln w="25400" cap="rnd">
              <a:noFill/>
              <a:round/>
            </a:ln>
            <a:effectLst/>
          </c:spPr>
          <c:marker>
            <c:symbol val="circle"/>
            <c:size val="5"/>
            <c:spPr>
              <a:solidFill>
                <a:schemeClr val="accent2"/>
              </a:solidFill>
              <a:ln w="9525">
                <a:solidFill>
                  <a:schemeClr val="accent2"/>
                </a:solidFill>
              </a:ln>
              <a:effectLst/>
            </c:spPr>
          </c:marker>
          <c:cat>
            <c:strRef>
              <c:f>'0''s before and after MGupdate'!$K$20:$N$20</c:f>
              <c:strCache>
                <c:ptCount val="4"/>
                <c:pt idx="0">
                  <c:v>Non-CALD, non-Indigenous</c:v>
                </c:pt>
                <c:pt idx="1">
                  <c:v>CALD</c:v>
                </c:pt>
                <c:pt idx="2">
                  <c:v>Indigenous</c:v>
                </c:pt>
                <c:pt idx="3">
                  <c:v>All cohorts</c:v>
                </c:pt>
              </c:strCache>
            </c:strRef>
          </c:cat>
          <c:val>
            <c:numRef>
              <c:f>'0''s before and after MGupdate'!$K$21:$N$21</c:f>
              <c:numCache>
                <c:formatCode>0%</c:formatCode>
                <c:ptCount val="4"/>
                <c:pt idx="0">
                  <c:v>0.50541871921182269</c:v>
                </c:pt>
                <c:pt idx="1">
                  <c:v>0.78332208318188901</c:v>
                </c:pt>
                <c:pt idx="2">
                  <c:v>0.60956175298804782</c:v>
                </c:pt>
                <c:pt idx="3">
                  <c:v>0.75509351649881651</c:v>
                </c:pt>
              </c:numCache>
            </c:numRef>
          </c:val>
          <c:smooth val="0"/>
          <c:extLst>
            <c:ext xmlns:c16="http://schemas.microsoft.com/office/drawing/2014/chart" uri="{C3380CC4-5D6E-409C-BE32-E72D297353CC}">
              <c16:uniqueId val="{00000001-83BC-4141-8F37-93959C0D08A5}"/>
            </c:ext>
          </c:extLst>
        </c:ser>
        <c:dLbls>
          <c:showLegendKey val="0"/>
          <c:showVal val="0"/>
          <c:showCatName val="0"/>
          <c:showSerName val="0"/>
          <c:showPercent val="0"/>
          <c:showBubbleSize val="0"/>
        </c:dLbls>
        <c:marker val="1"/>
        <c:smooth val="0"/>
        <c:axId val="944509992"/>
        <c:axId val="944510384"/>
      </c:lineChart>
      <c:catAx>
        <c:axId val="944509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4510384"/>
        <c:crosses val="autoZero"/>
        <c:auto val="1"/>
        <c:lblAlgn val="ctr"/>
        <c:lblOffset val="100"/>
        <c:noMultiLvlLbl val="0"/>
      </c:catAx>
      <c:valAx>
        <c:axId val="944510384"/>
        <c:scaling>
          <c:orientation val="minMax"/>
          <c:max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b="0" i="0" baseline="0">
                    <a:effectLst/>
                  </a:rPr>
                  <a:t>Proportoin of clients pre-level 1 or level 1 on nine indicators</a:t>
                </a:r>
                <a:endParaRPr lang="en-AU" sz="900">
                  <a:effectLst/>
                </a:endParaRP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4509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'Budget outcomes'!$G$4</c:f>
              <c:strCache>
                <c:ptCount val="1"/>
                <c:pt idx="0">
                  <c:v>Appropriation</c:v>
                </c:pt>
              </c:strCache>
            </c:strRef>
          </c:tx>
          <c:spPr>
            <a:ln w="28575" cap="rnd">
              <a:solidFill>
                <a:schemeClr val="accent1"/>
              </a:solidFill>
              <a:prstDash val="sysDot"/>
              <a:round/>
            </a:ln>
            <a:effectLst/>
          </c:spPr>
          <c:marker>
            <c:symbol val="none"/>
          </c:marker>
          <c:cat>
            <c:strRef>
              <c:f>'Budget outcomes'!$A$6:$A$12</c:f>
              <c:strCache>
                <c:ptCount val="7"/>
                <c:pt idx="0">
                  <c:v>2011-12</c:v>
                </c:pt>
                <c:pt idx="1">
                  <c:v>2012-13</c:v>
                </c:pt>
                <c:pt idx="2">
                  <c:v>2013-14</c:v>
                </c:pt>
                <c:pt idx="3">
                  <c:v>2014-15</c:v>
                </c:pt>
                <c:pt idx="4">
                  <c:v>2015-16</c:v>
                </c:pt>
                <c:pt idx="5">
                  <c:v>2016-17</c:v>
                </c:pt>
                <c:pt idx="6">
                  <c:v>2017-18</c:v>
                </c:pt>
              </c:strCache>
            </c:strRef>
          </c:cat>
          <c:val>
            <c:numRef>
              <c:f>'Budget outcomes'!$G$6:$G$12</c:f>
              <c:numCache>
                <c:formatCode>"$"#,##0</c:formatCode>
                <c:ptCount val="7"/>
                <c:pt idx="0">
                  <c:v>98008263.691683576</c:v>
                </c:pt>
                <c:pt idx="1">
                  <c:v>109281426.99999999</c:v>
                </c:pt>
                <c:pt idx="2">
                  <c:v>135110000</c:v>
                </c:pt>
                <c:pt idx="3">
                  <c:v>134261463.41463417</c:v>
                </c:pt>
                <c:pt idx="4">
                  <c:v>132483045.80606785</c:v>
                </c:pt>
                <c:pt idx="5">
                  <c:v>134868849.84257343</c:v>
                </c:pt>
                <c:pt idx="6">
                  <c:v>138643062.87757534</c:v>
                </c:pt>
              </c:numCache>
            </c:numRef>
          </c:val>
          <c:smooth val="0"/>
          <c:extLst>
            <c:ext xmlns:c16="http://schemas.microsoft.com/office/drawing/2014/chart" uri="{C3380CC4-5D6E-409C-BE32-E72D297353CC}">
              <c16:uniqueId val="{00000000-17B3-4E67-81F3-4681A7AF6026}"/>
            </c:ext>
          </c:extLst>
        </c:ser>
        <c:ser>
          <c:idx val="1"/>
          <c:order val="1"/>
          <c:tx>
            <c:strRef>
              <c:f>'Budget outcomes'!$I$4</c:f>
              <c:strCache>
                <c:ptCount val="1"/>
                <c:pt idx="0">
                  <c:v>Expenditure</c:v>
                </c:pt>
              </c:strCache>
            </c:strRef>
          </c:tx>
          <c:spPr>
            <a:ln w="28575" cap="rnd">
              <a:solidFill>
                <a:schemeClr val="tx2"/>
              </a:solidFill>
              <a:round/>
            </a:ln>
            <a:effectLst/>
          </c:spPr>
          <c:marker>
            <c:symbol val="none"/>
          </c:marker>
          <c:cat>
            <c:strRef>
              <c:f>'Budget outcomes'!$A$6:$A$12</c:f>
              <c:strCache>
                <c:ptCount val="7"/>
                <c:pt idx="0">
                  <c:v>2011-12</c:v>
                </c:pt>
                <c:pt idx="1">
                  <c:v>2012-13</c:v>
                </c:pt>
                <c:pt idx="2">
                  <c:v>2013-14</c:v>
                </c:pt>
                <c:pt idx="3">
                  <c:v>2014-15</c:v>
                </c:pt>
                <c:pt idx="4">
                  <c:v>2015-16</c:v>
                </c:pt>
                <c:pt idx="5">
                  <c:v>2016-17</c:v>
                </c:pt>
                <c:pt idx="6">
                  <c:v>2017-18</c:v>
                </c:pt>
              </c:strCache>
            </c:strRef>
          </c:cat>
          <c:val>
            <c:numRef>
              <c:f>'Budget outcomes'!$J$6:$J$8</c:f>
              <c:numCache>
                <c:formatCode>"$"#,##0</c:formatCode>
                <c:ptCount val="3"/>
                <c:pt idx="0">
                  <c:v>88031717.002279446</c:v>
                </c:pt>
                <c:pt idx="1">
                  <c:v>99625747.948408797</c:v>
                </c:pt>
                <c:pt idx="2">
                  <c:v>109976658.04704535</c:v>
                </c:pt>
              </c:numCache>
            </c:numRef>
          </c:val>
          <c:smooth val="0"/>
          <c:extLst>
            <c:ext xmlns:c16="http://schemas.microsoft.com/office/drawing/2014/chart" uri="{C3380CC4-5D6E-409C-BE32-E72D297353CC}">
              <c16:uniqueId val="{00000001-17B3-4E67-81F3-4681A7AF6026}"/>
            </c:ext>
          </c:extLst>
        </c:ser>
        <c:dLbls>
          <c:showLegendKey val="0"/>
          <c:showVal val="0"/>
          <c:showCatName val="0"/>
          <c:showSerName val="0"/>
          <c:showPercent val="0"/>
          <c:showBubbleSize val="0"/>
        </c:dLbls>
        <c:marker val="1"/>
        <c:smooth val="0"/>
        <c:axId val="944511168"/>
        <c:axId val="944511560"/>
      </c:lineChart>
      <c:lineChart>
        <c:grouping val="standard"/>
        <c:varyColors val="0"/>
        <c:ser>
          <c:idx val="2"/>
          <c:order val="2"/>
          <c:tx>
            <c:strRef>
              <c:f>'Budget outcomes'!$L$4</c:f>
              <c:strCache>
                <c:ptCount val="1"/>
                <c:pt idx="0">
                  <c:v>Commencements (RHS)</c:v>
                </c:pt>
              </c:strCache>
            </c:strRef>
          </c:tx>
          <c:spPr>
            <a:ln w="28575" cap="rnd">
              <a:solidFill>
                <a:schemeClr val="accent2"/>
              </a:solidFill>
              <a:round/>
            </a:ln>
            <a:effectLst/>
          </c:spPr>
          <c:marker>
            <c:symbol val="none"/>
          </c:marker>
          <c:val>
            <c:numRef>
              <c:f>'Budget outcomes'!$L$6:$L$8</c:f>
              <c:numCache>
                <c:formatCode>#,##0</c:formatCode>
                <c:ptCount val="3"/>
                <c:pt idx="0">
                  <c:v>21185</c:v>
                </c:pt>
                <c:pt idx="1">
                  <c:v>23509</c:v>
                </c:pt>
                <c:pt idx="2">
                  <c:v>26027</c:v>
                </c:pt>
              </c:numCache>
            </c:numRef>
          </c:val>
          <c:smooth val="0"/>
          <c:extLst>
            <c:ext xmlns:c16="http://schemas.microsoft.com/office/drawing/2014/chart" uri="{C3380CC4-5D6E-409C-BE32-E72D297353CC}">
              <c16:uniqueId val="{00000002-17B3-4E67-81F3-4681A7AF6026}"/>
            </c:ext>
          </c:extLst>
        </c:ser>
        <c:ser>
          <c:idx val="3"/>
          <c:order val="3"/>
          <c:tx>
            <c:strRef>
              <c:f>'Budget outcomes'!$K$4</c:f>
              <c:strCache>
                <c:ptCount val="1"/>
                <c:pt idx="0">
                  <c:v>Commencement target (RHS)</c:v>
                </c:pt>
              </c:strCache>
            </c:strRef>
          </c:tx>
          <c:spPr>
            <a:ln w="28575" cap="rnd">
              <a:solidFill>
                <a:schemeClr val="accent2"/>
              </a:solidFill>
              <a:prstDash val="sysDot"/>
              <a:round/>
            </a:ln>
            <a:effectLst/>
          </c:spPr>
          <c:marker>
            <c:symbol val="none"/>
          </c:marker>
          <c:val>
            <c:numRef>
              <c:f>'Budget outcomes'!$K$6:$K$12</c:f>
              <c:numCache>
                <c:formatCode>#,##0</c:formatCode>
                <c:ptCount val="7"/>
                <c:pt idx="0">
                  <c:v>21000</c:v>
                </c:pt>
                <c:pt idx="1">
                  <c:v>23000</c:v>
                </c:pt>
                <c:pt idx="2">
                  <c:v>27000</c:v>
                </c:pt>
                <c:pt idx="3">
                  <c:v>30000</c:v>
                </c:pt>
                <c:pt idx="4">
                  <c:v>30000</c:v>
                </c:pt>
                <c:pt idx="5">
                  <c:v>30000</c:v>
                </c:pt>
                <c:pt idx="6">
                  <c:v>30000</c:v>
                </c:pt>
              </c:numCache>
            </c:numRef>
          </c:val>
          <c:smooth val="0"/>
          <c:extLst>
            <c:ext xmlns:c16="http://schemas.microsoft.com/office/drawing/2014/chart" uri="{C3380CC4-5D6E-409C-BE32-E72D297353CC}">
              <c16:uniqueId val="{00000003-17B3-4E67-81F3-4681A7AF6026}"/>
            </c:ext>
          </c:extLst>
        </c:ser>
        <c:dLbls>
          <c:showLegendKey val="0"/>
          <c:showVal val="0"/>
          <c:showCatName val="0"/>
          <c:showSerName val="0"/>
          <c:showPercent val="0"/>
          <c:showBubbleSize val="0"/>
        </c:dLbls>
        <c:marker val="1"/>
        <c:smooth val="0"/>
        <c:axId val="944512344"/>
        <c:axId val="944511952"/>
      </c:lineChart>
      <c:catAx>
        <c:axId val="944511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4511560"/>
        <c:crosses val="autoZero"/>
        <c:auto val="1"/>
        <c:lblAlgn val="ctr"/>
        <c:lblOffset val="100"/>
        <c:noMultiLvlLbl val="0"/>
      </c:catAx>
      <c:valAx>
        <c:axId val="94451156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4511168"/>
        <c:crosses val="autoZero"/>
        <c:crossBetween val="between"/>
      </c:valAx>
      <c:valAx>
        <c:axId val="944511952"/>
        <c:scaling>
          <c:orientation val="minMax"/>
          <c:max val="80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4512344"/>
        <c:crosses val="max"/>
        <c:crossBetween val="between"/>
      </c:valAx>
      <c:catAx>
        <c:axId val="944512344"/>
        <c:scaling>
          <c:orientation val="minMax"/>
        </c:scaling>
        <c:delete val="1"/>
        <c:axPos val="t"/>
        <c:majorTickMark val="out"/>
        <c:minorTickMark val="none"/>
        <c:tickLblPos val="nextTo"/>
        <c:crossAx val="944511952"/>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Budgetpivot!$A$52</c:f>
              <c:strCache>
                <c:ptCount val="1"/>
                <c:pt idx="0">
                  <c:v>2011-12</c:v>
                </c:pt>
              </c:strCache>
            </c:strRef>
          </c:tx>
          <c:spPr>
            <a:solidFill>
              <a:schemeClr val="accent1"/>
            </a:solidFill>
            <a:ln>
              <a:noFill/>
            </a:ln>
            <a:effectLst/>
          </c:spPr>
          <c:invertIfNegative val="0"/>
          <c:cat>
            <c:strRef>
              <c:f>Budgetpivot!$D$23:$K$23</c:f>
              <c:strCache>
                <c:ptCount val="8"/>
                <c:pt idx="0">
                  <c:v>ACT/NSW</c:v>
                </c:pt>
                <c:pt idx="1">
                  <c:v>NT</c:v>
                </c:pt>
                <c:pt idx="2">
                  <c:v>QLD</c:v>
                </c:pt>
                <c:pt idx="3">
                  <c:v>SA</c:v>
                </c:pt>
                <c:pt idx="4">
                  <c:v>TAS</c:v>
                </c:pt>
                <c:pt idx="5">
                  <c:v>VIC</c:v>
                </c:pt>
                <c:pt idx="6">
                  <c:v>WA</c:v>
                </c:pt>
                <c:pt idx="7">
                  <c:v>Australia</c:v>
                </c:pt>
              </c:strCache>
            </c:strRef>
          </c:cat>
          <c:val>
            <c:numRef>
              <c:f>Budgetpivot!$D$52:$K$52</c:f>
              <c:numCache>
                <c:formatCode>"$"#,##0</c:formatCode>
                <c:ptCount val="8"/>
                <c:pt idx="0">
                  <c:v>3860.3559672417632</c:v>
                </c:pt>
                <c:pt idx="1">
                  <c:v>5310.6042748971913</c:v>
                </c:pt>
                <c:pt idx="2">
                  <c:v>4494.3049317718078</c:v>
                </c:pt>
                <c:pt idx="3">
                  <c:v>3893.6889406807245</c:v>
                </c:pt>
                <c:pt idx="4">
                  <c:v>5381.0969685574682</c:v>
                </c:pt>
                <c:pt idx="5">
                  <c:v>4024.3375917702733</c:v>
                </c:pt>
                <c:pt idx="6">
                  <c:v>4732.2986136194168</c:v>
                </c:pt>
                <c:pt idx="7">
                  <c:v>4155.3796083209554</c:v>
                </c:pt>
              </c:numCache>
            </c:numRef>
          </c:val>
          <c:extLst>
            <c:ext xmlns:c16="http://schemas.microsoft.com/office/drawing/2014/chart" uri="{C3380CC4-5D6E-409C-BE32-E72D297353CC}">
              <c16:uniqueId val="{00000000-A245-4F86-873A-EC981AD1B9B2}"/>
            </c:ext>
          </c:extLst>
        </c:ser>
        <c:ser>
          <c:idx val="1"/>
          <c:order val="1"/>
          <c:tx>
            <c:strRef>
              <c:f>Budgetpivot!$A$53</c:f>
              <c:strCache>
                <c:ptCount val="1"/>
                <c:pt idx="0">
                  <c:v>2012-13</c:v>
                </c:pt>
              </c:strCache>
            </c:strRef>
          </c:tx>
          <c:spPr>
            <a:solidFill>
              <a:schemeClr val="accent2"/>
            </a:solidFill>
            <a:ln>
              <a:noFill/>
            </a:ln>
            <a:effectLst/>
          </c:spPr>
          <c:invertIfNegative val="0"/>
          <c:cat>
            <c:strRef>
              <c:f>Budgetpivot!$D$23:$K$23</c:f>
              <c:strCache>
                <c:ptCount val="8"/>
                <c:pt idx="0">
                  <c:v>ACT/NSW</c:v>
                </c:pt>
                <c:pt idx="1">
                  <c:v>NT</c:v>
                </c:pt>
                <c:pt idx="2">
                  <c:v>QLD</c:v>
                </c:pt>
                <c:pt idx="3">
                  <c:v>SA</c:v>
                </c:pt>
                <c:pt idx="4">
                  <c:v>TAS</c:v>
                </c:pt>
                <c:pt idx="5">
                  <c:v>VIC</c:v>
                </c:pt>
                <c:pt idx="6">
                  <c:v>WA</c:v>
                </c:pt>
                <c:pt idx="7">
                  <c:v>Australia</c:v>
                </c:pt>
              </c:strCache>
            </c:strRef>
          </c:cat>
          <c:val>
            <c:numRef>
              <c:f>Budgetpivot!$D$53:$K$53</c:f>
              <c:numCache>
                <c:formatCode>"$"#,##0</c:formatCode>
                <c:ptCount val="8"/>
                <c:pt idx="0">
                  <c:v>3957.8581804702067</c:v>
                </c:pt>
                <c:pt idx="1">
                  <c:v>7260.8561155168863</c:v>
                </c:pt>
                <c:pt idx="2">
                  <c:v>5056.3437430307931</c:v>
                </c:pt>
                <c:pt idx="3">
                  <c:v>4015.5589390549235</c:v>
                </c:pt>
                <c:pt idx="4">
                  <c:v>5766.3808652165098</c:v>
                </c:pt>
                <c:pt idx="5">
                  <c:v>3584.6386322404519</c:v>
                </c:pt>
                <c:pt idx="6">
                  <c:v>3650.0577964388604</c:v>
                </c:pt>
                <c:pt idx="7">
                  <c:v>4237.7705537627635</c:v>
                </c:pt>
              </c:numCache>
            </c:numRef>
          </c:val>
          <c:extLst>
            <c:ext xmlns:c16="http://schemas.microsoft.com/office/drawing/2014/chart" uri="{C3380CC4-5D6E-409C-BE32-E72D297353CC}">
              <c16:uniqueId val="{00000001-A245-4F86-873A-EC981AD1B9B2}"/>
            </c:ext>
          </c:extLst>
        </c:ser>
        <c:ser>
          <c:idx val="2"/>
          <c:order val="2"/>
          <c:tx>
            <c:strRef>
              <c:f>Budgetpivot!$A$54</c:f>
              <c:strCache>
                <c:ptCount val="1"/>
                <c:pt idx="0">
                  <c:v>2013-14</c:v>
                </c:pt>
              </c:strCache>
            </c:strRef>
          </c:tx>
          <c:spPr>
            <a:solidFill>
              <a:schemeClr val="accent3"/>
            </a:solidFill>
            <a:ln>
              <a:noFill/>
            </a:ln>
            <a:effectLst/>
          </c:spPr>
          <c:invertIfNegative val="0"/>
          <c:cat>
            <c:strRef>
              <c:f>Budgetpivot!$D$23:$K$23</c:f>
              <c:strCache>
                <c:ptCount val="8"/>
                <c:pt idx="0">
                  <c:v>ACT/NSW</c:v>
                </c:pt>
                <c:pt idx="1">
                  <c:v>NT</c:v>
                </c:pt>
                <c:pt idx="2">
                  <c:v>QLD</c:v>
                </c:pt>
                <c:pt idx="3">
                  <c:v>SA</c:v>
                </c:pt>
                <c:pt idx="4">
                  <c:v>TAS</c:v>
                </c:pt>
                <c:pt idx="5">
                  <c:v>VIC</c:v>
                </c:pt>
                <c:pt idx="6">
                  <c:v>WA</c:v>
                </c:pt>
                <c:pt idx="7">
                  <c:v>Australia</c:v>
                </c:pt>
              </c:strCache>
            </c:strRef>
          </c:cat>
          <c:val>
            <c:numRef>
              <c:f>Budgetpivot!$D$54:$K$54</c:f>
              <c:numCache>
                <c:formatCode>"$"#,##0</c:formatCode>
                <c:ptCount val="8"/>
                <c:pt idx="0">
                  <c:v>4135.5213989468211</c:v>
                </c:pt>
                <c:pt idx="1">
                  <c:v>4035.3175231974919</c:v>
                </c:pt>
                <c:pt idx="2">
                  <c:v>5136.9055375313928</c:v>
                </c:pt>
                <c:pt idx="3">
                  <c:v>3646.105142067524</c:v>
                </c:pt>
                <c:pt idx="4">
                  <c:v>5356.029761169224</c:v>
                </c:pt>
                <c:pt idx="5">
                  <c:v>3951.6668807384426</c:v>
                </c:pt>
                <c:pt idx="6">
                  <c:v>3867.5740766103713</c:v>
                </c:pt>
                <c:pt idx="7">
                  <c:v>4225.4834612919412</c:v>
                </c:pt>
              </c:numCache>
            </c:numRef>
          </c:val>
          <c:extLst>
            <c:ext xmlns:c16="http://schemas.microsoft.com/office/drawing/2014/chart" uri="{C3380CC4-5D6E-409C-BE32-E72D297353CC}">
              <c16:uniqueId val="{00000002-A245-4F86-873A-EC981AD1B9B2}"/>
            </c:ext>
          </c:extLst>
        </c:ser>
        <c:dLbls>
          <c:showLegendKey val="0"/>
          <c:showVal val="0"/>
          <c:showCatName val="0"/>
          <c:showSerName val="0"/>
          <c:showPercent val="0"/>
          <c:showBubbleSize val="0"/>
        </c:dLbls>
        <c:gapWidth val="219"/>
        <c:overlap val="-27"/>
        <c:axId val="944513128"/>
        <c:axId val="617490016"/>
      </c:barChart>
      <c:catAx>
        <c:axId val="944513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490016"/>
        <c:crosses val="autoZero"/>
        <c:auto val="1"/>
        <c:lblAlgn val="ctr"/>
        <c:lblOffset val="100"/>
        <c:noMultiLvlLbl val="0"/>
      </c:catAx>
      <c:valAx>
        <c:axId val="61749001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451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0"/>
          <c:w val="0.93888888888888888"/>
          <c:h val="0.7054020851560221"/>
        </c:manualLayout>
      </c:layout>
      <c:barChart>
        <c:barDir val="col"/>
        <c:grouping val="stacked"/>
        <c:varyColors val="0"/>
        <c:ser>
          <c:idx val="0"/>
          <c:order val="0"/>
          <c:tx>
            <c:strRef>
              <c:f>'referral time'!$C$6</c:f>
              <c:strCache>
                <c:ptCount val="1"/>
                <c:pt idx="0">
                  <c:v>Days from referral to PTA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'referral time'!$B$7:$B$10</c:f>
              <c:strCache>
                <c:ptCount val="4"/>
                <c:pt idx="0">
                  <c:v>2010-11</c:v>
                </c:pt>
                <c:pt idx="1">
                  <c:v>2011-12</c:v>
                </c:pt>
                <c:pt idx="2">
                  <c:v>2012-13</c:v>
                </c:pt>
                <c:pt idx="3">
                  <c:v>2013-14</c:v>
                </c:pt>
              </c:strCache>
            </c:strRef>
          </c:cat>
          <c:val>
            <c:numRef>
              <c:f>'referral time'!$C$7:$C$10</c:f>
              <c:numCache>
                <c:formatCode>0.0</c:formatCode>
                <c:ptCount val="4"/>
                <c:pt idx="0">
                  <c:v>10.926961</c:v>
                </c:pt>
                <c:pt idx="1">
                  <c:v>9.2201567000000004</c:v>
                </c:pt>
                <c:pt idx="2">
                  <c:v>8.0458136000000007</c:v>
                </c:pt>
                <c:pt idx="3">
                  <c:v>8.2239293999999994</c:v>
                </c:pt>
              </c:numCache>
            </c:numRef>
          </c:val>
          <c:extLst>
            <c:ext xmlns:c16="http://schemas.microsoft.com/office/drawing/2014/chart" uri="{C3380CC4-5D6E-409C-BE32-E72D297353CC}">
              <c16:uniqueId val="{00000000-D856-4325-A350-768E15ED49C0}"/>
            </c:ext>
          </c:extLst>
        </c:ser>
        <c:ser>
          <c:idx val="1"/>
          <c:order val="1"/>
          <c:tx>
            <c:strRef>
              <c:f>'referral time'!$D$6</c:f>
              <c:strCache>
                <c:ptCount val="1"/>
                <c:pt idx="0">
                  <c:v>Days from PTA to commencement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'referral time'!$B$7:$B$10</c:f>
              <c:strCache>
                <c:ptCount val="4"/>
                <c:pt idx="0">
                  <c:v>2010-11</c:v>
                </c:pt>
                <c:pt idx="1">
                  <c:v>2011-12</c:v>
                </c:pt>
                <c:pt idx="2">
                  <c:v>2012-13</c:v>
                </c:pt>
                <c:pt idx="3">
                  <c:v>2013-14</c:v>
                </c:pt>
              </c:strCache>
            </c:strRef>
          </c:cat>
          <c:val>
            <c:numRef>
              <c:f>'referral time'!$D$7:$D$10</c:f>
              <c:numCache>
                <c:formatCode>0.0</c:formatCode>
                <c:ptCount val="4"/>
                <c:pt idx="0">
                  <c:v>14.41621</c:v>
                </c:pt>
                <c:pt idx="1">
                  <c:v>12.56317</c:v>
                </c:pt>
                <c:pt idx="2">
                  <c:v>12.03593</c:v>
                </c:pt>
                <c:pt idx="3">
                  <c:v>10.075950000000001</c:v>
                </c:pt>
              </c:numCache>
            </c:numRef>
          </c:val>
          <c:extLst>
            <c:ext xmlns:c16="http://schemas.microsoft.com/office/drawing/2014/chart" uri="{C3380CC4-5D6E-409C-BE32-E72D297353CC}">
              <c16:uniqueId val="{00000001-D856-4325-A350-768E15ED49C0}"/>
            </c:ext>
          </c:extLst>
        </c:ser>
        <c:dLbls>
          <c:showLegendKey val="0"/>
          <c:showVal val="0"/>
          <c:showCatName val="0"/>
          <c:showSerName val="0"/>
          <c:showPercent val="0"/>
          <c:showBubbleSize val="0"/>
        </c:dLbls>
        <c:gapWidth val="150"/>
        <c:overlap val="100"/>
        <c:axId val="630423752"/>
        <c:axId val="630424144"/>
      </c:barChart>
      <c:catAx>
        <c:axId val="63042375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Referral date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0424144"/>
        <c:crosses val="autoZero"/>
        <c:auto val="1"/>
        <c:lblAlgn val="ctr"/>
        <c:lblOffset val="100"/>
        <c:noMultiLvlLbl val="0"/>
      </c:catAx>
      <c:valAx>
        <c:axId val="630424144"/>
        <c:scaling>
          <c:orientation val="minMax"/>
        </c:scaling>
        <c:delete val="1"/>
        <c:axPos val="l"/>
        <c:numFmt formatCode="0.0" sourceLinked="1"/>
        <c:majorTickMark val="none"/>
        <c:minorTickMark val="none"/>
        <c:tickLblPos val="nextTo"/>
        <c:crossAx val="630423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Cohort!$D$3</c:f>
              <c:strCache>
                <c:ptCount val="1"/>
                <c:pt idx="0">
                  <c:v>Proportoin of SEE clients</c:v>
                </c:pt>
              </c:strCache>
            </c:strRef>
          </c:tx>
          <c:spPr>
            <a:solidFill>
              <a:schemeClr val="accent1"/>
            </a:solidFill>
            <a:ln>
              <a:noFill/>
            </a:ln>
            <a:effectLst/>
          </c:spPr>
          <c:invertIfNegative val="0"/>
          <c:cat>
            <c:multiLvlStrRef>
              <c:f>Cohort!$A$4:$B$8</c:f>
              <c:multiLvlStrCache>
                <c:ptCount val="5"/>
                <c:lvl>
                  <c:pt idx="0">
                    <c:v>Female</c:v>
                  </c:pt>
                  <c:pt idx="1">
                    <c:v>Male</c:v>
                  </c:pt>
                  <c:pt idx="2">
                    <c:v>Indigenous</c:v>
                  </c:pt>
                  <c:pt idx="3">
                    <c:v>CALD</c:v>
                  </c:pt>
                  <c:pt idx="4">
                    <c:v>Requires an interpreter</c:v>
                  </c:pt>
                </c:lvl>
                <c:lvl>
                  <c:pt idx="0">
                    <c:v>Gender</c:v>
                  </c:pt>
                  <c:pt idx="2">
                    <c:v>Other characteristics</c:v>
                  </c:pt>
                </c:lvl>
              </c:multiLvlStrCache>
            </c:multiLvlStrRef>
          </c:cat>
          <c:val>
            <c:numRef>
              <c:f>Cohort!$D$4:$D$8</c:f>
              <c:numCache>
                <c:formatCode>0%</c:formatCode>
                <c:ptCount val="5"/>
                <c:pt idx="0">
                  <c:v>0.60239398955813062</c:v>
                </c:pt>
                <c:pt idx="1">
                  <c:v>0.39760601044186933</c:v>
                </c:pt>
                <c:pt idx="2">
                  <c:v>8.4770151534445434E-2</c:v>
                </c:pt>
                <c:pt idx="3">
                  <c:v>0.68293645740481346</c:v>
                </c:pt>
                <c:pt idx="4">
                  <c:v>0.51475869094613524</c:v>
                </c:pt>
              </c:numCache>
            </c:numRef>
          </c:val>
          <c:extLst>
            <c:ext xmlns:c16="http://schemas.microsoft.com/office/drawing/2014/chart" uri="{C3380CC4-5D6E-409C-BE32-E72D297353CC}">
              <c16:uniqueId val="{00000000-36DC-4942-8486-5BEA3774A372}"/>
            </c:ext>
          </c:extLst>
        </c:ser>
        <c:dLbls>
          <c:showLegendKey val="0"/>
          <c:showVal val="0"/>
          <c:showCatName val="0"/>
          <c:showSerName val="0"/>
          <c:showPercent val="0"/>
          <c:showBubbleSize val="0"/>
        </c:dLbls>
        <c:gapWidth val="219"/>
        <c:overlap val="-27"/>
        <c:axId val="630425320"/>
        <c:axId val="795779088"/>
      </c:barChart>
      <c:lineChart>
        <c:grouping val="standard"/>
        <c:varyColors val="0"/>
        <c:ser>
          <c:idx val="1"/>
          <c:order val="1"/>
          <c:tx>
            <c:strRef>
              <c:f>Cohort!$E$3</c:f>
              <c:strCache>
                <c:ptCount val="1"/>
                <c:pt idx="0">
                  <c:v>Proportion of the Australian population</c:v>
                </c:pt>
              </c:strCache>
            </c:strRef>
          </c:tx>
          <c:spPr>
            <a:ln w="28575" cap="rnd">
              <a:noFill/>
              <a:round/>
            </a:ln>
            <a:effectLst/>
          </c:spPr>
          <c:marker>
            <c:symbol val="circle"/>
            <c:size val="5"/>
            <c:spPr>
              <a:solidFill>
                <a:schemeClr val="accent2"/>
              </a:solidFill>
              <a:ln w="9525">
                <a:solidFill>
                  <a:schemeClr val="accent2"/>
                </a:solidFill>
              </a:ln>
              <a:effectLst/>
            </c:spPr>
          </c:marker>
          <c:val>
            <c:numRef>
              <c:f>Cohort!$E$4:$E$8</c:f>
              <c:numCache>
                <c:formatCode>0%</c:formatCode>
                <c:ptCount val="5"/>
                <c:pt idx="0">
                  <c:v>0.50557225524473326</c:v>
                </c:pt>
                <c:pt idx="1">
                  <c:v>0.49442774475526674</c:v>
                </c:pt>
                <c:pt idx="2">
                  <c:v>2.5496334595035391E-2</c:v>
                </c:pt>
                <c:pt idx="3">
                  <c:v>0.16328923583202848</c:v>
                </c:pt>
              </c:numCache>
            </c:numRef>
          </c:val>
          <c:smooth val="0"/>
          <c:extLst>
            <c:ext xmlns:c16="http://schemas.microsoft.com/office/drawing/2014/chart" uri="{C3380CC4-5D6E-409C-BE32-E72D297353CC}">
              <c16:uniqueId val="{00000001-36DC-4942-8486-5BEA3774A372}"/>
            </c:ext>
          </c:extLst>
        </c:ser>
        <c:dLbls>
          <c:showLegendKey val="0"/>
          <c:showVal val="0"/>
          <c:showCatName val="0"/>
          <c:showSerName val="0"/>
          <c:showPercent val="0"/>
          <c:showBubbleSize val="0"/>
        </c:dLbls>
        <c:marker val="1"/>
        <c:smooth val="0"/>
        <c:axId val="630425320"/>
        <c:axId val="795779088"/>
      </c:lineChart>
      <c:catAx>
        <c:axId val="630425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779088"/>
        <c:crosses val="autoZero"/>
        <c:auto val="1"/>
        <c:lblAlgn val="ctr"/>
        <c:lblOffset val="100"/>
        <c:noMultiLvlLbl val="0"/>
      </c:catAx>
      <c:valAx>
        <c:axId val="795779088"/>
        <c:scaling>
          <c:orientation val="minMax"/>
          <c:max val="0.70000000000000007"/>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0425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 CALD'!$A$20</c:f>
              <c:strCache>
                <c:ptCount val="1"/>
                <c:pt idx="0">
                  <c:v>Non-Indigenous, non-CALD</c:v>
                </c:pt>
              </c:strCache>
            </c:strRef>
          </c:tx>
          <c:spPr>
            <a:ln w="28575" cap="rnd">
              <a:solidFill>
                <a:schemeClr val="accent1"/>
              </a:solidFill>
              <a:round/>
            </a:ln>
            <a:effectLst/>
          </c:spPr>
          <c:marker>
            <c:symbol val="none"/>
          </c:marker>
          <c:cat>
            <c:strRef>
              <c:f>'% CALD'!$B$19:$E$19</c:f>
              <c:strCache>
                <c:ptCount val="4"/>
                <c:pt idx="0">
                  <c:v>2010-11</c:v>
                </c:pt>
                <c:pt idx="1">
                  <c:v>2011-12</c:v>
                </c:pt>
                <c:pt idx="2">
                  <c:v>2012-13</c:v>
                </c:pt>
                <c:pt idx="3">
                  <c:v>2013-14</c:v>
                </c:pt>
              </c:strCache>
            </c:strRef>
          </c:cat>
          <c:val>
            <c:numRef>
              <c:f>'% CALD'!$B$20:$E$20</c:f>
              <c:numCache>
                <c:formatCode>#,##0</c:formatCode>
                <c:ptCount val="4"/>
                <c:pt idx="0">
                  <c:v>3360</c:v>
                </c:pt>
                <c:pt idx="1">
                  <c:v>4384</c:v>
                </c:pt>
                <c:pt idx="2">
                  <c:v>5577</c:v>
                </c:pt>
                <c:pt idx="3">
                  <c:v>6253</c:v>
                </c:pt>
              </c:numCache>
            </c:numRef>
          </c:val>
          <c:smooth val="0"/>
          <c:extLst>
            <c:ext xmlns:c16="http://schemas.microsoft.com/office/drawing/2014/chart" uri="{C3380CC4-5D6E-409C-BE32-E72D297353CC}">
              <c16:uniqueId val="{00000000-B365-417C-8E47-D0D934830526}"/>
            </c:ext>
          </c:extLst>
        </c:ser>
        <c:ser>
          <c:idx val="1"/>
          <c:order val="1"/>
          <c:tx>
            <c:strRef>
              <c:f>'% CALD'!$A$21</c:f>
              <c:strCache>
                <c:ptCount val="1"/>
                <c:pt idx="0">
                  <c:v>CALD</c:v>
                </c:pt>
              </c:strCache>
            </c:strRef>
          </c:tx>
          <c:spPr>
            <a:ln w="28575" cap="rnd">
              <a:solidFill>
                <a:schemeClr val="accent2"/>
              </a:solidFill>
              <a:round/>
            </a:ln>
            <a:effectLst/>
          </c:spPr>
          <c:marker>
            <c:symbol val="none"/>
          </c:marker>
          <c:cat>
            <c:strRef>
              <c:f>'% CALD'!$B$19:$E$19</c:f>
              <c:strCache>
                <c:ptCount val="4"/>
                <c:pt idx="0">
                  <c:v>2010-11</c:v>
                </c:pt>
                <c:pt idx="1">
                  <c:v>2011-12</c:v>
                </c:pt>
                <c:pt idx="2">
                  <c:v>2012-13</c:v>
                </c:pt>
                <c:pt idx="3">
                  <c:v>2013-14</c:v>
                </c:pt>
              </c:strCache>
            </c:strRef>
          </c:cat>
          <c:val>
            <c:numRef>
              <c:f>'% CALD'!$B$21:$E$21</c:f>
              <c:numCache>
                <c:formatCode>#,##0</c:formatCode>
                <c:ptCount val="4"/>
                <c:pt idx="0">
                  <c:v>14586</c:v>
                </c:pt>
                <c:pt idx="1">
                  <c:v>15181</c:v>
                </c:pt>
                <c:pt idx="2">
                  <c:v>15973</c:v>
                </c:pt>
                <c:pt idx="3">
                  <c:v>17251</c:v>
                </c:pt>
              </c:numCache>
            </c:numRef>
          </c:val>
          <c:smooth val="0"/>
          <c:extLst>
            <c:ext xmlns:c16="http://schemas.microsoft.com/office/drawing/2014/chart" uri="{C3380CC4-5D6E-409C-BE32-E72D297353CC}">
              <c16:uniqueId val="{00000001-B365-417C-8E47-D0D934830526}"/>
            </c:ext>
          </c:extLst>
        </c:ser>
        <c:ser>
          <c:idx val="2"/>
          <c:order val="2"/>
          <c:tx>
            <c:strRef>
              <c:f>'% CALD'!$A$22</c:f>
              <c:strCache>
                <c:ptCount val="1"/>
                <c:pt idx="0">
                  <c:v>Indigenous</c:v>
                </c:pt>
              </c:strCache>
            </c:strRef>
          </c:tx>
          <c:spPr>
            <a:ln w="28575" cap="rnd">
              <a:solidFill>
                <a:schemeClr val="accent3"/>
              </a:solidFill>
              <a:round/>
            </a:ln>
            <a:effectLst/>
          </c:spPr>
          <c:marker>
            <c:symbol val="none"/>
          </c:marker>
          <c:cat>
            <c:strRef>
              <c:f>'% CALD'!$B$19:$E$19</c:f>
              <c:strCache>
                <c:ptCount val="4"/>
                <c:pt idx="0">
                  <c:v>2010-11</c:v>
                </c:pt>
                <c:pt idx="1">
                  <c:v>2011-12</c:v>
                </c:pt>
                <c:pt idx="2">
                  <c:v>2012-13</c:v>
                </c:pt>
                <c:pt idx="3">
                  <c:v>2013-14</c:v>
                </c:pt>
              </c:strCache>
            </c:strRef>
          </c:cat>
          <c:val>
            <c:numRef>
              <c:f>'% CALD'!$B$22:$E$22</c:f>
              <c:numCache>
                <c:formatCode>#,##0</c:formatCode>
                <c:ptCount val="4"/>
                <c:pt idx="0">
                  <c:v>1323</c:v>
                </c:pt>
                <c:pt idx="1">
                  <c:v>1619</c:v>
                </c:pt>
                <c:pt idx="2">
                  <c:v>1959</c:v>
                </c:pt>
                <c:pt idx="3">
                  <c:v>2523</c:v>
                </c:pt>
              </c:numCache>
            </c:numRef>
          </c:val>
          <c:smooth val="0"/>
          <c:extLst>
            <c:ext xmlns:c16="http://schemas.microsoft.com/office/drawing/2014/chart" uri="{C3380CC4-5D6E-409C-BE32-E72D297353CC}">
              <c16:uniqueId val="{00000002-B365-417C-8E47-D0D934830526}"/>
            </c:ext>
          </c:extLst>
        </c:ser>
        <c:dLbls>
          <c:showLegendKey val="0"/>
          <c:showVal val="0"/>
          <c:showCatName val="0"/>
          <c:showSerName val="0"/>
          <c:showPercent val="0"/>
          <c:showBubbleSize val="0"/>
        </c:dLbls>
        <c:smooth val="0"/>
        <c:axId val="795779872"/>
        <c:axId val="795780264"/>
      </c:lineChart>
      <c:catAx>
        <c:axId val="7957798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780264"/>
        <c:crosses val="autoZero"/>
        <c:auto val="1"/>
        <c:lblAlgn val="ctr"/>
        <c:lblOffset val="100"/>
        <c:noMultiLvlLbl val="0"/>
      </c:catAx>
      <c:valAx>
        <c:axId val="795780264"/>
        <c:scaling>
          <c:orientation val="minMax"/>
          <c:max val="1800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77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 CALD'!$J$20</c:f>
              <c:strCache>
                <c:ptCount val="1"/>
                <c:pt idx="0">
                  <c:v>Non-Indigenous, non-CALD</c:v>
                </c:pt>
              </c:strCache>
            </c:strRef>
          </c:tx>
          <c:spPr>
            <a:ln w="28575" cap="rnd">
              <a:solidFill>
                <a:schemeClr val="accent1"/>
              </a:solidFill>
              <a:round/>
            </a:ln>
            <a:effectLst/>
          </c:spPr>
          <c:marker>
            <c:symbol val="none"/>
          </c:marker>
          <c:cat>
            <c:strRef>
              <c:f>'% CALD'!$K$19:$N$19</c:f>
              <c:strCache>
                <c:ptCount val="4"/>
                <c:pt idx="0">
                  <c:v>2010-11</c:v>
                </c:pt>
                <c:pt idx="1">
                  <c:v>2011-12</c:v>
                </c:pt>
                <c:pt idx="2">
                  <c:v>2012-13</c:v>
                </c:pt>
                <c:pt idx="3">
                  <c:v>2013-14</c:v>
                </c:pt>
              </c:strCache>
            </c:strRef>
          </c:cat>
          <c:val>
            <c:numRef>
              <c:f>'% CALD'!$K$20:$N$20</c:f>
              <c:numCache>
                <c:formatCode>0%</c:formatCode>
                <c:ptCount val="4"/>
                <c:pt idx="0">
                  <c:v>0.17437334578857233</c:v>
                </c:pt>
                <c:pt idx="1">
                  <c:v>0.20694864048338368</c:v>
                </c:pt>
                <c:pt idx="2">
                  <c:v>0.2372282955463865</c:v>
                </c:pt>
                <c:pt idx="3">
                  <c:v>0.24025050908671763</c:v>
                </c:pt>
              </c:numCache>
            </c:numRef>
          </c:val>
          <c:smooth val="0"/>
          <c:extLst>
            <c:ext xmlns:c16="http://schemas.microsoft.com/office/drawing/2014/chart" uri="{C3380CC4-5D6E-409C-BE32-E72D297353CC}">
              <c16:uniqueId val="{00000000-973D-4CBF-A595-1B2730640225}"/>
            </c:ext>
          </c:extLst>
        </c:ser>
        <c:ser>
          <c:idx val="1"/>
          <c:order val="1"/>
          <c:tx>
            <c:strRef>
              <c:f>'% CALD'!$J$21</c:f>
              <c:strCache>
                <c:ptCount val="1"/>
                <c:pt idx="0">
                  <c:v>CALD</c:v>
                </c:pt>
              </c:strCache>
            </c:strRef>
          </c:tx>
          <c:spPr>
            <a:ln w="28575" cap="rnd">
              <a:solidFill>
                <a:schemeClr val="accent2"/>
              </a:solidFill>
              <a:round/>
            </a:ln>
            <a:effectLst/>
          </c:spPr>
          <c:marker>
            <c:symbol val="none"/>
          </c:marker>
          <c:cat>
            <c:strRef>
              <c:f>'% CALD'!$K$19:$N$19</c:f>
              <c:strCache>
                <c:ptCount val="4"/>
                <c:pt idx="0">
                  <c:v>2010-11</c:v>
                </c:pt>
                <c:pt idx="1">
                  <c:v>2011-12</c:v>
                </c:pt>
                <c:pt idx="2">
                  <c:v>2012-13</c:v>
                </c:pt>
                <c:pt idx="3">
                  <c:v>2013-14</c:v>
                </c:pt>
              </c:strCache>
            </c:strRef>
          </c:cat>
          <c:val>
            <c:numRef>
              <c:f>'% CALD'!$K$21:$N$21</c:f>
              <c:numCache>
                <c:formatCode>0%</c:formatCode>
                <c:ptCount val="4"/>
                <c:pt idx="0">
                  <c:v>0.75696714930717734</c:v>
                </c:pt>
                <c:pt idx="1">
                  <c:v>0.71662575528700911</c:v>
                </c:pt>
                <c:pt idx="2">
                  <c:v>0.6794419158620103</c:v>
                </c:pt>
                <c:pt idx="3">
                  <c:v>0.66281169554693198</c:v>
                </c:pt>
              </c:numCache>
            </c:numRef>
          </c:val>
          <c:smooth val="0"/>
          <c:extLst>
            <c:ext xmlns:c16="http://schemas.microsoft.com/office/drawing/2014/chart" uri="{C3380CC4-5D6E-409C-BE32-E72D297353CC}">
              <c16:uniqueId val="{00000001-973D-4CBF-A595-1B2730640225}"/>
            </c:ext>
          </c:extLst>
        </c:ser>
        <c:ser>
          <c:idx val="2"/>
          <c:order val="2"/>
          <c:tx>
            <c:strRef>
              <c:f>'% CALD'!$J$22</c:f>
              <c:strCache>
                <c:ptCount val="1"/>
                <c:pt idx="0">
                  <c:v>Indigenous</c:v>
                </c:pt>
              </c:strCache>
            </c:strRef>
          </c:tx>
          <c:spPr>
            <a:ln w="28575" cap="rnd">
              <a:solidFill>
                <a:schemeClr val="accent3"/>
              </a:solidFill>
              <a:round/>
            </a:ln>
            <a:effectLst/>
          </c:spPr>
          <c:marker>
            <c:symbol val="none"/>
          </c:marker>
          <c:cat>
            <c:strRef>
              <c:f>'% CALD'!$K$19:$N$19</c:f>
              <c:strCache>
                <c:ptCount val="4"/>
                <c:pt idx="0">
                  <c:v>2010-11</c:v>
                </c:pt>
                <c:pt idx="1">
                  <c:v>2011-12</c:v>
                </c:pt>
                <c:pt idx="2">
                  <c:v>2012-13</c:v>
                </c:pt>
                <c:pt idx="3">
                  <c:v>2013-14</c:v>
                </c:pt>
              </c:strCache>
            </c:strRef>
          </c:cat>
          <c:val>
            <c:numRef>
              <c:f>'% CALD'!$K$22:$N$22</c:f>
              <c:numCache>
                <c:formatCode>0%</c:formatCode>
                <c:ptCount val="4"/>
                <c:pt idx="0">
                  <c:v>6.8659504904250351E-2</c:v>
                </c:pt>
                <c:pt idx="1">
                  <c:v>7.6425604229607244E-2</c:v>
                </c:pt>
                <c:pt idx="2">
                  <c:v>8.3329788591603213E-2</c:v>
                </c:pt>
                <c:pt idx="3">
                  <c:v>9.6937795366350332E-2</c:v>
                </c:pt>
              </c:numCache>
            </c:numRef>
          </c:val>
          <c:smooth val="0"/>
          <c:extLst>
            <c:ext xmlns:c16="http://schemas.microsoft.com/office/drawing/2014/chart" uri="{C3380CC4-5D6E-409C-BE32-E72D297353CC}">
              <c16:uniqueId val="{00000002-973D-4CBF-A595-1B2730640225}"/>
            </c:ext>
          </c:extLst>
        </c:ser>
        <c:dLbls>
          <c:showLegendKey val="0"/>
          <c:showVal val="0"/>
          <c:showCatName val="0"/>
          <c:showSerName val="0"/>
          <c:showPercent val="0"/>
          <c:showBubbleSize val="0"/>
        </c:dLbls>
        <c:smooth val="0"/>
        <c:axId val="814134568"/>
        <c:axId val="814134960"/>
      </c:lineChart>
      <c:catAx>
        <c:axId val="814134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134960"/>
        <c:crosses val="autoZero"/>
        <c:auto val="1"/>
        <c:lblAlgn val="ctr"/>
        <c:lblOffset val="100"/>
        <c:noMultiLvlLbl val="0"/>
      </c:catAx>
      <c:valAx>
        <c:axId val="814134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134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2BC-47BD-9057-9B2E5382B5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2BC-47BD-9057-9B2E5382B5EF}"/>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1-02BC-47BD-9057-9B2E5382B5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(gender.cald!$A$6,gender.cald!$A$9)</c:f>
              <c:strCache>
                <c:ptCount val="2"/>
                <c:pt idx="0">
                  <c:v>Female</c:v>
                </c:pt>
                <c:pt idx="1">
                  <c:v>Male</c:v>
                </c:pt>
              </c:strCache>
            </c:strRef>
          </c:cat>
          <c:val>
            <c:numRef>
              <c:f>(gender.cald!$B$6,gender.cald!$B$9)</c:f>
              <c:numCache>
                <c:formatCode>#,##0</c:formatCode>
                <c:ptCount val="2"/>
                <c:pt idx="0">
                  <c:v>11256</c:v>
                </c:pt>
                <c:pt idx="1">
                  <c:v>13643</c:v>
                </c:pt>
              </c:numCache>
            </c:numRef>
          </c:val>
          <c:extLst>
            <c:ext xmlns:c16="http://schemas.microsoft.com/office/drawing/2014/chart" uri="{C3380CC4-5D6E-409C-BE32-E72D297353CC}">
              <c16:uniqueId val="{00000004-02BC-47BD-9057-9B2E5382B5E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C78-411B-855F-31E858CF1B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C78-411B-855F-31E858CF1B6C}"/>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1-BC78-411B-855F-31E858CF1B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(gender.cald!$A$6,gender.cald!$A$9)</c:f>
              <c:strCache>
                <c:ptCount val="2"/>
                <c:pt idx="0">
                  <c:v>Female</c:v>
                </c:pt>
                <c:pt idx="1">
                  <c:v>Male</c:v>
                </c:pt>
              </c:strCache>
            </c:strRef>
          </c:cat>
          <c:val>
            <c:numRef>
              <c:f>(gender.cald!$C$6,gender.cald!$C$9)</c:f>
              <c:numCache>
                <c:formatCode>#,##0</c:formatCode>
                <c:ptCount val="2"/>
                <c:pt idx="0">
                  <c:v>36050</c:v>
                </c:pt>
                <c:pt idx="1">
                  <c:v>17581</c:v>
                </c:pt>
              </c:numCache>
            </c:numRef>
          </c:val>
          <c:extLst>
            <c:ext xmlns:c16="http://schemas.microsoft.com/office/drawing/2014/chart" uri="{C3380CC4-5D6E-409C-BE32-E72D297353CC}">
              <c16:uniqueId val="{00000004-BC78-411B-855F-31E858CF1B6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4.27355E-7</cdr:x>
      <cdr:y>0.86842</cdr:y>
    </cdr:from>
    <cdr:to>
      <cdr:x>1</cdr:x>
      <cdr:y>1</cdr:y>
    </cdr:to>
    <cdr:sp macro="" textlink="">
      <cdr:nvSpPr>
        <cdr:cNvPr id="2" name="Text Box 1"/>
        <cdr:cNvSpPr txBox="1"/>
      </cdr:nvSpPr>
      <cdr:spPr>
        <a:xfrm xmlns:a="http://schemas.openxmlformats.org/drawingml/2006/main">
          <a:off x="1" y="1612982"/>
          <a:ext cx="2339974" cy="2443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a:t>Non-CALD non-Indigenous</a:t>
          </a:r>
          <a:r>
            <a:rPr lang="en-AU" sz="900" baseline="0"/>
            <a:t> clients, 24,899</a:t>
          </a:r>
          <a:endParaRPr lang="en-AU" sz="900"/>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0.86842</cdr:y>
    </cdr:from>
    <cdr:to>
      <cdr:x>1</cdr:x>
      <cdr:y>1</cdr:y>
    </cdr:to>
    <cdr:sp macro="" textlink="">
      <cdr:nvSpPr>
        <cdr:cNvPr id="2" name="Text Box 1"/>
        <cdr:cNvSpPr txBox="1"/>
      </cdr:nvSpPr>
      <cdr:spPr>
        <a:xfrm xmlns:a="http://schemas.openxmlformats.org/drawingml/2006/main">
          <a:off x="50801" y="1663782"/>
          <a:ext cx="1992629" cy="24439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n-AU" sz="900"/>
            <a:t>CALD</a:t>
          </a:r>
          <a:r>
            <a:rPr lang="en-AU" sz="900" baseline="0"/>
            <a:t> clients, 53,631</a:t>
          </a:r>
          <a:endParaRPr lang="en-AU" sz="9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0.86842</cdr:y>
    </cdr:from>
    <cdr:to>
      <cdr:x>1</cdr:x>
      <cdr:y>1</cdr:y>
    </cdr:to>
    <cdr:sp macro="" textlink="">
      <cdr:nvSpPr>
        <cdr:cNvPr id="2" name="Text Box 1"/>
        <cdr:cNvSpPr txBox="1"/>
      </cdr:nvSpPr>
      <cdr:spPr>
        <a:xfrm xmlns:a="http://schemas.openxmlformats.org/drawingml/2006/main">
          <a:off x="50800" y="1663782"/>
          <a:ext cx="1990725" cy="24439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n-AU" sz="900"/>
            <a:t>Indigenous cleints, 6,657</a:t>
          </a:r>
        </a:p>
      </cdr:txBody>
    </cdr:sp>
  </cdr:relSizeAnchor>
</c:userShapes>
</file>

<file path=word/theme/theme1.xml><?xml version="1.0" encoding="utf-8"?>
<a:theme xmlns:a="http://schemas.openxmlformats.org/drawingml/2006/main" name="Office Theme">
  <a:themeElements>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0126C48ED572418172509B111E379A" ma:contentTypeVersion="0" ma:contentTypeDescription="Create a new document." ma:contentTypeScope="" ma:versionID="4c3478f626a8d3f800ffa1fd7d8d205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NEA15</b:Tag>
    <b:SourceType>InternetSite</b:SourceType>
    <b:Guid>{C7D20C6D-D17D-4CB0-B82C-9E8A4EE5E823}</b:Guid>
    <b:Title>NEAS</b:Title>
    <b:Year>2015</b:Year>
    <b:Month>January</b:Month>
    <b:Author>
      <b:Author>
        <b:Corporate>NEAS</b:Corporate>
      </b:Author>
    </b:Author>
    <b:InternetSiteTitle>AMEP Assessment Task Bank</b:InternetSiteTitle>
    <b:URL>http://www.neas.org.au/amep-pages/atb/</b:URL>
    <b:RefOrder>11</b:RefOrder>
  </b:Source>
  <b:Source>
    <b:Tag>DIA</b:Tag>
    <b:SourceType>Report</b:SourceType>
    <b:Guid>{4598987E-6269-4540-80D2-B8B9B2D0100A}</b:Guid>
    <b:Author>
      <b:Author>
        <b:NameList>
          <b:Person>
            <b:Last>DIAC</b:Last>
          </b:Person>
        </b:NameList>
      </b:Author>
    </b:Author>
    <b:Title>Contract Between the Commonwealth of Australia and in relation to Services for the provision of the Adult Migrant English Program and related services in Region</b:Title>
    <b:Publisher>Australian Government</b:Publisher>
    <b:RefOrder>12</b:RefOrder>
  </b:Source>
  <b:Source>
    <b:Tag>Dep14</b:Tag>
    <b:SourceType>Misc</b:SourceType>
    <b:Guid>{BC8F912C-F34B-43A1-BFAC-5ABB373023CE}</b:Guid>
    <b:Author>
      <b:Author>
        <b:Corporate>Department of Industry</b:Corporate>
      </b:Author>
    </b:Author>
    <b:Title>General Services and Distance/ E-Learning Quarterly Report Templates</b:Title>
    <b:PublicationTitle>AMEP</b:PublicationTitle>
    <b:Year>2014</b:Year>
    <b:RefOrder>13</b:RefOrder>
  </b:Source>
  <b:Source>
    <b:Tag>Dep141</b:Tag>
    <b:SourceType>Misc</b:SourceType>
    <b:Guid>{EDB27C83-CFDA-4785-B7EF-61F53F8F438A}</b:Guid>
    <b:Author>
      <b:Author>
        <b:Corporate>Department of Industry</b:Corporate>
      </b:Author>
    </b:Author>
    <b:Title>General Services and Distance/ E-Learning Half Yearly Report Templates</b:Title>
    <b:PublicationTitle>AMEP</b:PublicationTitle>
    <b:Year>2014</b:Year>
    <b:RefOrder>14</b:RefOrder>
  </b:Source>
  <b:Source>
    <b:Tag>Dep142</b:Tag>
    <b:SourceType>Misc</b:SourceType>
    <b:Guid>{ADB97766-AA80-467B-913D-912411552E5A}</b:Guid>
    <b:Author>
      <b:Author>
        <b:Corporate>Department of Industry</b:Corporate>
      </b:Author>
    </b:Author>
    <b:Title>General Services and Distance/ E-Learning Annual Report Templates</b:Title>
    <b:PublicationTitle>AMEP</b:PublicationTitle>
    <b:Year>2014</b:Year>
    <b:RefOrder>15</b:RefOrder>
  </b:Source>
  <b:Source>
    <b:Tag>NEA11</b:Tag>
    <b:SourceType>Report</b:SourceType>
    <b:Guid>{DFDE0D71-1552-46CD-B14E-98BCBA316411}</b:Guid>
    <b:Title>NEAS AMEP Manual, Version 2011 11</b:Title>
    <b:Year>2011</b:Year>
    <b:Author>
      <b:Author>
        <b:NameList>
          <b:Person>
            <b:Last>NEAS</b:Last>
          </b:Person>
        </b:NameList>
      </b:Author>
    </b:Author>
    <b:RefOrder>16</b:RefOrder>
  </b:Source>
  <b:Source>
    <b:Tag>Aus13</b:Tag>
    <b:SourceType>Report</b:SourceType>
    <b:Guid>{F404E407-2418-4E6D-90D0-D1F1E79AA830}</b:Guid>
    <b:Title>Skills for Education and Employment (SEE): 2013-2016: SEE Online IV User Guide</b:Title>
    <b:Year>2013</b:Year>
    <b:Author>
      <b:Author>
        <b:Corporate>Australian Government</b:Corporate>
      </b:Author>
    </b:Author>
    <b:RefOrder>4</b:RefOrder>
  </b:Source>
  <b:Source>
    <b:Tag>Dep134</b:Tag>
    <b:SourceType>Report</b:SourceType>
    <b:Guid>{9227C16A-F82A-4058-9E06-65286C1030FD}</b:Guid>
    <b:Author>
      <b:Author>
        <b:Corporate>Department of Industry</b:Corporate>
      </b:Author>
    </b:Author>
    <b:Title>Skills for Education and Employment (SEE): 2013-2016: Instructions for SEE Service Providers</b:Title>
    <b:Year>2013</b:Year>
    <b:RefOrder>5</b:RefOrder>
  </b:Source>
  <b:Source>
    <b:Tag>Dep132</b:Tag>
    <b:SourceType>Report</b:SourceType>
    <b:Guid>{01C14895-4BCC-4CC9-A9DB-1DA1F79C1E53}</b:Guid>
    <b:Author>
      <b:Author>
        <b:Corporate>Department of Industry</b:Corporate>
      </b:Author>
    </b:Author>
    <b:Title>Deed of Standing Offer for the Provision of Services, Version 1.0</b:Title>
    <b:Year>2013</b:Year>
    <b:Publisher>Commonwealth of Australia</b:Publisher>
    <b:RefOrder>6</b:RefOrder>
  </b:Source>
  <b:Source>
    <b:Tag>Dep133</b:Tag>
    <b:SourceType>Misc</b:SourceType>
    <b:Guid>{CB86028F-E712-4B84-A17C-DDC8094C395B}</b:Guid>
    <b:Title>SEE Annual Report</b:Title>
    <b:Year>2013</b:Year>
    <b:Author>
      <b:Author>
        <b:Corporate>Department of Industry</b:Corporate>
      </b:Author>
    </b:Author>
    <b:PublicationTitle>Data Collection Excel Spreadsheet</b:PublicationTitle>
    <b:RefOrder>7</b:RefOrder>
  </b:Source>
  <b:Source>
    <b:Tag>Dep131</b:Tag>
    <b:SourceType>Report</b:SourceType>
    <b:Guid>{C28147EC-EBE3-4495-B529-B233AA6AD94E}</b:Guid>
    <b:Author>
      <b:Author>
        <b:Corporate>Department of Industry</b:Corporate>
      </b:Author>
    </b:Author>
    <b:Title>Skills for Education and Employment (SEE): 2013-2016, Instructions for SEE Service Providers</b:Title>
    <b:Year>2013</b:Year>
    <b:RefOrder>17</b:RefOrder>
  </b:Source>
  <b:Source>
    <b:Tag>Dep13</b:Tag>
    <b:SourceType>Report</b:SourceType>
    <b:Guid>{8CFAB041-FEF2-4659-A0C8-BB6B43B95AE7}</b:Guid>
    <b:Author>
      <b:Author>
        <b:Corporate>Department of Industry</b:Corporate>
      </b:Author>
    </b:Author>
    <b:Title>Skills for Education and Employment (SEE) Program Guidelines 2013-16 Version 1</b:Title>
    <b:Year>2013</b:Year>
    <b:RefOrder>8</b:RefOrder>
  </b:Source>
  <b:Source>
    <b:Tag>Dep1412</b:Tag>
    <b:SourceType>InternetSite</b:SourceType>
    <b:Guid>{36092C00-2C5E-4B2B-AA13-011073987F90}</b:Guid>
    <b:Title>History, features and objectives: History of the programme</b:Title>
    <b:Year>2014</b:Year>
    <b:Author>
      <b:Author>
        <b:Corporate>Department of Industry</b:Corporate>
      </b:Author>
    </b:Author>
    <b:URL>http://www.industry.gov.au/skills/ProgrammesandAssistance/SEE/Pages/Overview.aspx</b:URL>
    <b:RefOrder>1</b:RefOrder>
  </b:Source>
  <b:Source>
    <b:Tag>Dep1415</b:Tag>
    <b:SourceType>Report</b:SourceType>
    <b:Guid>{AD706EE5-EEA7-440C-803F-FF1E6A083FB6}</b:Guid>
    <b:Author>
      <b:Author>
        <b:Corporate>Department of Industry</b:Corporate>
      </b:Author>
    </b:Author>
    <b:Title>SEE Contract Management Monthly Report July 2014-15</b:Title>
    <b:Year>2014</b:Year>
    <b:RefOrder>3</b:RefOrder>
  </b:Source>
  <b:Source>
    <b:Tag>ASQ14</b:Tag>
    <b:SourceType>InternetSite</b:SourceType>
    <b:Guid>{E7819116-4956-48DE-AAEA-4E3DDB4A7B73}</b:Guid>
    <b:Title>ASQA, Fact sheet: ASQA audits (2013)</b:Title>
    <b:Year>2014</b:Year>
    <b:Author>
      <b:Author>
        <b:Corporate>ASQA</b:Corporate>
      </b:Author>
    </b:Author>
    <b:InternetSiteTitle>Australian Skills Quality Authority</b:InternetSiteTitle>
    <b:Month>November</b:Month>
    <b:Day>5</b:Day>
    <b:URL>http://www.asqa.gov.au/news-and-publications/publications/fact-sheets/fact-sheets.html</b:URL>
    <b:RefOrder>18</b:RefOrder>
  </b:Source>
  <b:Source>
    <b:Tag>DPM14</b:Tag>
    <b:SourceType>Report</b:SourceType>
    <b:Guid>{1B401155-AF45-4C14-937B-008B9FE206BB}</b:Guid>
    <b:Author>
      <b:Author>
        <b:Corporate>DPMC</b:Corporate>
      </b:Author>
    </b:Author>
    <b:Title>Roles and responsibilities in education, Part B: Vocational</b:Title>
    <b:Year>2014</b:Year>
    <b:Publisher>Department of Prime Minister and Cabinet</b:Publisher>
    <b:RefOrder>9</b:RefOrder>
  </b:Source>
  <b:Source>
    <b:Tag>Aus139</b:Tag>
    <b:SourceType>InternetSite</b:SourceType>
    <b:Guid>{740D6E96-A1BD-4008-B3CA-EEEF62168E33}</b:Guid>
    <b:Author>
      <b:Author>
        <b:Corporate>Australian Government</b:Corporate>
      </b:Author>
    </b:Author>
    <b:Title>Remote Jobs and Communities Program: Frequently Asked Questions</b:Title>
    <b:Year>2013</b:Year>
    <b:InternetSiteTitle>Remote Jobs and Communities Program</b:InternetSiteTitle>
    <b:Month>July</b:Month>
    <b:URL>https://docs.employment.gov.au/system/files/doc/other/rjcp_general_faq_1.pdf</b:URL>
    <b:RefOrder>10</b:RefOrder>
  </b:Source>
  <b:Source>
    <b:Tag>Dep15</b:Tag>
    <b:SourceType>InternetSite</b:SourceType>
    <b:Guid>{F56F27BF-8188-48D7-ACCB-AFB69B72E8CB}</b:Guid>
    <b:Author>
      <b:Author>
        <b:Corporate>Department of Industry</b:Corporate>
      </b:Author>
    </b:Author>
    <b:Title>Summary of Eligibility Criteria 2013-16</b:Title>
    <b:InternetSiteTitle>Department of Industry</b:InternetSiteTitle>
    <b:Year>2014</b:Year>
    <b:Month>December</b:Month>
    <b:Day>7</b:Day>
    <b:URL>http://www.industry.gov.au/skills/ProgrammesandAssistance/SEE/Pages/Summary-of-Eligibility-Criteria-2013-16.aspx</b:URL>
    <b:RefOrder>2</b:RefOrder>
  </b:Source>
</b:Sources>
</file>

<file path=customXml/itemProps1.xml><?xml version="1.0" encoding="utf-8"?>
<ds:datastoreItem xmlns:ds="http://schemas.openxmlformats.org/officeDocument/2006/customXml" ds:itemID="{0820A4AB-EA39-4F8D-A2EC-EBD18A163EA9}">
  <ds:schemaRefs>
    <ds:schemaRef ds:uri="http://schemas.microsoft.com/sharepoint/v3/contenttype/forms"/>
  </ds:schemaRefs>
</ds:datastoreItem>
</file>

<file path=customXml/itemProps2.xml><?xml version="1.0" encoding="utf-8"?>
<ds:datastoreItem xmlns:ds="http://schemas.openxmlformats.org/officeDocument/2006/customXml" ds:itemID="{3E9D4DBE-4253-45E0-A807-2068F240F65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EB874B0-7156-452D-9308-68ED20095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D36E592-0C79-4914-84E0-C899174B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Report.dotm</Template>
  <TotalTime>0</TotalTime>
  <Pages>8</Pages>
  <Words>44285</Words>
  <Characters>252430</Characters>
  <Application>Microsoft Office Word</Application>
  <DocSecurity>0</DocSecurity>
  <Lines>2103</Lines>
  <Paragraphs>592</Paragraphs>
  <ScaleCrop>false</ScaleCrop>
  <HeadingPairs>
    <vt:vector size="2" baseType="variant">
      <vt:variant>
        <vt:lpstr>Title</vt:lpstr>
      </vt:variant>
      <vt:variant>
        <vt:i4>1</vt:i4>
      </vt:variant>
    </vt:vector>
  </HeadingPairs>
  <TitlesOfParts>
    <vt:vector size="1" baseType="lpstr">
      <vt:lpstr/>
    </vt:vector>
  </TitlesOfParts>
  <Company>ACIL Allen Consulting Pty Ltd</Company>
  <LinksUpToDate>false</LinksUpToDate>
  <CharactersWithSpaces>296123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Gould</dc:creator>
  <dc:description>Modified 14 August 2013</dc:description>
  <cp:lastModifiedBy>COOPER,Suzanne</cp:lastModifiedBy>
  <cp:revision>2</cp:revision>
  <cp:lastPrinted>2015-05-28T05:47:00Z</cp:lastPrinted>
  <dcterms:created xsi:type="dcterms:W3CDTF">2019-08-07T06:09:00Z</dcterms:created>
  <dcterms:modified xsi:type="dcterms:W3CDTF">2019-08-07T06:09:00Z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y fmtid="{D5CDD505-2E9C-101B-9397-08002B2CF9AE}" pid="3" name="VersionNumber">
    <vt:i4>0</vt:i4>
  </property>
  <property fmtid="{D5CDD505-2E9C-101B-9397-08002B2CF9AE}" pid="4" name="ClassificationPty">
    <vt:lpwstr/>
  </property>
  <property fmtid="{D5CDD505-2E9C-101B-9397-08002B2CF9AE}" pid="5" name="FileNumberPty">
    <vt:lpwstr/>
  </property>
  <property fmtid="{D5CDD505-2E9C-101B-9397-08002B2CF9AE}" pid="6" name="CorporateTmplBased">
    <vt:lpwstr>No</vt:lpwstr>
  </property>
  <property fmtid="{D5CDD505-2E9C-101B-9397-08002B2CF9AE}" pid="7" name="_DocHome">
    <vt:i4>1815113647</vt:i4>
  </property>
  <property fmtid="{D5CDD505-2E9C-101B-9397-08002B2CF9AE}" pid="8" name="ContentTypeId">
    <vt:lpwstr>0x010100980126C48ED572418172509B111E379A</vt:lpwstr>
  </property>
</Properties>
</file>