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5EE" w:rsidRDefault="00EE55EE" w:rsidP="00EE55EE">
      <w:pPr>
        <w:pStyle w:val="Department"/>
      </w:pPr>
    </w:p>
    <w:p w:rsidR="00EE55EE" w:rsidRDefault="00EE55EE" w:rsidP="00EE55EE">
      <w:pPr>
        <w:pStyle w:val="Department"/>
      </w:pPr>
    </w:p>
    <w:p w:rsidR="00EE55EE" w:rsidRDefault="00EE55EE" w:rsidP="00EE55EE">
      <w:pPr>
        <w:pStyle w:val="Department"/>
        <w:spacing w:before="1320"/>
      </w:pPr>
      <w:bookmarkStart w:id="0" w:name="_Toc448134588"/>
      <w:r>
        <w:t>Office of the Fair Work Building Industry Inspectorate</w:t>
      </w:r>
      <w:bookmarkEnd w:id="0"/>
    </w:p>
    <w:p w:rsidR="00EE55EE" w:rsidRDefault="00EE55EE" w:rsidP="00EE55EE">
      <w:pPr>
        <w:pStyle w:val="DepartmentSubtitle"/>
        <w:spacing w:before="2080"/>
      </w:pPr>
      <w:r>
        <w:t>Entity resources and planned performance</w:t>
      </w:r>
    </w:p>
    <w:p w:rsidR="00EE55EE" w:rsidRDefault="00EE55EE" w:rsidP="00EE55EE">
      <w:pPr>
        <w:pStyle w:val="ContentsHeading"/>
        <w:sectPr w:rsidR="00EE55EE" w:rsidSect="00EE55EE">
          <w:footerReference w:type="even" r:id="rId8"/>
          <w:footerReference w:type="first" r:id="rId9"/>
          <w:pgSz w:w="11907" w:h="16839" w:code="9"/>
          <w:pgMar w:top="2466" w:right="2098" w:bottom="2466" w:left="2098" w:header="1899" w:footer="1899" w:gutter="0"/>
          <w:pgNumType w:start="141"/>
          <w:cols w:space="708"/>
          <w:titlePg/>
          <w:docGrid w:linePitch="360"/>
        </w:sectPr>
      </w:pPr>
    </w:p>
    <w:p w:rsidR="00EE55EE" w:rsidRPr="00FC7A3E" w:rsidRDefault="00EE55EE" w:rsidP="00EE55EE">
      <w:pPr>
        <w:pStyle w:val="ContentsHeading"/>
        <w:rPr>
          <w:noProof/>
        </w:rPr>
      </w:pPr>
      <w:r>
        <w:lastRenderedPageBreak/>
        <w:t>Office of the Fair Work Building Industry Inspectorate</w:t>
      </w:r>
      <w:r>
        <w:fldChar w:fldCharType="begin"/>
      </w:r>
      <w:r>
        <w:instrText xml:space="preserve"> TOC \h \z \t "Heading 2,1,Heading 3,2" </w:instrText>
      </w:r>
      <w:r>
        <w:fldChar w:fldCharType="separate"/>
      </w:r>
    </w:p>
    <w:p w:rsidR="00EE55EE" w:rsidRDefault="00EE55EE" w:rsidP="00EE55EE">
      <w:pPr>
        <w:pStyle w:val="TOC1"/>
        <w:rPr>
          <w:rFonts w:asciiTheme="minorHAnsi" w:eastAsiaTheme="minorEastAsia" w:hAnsiTheme="minorHAnsi" w:cstheme="minorBidi"/>
          <w:b w:val="0"/>
          <w:noProof/>
          <w:sz w:val="22"/>
          <w:szCs w:val="22"/>
        </w:rPr>
      </w:pPr>
      <w:hyperlink w:anchor="_Toc447119412" w:history="1">
        <w:r w:rsidRPr="00A278B3">
          <w:rPr>
            <w:rStyle w:val="Hyperlink"/>
            <w:noProof/>
          </w:rPr>
          <w:t>Section 1: Entity overview and resources</w:t>
        </w:r>
        <w:r>
          <w:rPr>
            <w:noProof/>
            <w:webHidden/>
          </w:rPr>
          <w:tab/>
        </w:r>
        <w:r>
          <w:rPr>
            <w:noProof/>
            <w:webHidden/>
          </w:rPr>
          <w:fldChar w:fldCharType="begin"/>
        </w:r>
        <w:r>
          <w:rPr>
            <w:noProof/>
            <w:webHidden/>
          </w:rPr>
          <w:instrText xml:space="preserve"> PAGEREF _Toc447119412 \h </w:instrText>
        </w:r>
        <w:r>
          <w:rPr>
            <w:noProof/>
            <w:webHidden/>
          </w:rPr>
        </w:r>
        <w:r>
          <w:rPr>
            <w:noProof/>
            <w:webHidden/>
          </w:rPr>
          <w:fldChar w:fldCharType="separate"/>
        </w:r>
        <w:r>
          <w:rPr>
            <w:noProof/>
            <w:webHidden/>
          </w:rPr>
          <w:t>145</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13" w:history="1">
        <w:r w:rsidRPr="00A278B3">
          <w:rPr>
            <w:rStyle w:val="Hyperlink"/>
            <w:noProof/>
          </w:rPr>
          <w:t>1.1</w:t>
        </w:r>
        <w:r>
          <w:rPr>
            <w:rFonts w:asciiTheme="minorHAnsi" w:eastAsiaTheme="minorEastAsia" w:hAnsiTheme="minorHAnsi" w:cstheme="minorBidi"/>
            <w:noProof/>
            <w:sz w:val="22"/>
            <w:szCs w:val="22"/>
          </w:rPr>
          <w:tab/>
        </w:r>
        <w:r w:rsidRPr="00A278B3">
          <w:rPr>
            <w:rStyle w:val="Hyperlink"/>
            <w:noProof/>
          </w:rPr>
          <w:t>Strategic direction statement</w:t>
        </w:r>
        <w:r>
          <w:rPr>
            <w:noProof/>
            <w:webHidden/>
          </w:rPr>
          <w:tab/>
        </w:r>
        <w:r>
          <w:rPr>
            <w:noProof/>
            <w:webHidden/>
          </w:rPr>
          <w:fldChar w:fldCharType="begin"/>
        </w:r>
        <w:r>
          <w:rPr>
            <w:noProof/>
            <w:webHidden/>
          </w:rPr>
          <w:instrText xml:space="preserve"> PAGEREF _Toc447119413 \h </w:instrText>
        </w:r>
        <w:r>
          <w:rPr>
            <w:noProof/>
            <w:webHidden/>
          </w:rPr>
        </w:r>
        <w:r>
          <w:rPr>
            <w:noProof/>
            <w:webHidden/>
          </w:rPr>
          <w:fldChar w:fldCharType="separate"/>
        </w:r>
        <w:r>
          <w:rPr>
            <w:noProof/>
            <w:webHidden/>
          </w:rPr>
          <w:t>145</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14" w:history="1">
        <w:r w:rsidRPr="00A278B3">
          <w:rPr>
            <w:rStyle w:val="Hyperlink"/>
            <w:noProof/>
          </w:rPr>
          <w:t>1.2</w:t>
        </w:r>
        <w:r>
          <w:rPr>
            <w:rFonts w:asciiTheme="minorHAnsi" w:eastAsiaTheme="minorEastAsia" w:hAnsiTheme="minorHAnsi" w:cstheme="minorBidi"/>
            <w:noProof/>
            <w:sz w:val="22"/>
            <w:szCs w:val="22"/>
          </w:rPr>
          <w:tab/>
        </w:r>
        <w:r w:rsidRPr="00A278B3">
          <w:rPr>
            <w:rStyle w:val="Hyperlink"/>
            <w:noProof/>
          </w:rPr>
          <w:t>Entity resource statement</w:t>
        </w:r>
        <w:r>
          <w:rPr>
            <w:noProof/>
            <w:webHidden/>
          </w:rPr>
          <w:tab/>
        </w:r>
        <w:r>
          <w:rPr>
            <w:noProof/>
            <w:webHidden/>
          </w:rPr>
          <w:fldChar w:fldCharType="begin"/>
        </w:r>
        <w:r>
          <w:rPr>
            <w:noProof/>
            <w:webHidden/>
          </w:rPr>
          <w:instrText xml:space="preserve"> PAGEREF _Toc447119414 \h </w:instrText>
        </w:r>
        <w:r>
          <w:rPr>
            <w:noProof/>
            <w:webHidden/>
          </w:rPr>
        </w:r>
        <w:r>
          <w:rPr>
            <w:noProof/>
            <w:webHidden/>
          </w:rPr>
          <w:fldChar w:fldCharType="separate"/>
        </w:r>
        <w:r>
          <w:rPr>
            <w:noProof/>
            <w:webHidden/>
          </w:rPr>
          <w:t>146</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15" w:history="1">
        <w:r w:rsidRPr="00A278B3">
          <w:rPr>
            <w:rStyle w:val="Hyperlink"/>
            <w:noProof/>
          </w:rPr>
          <w:t>1.3</w:t>
        </w:r>
        <w:r>
          <w:rPr>
            <w:rFonts w:asciiTheme="minorHAnsi" w:eastAsiaTheme="minorEastAsia" w:hAnsiTheme="minorHAnsi" w:cstheme="minorBidi"/>
            <w:noProof/>
            <w:sz w:val="22"/>
            <w:szCs w:val="22"/>
          </w:rPr>
          <w:tab/>
        </w:r>
        <w:r w:rsidRPr="00A278B3">
          <w:rPr>
            <w:rStyle w:val="Hyperlink"/>
            <w:noProof/>
          </w:rPr>
          <w:t>Budget measures</w:t>
        </w:r>
        <w:r>
          <w:rPr>
            <w:noProof/>
            <w:webHidden/>
          </w:rPr>
          <w:tab/>
        </w:r>
        <w:r>
          <w:rPr>
            <w:noProof/>
            <w:webHidden/>
          </w:rPr>
          <w:fldChar w:fldCharType="begin"/>
        </w:r>
        <w:r>
          <w:rPr>
            <w:noProof/>
            <w:webHidden/>
          </w:rPr>
          <w:instrText xml:space="preserve"> PAGEREF _Toc447119415 \h </w:instrText>
        </w:r>
        <w:r>
          <w:rPr>
            <w:noProof/>
            <w:webHidden/>
          </w:rPr>
        </w:r>
        <w:r>
          <w:rPr>
            <w:noProof/>
            <w:webHidden/>
          </w:rPr>
          <w:fldChar w:fldCharType="separate"/>
        </w:r>
        <w:r>
          <w:rPr>
            <w:noProof/>
            <w:webHidden/>
          </w:rPr>
          <w:t>147</w:t>
        </w:r>
        <w:r>
          <w:rPr>
            <w:noProof/>
            <w:webHidden/>
          </w:rPr>
          <w:fldChar w:fldCharType="end"/>
        </w:r>
      </w:hyperlink>
    </w:p>
    <w:p w:rsidR="00EE55EE" w:rsidRDefault="00EE55EE" w:rsidP="00EE55EE">
      <w:pPr>
        <w:pStyle w:val="TOC1"/>
        <w:rPr>
          <w:rFonts w:asciiTheme="minorHAnsi" w:eastAsiaTheme="minorEastAsia" w:hAnsiTheme="minorHAnsi" w:cstheme="minorBidi"/>
          <w:b w:val="0"/>
          <w:noProof/>
          <w:sz w:val="22"/>
          <w:szCs w:val="22"/>
        </w:rPr>
      </w:pPr>
      <w:hyperlink w:anchor="_Toc447119416" w:history="1">
        <w:r w:rsidRPr="00A278B3">
          <w:rPr>
            <w:rStyle w:val="Hyperlink"/>
            <w:noProof/>
          </w:rPr>
          <w:t>Section 2: Outcomes and planned performance</w:t>
        </w:r>
        <w:r>
          <w:rPr>
            <w:noProof/>
            <w:webHidden/>
          </w:rPr>
          <w:tab/>
        </w:r>
        <w:r>
          <w:rPr>
            <w:noProof/>
            <w:webHidden/>
          </w:rPr>
          <w:fldChar w:fldCharType="begin"/>
        </w:r>
        <w:r>
          <w:rPr>
            <w:noProof/>
            <w:webHidden/>
          </w:rPr>
          <w:instrText xml:space="preserve"> PAGEREF _Toc447119416 \h </w:instrText>
        </w:r>
        <w:r>
          <w:rPr>
            <w:noProof/>
            <w:webHidden/>
          </w:rPr>
        </w:r>
        <w:r>
          <w:rPr>
            <w:noProof/>
            <w:webHidden/>
          </w:rPr>
          <w:fldChar w:fldCharType="separate"/>
        </w:r>
        <w:r>
          <w:rPr>
            <w:noProof/>
            <w:webHidden/>
          </w:rPr>
          <w:t>148</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17" w:history="1">
        <w:r w:rsidRPr="00A278B3">
          <w:rPr>
            <w:rStyle w:val="Hyperlink"/>
            <w:noProof/>
          </w:rPr>
          <w:t xml:space="preserve">2.1 </w:t>
        </w:r>
        <w:r>
          <w:rPr>
            <w:rFonts w:asciiTheme="minorHAnsi" w:eastAsiaTheme="minorEastAsia" w:hAnsiTheme="minorHAnsi" w:cstheme="minorBidi"/>
            <w:noProof/>
            <w:sz w:val="22"/>
            <w:szCs w:val="22"/>
          </w:rPr>
          <w:tab/>
        </w:r>
        <w:r w:rsidRPr="00A278B3">
          <w:rPr>
            <w:rStyle w:val="Hyperlink"/>
            <w:noProof/>
          </w:rPr>
          <w:t>Budgeted expenses and performance for Outcome 1</w:t>
        </w:r>
        <w:r>
          <w:rPr>
            <w:noProof/>
            <w:webHidden/>
          </w:rPr>
          <w:tab/>
        </w:r>
        <w:r>
          <w:rPr>
            <w:noProof/>
            <w:webHidden/>
          </w:rPr>
          <w:fldChar w:fldCharType="begin"/>
        </w:r>
        <w:r>
          <w:rPr>
            <w:noProof/>
            <w:webHidden/>
          </w:rPr>
          <w:instrText xml:space="preserve"> PAGEREF _Toc447119417 \h </w:instrText>
        </w:r>
        <w:r>
          <w:rPr>
            <w:noProof/>
            <w:webHidden/>
          </w:rPr>
        </w:r>
        <w:r>
          <w:rPr>
            <w:noProof/>
            <w:webHidden/>
          </w:rPr>
          <w:fldChar w:fldCharType="separate"/>
        </w:r>
        <w:r>
          <w:rPr>
            <w:noProof/>
            <w:webHidden/>
          </w:rPr>
          <w:t>149</w:t>
        </w:r>
        <w:r>
          <w:rPr>
            <w:noProof/>
            <w:webHidden/>
          </w:rPr>
          <w:fldChar w:fldCharType="end"/>
        </w:r>
      </w:hyperlink>
    </w:p>
    <w:p w:rsidR="00EE55EE" w:rsidRDefault="00EE55EE" w:rsidP="00EE55EE">
      <w:pPr>
        <w:pStyle w:val="TOC1"/>
        <w:rPr>
          <w:rFonts w:asciiTheme="minorHAnsi" w:eastAsiaTheme="minorEastAsia" w:hAnsiTheme="minorHAnsi" w:cstheme="minorBidi"/>
          <w:b w:val="0"/>
          <w:noProof/>
          <w:sz w:val="22"/>
          <w:szCs w:val="22"/>
        </w:rPr>
      </w:pPr>
      <w:hyperlink w:anchor="_Toc447119418" w:history="1">
        <w:r w:rsidRPr="00A278B3">
          <w:rPr>
            <w:rStyle w:val="Hyperlink"/>
            <w:noProof/>
          </w:rPr>
          <w:t>Section 3: Budgeted financial statements</w:t>
        </w:r>
        <w:r>
          <w:rPr>
            <w:noProof/>
            <w:webHidden/>
          </w:rPr>
          <w:tab/>
        </w:r>
        <w:r>
          <w:rPr>
            <w:noProof/>
            <w:webHidden/>
          </w:rPr>
          <w:fldChar w:fldCharType="begin"/>
        </w:r>
        <w:r>
          <w:rPr>
            <w:noProof/>
            <w:webHidden/>
          </w:rPr>
          <w:instrText xml:space="preserve"> PAGEREF _Toc447119418 \h </w:instrText>
        </w:r>
        <w:r>
          <w:rPr>
            <w:noProof/>
            <w:webHidden/>
          </w:rPr>
        </w:r>
        <w:r>
          <w:rPr>
            <w:noProof/>
            <w:webHidden/>
          </w:rPr>
          <w:fldChar w:fldCharType="separate"/>
        </w:r>
        <w:r>
          <w:rPr>
            <w:noProof/>
            <w:webHidden/>
          </w:rPr>
          <w:t>152</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19" w:history="1">
        <w:r w:rsidRPr="00A278B3">
          <w:rPr>
            <w:rStyle w:val="Hyperlink"/>
            <w:noProof/>
          </w:rPr>
          <w:t>3.1</w:t>
        </w:r>
        <w:r>
          <w:rPr>
            <w:rFonts w:asciiTheme="minorHAnsi" w:eastAsiaTheme="minorEastAsia" w:hAnsiTheme="minorHAnsi" w:cstheme="minorBidi"/>
            <w:noProof/>
            <w:sz w:val="22"/>
            <w:szCs w:val="22"/>
          </w:rPr>
          <w:tab/>
        </w:r>
        <w:r w:rsidRPr="00A278B3">
          <w:rPr>
            <w:rStyle w:val="Hyperlink"/>
            <w:noProof/>
          </w:rPr>
          <w:t>Budgeted financial statements</w:t>
        </w:r>
        <w:r>
          <w:rPr>
            <w:noProof/>
            <w:webHidden/>
          </w:rPr>
          <w:tab/>
        </w:r>
        <w:r>
          <w:rPr>
            <w:noProof/>
            <w:webHidden/>
          </w:rPr>
          <w:fldChar w:fldCharType="begin"/>
        </w:r>
        <w:r>
          <w:rPr>
            <w:noProof/>
            <w:webHidden/>
          </w:rPr>
          <w:instrText xml:space="preserve"> PAGEREF _Toc447119419 \h </w:instrText>
        </w:r>
        <w:r>
          <w:rPr>
            <w:noProof/>
            <w:webHidden/>
          </w:rPr>
        </w:r>
        <w:r>
          <w:rPr>
            <w:noProof/>
            <w:webHidden/>
          </w:rPr>
          <w:fldChar w:fldCharType="separate"/>
        </w:r>
        <w:r>
          <w:rPr>
            <w:noProof/>
            <w:webHidden/>
          </w:rPr>
          <w:t>152</w:t>
        </w:r>
        <w:r>
          <w:rPr>
            <w:noProof/>
            <w:webHidden/>
          </w:rPr>
          <w:fldChar w:fldCharType="end"/>
        </w:r>
      </w:hyperlink>
    </w:p>
    <w:p w:rsidR="00EE55EE" w:rsidRDefault="00EE55EE" w:rsidP="00EE55EE">
      <w:pPr>
        <w:pStyle w:val="TOC2"/>
        <w:tabs>
          <w:tab w:val="left" w:pos="800"/>
        </w:tabs>
        <w:rPr>
          <w:rFonts w:asciiTheme="minorHAnsi" w:eastAsiaTheme="minorEastAsia" w:hAnsiTheme="minorHAnsi" w:cstheme="minorBidi"/>
          <w:noProof/>
          <w:sz w:val="22"/>
          <w:szCs w:val="22"/>
        </w:rPr>
      </w:pPr>
      <w:hyperlink w:anchor="_Toc447119420" w:history="1">
        <w:r w:rsidRPr="00A278B3">
          <w:rPr>
            <w:rStyle w:val="Hyperlink"/>
            <w:noProof/>
          </w:rPr>
          <w:t>3.2.1</w:t>
        </w:r>
        <w:r>
          <w:rPr>
            <w:rFonts w:asciiTheme="minorHAnsi" w:eastAsiaTheme="minorEastAsia" w:hAnsiTheme="minorHAnsi" w:cstheme="minorBidi"/>
            <w:noProof/>
            <w:sz w:val="22"/>
            <w:szCs w:val="22"/>
          </w:rPr>
          <w:tab/>
        </w:r>
        <w:r w:rsidRPr="00A278B3">
          <w:rPr>
            <w:rStyle w:val="Hyperlink"/>
            <w:noProof/>
          </w:rPr>
          <w:t>Budgeted financial statements tables</w:t>
        </w:r>
        <w:r>
          <w:rPr>
            <w:noProof/>
            <w:webHidden/>
          </w:rPr>
          <w:tab/>
        </w:r>
        <w:r>
          <w:rPr>
            <w:noProof/>
            <w:webHidden/>
          </w:rPr>
          <w:fldChar w:fldCharType="begin"/>
        </w:r>
        <w:r>
          <w:rPr>
            <w:noProof/>
            <w:webHidden/>
          </w:rPr>
          <w:instrText xml:space="preserve"> PAGEREF _Toc447119420 \h </w:instrText>
        </w:r>
        <w:r>
          <w:rPr>
            <w:noProof/>
            <w:webHidden/>
          </w:rPr>
        </w:r>
        <w:r>
          <w:rPr>
            <w:noProof/>
            <w:webHidden/>
          </w:rPr>
          <w:fldChar w:fldCharType="separate"/>
        </w:r>
        <w:r>
          <w:rPr>
            <w:noProof/>
            <w:webHidden/>
          </w:rPr>
          <w:t>153</w:t>
        </w:r>
        <w:r>
          <w:rPr>
            <w:noProof/>
            <w:webHidden/>
          </w:rPr>
          <w:fldChar w:fldCharType="end"/>
        </w:r>
      </w:hyperlink>
    </w:p>
    <w:p w:rsidR="00EE55EE" w:rsidRDefault="00EE55EE" w:rsidP="00EE55EE">
      <w:pPr>
        <w:pStyle w:val="TOC1"/>
      </w:pPr>
      <w:r>
        <w:fldChar w:fldCharType="end"/>
      </w:r>
    </w:p>
    <w:p w:rsidR="00EE55EE" w:rsidRDefault="00EE55EE" w:rsidP="00EE55EE">
      <w:pPr>
        <w:pStyle w:val="Heading1"/>
        <w:sectPr w:rsidR="00EE55EE" w:rsidSect="00A7282C">
          <w:headerReference w:type="default" r:id="rId10"/>
          <w:footerReference w:type="default" r:id="rId11"/>
          <w:type w:val="oddPage"/>
          <w:pgSz w:w="11907" w:h="16839" w:code="9"/>
          <w:pgMar w:top="2466" w:right="2098" w:bottom="2466" w:left="2098" w:header="1899" w:footer="1899" w:gutter="0"/>
          <w:cols w:space="708"/>
          <w:docGrid w:linePitch="360"/>
        </w:sectPr>
      </w:pPr>
      <w:bookmarkStart w:id="1" w:name="_Toc447611891"/>
    </w:p>
    <w:p w:rsidR="00EE55EE" w:rsidRDefault="00EE55EE" w:rsidP="00EE55EE">
      <w:pPr>
        <w:pStyle w:val="Heading1"/>
      </w:pPr>
      <w:r>
        <w:lastRenderedPageBreak/>
        <w:t>Office of the Fair Work Building Industry Inspectorate</w:t>
      </w:r>
      <w:bookmarkEnd w:id="1"/>
    </w:p>
    <w:p w:rsidR="00EE55EE" w:rsidRPr="002C4D41" w:rsidRDefault="00EE55EE" w:rsidP="00EE55EE">
      <w:pPr>
        <w:pStyle w:val="Heading2"/>
      </w:pPr>
      <w:bookmarkStart w:id="2" w:name="_Toc447006838"/>
      <w:bookmarkStart w:id="3" w:name="_Toc447007176"/>
      <w:bookmarkStart w:id="4" w:name="_Toc447007419"/>
      <w:bookmarkStart w:id="5" w:name="_Toc447008297"/>
      <w:bookmarkStart w:id="6" w:name="_Toc447008943"/>
      <w:bookmarkStart w:id="7" w:name="_Toc447013796"/>
      <w:bookmarkStart w:id="8" w:name="_Toc447016769"/>
      <w:bookmarkStart w:id="9" w:name="_Toc447115194"/>
      <w:bookmarkStart w:id="10" w:name="_Toc447115277"/>
      <w:bookmarkStart w:id="11" w:name="_Toc447115457"/>
      <w:bookmarkStart w:id="12" w:name="_Toc447116748"/>
      <w:bookmarkStart w:id="13" w:name="_Toc447117977"/>
      <w:bookmarkStart w:id="14" w:name="_Toc447119412"/>
      <w:bookmarkStart w:id="15" w:name="_Toc447709915"/>
      <w:bookmarkStart w:id="16" w:name="_Toc449100240"/>
      <w:bookmarkStart w:id="17" w:name="_Toc449623617"/>
      <w:r w:rsidRPr="002C4D41">
        <w:t>Section 1: Entity overview and resources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EE55EE" w:rsidRDefault="00EE55EE" w:rsidP="00EE55EE">
      <w:pPr>
        <w:pStyle w:val="Heading3"/>
      </w:pPr>
      <w:bookmarkStart w:id="18" w:name="_Toc447006839"/>
      <w:bookmarkStart w:id="19" w:name="_Toc447007177"/>
      <w:bookmarkStart w:id="20" w:name="_Toc447007420"/>
      <w:bookmarkStart w:id="21" w:name="_Toc447008298"/>
      <w:bookmarkStart w:id="22" w:name="_Toc447008944"/>
      <w:bookmarkStart w:id="23" w:name="_Toc447013797"/>
      <w:bookmarkStart w:id="24" w:name="_Toc447016770"/>
      <w:bookmarkStart w:id="25" w:name="_Toc447115195"/>
      <w:bookmarkStart w:id="26" w:name="_Toc447115278"/>
      <w:bookmarkStart w:id="27" w:name="_Toc447115458"/>
      <w:bookmarkStart w:id="28" w:name="_Toc447116749"/>
      <w:bookmarkStart w:id="29" w:name="_Toc447117978"/>
      <w:bookmarkStart w:id="30" w:name="_Toc447119413"/>
      <w:bookmarkStart w:id="31" w:name="_Toc447709916"/>
      <w:bookmarkStart w:id="32" w:name="_Toc449100241"/>
      <w:bookmarkStart w:id="33" w:name="_Toc449623618"/>
      <w:r>
        <w:t>1.1</w:t>
      </w:r>
      <w:r>
        <w:tab/>
        <w:t>Strategic direction statement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EE55EE" w:rsidRPr="00564451" w:rsidRDefault="00EE55EE" w:rsidP="00EE55EE">
      <w:r w:rsidRPr="00564451">
        <w:t>The Office of the Fair Work Building Industry Inspectorate (</w:t>
      </w:r>
      <w:proofErr w:type="spellStart"/>
      <w:r w:rsidRPr="00564451">
        <w:t>FWBII</w:t>
      </w:r>
      <w:proofErr w:type="spellEnd"/>
      <w:r w:rsidRPr="00564451">
        <w:t xml:space="preserve">) was established by the </w:t>
      </w:r>
      <w:r w:rsidRPr="00564451">
        <w:rPr>
          <w:i/>
          <w:iCs/>
        </w:rPr>
        <w:t xml:space="preserve">Fair Work (Building Industry) Act 2012 </w:t>
      </w:r>
      <w:r w:rsidRPr="00564451">
        <w:t xml:space="preserve">on 1 June 2012. </w:t>
      </w:r>
      <w:proofErr w:type="spellStart"/>
      <w:r w:rsidRPr="00564451">
        <w:t>FWBII</w:t>
      </w:r>
      <w:proofErr w:type="spellEnd"/>
      <w:r w:rsidRPr="00564451">
        <w:t xml:space="preserve"> commenced operations on 1 June 2012. It </w:t>
      </w:r>
      <w:r>
        <w:t>operates under the name ‘</w:t>
      </w:r>
      <w:r w:rsidRPr="00564451">
        <w:t>Fair</w:t>
      </w:r>
      <w:r>
        <w:t xml:space="preserve"> Work Building and Construction’</w:t>
      </w:r>
      <w:r w:rsidRPr="00564451">
        <w:t>.</w:t>
      </w:r>
    </w:p>
    <w:p w:rsidR="00EE55EE" w:rsidRPr="00564451" w:rsidRDefault="00EE55EE" w:rsidP="00EE55EE">
      <w:r w:rsidRPr="00564451">
        <w:t xml:space="preserve">In respect of the building and construction industry, </w:t>
      </w:r>
      <w:proofErr w:type="spellStart"/>
      <w:r w:rsidRPr="00564451">
        <w:t>FWBII</w:t>
      </w:r>
      <w:proofErr w:type="spellEnd"/>
      <w:r w:rsidRPr="00564451">
        <w:t xml:space="preserve"> is primarily responsible for: </w:t>
      </w:r>
    </w:p>
    <w:p w:rsidR="00EE55EE" w:rsidRPr="00564451" w:rsidRDefault="00EE55EE" w:rsidP="00EE55EE">
      <w:pPr>
        <w:pStyle w:val="Bullets"/>
      </w:pPr>
      <w:r w:rsidRPr="00564451">
        <w:t xml:space="preserve">the provision of education, assistance and advice to industry participants regarding their rights and obligations </w:t>
      </w:r>
    </w:p>
    <w:p w:rsidR="00EE55EE" w:rsidRPr="00564451" w:rsidRDefault="00EE55EE" w:rsidP="00EE55EE">
      <w:pPr>
        <w:pStyle w:val="Bullets"/>
      </w:pPr>
      <w:r w:rsidRPr="00564451">
        <w:t xml:space="preserve">inquiring into and investigating alleged breaches of relevant workplace laws </w:t>
      </w:r>
    </w:p>
    <w:p w:rsidR="00EE55EE" w:rsidRPr="00564451" w:rsidRDefault="00EE55EE" w:rsidP="00EE55EE">
      <w:pPr>
        <w:pStyle w:val="Bullets"/>
      </w:pPr>
      <w:r w:rsidRPr="00564451">
        <w:t xml:space="preserve">commencing civil penalty litigation, or making submissions to the Fair Work Commission, to enforce compliance by industry participants </w:t>
      </w:r>
    </w:p>
    <w:p w:rsidR="00EE55EE" w:rsidRPr="00564451" w:rsidRDefault="00EE55EE" w:rsidP="00EE55EE">
      <w:pPr>
        <w:pStyle w:val="Bullets"/>
      </w:pPr>
      <w:r w:rsidRPr="00564451">
        <w:t>referring matters to relevant authorities where appropriate in relation to:</w:t>
      </w:r>
    </w:p>
    <w:p w:rsidR="00EE55EE" w:rsidRPr="00C52F99" w:rsidRDefault="00EE55EE" w:rsidP="00EE55EE">
      <w:pPr>
        <w:pStyle w:val="Bullets"/>
        <w:numPr>
          <w:ilvl w:val="1"/>
          <w:numId w:val="6"/>
        </w:numPr>
        <w:tabs>
          <w:tab w:val="clear" w:pos="1440"/>
          <w:tab w:val="num" w:pos="709"/>
        </w:tabs>
        <w:ind w:left="709"/>
        <w:rPr>
          <w:i/>
        </w:rPr>
      </w:pPr>
      <w:r w:rsidRPr="00C52F99">
        <w:rPr>
          <w:i/>
        </w:rPr>
        <w:t>Fair Work (Building Industry) Act 2012</w:t>
      </w:r>
    </w:p>
    <w:p w:rsidR="00EE55EE" w:rsidRPr="00564451" w:rsidRDefault="00EE55EE" w:rsidP="00EE55EE">
      <w:pPr>
        <w:pStyle w:val="Bullets"/>
        <w:numPr>
          <w:ilvl w:val="1"/>
          <w:numId w:val="6"/>
        </w:numPr>
        <w:tabs>
          <w:tab w:val="clear" w:pos="1440"/>
          <w:tab w:val="num" w:pos="709"/>
        </w:tabs>
        <w:ind w:left="709"/>
      </w:pPr>
      <w:r w:rsidRPr="00C52F99">
        <w:rPr>
          <w:i/>
        </w:rPr>
        <w:t>Fair Work Act 2009</w:t>
      </w:r>
      <w:r w:rsidRPr="00564451">
        <w:t xml:space="preserve">, the </w:t>
      </w:r>
      <w:r w:rsidRPr="00C52F99">
        <w:rPr>
          <w:i/>
        </w:rPr>
        <w:t>Fair Work (Transitional Provisions and Consequential Amendments) Act 2009</w:t>
      </w:r>
      <w:r w:rsidRPr="00564451">
        <w:t xml:space="preserve"> and the </w:t>
      </w:r>
      <w:r w:rsidRPr="00C52F99">
        <w:rPr>
          <w:i/>
        </w:rPr>
        <w:t>Independent Contractors Act 2006</w:t>
      </w:r>
    </w:p>
    <w:p w:rsidR="00EE55EE" w:rsidRPr="00564451" w:rsidRDefault="00EE55EE" w:rsidP="00EE55EE">
      <w:pPr>
        <w:pStyle w:val="Bullets"/>
        <w:numPr>
          <w:ilvl w:val="1"/>
          <w:numId w:val="6"/>
        </w:numPr>
        <w:tabs>
          <w:tab w:val="clear" w:pos="1440"/>
          <w:tab w:val="num" w:pos="709"/>
        </w:tabs>
        <w:ind w:left="709"/>
      </w:pPr>
      <w:r w:rsidRPr="00564451">
        <w:t>safety net entitlements</w:t>
      </w:r>
    </w:p>
    <w:p w:rsidR="00EE55EE" w:rsidRPr="00564451" w:rsidRDefault="00EE55EE" w:rsidP="00EE55EE">
      <w:pPr>
        <w:pStyle w:val="Bullets"/>
        <w:numPr>
          <w:ilvl w:val="1"/>
          <w:numId w:val="6"/>
        </w:numPr>
        <w:tabs>
          <w:tab w:val="clear" w:pos="1440"/>
          <w:tab w:val="num" w:pos="709"/>
        </w:tabs>
        <w:ind w:left="709"/>
      </w:pPr>
      <w:r w:rsidRPr="00564451">
        <w:t>awards, agreements and court and tribunal orders</w:t>
      </w:r>
    </w:p>
    <w:p w:rsidR="00EE55EE" w:rsidRPr="00564451" w:rsidRDefault="00EE55EE" w:rsidP="00EE55EE">
      <w:pPr>
        <w:pStyle w:val="Bullets"/>
        <w:numPr>
          <w:ilvl w:val="1"/>
          <w:numId w:val="6"/>
        </w:numPr>
        <w:tabs>
          <w:tab w:val="clear" w:pos="1440"/>
          <w:tab w:val="num" w:pos="709"/>
        </w:tabs>
        <w:ind w:left="709"/>
      </w:pPr>
      <w:r w:rsidRPr="00564451">
        <w:t>the Building Code</w:t>
      </w:r>
    </w:p>
    <w:p w:rsidR="00EE55EE" w:rsidRPr="00416F6B" w:rsidRDefault="00EE55EE" w:rsidP="00EE55EE">
      <w:pPr>
        <w:pStyle w:val="Bullets"/>
        <w:numPr>
          <w:ilvl w:val="1"/>
          <w:numId w:val="6"/>
        </w:numPr>
        <w:tabs>
          <w:tab w:val="clear" w:pos="1440"/>
          <w:tab w:val="num" w:pos="709"/>
        </w:tabs>
        <w:ind w:left="709"/>
        <w:rPr>
          <w:i/>
        </w:rPr>
      </w:pPr>
      <w:r w:rsidRPr="00416F6B">
        <w:rPr>
          <w:i/>
        </w:rPr>
        <w:t>Competition and Consumer Act 2010</w:t>
      </w:r>
    </w:p>
    <w:p w:rsidR="00EE55EE" w:rsidRPr="00564451" w:rsidRDefault="00EE55EE" w:rsidP="00EE55EE">
      <w:pPr>
        <w:pStyle w:val="Bullets"/>
        <w:numPr>
          <w:ilvl w:val="1"/>
          <w:numId w:val="6"/>
        </w:numPr>
        <w:tabs>
          <w:tab w:val="clear" w:pos="1440"/>
          <w:tab w:val="num" w:pos="709"/>
        </w:tabs>
        <w:spacing w:after="120"/>
        <w:ind w:left="709" w:hanging="357"/>
      </w:pPr>
      <w:proofErr w:type="gramStart"/>
      <w:r w:rsidRPr="00564451">
        <w:t>allegations</w:t>
      </w:r>
      <w:proofErr w:type="gramEnd"/>
      <w:r w:rsidRPr="00564451">
        <w:t xml:space="preserve"> of criminal conduct.</w:t>
      </w:r>
    </w:p>
    <w:p w:rsidR="00EE55EE" w:rsidRPr="00564451" w:rsidRDefault="00EE55EE" w:rsidP="00EE55EE">
      <w:r w:rsidRPr="00564451">
        <w:t>During 2016</w:t>
      </w:r>
      <w:r>
        <w:t>–</w:t>
      </w:r>
      <w:r w:rsidRPr="00564451">
        <w:t xml:space="preserve">17, </w:t>
      </w:r>
      <w:proofErr w:type="spellStart"/>
      <w:r w:rsidRPr="00564451">
        <w:t>FWBII</w:t>
      </w:r>
      <w:proofErr w:type="spellEnd"/>
      <w:r w:rsidRPr="00564451">
        <w:t xml:space="preserve"> plans to achieve the following outcomes: </w:t>
      </w:r>
    </w:p>
    <w:p w:rsidR="00EE55EE" w:rsidRPr="00564451" w:rsidRDefault="00EE55EE" w:rsidP="00EE55EE">
      <w:pPr>
        <w:pStyle w:val="Bullets"/>
      </w:pPr>
      <w:r w:rsidRPr="00564451">
        <w:t>enforce workplace relations laws in the building and construction industry and ensure compliance with those laws by all participants in the building and construction industry through the provision of education, assistance and advice; and where necessary, civil penalty litigation in the courts</w:t>
      </w:r>
    </w:p>
    <w:p w:rsidR="00EE55EE" w:rsidRPr="00564451" w:rsidRDefault="00EE55EE" w:rsidP="00EE55EE">
      <w:pPr>
        <w:pStyle w:val="Bullets"/>
      </w:pPr>
      <w:proofErr w:type="gramStart"/>
      <w:r w:rsidRPr="00564451">
        <w:t>ensure</w:t>
      </w:r>
      <w:proofErr w:type="gramEnd"/>
      <w:r w:rsidRPr="00564451">
        <w:t xml:space="preserve"> compliance with building codes of practice through the provision of education, assistance and advice. </w:t>
      </w:r>
    </w:p>
    <w:p w:rsidR="00EE55EE" w:rsidRDefault="00EE55EE" w:rsidP="00EE55EE">
      <w:pPr>
        <w:pStyle w:val="Heading3"/>
      </w:pPr>
      <w:r>
        <w:br w:type="page"/>
      </w:r>
      <w:bookmarkStart w:id="34" w:name="_Toc447006840"/>
      <w:bookmarkStart w:id="35" w:name="_Toc447007178"/>
      <w:bookmarkStart w:id="36" w:name="_Toc447007421"/>
      <w:bookmarkStart w:id="37" w:name="_Toc447008299"/>
      <w:bookmarkStart w:id="38" w:name="_Toc447008945"/>
      <w:bookmarkStart w:id="39" w:name="_Toc447013798"/>
      <w:bookmarkStart w:id="40" w:name="_Toc447016771"/>
      <w:bookmarkStart w:id="41" w:name="_Toc447115196"/>
      <w:bookmarkStart w:id="42" w:name="_Toc447115279"/>
      <w:bookmarkStart w:id="43" w:name="_Toc447115459"/>
      <w:bookmarkStart w:id="44" w:name="_Toc447116750"/>
      <w:bookmarkStart w:id="45" w:name="_Toc447117979"/>
      <w:bookmarkStart w:id="46" w:name="_Toc447119414"/>
      <w:bookmarkStart w:id="47" w:name="_Toc447709917"/>
      <w:bookmarkStart w:id="48" w:name="_Toc449100242"/>
      <w:bookmarkStart w:id="49" w:name="_Toc449623619"/>
      <w:r>
        <w:lastRenderedPageBreak/>
        <w:t>1.2</w:t>
      </w:r>
      <w:r>
        <w:tab/>
        <w:t>Entity resource statement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E55EE" w:rsidRDefault="00EE55EE" w:rsidP="00EE55EE">
      <w:r>
        <w:t xml:space="preserve">Table 1.1 shows the total funding from all sources available to the entity for its operations and to deliver programs and services on behalf of the government. </w:t>
      </w:r>
    </w:p>
    <w:p w:rsidR="00EE55EE" w:rsidRDefault="00EE55EE" w:rsidP="00EE55EE">
      <w:r>
        <w:t>The table summarises how resources will be applied by outcome (government strategic policy objectives) and by administered (on behalf of the government or the public) and departmental (for the entity’s operations) classification.</w:t>
      </w:r>
    </w:p>
    <w:p w:rsidR="00EE55EE" w:rsidRDefault="00EE55EE" w:rsidP="00EE55EE">
      <w:r>
        <w:t xml:space="preserve">For more detailed information please refer to </w:t>
      </w:r>
      <w:r>
        <w:rPr>
          <w:i/>
        </w:rPr>
        <w:t>Budget Paper No. 4—</w:t>
      </w:r>
      <w:r w:rsidRPr="00412C0B">
        <w:rPr>
          <w:i/>
        </w:rPr>
        <w:t>Agency Resourcing</w:t>
      </w:r>
      <w:r>
        <w:t>.</w:t>
      </w:r>
    </w:p>
    <w:p w:rsidR="00EE55EE" w:rsidRDefault="00EE55EE" w:rsidP="00EE55EE">
      <w:r>
        <w:t xml:space="preserve">Information in this table is presented on a resourcing (i.e. appropriations/cash available) basis, whilst the ‘Budgeted expenses by Outcome 1’ tables in Section  2 and the financial statements in Section 3 are presented on an accrual basis. </w:t>
      </w:r>
    </w:p>
    <w:p w:rsidR="00EE55EE" w:rsidRPr="005731D3" w:rsidRDefault="00EE55EE" w:rsidP="00EE55EE">
      <w:pPr>
        <w:pStyle w:val="TableHeading"/>
      </w:pPr>
      <w:r w:rsidRPr="005731D3">
        <w:t xml:space="preserve">Table 1.1: </w:t>
      </w:r>
      <w:r>
        <w:rPr>
          <w:lang w:val="en-AU"/>
        </w:rPr>
        <w:t xml:space="preserve">Office of the Fair Work Building Industry Inspectorate </w:t>
      </w:r>
      <w:r>
        <w:t>resource statement</w:t>
      </w:r>
      <w:r>
        <w:rPr>
          <w:lang w:val="en-AU"/>
        </w:rPr>
        <w:t>—</w:t>
      </w:r>
      <w:r w:rsidRPr="005731D3">
        <w:t>Budget estimates for 2016</w:t>
      </w:r>
      <w:r>
        <w:rPr>
          <w:lang w:val="en-AU"/>
        </w:rPr>
        <w:t>–</w:t>
      </w:r>
      <w:r w:rsidRPr="005731D3">
        <w:t>17 as at Budget May 2016</w:t>
      </w:r>
    </w:p>
    <w:p w:rsidR="00EE55EE" w:rsidRDefault="00EE55EE" w:rsidP="00EE55EE">
      <w:pPr>
        <w:pStyle w:val="TableGraphic"/>
      </w:pPr>
      <w:r w:rsidRPr="001C6104">
        <w:rPr>
          <w:noProof/>
        </w:rPr>
        <w:drawing>
          <wp:inline distT="0" distB="0" distL="0" distR="0" wp14:anchorId="67A06B1B" wp14:editId="1039C853">
            <wp:extent cx="4839335" cy="25190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9335" cy="2519045"/>
                    </a:xfrm>
                    <a:prstGeom prst="rect">
                      <a:avLst/>
                    </a:prstGeom>
                    <a:noFill/>
                    <a:ln>
                      <a:noFill/>
                    </a:ln>
                  </pic:spPr>
                </pic:pic>
              </a:graphicData>
            </a:graphic>
          </wp:inline>
        </w:drawing>
      </w:r>
    </w:p>
    <w:p w:rsidR="00EE55EE" w:rsidRDefault="00EE55EE" w:rsidP="00EE55EE">
      <w:pPr>
        <w:pStyle w:val="ChartandTableFootnote"/>
        <w:spacing w:before="120"/>
      </w:pPr>
      <w:r>
        <w:t>Prepared on a resourcing (i.e. appropriations available) basis.</w:t>
      </w:r>
    </w:p>
    <w:p w:rsidR="00EE55EE" w:rsidRDefault="00EE55EE" w:rsidP="00EE55EE">
      <w:pPr>
        <w:pStyle w:val="ChartandTableFootnote"/>
      </w:pPr>
      <w:r w:rsidRPr="008D3E19">
        <w:rPr>
          <w:u w:val="single"/>
        </w:rPr>
        <w:t>Please note</w:t>
      </w:r>
      <w:r>
        <w:t>: All figures shown above are GST exclusive</w:t>
      </w:r>
      <w:r>
        <w:rPr>
          <w:lang w:val="en-AU"/>
        </w:rPr>
        <w:t>—</w:t>
      </w:r>
      <w:r>
        <w:t xml:space="preserve">these may not match figures in the cash flow statement. </w:t>
      </w:r>
    </w:p>
    <w:p w:rsidR="00EE55EE" w:rsidRPr="005250EE" w:rsidRDefault="00EE55EE" w:rsidP="00EE55EE">
      <w:pPr>
        <w:pStyle w:val="ChartandTableFootnoteAlpha"/>
        <w:numPr>
          <w:ilvl w:val="0"/>
          <w:numId w:val="7"/>
        </w:numPr>
        <w:spacing w:before="120"/>
      </w:pPr>
      <w:r w:rsidRPr="005250EE">
        <w:t>Appropriation Bill (</w:t>
      </w:r>
      <w:proofErr w:type="spellStart"/>
      <w:r w:rsidRPr="005250EE">
        <w:t>No.1</w:t>
      </w:r>
      <w:proofErr w:type="spellEnd"/>
      <w:r w:rsidRPr="005250EE">
        <w:t>) 2016</w:t>
      </w:r>
      <w:r>
        <w:t>–</w:t>
      </w:r>
      <w:r w:rsidRPr="005250EE">
        <w:t>17.</w:t>
      </w:r>
    </w:p>
    <w:p w:rsidR="00EE55EE" w:rsidRDefault="00EE55EE" w:rsidP="00EE55EE">
      <w:pPr>
        <w:pStyle w:val="ChartandTableFootnoteAlpha"/>
      </w:pPr>
      <w:r w:rsidRPr="008D3E19">
        <w:t xml:space="preserve">Excludes </w:t>
      </w:r>
      <w:r>
        <w:t>$</w:t>
      </w:r>
      <w:proofErr w:type="spellStart"/>
      <w:r>
        <w:t>19.32m</w:t>
      </w:r>
      <w:proofErr w:type="spellEnd"/>
      <w:r>
        <w:t xml:space="preserve"> </w:t>
      </w:r>
      <w:r w:rsidRPr="008D3E19">
        <w:t xml:space="preserve">subject to quarantine by Finance or withheld under section 51 of the </w:t>
      </w:r>
      <w:r w:rsidRPr="009A40DD">
        <w:rPr>
          <w:i/>
        </w:rPr>
        <w:t>Public Governance, Performance and Accountability Act 2013</w:t>
      </w:r>
      <w:r>
        <w:rPr>
          <w:i/>
        </w:rPr>
        <w:t xml:space="preserve"> </w:t>
      </w:r>
      <w:r>
        <w:t>(</w:t>
      </w:r>
      <w:proofErr w:type="spellStart"/>
      <w:r>
        <w:t>PGPA</w:t>
      </w:r>
      <w:proofErr w:type="spellEnd"/>
      <w:r>
        <w:t xml:space="preserve"> Act).</w:t>
      </w:r>
    </w:p>
    <w:p w:rsidR="00EE55EE" w:rsidRPr="005250EE" w:rsidRDefault="00EE55EE" w:rsidP="00EE55EE">
      <w:pPr>
        <w:pStyle w:val="ChartandTableFootnoteAlpha"/>
      </w:pPr>
      <w:r w:rsidRPr="005250EE">
        <w:t xml:space="preserve">Estimated </w:t>
      </w:r>
      <w:r>
        <w:t>r</w:t>
      </w:r>
      <w:r w:rsidRPr="005250EE">
        <w:t xml:space="preserve">etained revenue receipts under section 74 of the </w:t>
      </w:r>
      <w:proofErr w:type="spellStart"/>
      <w:r>
        <w:t>PGPA</w:t>
      </w:r>
      <w:proofErr w:type="spellEnd"/>
      <w:r>
        <w:t xml:space="preserve"> Act</w:t>
      </w:r>
      <w:r w:rsidRPr="005250EE">
        <w:t>.</w:t>
      </w:r>
    </w:p>
    <w:p w:rsidR="00EE55EE" w:rsidRDefault="00EE55EE" w:rsidP="00EE55EE">
      <w:pPr>
        <w:pStyle w:val="ChartandTableFootnoteAlpha"/>
      </w:pPr>
      <w:r w:rsidRPr="008D3E19">
        <w:t>Departmental capital budgets are not separately identified in Appropriation Bill (</w:t>
      </w:r>
      <w:proofErr w:type="spellStart"/>
      <w:r w:rsidRPr="008D3E19">
        <w:t>No.1</w:t>
      </w:r>
      <w:proofErr w:type="spellEnd"/>
      <w:r w:rsidRPr="008D3E19">
        <w:t>)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EE55EE" w:rsidRPr="005250EE" w:rsidRDefault="00EE55EE" w:rsidP="00EE55EE">
      <w:pPr>
        <w:pStyle w:val="ChartandTableFootnoteAlpha"/>
      </w:pPr>
      <w:r>
        <w:t>Appropriation Bill (</w:t>
      </w:r>
      <w:proofErr w:type="spellStart"/>
      <w:r>
        <w:t>No.2</w:t>
      </w:r>
      <w:proofErr w:type="spellEnd"/>
      <w:r>
        <w:t>) 2016–</w:t>
      </w:r>
      <w:r w:rsidRPr="005250EE">
        <w:t>17.</w:t>
      </w:r>
    </w:p>
    <w:p w:rsidR="00EE55EE" w:rsidRDefault="00EE55EE" w:rsidP="00EE55EE">
      <w:pPr>
        <w:pStyle w:val="Heading3"/>
      </w:pPr>
      <w:r>
        <w:br w:type="page"/>
      </w:r>
      <w:bookmarkStart w:id="50" w:name="_Toc447006841"/>
      <w:bookmarkStart w:id="51" w:name="_Toc447007179"/>
      <w:bookmarkStart w:id="52" w:name="_Toc447007422"/>
      <w:bookmarkStart w:id="53" w:name="_Toc447008300"/>
      <w:bookmarkStart w:id="54" w:name="_Toc447008946"/>
      <w:bookmarkStart w:id="55" w:name="_Toc447013799"/>
      <w:bookmarkStart w:id="56" w:name="_Toc447016772"/>
      <w:bookmarkStart w:id="57" w:name="_Toc447115197"/>
      <w:bookmarkStart w:id="58" w:name="_Toc447115280"/>
      <w:bookmarkStart w:id="59" w:name="_Toc447115460"/>
      <w:bookmarkStart w:id="60" w:name="_Toc447116751"/>
      <w:bookmarkStart w:id="61" w:name="_Toc447117980"/>
      <w:bookmarkStart w:id="62" w:name="_Toc447119415"/>
      <w:bookmarkStart w:id="63" w:name="_Toc447709918"/>
      <w:bookmarkStart w:id="64" w:name="_Toc449100243"/>
      <w:bookmarkStart w:id="65" w:name="_Toc449623620"/>
      <w:r>
        <w:lastRenderedPageBreak/>
        <w:t>1.3</w:t>
      </w:r>
      <w:r>
        <w:tab/>
        <w:t>Budget measures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EE55EE" w:rsidRDefault="00EE55EE" w:rsidP="00EE55EE">
      <w:r w:rsidRPr="00DC32EC">
        <w:t xml:space="preserve">Budget measures </w:t>
      </w:r>
      <w:r>
        <w:t xml:space="preserve">in Part 1 </w:t>
      </w:r>
      <w:r w:rsidRPr="00DC32EC">
        <w:t>relating to</w:t>
      </w:r>
      <w:r>
        <w:t xml:space="preserve"> the Office of the Fair Work Building Industry Inspectorate</w:t>
      </w:r>
      <w:r w:rsidRPr="00DC32EC">
        <w:t xml:space="preserve"> </w:t>
      </w:r>
      <w:proofErr w:type="gramStart"/>
      <w:r w:rsidRPr="00DC32EC">
        <w:t>a</w:t>
      </w:r>
      <w:r>
        <w:t>re</w:t>
      </w:r>
      <w:proofErr w:type="gramEnd"/>
      <w:r>
        <w:t xml:space="preserve"> detailed in Budget Paper No. </w:t>
      </w:r>
      <w:r w:rsidRPr="00DC32EC">
        <w:t>2</w:t>
      </w:r>
      <w:r>
        <w:t xml:space="preserve"> and are summarised below. </w:t>
      </w:r>
    </w:p>
    <w:p w:rsidR="00EE55EE" w:rsidRPr="009A40DD" w:rsidRDefault="00EE55EE" w:rsidP="00EE55EE">
      <w:pPr>
        <w:pStyle w:val="Heading4"/>
      </w:pPr>
      <w:r w:rsidRPr="009A40DD">
        <w:t>Table 1.2: Entity 2016</w:t>
      </w:r>
      <w:r>
        <w:t>–</w:t>
      </w:r>
      <w:r w:rsidRPr="009A40DD">
        <w:t>17 Budget measures</w:t>
      </w:r>
    </w:p>
    <w:p w:rsidR="00EE55EE" w:rsidRPr="009A40DD" w:rsidRDefault="00EE55EE" w:rsidP="00EE55EE">
      <w:pPr>
        <w:pStyle w:val="TableHeading"/>
      </w:pPr>
      <w:r w:rsidRPr="009A40DD">
        <w:t>Part 1: Measures announced since the 2015</w:t>
      </w:r>
      <w:r>
        <w:rPr>
          <w:lang w:val="en-AU"/>
        </w:rPr>
        <w:t>–</w:t>
      </w:r>
      <w:r w:rsidRPr="009A40DD">
        <w:t>16 Mid-Year Economic and Fiscal Outlook (</w:t>
      </w:r>
      <w:proofErr w:type="spellStart"/>
      <w:r w:rsidRPr="009A40DD">
        <w:t>MYEFO</w:t>
      </w:r>
      <w:proofErr w:type="spellEnd"/>
      <w:r w:rsidRPr="009A40DD">
        <w:t>)</w:t>
      </w:r>
    </w:p>
    <w:p w:rsidR="00EE55EE" w:rsidRDefault="00EE55EE" w:rsidP="00EE55EE">
      <w:pPr>
        <w:pStyle w:val="TableGraphic"/>
      </w:pPr>
      <w:r w:rsidRPr="002C0FBA">
        <w:t xml:space="preserve">The Office of the Fair Work Building Industry Inspectorate does not have any new measures since the 2015–16 </w:t>
      </w:r>
      <w:proofErr w:type="spellStart"/>
      <w:r w:rsidRPr="002C0FBA">
        <w:t>MYEFO</w:t>
      </w:r>
      <w:proofErr w:type="spellEnd"/>
      <w:r w:rsidRPr="002C0FBA">
        <w:t>. For this reason Part 1 of Table 1.2 is not presented.</w:t>
      </w:r>
    </w:p>
    <w:p w:rsidR="00EE55EE" w:rsidRPr="005C4BEE" w:rsidRDefault="00EE55EE" w:rsidP="00EE55EE">
      <w:pPr>
        <w:pStyle w:val="TableHeadingcontinued"/>
        <w:spacing w:before="240"/>
        <w:rPr>
          <w:sz w:val="16"/>
        </w:rPr>
      </w:pPr>
      <w:r w:rsidRPr="005C4BEE">
        <w:t xml:space="preserve">Part 2: </w:t>
      </w:r>
      <w:r>
        <w:t>Other m</w:t>
      </w:r>
      <w:r w:rsidRPr="005C4BEE">
        <w:t>easures not previously reported in a portfolio statement</w:t>
      </w:r>
    </w:p>
    <w:p w:rsidR="00EE55EE" w:rsidRDefault="00EE55EE" w:rsidP="00EE55EE">
      <w:pPr>
        <w:pStyle w:val="TableGraphic"/>
      </w:pPr>
      <w:r w:rsidRPr="002C0FBA">
        <w:rPr>
          <w:noProof/>
        </w:rPr>
        <w:drawing>
          <wp:inline distT="0" distB="0" distL="0" distR="0" wp14:anchorId="46B9E770" wp14:editId="64F091B8">
            <wp:extent cx="4873625" cy="2096135"/>
            <wp:effectExtent l="0" t="0" r="317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3625" cy="2096135"/>
                    </a:xfrm>
                    <a:prstGeom prst="rect">
                      <a:avLst/>
                    </a:prstGeom>
                    <a:noFill/>
                    <a:ln>
                      <a:noFill/>
                    </a:ln>
                  </pic:spPr>
                </pic:pic>
              </a:graphicData>
            </a:graphic>
          </wp:inline>
        </w:drawing>
      </w:r>
    </w:p>
    <w:p w:rsidR="00EE55EE" w:rsidRDefault="00EE55EE" w:rsidP="00EE55EE">
      <w:pPr>
        <w:pStyle w:val="ChartandTableFootnoteAlpha"/>
        <w:numPr>
          <w:ilvl w:val="0"/>
          <w:numId w:val="11"/>
        </w:numPr>
        <w:spacing w:before="120"/>
      </w:pPr>
      <w:r w:rsidRPr="0046245E">
        <w:t>This measure was first published in the 2015</w:t>
      </w:r>
      <w:r>
        <w:t>–</w:t>
      </w:r>
      <w:r w:rsidRPr="0046245E">
        <w:t>16 Budget.</w:t>
      </w:r>
    </w:p>
    <w:p w:rsidR="00EE55EE" w:rsidRPr="00C004C6" w:rsidRDefault="00EE55EE" w:rsidP="00EE55EE">
      <w:pPr>
        <w:pStyle w:val="ChartandTableFootnoteAlpha"/>
        <w:numPr>
          <w:ilvl w:val="0"/>
          <w:numId w:val="11"/>
        </w:numPr>
      </w:pPr>
      <w:r w:rsidRPr="0046245E">
        <w:t>This measure was first published in the 2015</w:t>
      </w:r>
      <w:r>
        <w:t>–</w:t>
      </w:r>
      <w:r w:rsidRPr="0046245E">
        <w:t xml:space="preserve">16 </w:t>
      </w:r>
      <w:r>
        <w:t>Mid-Year Economic and Fiscal Outlook</w:t>
      </w:r>
      <w:r w:rsidRPr="0046245E">
        <w:t>.</w:t>
      </w:r>
    </w:p>
    <w:p w:rsidR="00EE55EE" w:rsidRDefault="00EE55EE" w:rsidP="00EE55EE">
      <w:pPr>
        <w:pStyle w:val="ChartandTableFootnote"/>
        <w:spacing w:before="120"/>
      </w:pPr>
      <w:r w:rsidRPr="006C5EE1">
        <w:t xml:space="preserve">Prepared on a Government </w:t>
      </w:r>
      <w:r>
        <w:t>Finance</w:t>
      </w:r>
      <w:r w:rsidRPr="006C5EE1">
        <w:t xml:space="preserve"> Statistics (fiscal) basis</w:t>
      </w:r>
      <w:r>
        <w:t xml:space="preserve">. Figures displayed as a negative (-) represent a decrease in funds and a positive (+) represent an increase in funds. </w:t>
      </w:r>
    </w:p>
    <w:p w:rsidR="00EE55EE" w:rsidRPr="00810C6A" w:rsidRDefault="00EE55EE" w:rsidP="00EE55EE">
      <w:pPr>
        <w:pStyle w:val="Heading2"/>
      </w:pPr>
      <w:r>
        <w:br w:type="page"/>
      </w:r>
      <w:bookmarkStart w:id="66" w:name="_Toc447006842"/>
      <w:bookmarkStart w:id="67" w:name="_Toc447007180"/>
      <w:bookmarkStart w:id="68" w:name="_Toc447007423"/>
      <w:bookmarkStart w:id="69" w:name="_Toc447008301"/>
      <w:bookmarkStart w:id="70" w:name="_Toc447008947"/>
      <w:bookmarkStart w:id="71" w:name="_Toc447013800"/>
      <w:bookmarkStart w:id="72" w:name="_Toc447016773"/>
      <w:bookmarkStart w:id="73" w:name="_Toc447115198"/>
      <w:bookmarkStart w:id="74" w:name="_Toc447115281"/>
      <w:bookmarkStart w:id="75" w:name="_Toc447115461"/>
      <w:bookmarkStart w:id="76" w:name="_Toc447116752"/>
      <w:bookmarkStart w:id="77" w:name="_Toc447117981"/>
      <w:bookmarkStart w:id="78" w:name="_Toc447119416"/>
      <w:bookmarkStart w:id="79" w:name="_Toc447709919"/>
      <w:bookmarkStart w:id="80" w:name="_Toc449100244"/>
      <w:bookmarkStart w:id="81" w:name="_Toc449623621"/>
      <w:r w:rsidRPr="00810C6A">
        <w:lastRenderedPageBreak/>
        <w:t>Section 2: Outcomes and planned performance</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E55EE" w:rsidRPr="005E6F2B" w:rsidRDefault="00EE55EE" w:rsidP="00EE55EE">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EE55EE" w:rsidRPr="005E6F2B" w:rsidRDefault="00EE55EE" w:rsidP="00EE55EE">
      <w:r w:rsidRPr="005E6F2B">
        <w:t xml:space="preserve">Each outcome is described below together with its related programs. The following provides detailed information on expenses for each outcome and program, further broken down by funding source. </w:t>
      </w:r>
    </w:p>
    <w:p w:rsidR="00EE55EE" w:rsidRPr="006906E4" w:rsidRDefault="00EE55EE" w:rsidP="00EE55EE">
      <w:pPr>
        <w:pBdr>
          <w:top w:val="single" w:sz="2" w:space="6" w:color="auto"/>
          <w:left w:val="single" w:sz="2" w:space="4" w:color="auto"/>
          <w:bottom w:val="single" w:sz="2" w:space="6" w:color="auto"/>
          <w:right w:val="single" w:sz="2" w:space="4" w:color="auto"/>
        </w:pBdr>
        <w:rPr>
          <w:b/>
        </w:rPr>
      </w:pPr>
      <w:r w:rsidRPr="006906E4">
        <w:rPr>
          <w:b/>
        </w:rPr>
        <w:t>Note:</w:t>
      </w:r>
    </w:p>
    <w:p w:rsidR="00EE55EE" w:rsidRDefault="00EE55EE" w:rsidP="00EE55EE">
      <w:pPr>
        <w:pBdr>
          <w:top w:val="single" w:sz="2" w:space="6" w:color="auto"/>
          <w:left w:val="single" w:sz="2" w:space="4" w:color="auto"/>
          <w:bottom w:val="single" w:sz="2" w:space="6" w:color="auto"/>
          <w:right w:val="single" w:sz="2" w:space="4" w:color="auto"/>
        </w:pBdr>
        <w:rPr>
          <w:highlight w:val="yellow"/>
        </w:rP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EE55EE" w:rsidRDefault="00EE55EE" w:rsidP="00EE55EE">
      <w:pPr>
        <w:rPr>
          <w:highlight w:val="yellow"/>
        </w:rPr>
      </w:pPr>
    </w:p>
    <w:p w:rsidR="00EE55EE" w:rsidRDefault="00EE55EE" w:rsidP="00EE55EE">
      <w:pPr>
        <w:spacing w:after="0"/>
        <w:rPr>
          <w:rFonts w:ascii="Arial" w:hAnsi="Arial"/>
          <w:b/>
          <w:smallCaps/>
          <w:sz w:val="26"/>
        </w:rPr>
      </w:pPr>
      <w:bookmarkStart w:id="82" w:name="_Toc447006843"/>
      <w:bookmarkStart w:id="83" w:name="_Toc447007181"/>
      <w:bookmarkStart w:id="84" w:name="_Toc447007424"/>
      <w:bookmarkStart w:id="85" w:name="_Toc447008302"/>
      <w:bookmarkStart w:id="86" w:name="_Toc447008948"/>
      <w:bookmarkStart w:id="87" w:name="_Toc447013801"/>
      <w:bookmarkStart w:id="88" w:name="_Toc447016774"/>
      <w:bookmarkStart w:id="89" w:name="_Toc447115199"/>
      <w:bookmarkStart w:id="90" w:name="_Toc447115282"/>
      <w:bookmarkStart w:id="91" w:name="_Toc447115462"/>
      <w:bookmarkStart w:id="92" w:name="_Toc447116753"/>
      <w:bookmarkStart w:id="93" w:name="_Toc447117982"/>
      <w:r>
        <w:br w:type="page"/>
      </w:r>
    </w:p>
    <w:p w:rsidR="00EE55EE" w:rsidRPr="005E6F2B" w:rsidRDefault="00EE55EE" w:rsidP="00EE55EE">
      <w:pPr>
        <w:pStyle w:val="Heading3"/>
      </w:pPr>
      <w:bookmarkStart w:id="94" w:name="_Toc447119417"/>
      <w:bookmarkStart w:id="95" w:name="_Toc447709920"/>
      <w:bookmarkStart w:id="96" w:name="_Toc449100245"/>
      <w:bookmarkStart w:id="97" w:name="_Toc449623622"/>
      <w:r w:rsidRPr="00F743D8">
        <w:lastRenderedPageBreak/>
        <w:t>2.</w:t>
      </w:r>
      <w:r>
        <w:t>1</w:t>
      </w:r>
      <w:r w:rsidRPr="00F743D8">
        <w:t xml:space="preserve"> </w:t>
      </w:r>
      <w:r w:rsidRPr="00F743D8">
        <w:tab/>
        <w:t xml:space="preserve">Budgeted expenses and performance for Outcome </w:t>
      </w:r>
      <w:bookmarkEnd w:id="82"/>
      <w:bookmarkEnd w:id="83"/>
      <w:bookmarkEnd w:id="84"/>
      <w:bookmarkEnd w:id="85"/>
      <w:bookmarkEnd w:id="86"/>
      <w:bookmarkEnd w:id="87"/>
      <w:bookmarkEnd w:id="88"/>
      <w:bookmarkEnd w:id="89"/>
      <w:bookmarkEnd w:id="90"/>
      <w:bookmarkEnd w:id="91"/>
      <w:bookmarkEnd w:id="92"/>
      <w:bookmarkEnd w:id="93"/>
      <w:r>
        <w:t>1</w:t>
      </w:r>
      <w:bookmarkEnd w:id="94"/>
      <w:bookmarkEnd w:id="95"/>
      <w:bookmarkEnd w:id="96"/>
      <w:bookmarkEnd w:id="97"/>
      <w:r w:rsidRPr="005E6F2B">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EE55EE" w:rsidRPr="005E6F2B" w:rsidTr="00DC4D04">
        <w:tc>
          <w:tcPr>
            <w:tcW w:w="7713" w:type="dxa"/>
            <w:shd w:val="clear" w:color="auto" w:fill="E6E6E6"/>
          </w:tcPr>
          <w:p w:rsidR="00EE55EE" w:rsidRPr="005E6F2B" w:rsidRDefault="00EE55EE" w:rsidP="00DC4D04">
            <w:pPr>
              <w:pStyle w:val="TableColumnHeadingLeft"/>
            </w:pPr>
            <w:r w:rsidRPr="005E6F2B">
              <w:t xml:space="preserve">Outcome </w:t>
            </w:r>
            <w:r>
              <w:t>1: Enforce workplace relations laws in the building and construction industry and ensure compliance with those laws by all participants in the building and construction industry through the provision of education, assistance and advice.</w:t>
            </w:r>
          </w:p>
        </w:tc>
      </w:tr>
    </w:tbl>
    <w:p w:rsidR="00EE55EE" w:rsidRPr="00446612" w:rsidRDefault="00EE55EE" w:rsidP="00EE55EE">
      <w:pPr>
        <w:pStyle w:val="Heading5"/>
      </w:pPr>
      <w:r w:rsidRPr="00446612">
        <w:t xml:space="preserve">Budgeted expenses for Outcome </w:t>
      </w:r>
      <w:r>
        <w:t>1</w:t>
      </w:r>
    </w:p>
    <w:p w:rsidR="00EE55EE" w:rsidRDefault="00EE55EE" w:rsidP="00EE55EE">
      <w:r w:rsidRPr="00950281">
        <w:t xml:space="preserve">This table shows how much the entity intends to spend (on an accrual basis) on achieving the outcome, broken down by program, as well as by Administered and Departmental funding sources. </w:t>
      </w:r>
    </w:p>
    <w:p w:rsidR="00EE55EE" w:rsidRPr="001F6C49" w:rsidRDefault="00EE55EE" w:rsidP="00EE55EE">
      <w:pPr>
        <w:pStyle w:val="TableHeading"/>
        <w:rPr>
          <w:lang w:val="en-AU"/>
        </w:rPr>
      </w:pPr>
      <w:r>
        <w:t>Table 2.</w:t>
      </w:r>
      <w:r>
        <w:rPr>
          <w:lang w:val="en-AU"/>
        </w:rPr>
        <w:t>1</w:t>
      </w:r>
      <w:r>
        <w:t xml:space="preserve">.1: Budgeted expenses for Outcome </w:t>
      </w:r>
      <w:r>
        <w:rPr>
          <w:lang w:val="en-AU"/>
        </w:rPr>
        <w:t>1</w:t>
      </w:r>
    </w:p>
    <w:p w:rsidR="00EE55EE" w:rsidRDefault="00EE55EE" w:rsidP="00EE55EE">
      <w:pPr>
        <w:pStyle w:val="TableGraphic"/>
      </w:pPr>
      <w:r w:rsidRPr="00F50EE1">
        <w:rPr>
          <w:noProof/>
        </w:rPr>
        <w:drawing>
          <wp:inline distT="0" distB="0" distL="0" distR="0" wp14:anchorId="15E49288" wp14:editId="7CD62566">
            <wp:extent cx="4896485" cy="3177640"/>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485" cy="3177640"/>
                    </a:xfrm>
                    <a:prstGeom prst="rect">
                      <a:avLst/>
                    </a:prstGeom>
                    <a:noFill/>
                    <a:ln>
                      <a:noFill/>
                    </a:ln>
                  </pic:spPr>
                </pic:pic>
              </a:graphicData>
            </a:graphic>
          </wp:inline>
        </w:drawing>
      </w:r>
    </w:p>
    <w:p w:rsidR="00EE55EE" w:rsidRPr="00950281" w:rsidRDefault="00EE55EE" w:rsidP="00EE55EE">
      <w:pPr>
        <w:pStyle w:val="ChartandTableFootnote"/>
        <w:numPr>
          <w:ilvl w:val="0"/>
          <w:numId w:val="8"/>
        </w:numPr>
        <w:spacing w:before="120"/>
        <w:ind w:left="284" w:hanging="284"/>
      </w:pPr>
      <w:r w:rsidRPr="00950281">
        <w:t>E</w:t>
      </w:r>
      <w:r>
        <w:t>stimated e</w:t>
      </w:r>
      <w:r w:rsidRPr="00950281">
        <w:t xml:space="preserve">xpenses </w:t>
      </w:r>
      <w:r>
        <w:t xml:space="preserve">incurred in relation to receipts retained under section 74 of the </w:t>
      </w:r>
      <w:proofErr w:type="spellStart"/>
      <w:r>
        <w:t>PGPA</w:t>
      </w:r>
      <w:proofErr w:type="spellEnd"/>
      <w:r>
        <w:t xml:space="preserve"> Act</w:t>
      </w:r>
      <w:r w:rsidRPr="006922DC">
        <w:t>.</w:t>
      </w:r>
    </w:p>
    <w:p w:rsidR="00EE55EE" w:rsidRPr="00950281" w:rsidRDefault="00EE55EE" w:rsidP="00EE55EE">
      <w:pPr>
        <w:pStyle w:val="ChartandTableFootnote"/>
        <w:numPr>
          <w:ilvl w:val="0"/>
          <w:numId w:val="8"/>
        </w:numPr>
        <w:ind w:left="284" w:hanging="284"/>
      </w:pPr>
      <w:r w:rsidRPr="00950281">
        <w:t>Expenses not requiring appropriation in the Budget year are made up of depreciation e</w:t>
      </w:r>
      <w:r>
        <w:t>xpenses, amortisation expenses</w:t>
      </w:r>
      <w:r>
        <w:rPr>
          <w:lang w:val="en-AU"/>
        </w:rPr>
        <w:t xml:space="preserve"> and</w:t>
      </w:r>
      <w:r>
        <w:t xml:space="preserve"> audit fees</w:t>
      </w:r>
      <w:r>
        <w:rPr>
          <w:lang w:val="en-AU"/>
        </w:rPr>
        <w:t>.</w:t>
      </w:r>
    </w:p>
    <w:p w:rsidR="00EE55EE" w:rsidRDefault="00EE55EE" w:rsidP="00EE55EE">
      <w:pPr>
        <w:pStyle w:val="ChartandTableFootnote"/>
        <w:spacing w:before="120"/>
      </w:pPr>
      <w:r w:rsidRPr="00446612">
        <w:t>Note: Departmental appropriation splits and totals are indicative estimates and may change in the course of the budget year as government priorities change.</w:t>
      </w:r>
      <w:r>
        <w:br w:type="page"/>
      </w:r>
    </w:p>
    <w:p w:rsidR="00EE55EE" w:rsidRPr="00F71634" w:rsidRDefault="00EE55EE" w:rsidP="00EE55EE">
      <w:pPr>
        <w:pStyle w:val="Heading5"/>
      </w:pPr>
      <w:r w:rsidRPr="00F71634">
        <w:lastRenderedPageBreak/>
        <w:t>Table 2.</w:t>
      </w:r>
      <w:r>
        <w:t>1.2</w:t>
      </w:r>
      <w:r w:rsidRPr="00F71634">
        <w:t xml:space="preserve">: Performance criteria for Outcome </w:t>
      </w:r>
      <w:r>
        <w:t>1</w:t>
      </w:r>
    </w:p>
    <w:p w:rsidR="00EE55EE" w:rsidRPr="00F71634" w:rsidRDefault="00EE55EE" w:rsidP="00EE55EE">
      <w:r w:rsidRPr="00F71634">
        <w:t>Table 2.</w:t>
      </w:r>
      <w:r>
        <w:t>1.2</w:t>
      </w:r>
      <w:r w:rsidRPr="00F71634">
        <w:t xml:space="preserve"> below details the performance criteria for each program associated with Outcome </w:t>
      </w:r>
      <w:r>
        <w:t>1</w:t>
      </w:r>
      <w:r w:rsidRPr="00F71634">
        <w:t>. It also summarises how each program is delivered and where 2016</w:t>
      </w:r>
      <w:r>
        <w:t>–</w:t>
      </w:r>
      <w:r w:rsidRPr="00F71634">
        <w:t>17 Budget measures have created new programs or materially changed existing programs.</w:t>
      </w:r>
      <w:r w:rsidRPr="009B011E">
        <w:rPr>
          <w:i/>
          <w:color w:val="FF0000"/>
        </w:rPr>
        <w:t xml:space="preserve"> </w:t>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60"/>
        <w:gridCol w:w="3375"/>
      </w:tblGrid>
      <w:tr w:rsidR="00EE55EE" w:rsidRPr="00717A5E" w:rsidTr="00DC4D04">
        <w:trPr>
          <w:trHeight w:val="623"/>
          <w:tblHeader/>
        </w:trPr>
        <w:tc>
          <w:tcPr>
            <w:tcW w:w="7911" w:type="dxa"/>
            <w:gridSpan w:val="3"/>
            <w:shd w:val="clear" w:color="auto" w:fill="F2F2F2"/>
          </w:tcPr>
          <w:p w:rsidR="00EE55EE" w:rsidRPr="00717A5E" w:rsidRDefault="00EE55EE" w:rsidP="00DC4D04">
            <w:pPr>
              <w:pStyle w:val="TableTextLeft"/>
              <w:rPr>
                <w:b/>
              </w:rPr>
            </w:pPr>
            <w:r w:rsidRPr="00717A5E">
              <w:rPr>
                <w:b/>
              </w:rPr>
              <w:t>Outcome 1—</w:t>
            </w:r>
            <w:r w:rsidRPr="00717A5E">
              <w:rPr>
                <w:rFonts w:ascii="Book Antiqua" w:hAnsi="Book Antiqua"/>
                <w:b/>
              </w:rPr>
              <w:t xml:space="preserve"> </w:t>
            </w:r>
            <w:r w:rsidRPr="00717A5E">
              <w:rPr>
                <w:b/>
              </w:rPr>
              <w:t>Enforce workplace relations laws in the building and construction industry and ensure compliance with those laws by all participants in the building and construction industry through the provision of education, assistance and advice.</w:t>
            </w:r>
          </w:p>
        </w:tc>
      </w:tr>
      <w:tr w:rsidR="00EE55EE" w:rsidRPr="00F71634" w:rsidTr="00DC4D04">
        <w:trPr>
          <w:trHeight w:val="739"/>
          <w:tblHeader/>
        </w:trPr>
        <w:tc>
          <w:tcPr>
            <w:tcW w:w="7911" w:type="dxa"/>
            <w:gridSpan w:val="3"/>
            <w:shd w:val="clear" w:color="auto" w:fill="F2F2F2"/>
          </w:tcPr>
          <w:p w:rsidR="00EE55EE" w:rsidRPr="006906E4" w:rsidRDefault="00EE55EE" w:rsidP="00DC4D04">
            <w:pPr>
              <w:pStyle w:val="TableTextLeft"/>
              <w:rPr>
                <w:rFonts w:cs="Arial"/>
                <w:sz w:val="16"/>
                <w:szCs w:val="16"/>
              </w:rPr>
            </w:pPr>
            <w:r w:rsidRPr="003C7DB6">
              <w:rPr>
                <w:b/>
              </w:rPr>
              <w:t>Program 1.1—Education Services and Compliance Activities—</w:t>
            </w:r>
            <w:r w:rsidRPr="003C7DB6">
              <w:t>to educate employers, employees, organisations and contractors about the workplace relations system and to ensure compliance with workplace laws.</w:t>
            </w:r>
          </w:p>
        </w:tc>
      </w:tr>
      <w:tr w:rsidR="00EE55EE" w:rsidRPr="00F71634" w:rsidTr="00DC4D04">
        <w:trPr>
          <w:trHeight w:val="2579"/>
        </w:trPr>
        <w:tc>
          <w:tcPr>
            <w:tcW w:w="1276" w:type="dxa"/>
          </w:tcPr>
          <w:p w:rsidR="00EE55EE" w:rsidRPr="006906E4" w:rsidRDefault="00EE55EE" w:rsidP="00DC4D04">
            <w:pPr>
              <w:pStyle w:val="TableTextLeft"/>
              <w:rPr>
                <w:rFonts w:cs="Arial"/>
                <w:b/>
                <w:sz w:val="16"/>
                <w:szCs w:val="16"/>
              </w:rPr>
            </w:pPr>
            <w:r w:rsidRPr="006906E4">
              <w:rPr>
                <w:rFonts w:cs="Arial"/>
                <w:b/>
                <w:sz w:val="16"/>
                <w:szCs w:val="16"/>
              </w:rPr>
              <w:t>Purpose</w:t>
            </w:r>
          </w:p>
        </w:tc>
        <w:tc>
          <w:tcPr>
            <w:tcW w:w="6635" w:type="dxa"/>
            <w:gridSpan w:val="2"/>
          </w:tcPr>
          <w:p w:rsidR="00EE55EE" w:rsidRPr="00172EC6" w:rsidRDefault="00EE55EE" w:rsidP="00DC4D04">
            <w:pPr>
              <w:pStyle w:val="TableTextLeft"/>
            </w:pPr>
            <w:proofErr w:type="spellStart"/>
            <w:r w:rsidRPr="00172EC6">
              <w:t>FWBII</w:t>
            </w:r>
            <w:proofErr w:type="spellEnd"/>
            <w:r w:rsidRPr="00172EC6">
              <w:t xml:space="preserve"> enforces workplace relations laws in the building and construction industry through the provision of education, assistance and advice, and where necessary, civil penalty litigation in the courts.</w:t>
            </w:r>
          </w:p>
          <w:p w:rsidR="00EE55EE" w:rsidRPr="00172EC6" w:rsidRDefault="00EE55EE" w:rsidP="00DC4D04">
            <w:pPr>
              <w:pStyle w:val="TableTextLeft"/>
            </w:pPr>
            <w:r w:rsidRPr="00172EC6">
              <w:t>This is in accordance with the Fair Work (Building Industry) Act 2012 (</w:t>
            </w:r>
            <w:proofErr w:type="spellStart"/>
            <w:r w:rsidRPr="00172EC6">
              <w:t>FWBI</w:t>
            </w:r>
            <w:proofErr w:type="spellEnd"/>
            <w:r w:rsidRPr="00172EC6">
              <w:t xml:space="preserve"> Act), Fair Work Act 2009 (FW Act) and the Independent Contractors Act 2006. In addition, </w:t>
            </w:r>
            <w:proofErr w:type="spellStart"/>
            <w:r w:rsidRPr="00172EC6">
              <w:t>FWBII</w:t>
            </w:r>
            <w:proofErr w:type="spellEnd"/>
            <w:r w:rsidRPr="00172EC6">
              <w:t xml:space="preserve"> ensures compliance with the Building Code 2013 (Building Code).</w:t>
            </w:r>
          </w:p>
          <w:p w:rsidR="00EE55EE" w:rsidRPr="00172EC6" w:rsidRDefault="00EE55EE" w:rsidP="00DC4D04">
            <w:pPr>
              <w:pStyle w:val="TableTextLeft"/>
            </w:pPr>
            <w:r w:rsidRPr="00172EC6">
              <w:t>Our vision is that all Australian building and construction workplaces are productive and harmonious.</w:t>
            </w:r>
          </w:p>
          <w:p w:rsidR="00EE55EE" w:rsidRPr="006906E4" w:rsidRDefault="00EE55EE" w:rsidP="00DC4D04">
            <w:pPr>
              <w:pStyle w:val="TableTextLeft"/>
            </w:pPr>
            <w:r w:rsidRPr="00172EC6">
              <w:t>Our mission is to ensure that the rule of law prevails in the Australian building and construction industry.</w:t>
            </w:r>
          </w:p>
        </w:tc>
      </w:tr>
      <w:tr w:rsidR="00EE55EE" w:rsidRPr="00F71634" w:rsidTr="00DC4D04">
        <w:trPr>
          <w:trHeight w:val="1765"/>
        </w:trPr>
        <w:tc>
          <w:tcPr>
            <w:tcW w:w="1276" w:type="dxa"/>
            <w:tcBorders>
              <w:bottom w:val="single" w:sz="4" w:space="0" w:color="auto"/>
            </w:tcBorders>
          </w:tcPr>
          <w:p w:rsidR="00EE55EE" w:rsidRPr="006906E4" w:rsidRDefault="00EE55EE" w:rsidP="00DC4D04">
            <w:pPr>
              <w:pStyle w:val="TableTextLeft"/>
              <w:rPr>
                <w:rFonts w:cs="Arial"/>
                <w:b/>
                <w:sz w:val="16"/>
                <w:szCs w:val="16"/>
              </w:rPr>
            </w:pPr>
            <w:r w:rsidRPr="006906E4">
              <w:rPr>
                <w:rFonts w:cs="Arial"/>
                <w:b/>
                <w:sz w:val="16"/>
                <w:szCs w:val="16"/>
              </w:rPr>
              <w:t>Delivery</w:t>
            </w:r>
          </w:p>
        </w:tc>
        <w:tc>
          <w:tcPr>
            <w:tcW w:w="6635" w:type="dxa"/>
            <w:gridSpan w:val="2"/>
            <w:tcBorders>
              <w:bottom w:val="single" w:sz="4" w:space="0" w:color="auto"/>
            </w:tcBorders>
          </w:tcPr>
          <w:p w:rsidR="00EE55EE" w:rsidRPr="00C15FB0" w:rsidRDefault="00EE55EE" w:rsidP="00DC4D04">
            <w:pPr>
              <w:pStyle w:val="TableTextLeft"/>
            </w:pPr>
            <w:r>
              <w:t>P</w:t>
            </w:r>
            <w:r w:rsidRPr="00C15FB0">
              <w:t>rovide information, advice and education on the requirements and flexibilities of workplace laws to foster voluntary compli</w:t>
            </w:r>
            <w:r>
              <w:t>ance.</w:t>
            </w:r>
          </w:p>
          <w:p w:rsidR="00EE55EE" w:rsidRPr="00C15FB0" w:rsidRDefault="00EE55EE" w:rsidP="00DC4D04">
            <w:pPr>
              <w:pStyle w:val="TableTextLeft"/>
            </w:pPr>
            <w:r>
              <w:t>I</w:t>
            </w:r>
            <w:r w:rsidRPr="00C15FB0">
              <w:t>nvestigate claims regarding alleged breaches of workplace laws and undertake targeted activities</w:t>
            </w:r>
            <w:r>
              <w:t>.</w:t>
            </w:r>
          </w:p>
          <w:p w:rsidR="00EE55EE" w:rsidRPr="00C15FB0" w:rsidRDefault="00EE55EE" w:rsidP="00DC4D04">
            <w:pPr>
              <w:pStyle w:val="TableTextLeft"/>
            </w:pPr>
            <w:r>
              <w:t>C</w:t>
            </w:r>
            <w:r w:rsidRPr="00C15FB0">
              <w:t>onduct site visits, inspections and audits involving the building codes of practice</w:t>
            </w:r>
            <w:r>
              <w:t>.</w:t>
            </w:r>
          </w:p>
          <w:p w:rsidR="00EE55EE" w:rsidRPr="006906E4" w:rsidRDefault="00EE55EE" w:rsidP="00DC4D04">
            <w:pPr>
              <w:pStyle w:val="TableTextLeft"/>
            </w:pPr>
            <w:r>
              <w:t>L</w:t>
            </w:r>
            <w:r w:rsidRPr="00C15FB0">
              <w:t>itigate, where necessary, to enforce compliance with workplace laws</w:t>
            </w:r>
            <w:r>
              <w:t>.</w:t>
            </w:r>
          </w:p>
        </w:tc>
      </w:tr>
      <w:tr w:rsidR="00EE55EE" w:rsidRPr="00F71634" w:rsidTr="00DC4D04">
        <w:trPr>
          <w:trHeight w:val="287"/>
        </w:trPr>
        <w:tc>
          <w:tcPr>
            <w:tcW w:w="7911" w:type="dxa"/>
            <w:gridSpan w:val="3"/>
            <w:tcBorders>
              <w:top w:val="double" w:sz="4" w:space="0" w:color="auto"/>
              <w:bottom w:val="double" w:sz="4" w:space="0" w:color="auto"/>
            </w:tcBorders>
          </w:tcPr>
          <w:p w:rsidR="00EE55EE" w:rsidRPr="006906E4" w:rsidRDefault="00EE55EE" w:rsidP="00DC4D04">
            <w:pPr>
              <w:pStyle w:val="TableTextLeft"/>
              <w:rPr>
                <w:rFonts w:cs="Arial"/>
                <w:b/>
                <w:sz w:val="16"/>
                <w:szCs w:val="16"/>
              </w:rPr>
            </w:pPr>
            <w:r w:rsidRPr="006906E4">
              <w:rPr>
                <w:rFonts w:cs="Arial"/>
                <w:b/>
                <w:sz w:val="16"/>
                <w:szCs w:val="16"/>
              </w:rPr>
              <w:t>Performance information</w:t>
            </w:r>
          </w:p>
        </w:tc>
      </w:tr>
      <w:tr w:rsidR="00EE55EE" w:rsidRPr="00F71634" w:rsidTr="00DC4D04">
        <w:trPr>
          <w:trHeight w:val="287"/>
        </w:trPr>
        <w:tc>
          <w:tcPr>
            <w:tcW w:w="1276" w:type="dxa"/>
            <w:tcBorders>
              <w:top w:val="double" w:sz="4" w:space="0" w:color="auto"/>
              <w:bottom w:val="single" w:sz="4" w:space="0" w:color="auto"/>
              <w:right w:val="single" w:sz="4" w:space="0" w:color="auto"/>
            </w:tcBorders>
          </w:tcPr>
          <w:p w:rsidR="00EE55EE" w:rsidRPr="006906E4" w:rsidRDefault="00EE55EE" w:rsidP="00DC4D04">
            <w:pPr>
              <w:pStyle w:val="TableTextLeft"/>
              <w:rPr>
                <w:rFonts w:cs="Arial"/>
                <w:b/>
                <w:sz w:val="16"/>
                <w:szCs w:val="16"/>
              </w:rPr>
            </w:pPr>
            <w:r w:rsidRPr="006906E4">
              <w:rPr>
                <w:rFonts w:cs="Arial"/>
                <w:b/>
                <w:sz w:val="16"/>
                <w:szCs w:val="16"/>
              </w:rPr>
              <w:t>Year</w:t>
            </w:r>
          </w:p>
        </w:tc>
        <w:tc>
          <w:tcPr>
            <w:tcW w:w="3260" w:type="dxa"/>
            <w:tcBorders>
              <w:top w:val="double" w:sz="4" w:space="0" w:color="auto"/>
              <w:left w:val="single" w:sz="4" w:space="0" w:color="auto"/>
              <w:bottom w:val="single" w:sz="4" w:space="0" w:color="auto"/>
              <w:right w:val="single" w:sz="4" w:space="0" w:color="auto"/>
            </w:tcBorders>
          </w:tcPr>
          <w:p w:rsidR="00EE55EE" w:rsidRPr="006906E4" w:rsidRDefault="00EE55EE" w:rsidP="00DC4D04">
            <w:pPr>
              <w:pStyle w:val="TableTextLeft"/>
              <w:rPr>
                <w:rFonts w:cs="Arial"/>
                <w:b/>
                <w:sz w:val="16"/>
                <w:szCs w:val="16"/>
              </w:rPr>
            </w:pPr>
            <w:r w:rsidRPr="006906E4">
              <w:rPr>
                <w:rFonts w:cs="Arial"/>
                <w:b/>
                <w:sz w:val="16"/>
                <w:szCs w:val="16"/>
              </w:rPr>
              <w:t>Performance criteria</w:t>
            </w:r>
          </w:p>
        </w:tc>
        <w:tc>
          <w:tcPr>
            <w:tcW w:w="3375" w:type="dxa"/>
            <w:tcBorders>
              <w:top w:val="double" w:sz="4" w:space="0" w:color="auto"/>
              <w:left w:val="single" w:sz="4" w:space="0" w:color="auto"/>
              <w:bottom w:val="single" w:sz="4" w:space="0" w:color="auto"/>
            </w:tcBorders>
          </w:tcPr>
          <w:p w:rsidR="00EE55EE" w:rsidRPr="006906E4" w:rsidRDefault="00EE55EE" w:rsidP="00DC4D04">
            <w:pPr>
              <w:pStyle w:val="TableTextLeft"/>
              <w:rPr>
                <w:rFonts w:cs="Arial"/>
                <w:b/>
                <w:sz w:val="16"/>
                <w:szCs w:val="16"/>
              </w:rPr>
            </w:pPr>
            <w:r w:rsidRPr="006906E4">
              <w:rPr>
                <w:rFonts w:cs="Arial"/>
                <w:b/>
                <w:sz w:val="16"/>
                <w:szCs w:val="16"/>
              </w:rPr>
              <w:t>Targets</w:t>
            </w:r>
          </w:p>
        </w:tc>
      </w:tr>
      <w:tr w:rsidR="00EE55EE" w:rsidRPr="00F71634" w:rsidTr="00DC4D04">
        <w:trPr>
          <w:trHeight w:val="60"/>
        </w:trPr>
        <w:tc>
          <w:tcPr>
            <w:tcW w:w="1276" w:type="dxa"/>
            <w:tcBorders>
              <w:top w:val="single" w:sz="4" w:space="0" w:color="auto"/>
              <w:bottom w:val="dotted" w:sz="4" w:space="0" w:color="auto"/>
              <w:right w:val="single" w:sz="4" w:space="0" w:color="auto"/>
            </w:tcBorders>
          </w:tcPr>
          <w:p w:rsidR="00EE55EE" w:rsidRPr="003C7DB6" w:rsidRDefault="00EE55EE" w:rsidP="00DC4D04">
            <w:pPr>
              <w:pStyle w:val="TableTextLeft"/>
            </w:pPr>
            <w:r w:rsidRPr="003C7DB6">
              <w:t>2015–16</w:t>
            </w:r>
          </w:p>
        </w:tc>
        <w:tc>
          <w:tcPr>
            <w:tcW w:w="3260" w:type="dxa"/>
            <w:tcBorders>
              <w:top w:val="single" w:sz="4" w:space="0" w:color="auto"/>
              <w:left w:val="single" w:sz="4" w:space="0" w:color="auto"/>
              <w:bottom w:val="dotted" w:sz="4" w:space="0" w:color="auto"/>
              <w:right w:val="single" w:sz="4" w:space="0" w:color="auto"/>
            </w:tcBorders>
          </w:tcPr>
          <w:p w:rsidR="00EE55EE" w:rsidRPr="005D4C32" w:rsidRDefault="00EE55EE" w:rsidP="00DC4D04">
            <w:pPr>
              <w:pStyle w:val="TableTextLeft"/>
            </w:pPr>
            <w:r>
              <w:rPr>
                <w:rFonts w:cs="Arial"/>
                <w:szCs w:val="16"/>
              </w:rPr>
              <w:t xml:space="preserve">Level of satisfaction of clients with quality and timeliness of advice and assistance provided by </w:t>
            </w:r>
            <w:proofErr w:type="spellStart"/>
            <w:r>
              <w:rPr>
                <w:rFonts w:cs="Arial"/>
                <w:szCs w:val="16"/>
              </w:rPr>
              <w:t>FWBII</w:t>
            </w:r>
            <w:proofErr w:type="spellEnd"/>
          </w:p>
        </w:tc>
        <w:tc>
          <w:tcPr>
            <w:tcW w:w="3375" w:type="dxa"/>
            <w:tcBorders>
              <w:top w:val="single" w:sz="4" w:space="0" w:color="auto"/>
              <w:left w:val="single" w:sz="4" w:space="0" w:color="auto"/>
              <w:bottom w:val="dotted" w:sz="4" w:space="0" w:color="auto"/>
            </w:tcBorders>
          </w:tcPr>
          <w:p w:rsidR="00EE55EE" w:rsidRDefault="00EE55EE" w:rsidP="00DC4D04">
            <w:pPr>
              <w:pStyle w:val="TableTextLeft"/>
            </w:pPr>
            <w:r w:rsidRPr="005D4C32">
              <w:t>75% of surveyed clients satisfied or highly satisfied</w:t>
            </w:r>
          </w:p>
          <w:p w:rsidR="00EE55EE" w:rsidRPr="005D4C32" w:rsidRDefault="00EE55EE" w:rsidP="00DC4D04">
            <w:pPr>
              <w:pStyle w:val="TableTextLeft"/>
            </w:pPr>
            <w:r w:rsidRPr="00172EC6">
              <w:t>Assessment: target is expected to be met in 2015–16</w:t>
            </w:r>
          </w:p>
        </w:tc>
      </w:tr>
      <w:tr w:rsidR="00EE55EE" w:rsidRPr="00F71634" w:rsidTr="00DC4D04">
        <w:trPr>
          <w:trHeight w:val="1418"/>
        </w:trPr>
        <w:tc>
          <w:tcPr>
            <w:tcW w:w="1276" w:type="dxa"/>
            <w:tcBorders>
              <w:top w:val="dotted" w:sz="4" w:space="0" w:color="auto"/>
              <w:bottom w:val="dotted" w:sz="4" w:space="0" w:color="auto"/>
              <w:right w:val="single" w:sz="4" w:space="0" w:color="auto"/>
            </w:tcBorders>
          </w:tcPr>
          <w:p w:rsidR="00EE55EE" w:rsidRPr="006906E4" w:rsidRDefault="00EE55EE" w:rsidP="00DC4D04">
            <w:pPr>
              <w:pStyle w:val="TableTextLeft"/>
              <w:rPr>
                <w:rFonts w:cs="Arial"/>
                <w:sz w:val="16"/>
                <w:szCs w:val="16"/>
              </w:rPr>
            </w:pPr>
          </w:p>
        </w:tc>
        <w:tc>
          <w:tcPr>
            <w:tcW w:w="3260" w:type="dxa"/>
            <w:tcBorders>
              <w:top w:val="dotted" w:sz="4" w:space="0" w:color="auto"/>
              <w:left w:val="single" w:sz="4" w:space="0" w:color="auto"/>
              <w:bottom w:val="dotted" w:sz="4" w:space="0" w:color="auto"/>
              <w:right w:val="single" w:sz="4" w:space="0" w:color="auto"/>
            </w:tcBorders>
          </w:tcPr>
          <w:p w:rsidR="00EE55EE" w:rsidRPr="005D4C32" w:rsidRDefault="00EE55EE" w:rsidP="00DC4D04">
            <w:pPr>
              <w:pStyle w:val="TableTextLeft"/>
              <w:rPr>
                <w:rStyle w:val="BodyTextChar"/>
              </w:rPr>
            </w:pPr>
            <w:r>
              <w:rPr>
                <w:rFonts w:cs="Arial"/>
                <w:szCs w:val="16"/>
              </w:rPr>
              <w:t xml:space="preserve">Timeliness in commencing proceedings over contraventions of the </w:t>
            </w:r>
            <w:r w:rsidRPr="00C14F14">
              <w:rPr>
                <w:rFonts w:cs="Arial"/>
                <w:i/>
                <w:szCs w:val="16"/>
              </w:rPr>
              <w:t>Fair Work Act 2009</w:t>
            </w:r>
            <w:r>
              <w:rPr>
                <w:rFonts w:cs="Arial"/>
                <w:szCs w:val="16"/>
              </w:rPr>
              <w:t xml:space="preserve">, the </w:t>
            </w:r>
            <w:r w:rsidRPr="00C14F14">
              <w:rPr>
                <w:rFonts w:cs="Arial"/>
                <w:szCs w:val="16"/>
              </w:rPr>
              <w:t>Independent Contractors Act 2006</w:t>
            </w:r>
            <w:r>
              <w:rPr>
                <w:rFonts w:cs="Arial"/>
                <w:szCs w:val="16"/>
              </w:rPr>
              <w:t xml:space="preserve">, the </w:t>
            </w:r>
            <w:r w:rsidRPr="00C14F14">
              <w:rPr>
                <w:rFonts w:cs="Arial"/>
                <w:i/>
                <w:szCs w:val="16"/>
              </w:rPr>
              <w:t>Fair Work (Building Industry) Act 2012</w:t>
            </w:r>
            <w:r>
              <w:rPr>
                <w:rFonts w:cs="Arial"/>
                <w:szCs w:val="16"/>
              </w:rPr>
              <w:t>, agreements, awards and orders</w:t>
            </w:r>
          </w:p>
        </w:tc>
        <w:tc>
          <w:tcPr>
            <w:tcW w:w="3375" w:type="dxa"/>
            <w:tcBorders>
              <w:top w:val="dotted" w:sz="4" w:space="0" w:color="auto"/>
              <w:left w:val="single" w:sz="4" w:space="0" w:color="auto"/>
              <w:bottom w:val="dotted" w:sz="4" w:space="0" w:color="auto"/>
            </w:tcBorders>
          </w:tcPr>
          <w:p w:rsidR="00EE55EE" w:rsidRDefault="00EE55EE" w:rsidP="00DC4D04">
            <w:pPr>
              <w:pStyle w:val="TableTextLeft"/>
            </w:pPr>
            <w:r w:rsidRPr="005D4C32">
              <w:t>File 75% of matters in court within 12 months of the complaint being lodged</w:t>
            </w:r>
          </w:p>
          <w:p w:rsidR="00EE55EE" w:rsidRPr="005D4C32" w:rsidRDefault="00EE55EE" w:rsidP="00DC4D04">
            <w:pPr>
              <w:pStyle w:val="TableTextLeft"/>
            </w:pPr>
            <w:r w:rsidRPr="00172EC6">
              <w:t xml:space="preserve">Assessment: target is </w:t>
            </w:r>
            <w:r>
              <w:t xml:space="preserve">not </w:t>
            </w:r>
            <w:r w:rsidRPr="00172EC6">
              <w:t>expected to be met in 2015–16</w:t>
            </w:r>
          </w:p>
        </w:tc>
      </w:tr>
      <w:tr w:rsidR="00EE55EE" w:rsidRPr="00F71634" w:rsidTr="00DC4D04">
        <w:trPr>
          <w:trHeight w:val="1162"/>
        </w:trPr>
        <w:tc>
          <w:tcPr>
            <w:tcW w:w="1276" w:type="dxa"/>
            <w:tcBorders>
              <w:top w:val="dotted" w:sz="4" w:space="0" w:color="auto"/>
              <w:bottom w:val="dotted" w:sz="4" w:space="0" w:color="auto"/>
              <w:right w:val="single" w:sz="4" w:space="0" w:color="auto"/>
            </w:tcBorders>
          </w:tcPr>
          <w:p w:rsidR="00EE55EE" w:rsidRPr="006906E4" w:rsidRDefault="00EE55EE" w:rsidP="00DC4D04">
            <w:pPr>
              <w:pStyle w:val="TableTextLeft"/>
              <w:rPr>
                <w:rFonts w:cs="Arial"/>
                <w:sz w:val="16"/>
                <w:szCs w:val="16"/>
              </w:rPr>
            </w:pPr>
          </w:p>
        </w:tc>
        <w:tc>
          <w:tcPr>
            <w:tcW w:w="3260" w:type="dxa"/>
            <w:tcBorders>
              <w:top w:val="dotted" w:sz="4" w:space="0" w:color="auto"/>
              <w:left w:val="single" w:sz="4" w:space="0" w:color="auto"/>
              <w:bottom w:val="dotted" w:sz="4" w:space="0" w:color="auto"/>
              <w:right w:val="single" w:sz="4" w:space="0" w:color="auto"/>
            </w:tcBorders>
          </w:tcPr>
          <w:p w:rsidR="00EE55EE" w:rsidRPr="00DA5E25" w:rsidRDefault="00EE55EE" w:rsidP="00DC4D04">
            <w:pPr>
              <w:pStyle w:val="TableTextLeft"/>
              <w:rPr>
                <w:rFonts w:eastAsia="Cambria"/>
              </w:rPr>
            </w:pPr>
            <w:r w:rsidRPr="00DA5E25">
              <w:rPr>
                <w:rFonts w:eastAsia="Cambria"/>
              </w:rPr>
              <w:t>Level of satisfaction of a range of industry participants with contact aimed at promoting appropriate standards of conduct.</w:t>
            </w:r>
          </w:p>
        </w:tc>
        <w:tc>
          <w:tcPr>
            <w:tcW w:w="3375" w:type="dxa"/>
            <w:tcBorders>
              <w:top w:val="dotted" w:sz="4" w:space="0" w:color="auto"/>
              <w:left w:val="single" w:sz="4" w:space="0" w:color="auto"/>
              <w:bottom w:val="dotted" w:sz="4" w:space="0" w:color="auto"/>
            </w:tcBorders>
          </w:tcPr>
          <w:p w:rsidR="00EE55EE" w:rsidRDefault="00EE55EE" w:rsidP="00DC4D04">
            <w:pPr>
              <w:pStyle w:val="TableTextLeft"/>
            </w:pPr>
            <w:r w:rsidRPr="005D4C32">
              <w:t>75% of surveyed industry participants satisfied or highly satisfied</w:t>
            </w:r>
          </w:p>
          <w:p w:rsidR="00EE55EE" w:rsidRPr="005D4C32" w:rsidRDefault="00EE55EE" w:rsidP="00DC4D04">
            <w:pPr>
              <w:pStyle w:val="TableTextLeft"/>
            </w:pPr>
            <w:r w:rsidRPr="00172EC6">
              <w:t>Assessment: target is expected to be met in 2015–16</w:t>
            </w:r>
          </w:p>
        </w:tc>
      </w:tr>
      <w:tr w:rsidR="00EE55EE" w:rsidRPr="00F71634" w:rsidTr="00DC4D04">
        <w:trPr>
          <w:cantSplit/>
          <w:trHeight w:val="145"/>
        </w:trPr>
        <w:tc>
          <w:tcPr>
            <w:tcW w:w="1276" w:type="dxa"/>
            <w:tcBorders>
              <w:top w:val="dotted" w:sz="4" w:space="0" w:color="auto"/>
              <w:left w:val="dotted" w:sz="4" w:space="0" w:color="auto"/>
              <w:bottom w:val="nil"/>
              <w:right w:val="single" w:sz="4" w:space="0" w:color="auto"/>
            </w:tcBorders>
          </w:tcPr>
          <w:p w:rsidR="00EE55EE" w:rsidRPr="003C7DB6" w:rsidRDefault="00EE55EE" w:rsidP="00DC4D04">
            <w:pPr>
              <w:pStyle w:val="TableTextLeft"/>
            </w:pPr>
            <w:r w:rsidRPr="003C7DB6">
              <w:lastRenderedPageBreak/>
              <w:t>2016–17</w:t>
            </w:r>
          </w:p>
        </w:tc>
        <w:tc>
          <w:tcPr>
            <w:tcW w:w="3260" w:type="dxa"/>
            <w:tcBorders>
              <w:top w:val="dotted" w:sz="4" w:space="0" w:color="auto"/>
              <w:left w:val="single" w:sz="4" w:space="0" w:color="auto"/>
              <w:bottom w:val="nil"/>
              <w:right w:val="single" w:sz="4" w:space="0" w:color="auto"/>
            </w:tcBorders>
          </w:tcPr>
          <w:p w:rsidR="00EE55EE" w:rsidRPr="00035BFE" w:rsidRDefault="00EE55EE" w:rsidP="00DC4D04">
            <w:pPr>
              <w:pStyle w:val="TableTextLeft"/>
              <w:rPr>
                <w:rFonts w:cs="Arial"/>
                <w:szCs w:val="16"/>
              </w:rPr>
            </w:pPr>
            <w:r>
              <w:rPr>
                <w:rFonts w:cs="Arial"/>
                <w:szCs w:val="16"/>
              </w:rPr>
              <w:t>Enforcement and Compliance: Ensure compliance with workplace laws and the Building Code 2013:</w:t>
            </w:r>
          </w:p>
        </w:tc>
        <w:tc>
          <w:tcPr>
            <w:tcW w:w="3375" w:type="dxa"/>
            <w:tcBorders>
              <w:top w:val="dotted" w:sz="4" w:space="0" w:color="auto"/>
              <w:left w:val="single" w:sz="4" w:space="0" w:color="auto"/>
              <w:bottom w:val="nil"/>
            </w:tcBorders>
          </w:tcPr>
          <w:p w:rsidR="00EE55EE" w:rsidRPr="005D4C32" w:rsidRDefault="00EE55EE" w:rsidP="00DC4D04">
            <w:pPr>
              <w:pStyle w:val="TableTextLeft"/>
            </w:pPr>
          </w:p>
        </w:tc>
      </w:tr>
      <w:tr w:rsidR="00EE55EE" w:rsidRPr="00F71634" w:rsidTr="00DC4D04">
        <w:trPr>
          <w:trHeight w:val="145"/>
        </w:trPr>
        <w:tc>
          <w:tcPr>
            <w:tcW w:w="1276" w:type="dxa"/>
            <w:tcBorders>
              <w:top w:val="nil"/>
              <w:left w:val="dotted" w:sz="4" w:space="0" w:color="auto"/>
              <w:bottom w:val="nil"/>
              <w:right w:val="single" w:sz="4" w:space="0" w:color="auto"/>
            </w:tcBorders>
          </w:tcPr>
          <w:p w:rsidR="00EE55EE" w:rsidRPr="006906E4" w:rsidRDefault="00EE55EE" w:rsidP="00DC4D04">
            <w:pPr>
              <w:pStyle w:val="TableTextLeft"/>
              <w:rPr>
                <w:rFonts w:cs="Arial"/>
                <w:sz w:val="16"/>
                <w:szCs w:val="16"/>
              </w:rPr>
            </w:pPr>
          </w:p>
        </w:tc>
        <w:tc>
          <w:tcPr>
            <w:tcW w:w="3260" w:type="dxa"/>
            <w:tcBorders>
              <w:top w:val="nil"/>
              <w:left w:val="single" w:sz="4" w:space="0" w:color="auto"/>
              <w:bottom w:val="nil"/>
              <w:right w:val="single" w:sz="4" w:space="0" w:color="auto"/>
            </w:tcBorders>
          </w:tcPr>
          <w:p w:rsidR="00EE55EE" w:rsidRDefault="00EE55EE" w:rsidP="00EE55EE">
            <w:pPr>
              <w:pStyle w:val="TableTextLeft"/>
              <w:numPr>
                <w:ilvl w:val="0"/>
                <w:numId w:val="3"/>
              </w:numPr>
              <w:ind w:left="176" w:hanging="219"/>
              <w:rPr>
                <w:rFonts w:cs="Arial"/>
                <w:szCs w:val="16"/>
              </w:rPr>
            </w:pPr>
            <w:r>
              <w:rPr>
                <w:rFonts w:cs="Arial"/>
                <w:szCs w:val="16"/>
              </w:rPr>
              <w:t>Legal proceedings in court within 12 months of complaint being lodged</w:t>
            </w:r>
          </w:p>
        </w:tc>
        <w:tc>
          <w:tcPr>
            <w:tcW w:w="3375" w:type="dxa"/>
            <w:tcBorders>
              <w:top w:val="nil"/>
              <w:left w:val="single" w:sz="4" w:space="0" w:color="auto"/>
              <w:bottom w:val="nil"/>
            </w:tcBorders>
          </w:tcPr>
          <w:p w:rsidR="00EE55EE" w:rsidRDefault="00EE55EE" w:rsidP="00DC4D04">
            <w:pPr>
              <w:pStyle w:val="TableTextLeft"/>
            </w:pPr>
            <w:r>
              <w:t>75%</w:t>
            </w:r>
          </w:p>
        </w:tc>
      </w:tr>
      <w:tr w:rsidR="00EE55EE" w:rsidRPr="00F71634" w:rsidTr="00DC4D04">
        <w:trPr>
          <w:trHeight w:val="145"/>
        </w:trPr>
        <w:tc>
          <w:tcPr>
            <w:tcW w:w="1276" w:type="dxa"/>
            <w:tcBorders>
              <w:top w:val="nil"/>
              <w:left w:val="dotted" w:sz="4" w:space="0" w:color="auto"/>
              <w:bottom w:val="nil"/>
              <w:right w:val="single" w:sz="4" w:space="0" w:color="auto"/>
            </w:tcBorders>
          </w:tcPr>
          <w:p w:rsidR="00EE55EE" w:rsidRPr="006906E4" w:rsidRDefault="00EE55EE" w:rsidP="00DC4D04">
            <w:pPr>
              <w:pStyle w:val="TableTextLeft"/>
              <w:rPr>
                <w:rFonts w:cs="Arial"/>
                <w:sz w:val="16"/>
                <w:szCs w:val="16"/>
              </w:rPr>
            </w:pPr>
          </w:p>
        </w:tc>
        <w:tc>
          <w:tcPr>
            <w:tcW w:w="3260" w:type="dxa"/>
            <w:tcBorders>
              <w:top w:val="nil"/>
              <w:left w:val="single" w:sz="4" w:space="0" w:color="auto"/>
              <w:bottom w:val="nil"/>
              <w:right w:val="single" w:sz="4" w:space="0" w:color="auto"/>
            </w:tcBorders>
          </w:tcPr>
          <w:p w:rsidR="00EE55EE" w:rsidRPr="005D4C32" w:rsidRDefault="00EE55EE" w:rsidP="00EE55EE">
            <w:pPr>
              <w:pStyle w:val="TableTextLeft"/>
              <w:numPr>
                <w:ilvl w:val="0"/>
                <w:numId w:val="3"/>
              </w:numPr>
              <w:ind w:left="176" w:hanging="219"/>
              <w:rPr>
                <w:rStyle w:val="BodyTextChar"/>
                <w:rFonts w:cs="Arial"/>
                <w:szCs w:val="16"/>
              </w:rPr>
            </w:pPr>
            <w:r>
              <w:rPr>
                <w:rFonts w:cs="Arial"/>
                <w:szCs w:val="16"/>
              </w:rPr>
              <w:t>Percentage of clients who are satisfied or highly satisfied with the quality and timeliness of advice and assistance provided</w:t>
            </w:r>
          </w:p>
        </w:tc>
        <w:tc>
          <w:tcPr>
            <w:tcW w:w="3375" w:type="dxa"/>
            <w:tcBorders>
              <w:top w:val="nil"/>
              <w:left w:val="single" w:sz="4" w:space="0" w:color="auto"/>
              <w:bottom w:val="nil"/>
            </w:tcBorders>
          </w:tcPr>
          <w:p w:rsidR="00EE55EE" w:rsidRPr="005D4C32" w:rsidRDefault="00EE55EE" w:rsidP="00DC4D04">
            <w:pPr>
              <w:pStyle w:val="TableTextLeft"/>
            </w:pPr>
            <w:r>
              <w:t>75%</w:t>
            </w:r>
          </w:p>
        </w:tc>
      </w:tr>
      <w:tr w:rsidR="00EE55EE" w:rsidRPr="00F71634" w:rsidTr="00DC4D04">
        <w:trPr>
          <w:trHeight w:val="145"/>
        </w:trPr>
        <w:tc>
          <w:tcPr>
            <w:tcW w:w="1276" w:type="dxa"/>
            <w:tcBorders>
              <w:top w:val="nil"/>
              <w:left w:val="dotted" w:sz="4" w:space="0" w:color="auto"/>
              <w:bottom w:val="dotted" w:sz="4" w:space="0" w:color="auto"/>
              <w:right w:val="single" w:sz="4" w:space="0" w:color="auto"/>
            </w:tcBorders>
          </w:tcPr>
          <w:p w:rsidR="00EE55EE" w:rsidRPr="006906E4" w:rsidRDefault="00EE55EE" w:rsidP="00DC4D04">
            <w:pPr>
              <w:pStyle w:val="TableTextLeft"/>
              <w:rPr>
                <w:rFonts w:cs="Arial"/>
                <w:sz w:val="16"/>
                <w:szCs w:val="16"/>
              </w:rPr>
            </w:pPr>
          </w:p>
        </w:tc>
        <w:tc>
          <w:tcPr>
            <w:tcW w:w="3260" w:type="dxa"/>
            <w:tcBorders>
              <w:top w:val="nil"/>
              <w:left w:val="single" w:sz="4" w:space="0" w:color="auto"/>
              <w:bottom w:val="dotted" w:sz="4" w:space="0" w:color="auto"/>
              <w:right w:val="single" w:sz="4" w:space="0" w:color="auto"/>
            </w:tcBorders>
          </w:tcPr>
          <w:p w:rsidR="00EE55EE" w:rsidRPr="005D4C32" w:rsidRDefault="00EE55EE" w:rsidP="00EE55EE">
            <w:pPr>
              <w:pStyle w:val="TableTextLeft"/>
              <w:numPr>
                <w:ilvl w:val="0"/>
                <w:numId w:val="3"/>
              </w:numPr>
              <w:ind w:left="176" w:hanging="219"/>
              <w:rPr>
                <w:rStyle w:val="BodyTextChar"/>
              </w:rPr>
            </w:pPr>
            <w:r>
              <w:rPr>
                <w:rFonts w:cs="Arial"/>
                <w:szCs w:val="16"/>
              </w:rPr>
              <w:t>Compliance activities to improve compliance with the Building Code 2013</w:t>
            </w:r>
          </w:p>
        </w:tc>
        <w:tc>
          <w:tcPr>
            <w:tcW w:w="3375" w:type="dxa"/>
            <w:tcBorders>
              <w:top w:val="nil"/>
              <w:left w:val="single" w:sz="4" w:space="0" w:color="auto"/>
              <w:bottom w:val="dotted" w:sz="4" w:space="0" w:color="auto"/>
            </w:tcBorders>
          </w:tcPr>
          <w:p w:rsidR="00EE55EE" w:rsidRPr="005D4C32" w:rsidRDefault="00EE55EE" w:rsidP="00DC4D04">
            <w:pPr>
              <w:pStyle w:val="TableTextLeft"/>
            </w:pPr>
            <w:r>
              <w:t>300</w:t>
            </w:r>
          </w:p>
        </w:tc>
      </w:tr>
      <w:tr w:rsidR="00EE55EE" w:rsidRPr="00F71634" w:rsidTr="00DC4D04">
        <w:trPr>
          <w:trHeight w:val="145"/>
        </w:trPr>
        <w:tc>
          <w:tcPr>
            <w:tcW w:w="1276" w:type="dxa"/>
            <w:tcBorders>
              <w:top w:val="dotted" w:sz="4" w:space="0" w:color="auto"/>
              <w:left w:val="dotted" w:sz="4" w:space="0" w:color="auto"/>
              <w:bottom w:val="nil"/>
              <w:right w:val="single" w:sz="4" w:space="0" w:color="auto"/>
            </w:tcBorders>
          </w:tcPr>
          <w:p w:rsidR="00EE55EE" w:rsidRPr="006906E4" w:rsidRDefault="00EE55EE" w:rsidP="00DC4D04">
            <w:pPr>
              <w:pStyle w:val="TableTextLeft"/>
              <w:rPr>
                <w:rFonts w:cs="Arial"/>
                <w:sz w:val="16"/>
                <w:szCs w:val="16"/>
              </w:rPr>
            </w:pPr>
          </w:p>
        </w:tc>
        <w:tc>
          <w:tcPr>
            <w:tcW w:w="3260" w:type="dxa"/>
            <w:tcBorders>
              <w:top w:val="dotted" w:sz="4" w:space="0" w:color="auto"/>
              <w:left w:val="single" w:sz="4" w:space="0" w:color="auto"/>
              <w:bottom w:val="nil"/>
              <w:right w:val="single" w:sz="4" w:space="0" w:color="auto"/>
            </w:tcBorders>
          </w:tcPr>
          <w:p w:rsidR="00EE55EE" w:rsidRDefault="00EE55EE" w:rsidP="00DC4D04">
            <w:pPr>
              <w:pStyle w:val="TableTextLeft"/>
              <w:rPr>
                <w:rFonts w:cs="Arial"/>
                <w:szCs w:val="16"/>
              </w:rPr>
            </w:pPr>
            <w:r>
              <w:rPr>
                <w:rFonts w:cs="Arial"/>
                <w:szCs w:val="16"/>
              </w:rPr>
              <w:t>Stakeholders: Engagement to promote high levels of compliance among stakeholders</w:t>
            </w:r>
          </w:p>
        </w:tc>
        <w:tc>
          <w:tcPr>
            <w:tcW w:w="3375" w:type="dxa"/>
            <w:tcBorders>
              <w:top w:val="dotted" w:sz="4" w:space="0" w:color="auto"/>
              <w:left w:val="single" w:sz="4" w:space="0" w:color="auto"/>
              <w:bottom w:val="nil"/>
            </w:tcBorders>
          </w:tcPr>
          <w:p w:rsidR="00EE55EE" w:rsidRDefault="00EE55EE" w:rsidP="00DC4D04">
            <w:pPr>
              <w:pStyle w:val="TableTextLeft"/>
            </w:pPr>
          </w:p>
        </w:tc>
      </w:tr>
      <w:tr w:rsidR="00EE55EE" w:rsidRPr="00F71634" w:rsidTr="00DC4D04">
        <w:trPr>
          <w:trHeight w:val="145"/>
        </w:trPr>
        <w:tc>
          <w:tcPr>
            <w:tcW w:w="1276" w:type="dxa"/>
            <w:tcBorders>
              <w:top w:val="nil"/>
              <w:left w:val="dotted" w:sz="4" w:space="0" w:color="auto"/>
              <w:bottom w:val="nil"/>
              <w:right w:val="single" w:sz="4" w:space="0" w:color="auto"/>
            </w:tcBorders>
          </w:tcPr>
          <w:p w:rsidR="00EE55EE" w:rsidRPr="006906E4" w:rsidRDefault="00EE55EE" w:rsidP="00DC4D04">
            <w:pPr>
              <w:pStyle w:val="TableTextLeft"/>
              <w:rPr>
                <w:rFonts w:cs="Arial"/>
                <w:sz w:val="16"/>
                <w:szCs w:val="16"/>
              </w:rPr>
            </w:pPr>
          </w:p>
        </w:tc>
        <w:tc>
          <w:tcPr>
            <w:tcW w:w="3260" w:type="dxa"/>
            <w:tcBorders>
              <w:top w:val="nil"/>
              <w:left w:val="single" w:sz="4" w:space="0" w:color="auto"/>
              <w:bottom w:val="nil"/>
              <w:right w:val="single" w:sz="4" w:space="0" w:color="auto"/>
            </w:tcBorders>
          </w:tcPr>
          <w:p w:rsidR="00EE55EE" w:rsidRDefault="00EE55EE" w:rsidP="00EE55EE">
            <w:pPr>
              <w:pStyle w:val="TableTextLeft"/>
              <w:numPr>
                <w:ilvl w:val="0"/>
                <w:numId w:val="3"/>
              </w:numPr>
              <w:ind w:left="176" w:hanging="176"/>
              <w:rPr>
                <w:rFonts w:cs="Arial"/>
                <w:szCs w:val="16"/>
              </w:rPr>
            </w:pPr>
            <w:r>
              <w:rPr>
                <w:rFonts w:cs="Arial"/>
                <w:szCs w:val="16"/>
              </w:rPr>
              <w:t>Formal presentations delivered to stakeholders</w:t>
            </w:r>
          </w:p>
        </w:tc>
        <w:tc>
          <w:tcPr>
            <w:tcW w:w="3375" w:type="dxa"/>
            <w:tcBorders>
              <w:top w:val="nil"/>
              <w:left w:val="single" w:sz="4" w:space="0" w:color="auto"/>
              <w:bottom w:val="nil"/>
            </w:tcBorders>
          </w:tcPr>
          <w:p w:rsidR="00EE55EE" w:rsidRDefault="00EE55EE" w:rsidP="00DC4D04">
            <w:pPr>
              <w:pStyle w:val="TableTextLeft"/>
            </w:pPr>
            <w:r>
              <w:t>125</w:t>
            </w:r>
          </w:p>
        </w:tc>
      </w:tr>
      <w:tr w:rsidR="00EE55EE" w:rsidRPr="00F71634" w:rsidTr="00DC4D04">
        <w:trPr>
          <w:trHeight w:val="145"/>
        </w:trPr>
        <w:tc>
          <w:tcPr>
            <w:tcW w:w="1276" w:type="dxa"/>
            <w:tcBorders>
              <w:top w:val="nil"/>
              <w:left w:val="dotted" w:sz="4" w:space="0" w:color="auto"/>
              <w:bottom w:val="dotted" w:sz="4" w:space="0" w:color="auto"/>
              <w:right w:val="single" w:sz="4" w:space="0" w:color="auto"/>
            </w:tcBorders>
          </w:tcPr>
          <w:p w:rsidR="00EE55EE" w:rsidRPr="006906E4" w:rsidRDefault="00EE55EE" w:rsidP="00DC4D04">
            <w:pPr>
              <w:pStyle w:val="TableTextLeft"/>
              <w:rPr>
                <w:rFonts w:cs="Arial"/>
                <w:sz w:val="16"/>
                <w:szCs w:val="16"/>
              </w:rPr>
            </w:pPr>
          </w:p>
        </w:tc>
        <w:tc>
          <w:tcPr>
            <w:tcW w:w="3260" w:type="dxa"/>
            <w:tcBorders>
              <w:top w:val="nil"/>
              <w:left w:val="single" w:sz="4" w:space="0" w:color="auto"/>
              <w:bottom w:val="dotted" w:sz="4" w:space="0" w:color="auto"/>
              <w:right w:val="single" w:sz="4" w:space="0" w:color="auto"/>
            </w:tcBorders>
          </w:tcPr>
          <w:p w:rsidR="00EE55EE" w:rsidRDefault="00EE55EE" w:rsidP="00EE55EE">
            <w:pPr>
              <w:pStyle w:val="TableTextLeft"/>
              <w:numPr>
                <w:ilvl w:val="0"/>
                <w:numId w:val="3"/>
              </w:numPr>
              <w:ind w:left="176" w:hanging="176"/>
              <w:rPr>
                <w:rFonts w:cs="Arial"/>
                <w:szCs w:val="16"/>
              </w:rPr>
            </w:pPr>
            <w:r>
              <w:rPr>
                <w:rFonts w:cs="Arial"/>
                <w:szCs w:val="16"/>
              </w:rPr>
              <w:t xml:space="preserve">Stakeholders: Engagement to promote high levels of compliance among stakeholders—percentage surveyed industry participants satisfied or highly satisfied with contact by </w:t>
            </w:r>
            <w:proofErr w:type="spellStart"/>
            <w:r>
              <w:rPr>
                <w:rFonts w:cs="Arial"/>
                <w:szCs w:val="16"/>
              </w:rPr>
              <w:t>FWBII</w:t>
            </w:r>
            <w:proofErr w:type="spellEnd"/>
            <w:r>
              <w:rPr>
                <w:rFonts w:cs="Arial"/>
                <w:szCs w:val="16"/>
              </w:rPr>
              <w:t xml:space="preserve"> aimed at promoting appropriate standards of conduct.</w:t>
            </w:r>
          </w:p>
        </w:tc>
        <w:tc>
          <w:tcPr>
            <w:tcW w:w="3375" w:type="dxa"/>
            <w:tcBorders>
              <w:top w:val="nil"/>
              <w:left w:val="single" w:sz="4" w:space="0" w:color="auto"/>
              <w:bottom w:val="dotted" w:sz="4" w:space="0" w:color="auto"/>
            </w:tcBorders>
          </w:tcPr>
          <w:p w:rsidR="00EE55EE" w:rsidRDefault="00EE55EE" w:rsidP="00DC4D04">
            <w:pPr>
              <w:pStyle w:val="TableTextLeft"/>
            </w:pPr>
            <w:r>
              <w:t>75%</w:t>
            </w:r>
          </w:p>
        </w:tc>
      </w:tr>
      <w:tr w:rsidR="00EE55EE" w:rsidRPr="00F71634" w:rsidTr="00DC4D04">
        <w:trPr>
          <w:trHeight w:val="145"/>
        </w:trPr>
        <w:tc>
          <w:tcPr>
            <w:tcW w:w="1276" w:type="dxa"/>
            <w:tcBorders>
              <w:top w:val="dotted" w:sz="4" w:space="0" w:color="auto"/>
              <w:bottom w:val="dotted" w:sz="4" w:space="0" w:color="auto"/>
              <w:right w:val="single" w:sz="4" w:space="0" w:color="auto"/>
            </w:tcBorders>
          </w:tcPr>
          <w:p w:rsidR="00EE55EE" w:rsidRPr="003C7DB6" w:rsidRDefault="00EE55EE" w:rsidP="00DC4D04">
            <w:pPr>
              <w:pStyle w:val="TableTextLeft"/>
            </w:pPr>
            <w:r w:rsidRPr="003C7DB6">
              <w:t>2017–18 and beyond</w:t>
            </w:r>
          </w:p>
        </w:tc>
        <w:tc>
          <w:tcPr>
            <w:tcW w:w="3260" w:type="dxa"/>
            <w:tcBorders>
              <w:top w:val="dotted" w:sz="4" w:space="0" w:color="auto"/>
              <w:left w:val="single" w:sz="4" w:space="0" w:color="auto"/>
              <w:bottom w:val="dotted" w:sz="4" w:space="0" w:color="auto"/>
              <w:right w:val="single" w:sz="4" w:space="0" w:color="auto"/>
            </w:tcBorders>
          </w:tcPr>
          <w:p w:rsidR="00EE55EE" w:rsidRPr="005D4C32" w:rsidRDefault="00EE55EE" w:rsidP="00DC4D04">
            <w:pPr>
              <w:pStyle w:val="TableTextLeft"/>
            </w:pPr>
            <w:r>
              <w:t>As per 2016–17</w:t>
            </w:r>
          </w:p>
        </w:tc>
        <w:tc>
          <w:tcPr>
            <w:tcW w:w="3375" w:type="dxa"/>
            <w:tcBorders>
              <w:top w:val="dotted" w:sz="4" w:space="0" w:color="auto"/>
              <w:left w:val="single" w:sz="4" w:space="0" w:color="auto"/>
              <w:bottom w:val="dotted" w:sz="4" w:space="0" w:color="auto"/>
            </w:tcBorders>
          </w:tcPr>
          <w:p w:rsidR="00EE55EE" w:rsidRPr="005D4C32" w:rsidRDefault="00EE55EE" w:rsidP="00DC4D04">
            <w:pPr>
              <w:pStyle w:val="TableTextLeft"/>
            </w:pPr>
            <w:r>
              <w:t>As per 2016–17</w:t>
            </w:r>
          </w:p>
        </w:tc>
      </w:tr>
      <w:tr w:rsidR="00EE55EE" w:rsidRPr="00F71634" w:rsidTr="00DC4D04">
        <w:tc>
          <w:tcPr>
            <w:tcW w:w="7911" w:type="dxa"/>
            <w:gridSpan w:val="3"/>
            <w:shd w:val="clear" w:color="auto" w:fill="F2F2F2"/>
          </w:tcPr>
          <w:p w:rsidR="00EE55EE" w:rsidRPr="00F50EE1" w:rsidRDefault="00EE55EE" w:rsidP="00DC4D04">
            <w:pPr>
              <w:pStyle w:val="TableTextLeft"/>
              <w:rPr>
                <w:rFonts w:eastAsia="Cambria"/>
                <w:b/>
              </w:rPr>
            </w:pPr>
            <w:r w:rsidRPr="00F50EE1">
              <w:rPr>
                <w:rFonts w:eastAsia="Cambria"/>
                <w:b/>
              </w:rPr>
              <w:t>Material changes to Program 1.1 resulting from the following measures:</w:t>
            </w:r>
          </w:p>
          <w:p w:rsidR="00EE55EE" w:rsidRPr="00372F16" w:rsidRDefault="00EE55EE" w:rsidP="00DC4D04">
            <w:pPr>
              <w:pStyle w:val="TableTextLeft"/>
            </w:pPr>
            <w:r w:rsidRPr="00DA5E25">
              <w:rPr>
                <w:rFonts w:eastAsia="Cambria"/>
              </w:rPr>
              <w:t>Nil</w:t>
            </w:r>
          </w:p>
        </w:tc>
      </w:tr>
    </w:tbl>
    <w:p w:rsidR="00EE55EE" w:rsidRPr="00BE6D85" w:rsidRDefault="00EE55EE" w:rsidP="00EE55EE">
      <w:pPr>
        <w:pStyle w:val="Heading2"/>
      </w:pPr>
      <w:r w:rsidRPr="00C3303C">
        <w:rPr>
          <w:rFonts w:ascii="Book Antiqua" w:hAnsi="Book Antiqua"/>
          <w:i/>
          <w:color w:val="FF0000"/>
          <w:sz w:val="20"/>
        </w:rPr>
        <w:br w:type="page"/>
      </w:r>
      <w:bookmarkStart w:id="98" w:name="_Toc447006846"/>
      <w:bookmarkStart w:id="99" w:name="_Toc447007184"/>
      <w:bookmarkStart w:id="100" w:name="_Toc447007427"/>
      <w:bookmarkStart w:id="101" w:name="_Toc447008305"/>
      <w:bookmarkStart w:id="102" w:name="_Toc447008951"/>
      <w:bookmarkStart w:id="103" w:name="_Toc447013804"/>
      <w:bookmarkStart w:id="104" w:name="_Toc447016777"/>
      <w:bookmarkStart w:id="105" w:name="_Toc447115202"/>
      <w:bookmarkStart w:id="106" w:name="_Toc447115285"/>
      <w:bookmarkStart w:id="107" w:name="_Toc447115465"/>
      <w:bookmarkStart w:id="108" w:name="_Toc447116756"/>
      <w:bookmarkStart w:id="109" w:name="_Toc447117985"/>
      <w:bookmarkStart w:id="110" w:name="_Toc447119418"/>
      <w:bookmarkStart w:id="111" w:name="_Toc447709921"/>
      <w:bookmarkStart w:id="112" w:name="_Toc449100246"/>
      <w:bookmarkStart w:id="113" w:name="_Toc449623623"/>
      <w:r w:rsidRPr="00BE6D85">
        <w:lastRenderedPageBreak/>
        <w:t>Section 3: Budgeted financial statements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EE55EE" w:rsidRDefault="00EE55EE" w:rsidP="00EE55EE">
      <w:r>
        <w:t>Section 3 presents budgeted financial statements which provide a comprehensive snapshot of entity finances for the 2016–17</w:t>
      </w:r>
      <w:r>
        <w:rPr>
          <w:color w:val="00B050"/>
        </w:rPr>
        <w:t xml:space="preserve"> </w:t>
      </w:r>
      <w:r>
        <w:t xml:space="preserve">budget </w:t>
      </w:r>
      <w:proofErr w:type="gramStart"/>
      <w:r>
        <w:t>year</w:t>
      </w:r>
      <w:proofErr w:type="gramEnd"/>
      <w:r>
        <w:t>, including the impact of budget measures and resourcing on financial statements.</w:t>
      </w:r>
    </w:p>
    <w:p w:rsidR="00EE55EE" w:rsidRDefault="00EE55EE" w:rsidP="00EE55EE">
      <w:pPr>
        <w:pStyle w:val="Heading3"/>
      </w:pPr>
      <w:bookmarkStart w:id="114" w:name="_Toc447006847"/>
      <w:bookmarkStart w:id="115" w:name="_Toc447007185"/>
      <w:bookmarkStart w:id="116" w:name="_Toc447007428"/>
      <w:bookmarkStart w:id="117" w:name="_Toc447008306"/>
      <w:bookmarkStart w:id="118" w:name="_Toc447008952"/>
      <w:bookmarkStart w:id="119" w:name="_Toc447013805"/>
      <w:bookmarkStart w:id="120" w:name="_Toc447016778"/>
      <w:bookmarkStart w:id="121" w:name="_Toc447115203"/>
      <w:bookmarkStart w:id="122" w:name="_Toc447115286"/>
      <w:bookmarkStart w:id="123" w:name="_Toc447115466"/>
      <w:bookmarkStart w:id="124" w:name="_Toc447116757"/>
      <w:bookmarkStart w:id="125" w:name="_Toc447117986"/>
      <w:bookmarkStart w:id="126" w:name="_Toc447119419"/>
      <w:bookmarkStart w:id="127" w:name="_Toc447709922"/>
      <w:bookmarkStart w:id="128" w:name="_Toc449100247"/>
      <w:bookmarkStart w:id="129" w:name="_Toc449623624"/>
      <w:r>
        <w:t>3.1</w:t>
      </w:r>
      <w:r>
        <w:tab/>
        <w:t>Budgeted financial statements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EE55EE" w:rsidRDefault="00EE55EE" w:rsidP="00EE55EE">
      <w:pPr>
        <w:pStyle w:val="Heading4"/>
      </w:pPr>
      <w:r>
        <w:t>3.1.1</w:t>
      </w:r>
      <w:r>
        <w:tab/>
        <w:t>Differences between entity resourcing and financial statements</w:t>
      </w:r>
    </w:p>
    <w:p w:rsidR="00EE55EE" w:rsidRPr="00482003" w:rsidRDefault="00EE55EE" w:rsidP="00EE55EE">
      <w:pPr>
        <w:pStyle w:val="ExampleText"/>
      </w:pPr>
      <w:r>
        <w:rPr>
          <w:i w:val="0"/>
          <w:color w:val="auto"/>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2016–17 Budget year, including amounts related to meeting future employee entitlement obligations.</w:t>
      </w:r>
    </w:p>
    <w:p w:rsidR="00EE55EE" w:rsidRDefault="00EE55EE" w:rsidP="00EE55EE">
      <w:pPr>
        <w:pStyle w:val="Heading4"/>
      </w:pPr>
      <w:r>
        <w:t>3.1.2</w:t>
      </w:r>
      <w:r>
        <w:tab/>
        <w:t>Explanatory notes and analysis of budgeted financial statements</w:t>
      </w:r>
    </w:p>
    <w:p w:rsidR="00EE55EE" w:rsidRDefault="00EE55EE" w:rsidP="00EE55EE">
      <w:r>
        <w:t>The Fair Work Building Industry Inspectorate is budgeting for an operating loss equal to the unappropriated depreciation and amortisation expense of $1.1</w:t>
      </w:r>
      <w:proofErr w:type="gramStart"/>
      <w:r>
        <w:t>  million</w:t>
      </w:r>
      <w:proofErr w:type="gramEnd"/>
      <w:r>
        <w:t xml:space="preserve"> for the 2016–17 financial year.</w:t>
      </w:r>
    </w:p>
    <w:p w:rsidR="00EE55EE" w:rsidRDefault="00EE55EE" w:rsidP="00EE55EE">
      <w:r>
        <w:t>Total revenues are estimated to be $33.4 million and total expenses $34.5 million.</w:t>
      </w:r>
    </w:p>
    <w:p w:rsidR="00EE55EE" w:rsidRDefault="00EE55EE" w:rsidP="00EE55EE">
      <w:r>
        <w:t xml:space="preserve">Total assets at the end of the 2016–17 financial </w:t>
      </w:r>
      <w:proofErr w:type="gramStart"/>
      <w:r>
        <w:t>year</w:t>
      </w:r>
      <w:proofErr w:type="gramEnd"/>
      <w:r>
        <w:t xml:space="preserve"> are estimated to be $49.7 million. The majority of the assets represent receivables (appropriations receivable) and property fit outs. Asset acquisitions are planned in Information Technology equipment and systems and on office accommodation fit outs.</w:t>
      </w:r>
    </w:p>
    <w:p w:rsidR="00EE55EE" w:rsidRDefault="00EE55EE" w:rsidP="00EE55EE">
      <w:r>
        <w:t xml:space="preserve">Total liabilities for 2016–17 are estimated at $5.8 million. The largest liability item is accrued employee entitlements. </w:t>
      </w:r>
    </w:p>
    <w:p w:rsidR="00EE55EE" w:rsidRDefault="00EE55EE" w:rsidP="00EE55EE">
      <w:pPr>
        <w:pStyle w:val="Heading3"/>
      </w:pPr>
      <w:r>
        <w:br w:type="page"/>
      </w:r>
      <w:bookmarkStart w:id="130" w:name="_Toc447006848"/>
      <w:bookmarkStart w:id="131" w:name="_Toc447007186"/>
      <w:bookmarkStart w:id="132" w:name="_Toc447007429"/>
      <w:bookmarkStart w:id="133" w:name="_Toc447008307"/>
      <w:bookmarkStart w:id="134" w:name="_Toc447008953"/>
      <w:bookmarkStart w:id="135" w:name="_Toc447013806"/>
      <w:bookmarkStart w:id="136" w:name="_Toc447016779"/>
      <w:bookmarkStart w:id="137" w:name="_Toc447115204"/>
      <w:bookmarkStart w:id="138" w:name="_Toc447115287"/>
      <w:bookmarkStart w:id="139" w:name="_Toc447115467"/>
      <w:bookmarkStart w:id="140" w:name="_Toc447116758"/>
      <w:bookmarkStart w:id="141" w:name="_Toc447117987"/>
      <w:bookmarkStart w:id="142" w:name="_Toc447119420"/>
      <w:bookmarkStart w:id="143" w:name="_Toc447709923"/>
      <w:bookmarkStart w:id="144" w:name="_Toc449100248"/>
      <w:bookmarkStart w:id="145" w:name="_Toc449623625"/>
      <w:r>
        <w:lastRenderedPageBreak/>
        <w:t>3.2.1</w:t>
      </w:r>
      <w:r>
        <w:tab/>
        <w:t>Budgeted financial statements tables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EE55EE" w:rsidRDefault="00EE55EE" w:rsidP="00EE55EE">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EE55EE" w:rsidRPr="00F626C2" w:rsidRDefault="00EE55EE" w:rsidP="00EE55EE">
      <w:pPr>
        <w:pStyle w:val="TableGraphic"/>
      </w:pPr>
      <w:r w:rsidRPr="00F50EE1">
        <w:rPr>
          <w:noProof/>
        </w:rPr>
        <w:drawing>
          <wp:inline distT="0" distB="0" distL="0" distR="0" wp14:anchorId="006842A4" wp14:editId="3AD13451">
            <wp:extent cx="4896485" cy="4315599"/>
            <wp:effectExtent l="0" t="0" r="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6485" cy="4315599"/>
                    </a:xfrm>
                    <a:prstGeom prst="rect">
                      <a:avLst/>
                    </a:prstGeom>
                    <a:noFill/>
                    <a:ln>
                      <a:noFill/>
                    </a:ln>
                  </pic:spPr>
                </pic:pic>
              </a:graphicData>
            </a:graphic>
          </wp:inline>
        </w:drawing>
      </w:r>
    </w:p>
    <w:p w:rsidR="00EE55EE" w:rsidRDefault="00EE55EE" w:rsidP="00EE55EE">
      <w:r>
        <w:br w:type="page"/>
      </w:r>
    </w:p>
    <w:p w:rsidR="00EE55EE" w:rsidRDefault="00EE55EE" w:rsidP="00EE55EE">
      <w:pPr>
        <w:pStyle w:val="TableHeadingcontinued"/>
        <w:rPr>
          <w:snapToGrid w:val="0"/>
        </w:rPr>
      </w:pPr>
      <w:r w:rsidRPr="00E855E0">
        <w:lastRenderedPageBreak/>
        <w:t>Table</w:t>
      </w:r>
      <w:r>
        <w:t xml:space="preserve"> 3.</w:t>
      </w:r>
      <w:r w:rsidRPr="00E855E0">
        <w:t>1</w:t>
      </w:r>
      <w:r>
        <w:t>:</w:t>
      </w:r>
      <w:r w:rsidRPr="00E855E0">
        <w:t xml:space="preserve"> Comprehensive income statement (showing net cost of services)</w:t>
      </w:r>
      <w:r>
        <w:t xml:space="preserve"> </w:t>
      </w:r>
      <w:r>
        <w:rPr>
          <w:snapToGrid w:val="0"/>
        </w:rPr>
        <w:t>for the period ended 30 June (continued)</w:t>
      </w:r>
    </w:p>
    <w:p w:rsidR="00EE55EE" w:rsidRPr="0046245E" w:rsidRDefault="00EE55EE" w:rsidP="00EE55EE">
      <w:pPr>
        <w:pStyle w:val="TableGraphic"/>
      </w:pPr>
      <w:r>
        <w:t>Note: Impact of net cash appropriation arrangements</w:t>
      </w:r>
    </w:p>
    <w:p w:rsidR="00EE55EE" w:rsidRPr="00A965CD" w:rsidRDefault="00EE55EE" w:rsidP="00EE55EE">
      <w:pPr>
        <w:pStyle w:val="TableGraphic"/>
      </w:pPr>
      <w:r w:rsidRPr="00F50EE1">
        <w:rPr>
          <w:noProof/>
        </w:rPr>
        <w:drawing>
          <wp:inline distT="0" distB="0" distL="0" distR="0" wp14:anchorId="27B32FCE" wp14:editId="203DAF34">
            <wp:extent cx="4896485" cy="179654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6485" cy="1796548"/>
                    </a:xfrm>
                    <a:prstGeom prst="rect">
                      <a:avLst/>
                    </a:prstGeom>
                    <a:noFill/>
                    <a:ln>
                      <a:noFill/>
                    </a:ln>
                  </pic:spPr>
                </pic:pic>
              </a:graphicData>
            </a:graphic>
          </wp:inline>
        </w:drawing>
      </w:r>
    </w:p>
    <w:p w:rsidR="00EE55EE" w:rsidRPr="00096568" w:rsidRDefault="00EE55EE" w:rsidP="00EE55EE">
      <w:pPr>
        <w:pStyle w:val="ChartandTableFootnoteAlpha"/>
        <w:numPr>
          <w:ilvl w:val="0"/>
          <w:numId w:val="9"/>
        </w:numPr>
        <w:spacing w:before="120"/>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xml:space="preserve">, or </w:t>
      </w:r>
      <w:proofErr w:type="spellStart"/>
      <w:r>
        <w:t>DCB</w:t>
      </w:r>
      <w:proofErr w:type="spellEnd"/>
      <w:r>
        <w:t>) provided through Bill </w:t>
      </w:r>
      <w:r w:rsidRPr="003A3E7B">
        <w:t xml:space="preserve">1 equity appropriations. For information regarding </w:t>
      </w:r>
      <w:proofErr w:type="spellStart"/>
      <w:r w:rsidRPr="003A3E7B">
        <w:t>DCBs</w:t>
      </w:r>
      <w:proofErr w:type="spellEnd"/>
      <w:r w:rsidRPr="003A3E7B">
        <w:t>, please refer to Table</w:t>
      </w:r>
      <w:r>
        <w:t xml:space="preserve"> 3.</w:t>
      </w:r>
      <w:r w:rsidRPr="003A3E7B">
        <w:t>5 Departmental Capital Budget Statement.</w:t>
      </w:r>
      <w:r>
        <w:t xml:space="preserve"> </w:t>
      </w:r>
    </w:p>
    <w:p w:rsidR="00EE55EE" w:rsidRPr="00317DD1" w:rsidRDefault="00EE55EE" w:rsidP="00EE55EE">
      <w:pPr>
        <w:pStyle w:val="ChartandTableFootnote"/>
        <w:spacing w:before="120"/>
        <w:rPr>
          <w:lang w:val="en-AU"/>
        </w:rPr>
      </w:pPr>
      <w:r w:rsidRPr="00E4582E">
        <w:t>Prepared on Australian Accounting Standards basis</w:t>
      </w:r>
      <w:r>
        <w:t xml:space="preserve">. </w:t>
      </w:r>
    </w:p>
    <w:p w:rsidR="00EE55EE" w:rsidRDefault="00EE55EE" w:rsidP="00EE55EE">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p w:rsidR="00EE55EE" w:rsidRDefault="00EE55EE" w:rsidP="00EE55EE">
      <w:pPr>
        <w:pStyle w:val="TableGraphic"/>
      </w:pPr>
      <w:r w:rsidRPr="00F50EE1">
        <w:rPr>
          <w:noProof/>
        </w:rPr>
        <w:drawing>
          <wp:inline distT="0" distB="0" distL="0" distR="0" wp14:anchorId="6B38897A" wp14:editId="72FEFB89">
            <wp:extent cx="4896485" cy="49196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6485" cy="4919670"/>
                    </a:xfrm>
                    <a:prstGeom prst="rect">
                      <a:avLst/>
                    </a:prstGeom>
                    <a:noFill/>
                    <a:ln>
                      <a:noFill/>
                    </a:ln>
                  </pic:spPr>
                </pic:pic>
              </a:graphicData>
            </a:graphic>
          </wp:inline>
        </w:drawing>
      </w:r>
    </w:p>
    <w:p w:rsidR="00EE55EE" w:rsidRDefault="00EE55EE" w:rsidP="00EE55EE">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EE55EE" w:rsidRPr="00317DD1" w:rsidRDefault="00EE55EE" w:rsidP="00EE55EE">
      <w:pPr>
        <w:pStyle w:val="ChartandTableFootnote"/>
        <w:spacing w:before="120"/>
        <w:rPr>
          <w:lang w:val="en-AU"/>
        </w:rPr>
      </w:pPr>
      <w:r>
        <w:t>Prepared on Australian Accounting Standards basis.</w:t>
      </w:r>
    </w:p>
    <w:p w:rsidR="00EE55EE" w:rsidRDefault="00EE55EE" w:rsidP="00EE55EE">
      <w:pPr>
        <w:pStyle w:val="TableHeading"/>
      </w:pPr>
      <w:r>
        <w:br w:type="page"/>
      </w:r>
      <w:r>
        <w:lastRenderedPageBreak/>
        <w:t>Table 3.3</w:t>
      </w:r>
      <w:r w:rsidRPr="00D30CBA">
        <w:t xml:space="preserve">: Departmental </w:t>
      </w:r>
      <w:r>
        <w:t>s</w:t>
      </w:r>
      <w:r w:rsidRPr="00D30CBA">
        <w:t xml:space="preserve">tatement of </w:t>
      </w:r>
      <w:r>
        <w:t>c</w:t>
      </w:r>
      <w:r w:rsidRPr="00D30CBA">
        <w:t xml:space="preserve">hanges in </w:t>
      </w:r>
      <w:r>
        <w:t>equity</w:t>
      </w:r>
      <w:r>
        <w:rPr>
          <w:lang w:val="en-AU"/>
        </w:rPr>
        <w:t>—</w:t>
      </w:r>
      <w:r>
        <w:t>s</w:t>
      </w:r>
      <w:r w:rsidRPr="00D30CBA">
        <w:t>ummar</w:t>
      </w:r>
      <w:r>
        <w:t>y of movement (Budget year 2016</w:t>
      </w:r>
      <w:r>
        <w:rPr>
          <w:lang w:val="en-AU"/>
        </w:rPr>
        <w:t>–</w:t>
      </w:r>
      <w:r>
        <w:t>17</w:t>
      </w:r>
      <w:r w:rsidRPr="00D30CBA">
        <w:t>)</w:t>
      </w:r>
    </w:p>
    <w:p w:rsidR="00EE55EE" w:rsidRDefault="00EE55EE" w:rsidP="00EE55EE">
      <w:pPr>
        <w:pStyle w:val="ChartandTableFootnote"/>
        <w:rPr>
          <w:lang w:val="en-AU"/>
        </w:rPr>
      </w:pPr>
      <w:r w:rsidRPr="00F50EE1">
        <w:rPr>
          <w:noProof/>
          <w:lang w:val="en-AU" w:eastAsia="en-AU"/>
        </w:rPr>
        <w:drawing>
          <wp:inline distT="0" distB="0" distL="0" distR="0" wp14:anchorId="028C5017" wp14:editId="5BE92F89">
            <wp:extent cx="4896485" cy="2288269"/>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6485" cy="2288269"/>
                    </a:xfrm>
                    <a:prstGeom prst="rect">
                      <a:avLst/>
                    </a:prstGeom>
                    <a:noFill/>
                    <a:ln>
                      <a:noFill/>
                    </a:ln>
                  </pic:spPr>
                </pic:pic>
              </a:graphicData>
            </a:graphic>
          </wp:inline>
        </w:drawing>
      </w:r>
    </w:p>
    <w:p w:rsidR="00EE55EE" w:rsidRPr="00F50EE1" w:rsidRDefault="00EE55EE" w:rsidP="00EE55EE">
      <w:pPr>
        <w:pStyle w:val="ChartandTableFootnote"/>
        <w:spacing w:before="120"/>
        <w:rPr>
          <w:lang w:val="en-AU"/>
        </w:rPr>
      </w:pPr>
      <w:r>
        <w:t>Prepared on Australian Accounting Standards basis.</w:t>
      </w:r>
    </w:p>
    <w:p w:rsidR="00EE55EE" w:rsidRDefault="00EE55EE" w:rsidP="00EE55EE">
      <w:r>
        <w:br w:type="page"/>
      </w:r>
    </w:p>
    <w:p w:rsidR="00EE55EE" w:rsidRDefault="00EE55EE" w:rsidP="00EE55EE">
      <w:pPr>
        <w:pStyle w:val="TableHeading"/>
      </w:pP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EE55EE" w:rsidRDefault="00EE55EE" w:rsidP="00EE55EE">
      <w:pPr>
        <w:pStyle w:val="TableGraphic"/>
      </w:pPr>
      <w:r w:rsidRPr="00F50EE1">
        <w:rPr>
          <w:noProof/>
        </w:rPr>
        <w:drawing>
          <wp:inline distT="0" distB="0" distL="0" distR="0" wp14:anchorId="1687714F" wp14:editId="6512935A">
            <wp:extent cx="4896485" cy="5555073"/>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485" cy="5555073"/>
                    </a:xfrm>
                    <a:prstGeom prst="rect">
                      <a:avLst/>
                    </a:prstGeom>
                    <a:noFill/>
                    <a:ln>
                      <a:noFill/>
                    </a:ln>
                  </pic:spPr>
                </pic:pic>
              </a:graphicData>
            </a:graphic>
          </wp:inline>
        </w:drawing>
      </w:r>
    </w:p>
    <w:p w:rsidR="00EE55EE" w:rsidRDefault="00EE55EE" w:rsidP="00EE55EE">
      <w:pPr>
        <w:pStyle w:val="ChartandTableFootnote"/>
        <w:spacing w:before="120"/>
      </w:pPr>
      <w:r>
        <w:t>Prepared on Australian Accounting Standards basis.</w:t>
      </w:r>
    </w:p>
    <w:p w:rsidR="00EE55EE" w:rsidRPr="0041404E" w:rsidRDefault="00EE55EE" w:rsidP="00EE55EE">
      <w:pPr>
        <w:pStyle w:val="TableHeading"/>
      </w:pPr>
      <w:r>
        <w:br w:type="page"/>
      </w:r>
      <w:r w:rsidRPr="00D30CBA">
        <w:lastRenderedPageBreak/>
        <w:t>Table</w:t>
      </w:r>
      <w:r>
        <w:t xml:space="preserve"> 3.5</w:t>
      </w:r>
      <w:r w:rsidRPr="00D30CBA">
        <w:t xml:space="preserve">: </w:t>
      </w:r>
      <w:r>
        <w:t>Departmental capital budget statement (for the period ended 30</w:t>
      </w:r>
      <w:r>
        <w:rPr>
          <w:lang w:val="en-AU"/>
        </w:rPr>
        <w:t> June</w:t>
      </w:r>
      <w:r>
        <w:t>)</w:t>
      </w:r>
    </w:p>
    <w:p w:rsidR="00EE55EE" w:rsidRPr="00F10305" w:rsidRDefault="00EE55EE" w:rsidP="00EE55EE">
      <w:pPr>
        <w:pStyle w:val="TableGraphic"/>
      </w:pPr>
      <w:r w:rsidRPr="00B7432C">
        <w:rPr>
          <w:noProof/>
        </w:rPr>
        <w:drawing>
          <wp:inline distT="0" distB="0" distL="0" distR="0" wp14:anchorId="0169ED9F" wp14:editId="57CDA16F">
            <wp:extent cx="4896485" cy="3287926"/>
            <wp:effectExtent l="0" t="0" r="0"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6485" cy="3287926"/>
                    </a:xfrm>
                    <a:prstGeom prst="rect">
                      <a:avLst/>
                    </a:prstGeom>
                    <a:noFill/>
                    <a:ln>
                      <a:noFill/>
                    </a:ln>
                  </pic:spPr>
                </pic:pic>
              </a:graphicData>
            </a:graphic>
          </wp:inline>
        </w:drawing>
      </w:r>
    </w:p>
    <w:p w:rsidR="00EE55EE" w:rsidRDefault="00EE55EE" w:rsidP="00EE55EE">
      <w:pPr>
        <w:pStyle w:val="ChartandTableFootnoteAlpha"/>
        <w:numPr>
          <w:ilvl w:val="0"/>
          <w:numId w:val="10"/>
        </w:numPr>
        <w:spacing w:before="120"/>
      </w:pPr>
      <w:r>
        <w:t>Includes both current Bill 2 and prior Act 2/4/6 appropriations and special capital appropriations.</w:t>
      </w:r>
    </w:p>
    <w:p w:rsidR="00EE55EE" w:rsidRDefault="00EE55EE" w:rsidP="00EE55EE">
      <w:pPr>
        <w:pStyle w:val="ChartandTableFootnoteAlpha"/>
        <w:numPr>
          <w:ilvl w:val="0"/>
          <w:numId w:val="2"/>
        </w:numPr>
      </w:pPr>
      <w:r>
        <w:t>Does not include annual finance lease costs. Includes purchases from current and previous years’ Departmental capital budgets (</w:t>
      </w:r>
      <w:proofErr w:type="spellStart"/>
      <w:r>
        <w:t>DCBs</w:t>
      </w:r>
      <w:proofErr w:type="spellEnd"/>
      <w:r>
        <w:t>).</w:t>
      </w:r>
    </w:p>
    <w:p w:rsidR="00EE55EE" w:rsidRDefault="00EE55EE" w:rsidP="00EE55EE">
      <w:pPr>
        <w:pStyle w:val="ChartandTableFootnoteAlpha"/>
        <w:numPr>
          <w:ilvl w:val="0"/>
          <w:numId w:val="2"/>
        </w:numPr>
      </w:pPr>
      <w:r>
        <w:t>Includes the following sources of funding:</w:t>
      </w:r>
    </w:p>
    <w:p w:rsidR="00EE55EE" w:rsidRDefault="00EE55EE" w:rsidP="00EE55EE">
      <w:pPr>
        <w:pStyle w:val="ChartandTableFootnoteAlpha"/>
        <w:numPr>
          <w:ilvl w:val="0"/>
          <w:numId w:val="4"/>
        </w:numPr>
        <w:tabs>
          <w:tab w:val="left" w:pos="567"/>
        </w:tabs>
        <w:ind w:left="567" w:hanging="283"/>
      </w:pPr>
      <w:r>
        <w:t xml:space="preserve">current Bill 1 and prior year Act 1/3/5 appropriations (excluding amounts from the </w:t>
      </w:r>
      <w:proofErr w:type="spellStart"/>
      <w:r>
        <w:t>DCB</w:t>
      </w:r>
      <w:proofErr w:type="spellEnd"/>
      <w:r>
        <w:t>);</w:t>
      </w:r>
    </w:p>
    <w:p w:rsidR="00EE55EE" w:rsidRDefault="00EE55EE" w:rsidP="00EE55EE">
      <w:pPr>
        <w:pStyle w:val="ChartandTableFootnoteAlpha"/>
        <w:numPr>
          <w:ilvl w:val="0"/>
          <w:numId w:val="4"/>
        </w:numPr>
        <w:tabs>
          <w:tab w:val="left" w:pos="567"/>
        </w:tabs>
        <w:ind w:left="567" w:hanging="283"/>
      </w:pPr>
      <w:r>
        <w:t>internally developed assets;</w:t>
      </w:r>
    </w:p>
    <w:p w:rsidR="00EE55EE" w:rsidRDefault="00EE55EE" w:rsidP="00EE55EE">
      <w:pPr>
        <w:pStyle w:val="ChartandTableFootnoteAlpha"/>
        <w:numPr>
          <w:ilvl w:val="0"/>
          <w:numId w:val="4"/>
        </w:numPr>
        <w:tabs>
          <w:tab w:val="left" w:pos="567"/>
        </w:tabs>
        <w:ind w:left="567" w:hanging="283"/>
      </w:pPr>
      <w:r>
        <w:t>s 74 Retained revenue receipts; and</w:t>
      </w:r>
    </w:p>
    <w:p w:rsidR="00EE55EE" w:rsidRDefault="00EE55EE" w:rsidP="00EE55EE">
      <w:pPr>
        <w:pStyle w:val="ChartandTableFootnoteAlpha"/>
        <w:numPr>
          <w:ilvl w:val="0"/>
          <w:numId w:val="4"/>
        </w:numPr>
        <w:tabs>
          <w:tab w:val="left" w:pos="567"/>
        </w:tabs>
        <w:ind w:left="567" w:hanging="283"/>
      </w:pPr>
      <w:proofErr w:type="gramStart"/>
      <w:r>
        <w:t>proceeds</w:t>
      </w:r>
      <w:proofErr w:type="gramEnd"/>
      <w:r>
        <w:t xml:space="preserve"> from the sale of assets.</w:t>
      </w:r>
    </w:p>
    <w:p w:rsidR="00EE55EE" w:rsidRDefault="00EE55EE" w:rsidP="00EE55EE">
      <w:pPr>
        <w:pStyle w:val="ChartandTableFootnote"/>
        <w:spacing w:before="120"/>
      </w:pPr>
      <w:r>
        <w:t>Prepared on Australian Accounting Standards basis.</w:t>
      </w:r>
    </w:p>
    <w:p w:rsidR="00EE55EE" w:rsidRDefault="00EE55EE" w:rsidP="00EE55EE"/>
    <w:p w:rsidR="00EE55EE" w:rsidRDefault="00EE55EE" w:rsidP="00EE55EE">
      <w:pPr>
        <w:pStyle w:val="ExampleText"/>
        <w:sectPr w:rsidR="00EE55EE" w:rsidSect="00A7282C">
          <w:headerReference w:type="even" r:id="rId21"/>
          <w:type w:val="oddPage"/>
          <w:pgSz w:w="11907" w:h="16839" w:code="9"/>
          <w:pgMar w:top="2466" w:right="2098" w:bottom="2466" w:left="2098" w:header="1899" w:footer="1899" w:gutter="0"/>
          <w:cols w:space="708"/>
          <w:docGrid w:linePitch="360"/>
        </w:sectPr>
      </w:pPr>
    </w:p>
    <w:p w:rsidR="00EE55EE" w:rsidRDefault="00EE55EE" w:rsidP="00EE55EE">
      <w:pPr>
        <w:pStyle w:val="TableHeading"/>
      </w:pPr>
      <w:r w:rsidRPr="00D30CBA">
        <w:lastRenderedPageBreak/>
        <w:t>Table</w:t>
      </w:r>
      <w:r>
        <w:t xml:space="preserve"> 3.6</w:t>
      </w:r>
      <w:r w:rsidRPr="00D30CBA">
        <w:t xml:space="preserve">: </w:t>
      </w:r>
      <w:r>
        <w:t>Statement of asset movements (Budget year 2016</w:t>
      </w:r>
      <w:r>
        <w:rPr>
          <w:lang w:val="en-AU"/>
        </w:rPr>
        <w:t>–</w:t>
      </w:r>
      <w:r>
        <w:t>17)</w:t>
      </w:r>
    </w:p>
    <w:p w:rsidR="00EE55EE" w:rsidRPr="008E7DCC" w:rsidRDefault="00EE55EE" w:rsidP="00EE55EE">
      <w:pPr>
        <w:pStyle w:val="TableGraphic"/>
      </w:pPr>
      <w:r w:rsidRPr="00B7432C">
        <w:rPr>
          <w:noProof/>
        </w:rPr>
        <w:drawing>
          <wp:inline distT="0" distB="0" distL="0" distR="0" wp14:anchorId="7A261D92" wp14:editId="23496DEB">
            <wp:extent cx="4896485" cy="310633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6485" cy="3106338"/>
                    </a:xfrm>
                    <a:prstGeom prst="rect">
                      <a:avLst/>
                    </a:prstGeom>
                    <a:noFill/>
                    <a:ln>
                      <a:noFill/>
                    </a:ln>
                  </pic:spPr>
                </pic:pic>
              </a:graphicData>
            </a:graphic>
          </wp:inline>
        </w:drawing>
      </w:r>
    </w:p>
    <w:p w:rsidR="00EE55EE" w:rsidRPr="00B7432C" w:rsidRDefault="00EE55EE" w:rsidP="00EE55EE">
      <w:pPr>
        <w:pStyle w:val="ChartandTableFootnoteAlpha"/>
        <w:numPr>
          <w:ilvl w:val="0"/>
          <w:numId w:val="12"/>
        </w:numPr>
        <w:spacing w:before="120"/>
      </w:pPr>
      <w:r>
        <w:t xml:space="preserve">Appropriation equity refers to Appropriation Bill (No. 1) 2015–16 for depreciation/amortisation expenses, </w:t>
      </w:r>
      <w:proofErr w:type="spellStart"/>
      <w:r>
        <w:t>DCBs</w:t>
      </w:r>
      <w:proofErr w:type="spellEnd"/>
      <w:r>
        <w:t xml:space="preserve"> or other operational expenses and equity injections appropriations provided through Appropriation Bill (No. 2) 2015–16, including </w:t>
      </w:r>
      <w:proofErr w:type="spellStart"/>
      <w:r>
        <w:t>CDABs</w:t>
      </w:r>
      <w:proofErr w:type="spellEnd"/>
      <w:r>
        <w:t>.</w:t>
      </w:r>
    </w:p>
    <w:p w:rsidR="00EE55EE" w:rsidRPr="00317DD1" w:rsidRDefault="00EE55EE" w:rsidP="00EE55EE">
      <w:pPr>
        <w:pStyle w:val="ChartandTableFootnote"/>
        <w:spacing w:before="120"/>
        <w:rPr>
          <w:lang w:val="en-AU"/>
        </w:rPr>
      </w:pPr>
      <w:proofErr w:type="gramStart"/>
      <w:r>
        <w:rPr>
          <w:lang w:val="en-AU"/>
        </w:rPr>
        <w:t>Prepared on Australian Accounting Standards basis.</w:t>
      </w:r>
      <w:proofErr w:type="gramEnd"/>
    </w:p>
    <w:p w:rsidR="00EE55EE" w:rsidRDefault="00EE55EE" w:rsidP="00EE55EE">
      <w:pPr>
        <w:spacing w:after="0"/>
        <w:rPr>
          <w:b/>
          <w:color w:val="000000"/>
          <w:lang w:val="x-none" w:eastAsia="x-none"/>
        </w:rPr>
      </w:pPr>
      <w:r>
        <w:br w:type="page"/>
      </w:r>
    </w:p>
    <w:p w:rsidR="00EE55EE" w:rsidRDefault="00EE55EE" w:rsidP="00EE55EE">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EE55EE" w:rsidRPr="00317DD1" w:rsidRDefault="00EE55EE" w:rsidP="00EE55EE">
      <w:pPr>
        <w:pStyle w:val="TableGraphic"/>
      </w:pPr>
      <w:r>
        <w:t>The Fair Work Building Industry Inspectorate has no budgeted administered income or expenses. For this reason Table 3.7 is not presented.</w:t>
      </w:r>
    </w:p>
    <w:p w:rsidR="00EE55EE" w:rsidRDefault="00EE55EE" w:rsidP="00EE55EE">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EE55EE" w:rsidRPr="00317DD1" w:rsidRDefault="00EE55EE" w:rsidP="00EE55EE">
      <w:pPr>
        <w:pStyle w:val="TableGraphic"/>
      </w:pPr>
      <w:r>
        <w:t>The Fair Work Building Industry Inspectorate has no budgeted administered assets or liabilities. For this reason Table 3.8 is not presented.</w:t>
      </w:r>
    </w:p>
    <w:p w:rsidR="00EE55EE" w:rsidRDefault="00EE55EE" w:rsidP="00EE55EE">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rsidR="00EE55EE" w:rsidRPr="00317DD1" w:rsidRDefault="00EE55EE" w:rsidP="00EE55EE">
      <w:pPr>
        <w:pStyle w:val="TableGraphic"/>
      </w:pPr>
      <w:r>
        <w:t>The Fair Work Building Industry Inspectorate has no budgeted administered cash flows. For this reason Table 3.9 is not presented.</w:t>
      </w:r>
    </w:p>
    <w:p w:rsidR="00EE55EE" w:rsidRDefault="00EE55EE" w:rsidP="00EE55EE">
      <w:pPr>
        <w:pStyle w:val="TableHeading"/>
        <w:rPr>
          <w:lang w:val="en-AU"/>
        </w:rPr>
      </w:pPr>
      <w:r w:rsidRPr="00D30CBA">
        <w:t>Table</w:t>
      </w:r>
      <w:r>
        <w:t xml:space="preserve"> 3.10</w:t>
      </w:r>
      <w:r w:rsidRPr="00D30CBA">
        <w:t xml:space="preserve">: </w:t>
      </w:r>
      <w:r>
        <w:t xml:space="preserve">Administered capital budget statement (for the period ended 30 </w:t>
      </w:r>
      <w:r>
        <w:rPr>
          <w:lang w:val="en-AU"/>
        </w:rPr>
        <w:t> </w:t>
      </w:r>
      <w:r>
        <w:t>June)</w:t>
      </w:r>
    </w:p>
    <w:p w:rsidR="00EE55EE" w:rsidRPr="00317DD1" w:rsidRDefault="00EE55EE" w:rsidP="00EE55EE">
      <w:pPr>
        <w:pStyle w:val="TableGraphic"/>
      </w:pPr>
      <w:r>
        <w:t>The Fair Work Building Industry Inspectorate has no administered capital budget. For this reason Table 3.10 is not presented.</w:t>
      </w:r>
    </w:p>
    <w:p w:rsidR="00EE55EE" w:rsidRDefault="00EE55EE" w:rsidP="00EE55EE">
      <w:pPr>
        <w:pStyle w:val="TableHeading"/>
        <w:spacing w:after="0"/>
      </w:pPr>
      <w:r>
        <w:t xml:space="preserve">Table 3.11: Statement of administered asset movements (Budget year </w:t>
      </w:r>
      <w:r>
        <w:rPr>
          <w:lang w:val="en-AU"/>
        </w:rPr>
        <w:br/>
      </w:r>
      <w:r>
        <w:t>2016</w:t>
      </w:r>
      <w:r>
        <w:rPr>
          <w:lang w:val="en-AU"/>
        </w:rPr>
        <w:t>–</w:t>
      </w:r>
      <w:r>
        <w:t xml:space="preserve">17) </w:t>
      </w:r>
    </w:p>
    <w:p w:rsidR="00504A6D" w:rsidRDefault="00EE55EE" w:rsidP="00EE55EE">
      <w:r>
        <w:t>The Fair Work Building Industry Inspectorate has no administered non-financial assets. For this reason Table 3.11 is not presented.</w:t>
      </w:r>
      <w:bookmarkStart w:id="146" w:name="_GoBack"/>
      <w:bookmarkEnd w:id="146"/>
    </w:p>
    <w:sectPr w:rsidR="00504A6D" w:rsidSect="00EE55E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5EE" w:rsidRDefault="00EE55EE" w:rsidP="00EE55EE">
      <w:pPr>
        <w:spacing w:after="0"/>
      </w:pPr>
      <w:r>
        <w:separator/>
      </w:r>
    </w:p>
  </w:endnote>
  <w:endnote w:type="continuationSeparator" w:id="0">
    <w:p w:rsidR="00EE55EE" w:rsidRDefault="00EE55EE" w:rsidP="00EE55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681241"/>
      <w:docPartObj>
        <w:docPartGallery w:val="Page Numbers (Bottom of Page)"/>
        <w:docPartUnique/>
      </w:docPartObj>
    </w:sdtPr>
    <w:sdtEndPr>
      <w:rPr>
        <w:noProof/>
      </w:rPr>
    </w:sdtEndPr>
    <w:sdtContent>
      <w:p w:rsidR="00EE55EE" w:rsidRPr="00EE55EE" w:rsidRDefault="00EE55EE" w:rsidP="00EE55EE">
        <w:pPr>
          <w:pStyle w:val="Footer"/>
        </w:pPr>
        <w:r>
          <w:fldChar w:fldCharType="begin"/>
        </w:r>
        <w:r>
          <w:instrText xml:space="preserve"> PAGE   \* MERGEFORMAT </w:instrText>
        </w:r>
        <w:r>
          <w:fldChar w:fldCharType="separate"/>
        </w:r>
        <w:r>
          <w:rPr>
            <w:noProof/>
          </w:rPr>
          <w:t>160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5EE" w:rsidRDefault="00EE55EE">
    <w:pPr>
      <w:pStyle w:val="Footer"/>
    </w:pPr>
  </w:p>
  <w:p w:rsidR="00226CD4" w:rsidRDefault="00EE55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E425E5" w:rsidRDefault="00EE55EE" w:rsidP="00E425E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157</w:t>
    </w:r>
    <w:r>
      <w:rPr>
        <w:rStyle w:val="PageNumber"/>
      </w:rPr>
      <w:fldChar w:fldCharType="end"/>
    </w:r>
    <w:r>
      <w:fldChar w:fldCharType="begin"/>
    </w:r>
    <w:r>
      <w:instrText xml:space="preserve"> KEYWORDS  \* MERGEFORMAT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5EE" w:rsidRDefault="00EE55EE" w:rsidP="00EE55EE">
      <w:pPr>
        <w:spacing w:after="0"/>
      </w:pPr>
      <w:r>
        <w:separator/>
      </w:r>
    </w:p>
  </w:footnote>
  <w:footnote w:type="continuationSeparator" w:id="0">
    <w:p w:rsidR="00EE55EE" w:rsidRDefault="00EE55EE" w:rsidP="00EE55E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D7563B" w:rsidRDefault="00EE55EE" w:rsidP="00D7563B">
    <w:pPr>
      <w:pStyle w:val="HeaderOdd"/>
    </w:pPr>
    <w:proofErr w:type="spellStart"/>
    <w:r>
      <w:t>FWBII</w:t>
    </w:r>
    <w:proofErr w:type="spellEnd"/>
    <w:r>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D7563B" w:rsidRDefault="00EE55EE" w:rsidP="003364C1">
    <w:pPr>
      <w:pStyle w:val="Header"/>
      <w:rPr>
        <w:lang w:val="en-AU"/>
      </w:rPr>
    </w:pPr>
    <w:proofErr w:type="spellStart"/>
    <w:r>
      <w:rPr>
        <w:lang w:val="en-AU"/>
      </w:rPr>
      <w:t>FWBII</w:t>
    </w:r>
    <w:proofErr w:type="spellEnd"/>
    <w:r>
      <w:rPr>
        <w:lang w:val="en-AU"/>
      </w:rPr>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1D19"/>
    <w:multiLevelType w:val="hybridMultilevel"/>
    <w:tmpl w:val="87C8A5F8"/>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649D1C4F"/>
    <w:multiLevelType w:val="hybridMultilevel"/>
    <w:tmpl w:val="897E1F8E"/>
    <w:lvl w:ilvl="0" w:tplc="8E306B24">
      <w:start w:val="1"/>
      <w:numFmt w:val="bullet"/>
      <w:lvlText w:val=""/>
      <w:lvlJc w:val="left"/>
      <w:pPr>
        <w:tabs>
          <w:tab w:val="num" w:pos="284"/>
        </w:tabs>
        <w:ind w:left="284" w:hanging="284"/>
      </w:pPr>
      <w:rPr>
        <w:rFonts w:ascii="Wingdings" w:hAnsi="Wingdings" w:hint="default"/>
        <w:color w:val="auto"/>
        <w:sz w:val="22"/>
      </w:rPr>
    </w:lvl>
    <w:lvl w:ilvl="1" w:tplc="60D8CA4A">
      <w:start w:val="1"/>
      <w:numFmt w:val="bullet"/>
      <w:lvlText w:val="-"/>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736C563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startOverride w:val="1"/>
    </w:lvlOverride>
  </w:num>
  <w:num w:numId="2">
    <w:abstractNumId w:val="2"/>
    <w:lvlOverride w:ilvl="0">
      <w:startOverride w:val="1"/>
    </w:lvlOverride>
  </w:num>
  <w:num w:numId="3">
    <w:abstractNumId w:val="0"/>
  </w:num>
  <w:num w:numId="4">
    <w:abstractNumId w:val="3"/>
  </w:num>
  <w:num w:numId="5">
    <w:abstractNumId w:val="1"/>
  </w:num>
  <w:num w:numId="6">
    <w:abstractNumId w:val="4"/>
  </w:num>
  <w:num w:numId="7">
    <w:abstractNumId w:val="2"/>
    <w:lvlOverride w:ilvl="0">
      <w:startOverride w:val="1"/>
    </w:lvlOverride>
  </w:num>
  <w:num w:numId="8">
    <w:abstractNumId w:val="5"/>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5EE"/>
    <w:rsid w:val="004F6C10"/>
    <w:rsid w:val="00504A6D"/>
    <w:rsid w:val="00533004"/>
    <w:rsid w:val="00EE5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5EE"/>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EE55EE"/>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EE55EE"/>
    <w:pPr>
      <w:keepNext/>
      <w:spacing w:before="240" w:after="240"/>
      <w:outlineLvl w:val="1"/>
    </w:pPr>
    <w:rPr>
      <w:rFonts w:ascii="Arial" w:hAnsi="Arial"/>
      <w:sz w:val="30"/>
    </w:rPr>
  </w:style>
  <w:style w:type="paragraph" w:styleId="Heading3">
    <w:name w:val="heading 3"/>
    <w:basedOn w:val="Normal"/>
    <w:next w:val="Normal"/>
    <w:link w:val="Heading3Char"/>
    <w:qFormat/>
    <w:rsid w:val="00EE55EE"/>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EE55EE"/>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EE55EE"/>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5E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EE55E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EE55E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EE55EE"/>
    <w:rPr>
      <w:rFonts w:ascii="Arial" w:eastAsia="Times New Roman" w:hAnsi="Arial" w:cs="Times New Roman"/>
      <w:b/>
      <w:szCs w:val="20"/>
      <w:lang w:eastAsia="en-AU"/>
    </w:rPr>
  </w:style>
  <w:style w:type="character" w:customStyle="1" w:styleId="Heading5Char">
    <w:name w:val="Heading 5 Char"/>
    <w:basedOn w:val="DefaultParagraphFont"/>
    <w:link w:val="Heading5"/>
    <w:rsid w:val="00EE55EE"/>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EE55EE"/>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EE55EE"/>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EE55EE"/>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EE55EE"/>
    <w:pPr>
      <w:keepNext/>
      <w:spacing w:after="360"/>
      <w:jc w:val="center"/>
    </w:pPr>
    <w:rPr>
      <w:rFonts w:ascii="Arial" w:hAnsi="Arial"/>
      <w:b/>
      <w:smallCaps/>
      <w:sz w:val="34"/>
    </w:rPr>
  </w:style>
  <w:style w:type="paragraph" w:customStyle="1" w:styleId="TableGraphic">
    <w:name w:val="Table Graphic"/>
    <w:basedOn w:val="Normal"/>
    <w:next w:val="Normal"/>
    <w:rsid w:val="00EE55EE"/>
    <w:pPr>
      <w:spacing w:after="0"/>
      <w:ind w:right="-113"/>
    </w:pPr>
  </w:style>
  <w:style w:type="paragraph" w:customStyle="1" w:styleId="TableTextLeft">
    <w:name w:val="Table Text Left"/>
    <w:basedOn w:val="Normal"/>
    <w:link w:val="TableTextLeftChar"/>
    <w:rsid w:val="00EE55EE"/>
    <w:pPr>
      <w:spacing w:before="60" w:after="60"/>
    </w:pPr>
    <w:rPr>
      <w:rFonts w:ascii="Arial" w:hAnsi="Arial"/>
      <w:sz w:val="18"/>
    </w:rPr>
  </w:style>
  <w:style w:type="paragraph" w:customStyle="1" w:styleId="TableColumnHeadingLeft">
    <w:name w:val="Table Column Heading Left"/>
    <w:basedOn w:val="Normal"/>
    <w:next w:val="TableTextLeft"/>
    <w:rsid w:val="00EE55EE"/>
    <w:pPr>
      <w:spacing w:before="60" w:after="60"/>
    </w:pPr>
    <w:rPr>
      <w:rFonts w:ascii="Arial" w:hAnsi="Arial"/>
      <w:b/>
      <w:sz w:val="20"/>
    </w:rPr>
  </w:style>
  <w:style w:type="paragraph" w:customStyle="1" w:styleId="TableHeadingcontinued">
    <w:name w:val="Table Heading continued"/>
    <w:basedOn w:val="Normal"/>
    <w:next w:val="TableGraphic"/>
    <w:rsid w:val="00EE55EE"/>
    <w:pPr>
      <w:keepNext/>
      <w:spacing w:before="120" w:after="20"/>
    </w:pPr>
    <w:rPr>
      <w:b/>
    </w:rPr>
  </w:style>
  <w:style w:type="paragraph" w:customStyle="1" w:styleId="HeaderEven">
    <w:name w:val="Header Even"/>
    <w:basedOn w:val="Normal"/>
    <w:rsid w:val="00EE55EE"/>
    <w:pPr>
      <w:spacing w:after="0"/>
    </w:pPr>
    <w:rPr>
      <w:i/>
      <w:sz w:val="20"/>
    </w:rPr>
  </w:style>
  <w:style w:type="paragraph" w:customStyle="1" w:styleId="HeaderOdd">
    <w:name w:val="Header Odd"/>
    <w:basedOn w:val="Normal"/>
    <w:rsid w:val="00EE55EE"/>
    <w:pPr>
      <w:spacing w:after="0"/>
      <w:jc w:val="right"/>
    </w:pPr>
    <w:rPr>
      <w:i/>
      <w:sz w:val="20"/>
    </w:rPr>
  </w:style>
  <w:style w:type="paragraph" w:styleId="Header">
    <w:name w:val="header"/>
    <w:basedOn w:val="Normal"/>
    <w:link w:val="HeaderChar"/>
    <w:uiPriority w:val="99"/>
    <w:rsid w:val="00EE55EE"/>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EE55EE"/>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EE55EE"/>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EE55EE"/>
    <w:rPr>
      <w:rFonts w:ascii="Arial" w:eastAsia="Times New Roman" w:hAnsi="Arial" w:cs="Times New Roman"/>
      <w:sz w:val="20"/>
      <w:szCs w:val="20"/>
      <w:lang w:val="x-none" w:eastAsia="x-none"/>
    </w:rPr>
  </w:style>
  <w:style w:type="paragraph" w:styleId="TOC1">
    <w:name w:val="toc 1"/>
    <w:basedOn w:val="Normal"/>
    <w:next w:val="Normal"/>
    <w:uiPriority w:val="39"/>
    <w:rsid w:val="00EE55EE"/>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EE55EE"/>
    <w:pPr>
      <w:keepNext/>
      <w:tabs>
        <w:tab w:val="right" w:leader="dot" w:pos="7700"/>
      </w:tabs>
      <w:spacing w:before="80" w:after="0"/>
      <w:ind w:right="851"/>
    </w:pPr>
    <w:rPr>
      <w:rFonts w:ascii="Arial" w:hAnsi="Arial"/>
      <w:sz w:val="20"/>
    </w:rPr>
  </w:style>
  <w:style w:type="character" w:styleId="PageNumber">
    <w:name w:val="page number"/>
    <w:rsid w:val="00EE55EE"/>
    <w:rPr>
      <w:rFonts w:ascii="Arial" w:hAnsi="Arial" w:cs="Arial"/>
    </w:rPr>
  </w:style>
  <w:style w:type="paragraph" w:customStyle="1" w:styleId="Department">
    <w:name w:val="Department"/>
    <w:basedOn w:val="Normal"/>
    <w:rsid w:val="00EE55EE"/>
    <w:pPr>
      <w:spacing w:after="0"/>
      <w:jc w:val="center"/>
    </w:pPr>
    <w:rPr>
      <w:rFonts w:ascii="Arial" w:hAnsi="Arial"/>
      <w:b/>
      <w:sz w:val="52"/>
    </w:rPr>
  </w:style>
  <w:style w:type="paragraph" w:customStyle="1" w:styleId="DepartmentSubtitle">
    <w:name w:val="Department Subtitle"/>
    <w:basedOn w:val="Department"/>
    <w:rsid w:val="00EE55EE"/>
    <w:rPr>
      <w:sz w:val="44"/>
    </w:rPr>
  </w:style>
  <w:style w:type="character" w:styleId="Hyperlink">
    <w:name w:val="Hyperlink"/>
    <w:uiPriority w:val="99"/>
    <w:rsid w:val="00EE55EE"/>
    <w:rPr>
      <w:color w:val="000000"/>
      <w:u w:val="none"/>
    </w:rPr>
  </w:style>
  <w:style w:type="character" w:customStyle="1" w:styleId="TableHeadingChar">
    <w:name w:val="Table Heading Char"/>
    <w:link w:val="TableHeading"/>
    <w:rsid w:val="00EE55EE"/>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EE55EE"/>
    <w:rPr>
      <w:rFonts w:ascii="Arial" w:eastAsia="Times New Roman" w:hAnsi="Arial" w:cs="Times New Roman"/>
      <w:sz w:val="18"/>
      <w:szCs w:val="20"/>
      <w:lang w:eastAsia="en-AU"/>
    </w:rPr>
  </w:style>
  <w:style w:type="character" w:customStyle="1" w:styleId="ChartandTableFootnoteChar">
    <w:name w:val="Chart and Table Footnote Char"/>
    <w:link w:val="ChartandTableFootnote"/>
    <w:rsid w:val="00EE55EE"/>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EE55EE"/>
    <w:rPr>
      <w:i/>
      <w:color w:val="FF0000"/>
    </w:rPr>
  </w:style>
  <w:style w:type="paragraph" w:styleId="BodyText">
    <w:name w:val="Body Text"/>
    <w:basedOn w:val="Normal"/>
    <w:link w:val="BodyTextChar"/>
    <w:qFormat/>
    <w:rsid w:val="00EE55EE"/>
    <w:rPr>
      <w:rFonts w:eastAsia="Cambria"/>
      <w:szCs w:val="22"/>
      <w:lang w:val="x-none" w:eastAsia="en-US"/>
    </w:rPr>
  </w:style>
  <w:style w:type="character" w:customStyle="1" w:styleId="BodyTextChar">
    <w:name w:val="Body Text Char"/>
    <w:basedOn w:val="DefaultParagraphFont"/>
    <w:link w:val="BodyText"/>
    <w:rsid w:val="00EE55EE"/>
    <w:rPr>
      <w:rFonts w:ascii="Book Antiqua" w:eastAsia="Cambria" w:hAnsi="Book Antiqua" w:cs="Times New Roman"/>
      <w:lang w:val="x-none"/>
    </w:rPr>
  </w:style>
  <w:style w:type="paragraph" w:customStyle="1" w:styleId="Bullets">
    <w:name w:val="Bullets"/>
    <w:basedOn w:val="Normal"/>
    <w:link w:val="BulletsChar"/>
    <w:qFormat/>
    <w:rsid w:val="00EE55EE"/>
    <w:pPr>
      <w:numPr>
        <w:numId w:val="5"/>
      </w:numPr>
      <w:spacing w:before="60" w:after="60"/>
    </w:pPr>
    <w:rPr>
      <w:rFonts w:cs="Arial"/>
      <w:color w:val="000000"/>
      <w:szCs w:val="16"/>
      <w:lang w:eastAsia="en-US"/>
    </w:rPr>
  </w:style>
  <w:style w:type="character" w:customStyle="1" w:styleId="BulletsChar">
    <w:name w:val="Bullets Char"/>
    <w:link w:val="Bullets"/>
    <w:locked/>
    <w:rsid w:val="00EE55EE"/>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EE55E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5EE"/>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5EE"/>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EE55EE"/>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EE55EE"/>
    <w:pPr>
      <w:keepNext/>
      <w:spacing w:before="240" w:after="240"/>
      <w:outlineLvl w:val="1"/>
    </w:pPr>
    <w:rPr>
      <w:rFonts w:ascii="Arial" w:hAnsi="Arial"/>
      <w:sz w:val="30"/>
    </w:rPr>
  </w:style>
  <w:style w:type="paragraph" w:styleId="Heading3">
    <w:name w:val="heading 3"/>
    <w:basedOn w:val="Normal"/>
    <w:next w:val="Normal"/>
    <w:link w:val="Heading3Char"/>
    <w:qFormat/>
    <w:rsid w:val="00EE55EE"/>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EE55EE"/>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EE55EE"/>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5E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EE55E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EE55E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EE55EE"/>
    <w:rPr>
      <w:rFonts w:ascii="Arial" w:eastAsia="Times New Roman" w:hAnsi="Arial" w:cs="Times New Roman"/>
      <w:b/>
      <w:szCs w:val="20"/>
      <w:lang w:eastAsia="en-AU"/>
    </w:rPr>
  </w:style>
  <w:style w:type="character" w:customStyle="1" w:styleId="Heading5Char">
    <w:name w:val="Heading 5 Char"/>
    <w:basedOn w:val="DefaultParagraphFont"/>
    <w:link w:val="Heading5"/>
    <w:rsid w:val="00EE55EE"/>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EE55EE"/>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EE55EE"/>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EE55EE"/>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EE55EE"/>
    <w:pPr>
      <w:keepNext/>
      <w:spacing w:after="360"/>
      <w:jc w:val="center"/>
    </w:pPr>
    <w:rPr>
      <w:rFonts w:ascii="Arial" w:hAnsi="Arial"/>
      <w:b/>
      <w:smallCaps/>
      <w:sz w:val="34"/>
    </w:rPr>
  </w:style>
  <w:style w:type="paragraph" w:customStyle="1" w:styleId="TableGraphic">
    <w:name w:val="Table Graphic"/>
    <w:basedOn w:val="Normal"/>
    <w:next w:val="Normal"/>
    <w:rsid w:val="00EE55EE"/>
    <w:pPr>
      <w:spacing w:after="0"/>
      <w:ind w:right="-113"/>
    </w:pPr>
  </w:style>
  <w:style w:type="paragraph" w:customStyle="1" w:styleId="TableTextLeft">
    <w:name w:val="Table Text Left"/>
    <w:basedOn w:val="Normal"/>
    <w:link w:val="TableTextLeftChar"/>
    <w:rsid w:val="00EE55EE"/>
    <w:pPr>
      <w:spacing w:before="60" w:after="60"/>
    </w:pPr>
    <w:rPr>
      <w:rFonts w:ascii="Arial" w:hAnsi="Arial"/>
      <w:sz w:val="18"/>
    </w:rPr>
  </w:style>
  <w:style w:type="paragraph" w:customStyle="1" w:styleId="TableColumnHeadingLeft">
    <w:name w:val="Table Column Heading Left"/>
    <w:basedOn w:val="Normal"/>
    <w:next w:val="TableTextLeft"/>
    <w:rsid w:val="00EE55EE"/>
    <w:pPr>
      <w:spacing w:before="60" w:after="60"/>
    </w:pPr>
    <w:rPr>
      <w:rFonts w:ascii="Arial" w:hAnsi="Arial"/>
      <w:b/>
      <w:sz w:val="20"/>
    </w:rPr>
  </w:style>
  <w:style w:type="paragraph" w:customStyle="1" w:styleId="TableHeadingcontinued">
    <w:name w:val="Table Heading continued"/>
    <w:basedOn w:val="Normal"/>
    <w:next w:val="TableGraphic"/>
    <w:rsid w:val="00EE55EE"/>
    <w:pPr>
      <w:keepNext/>
      <w:spacing w:before="120" w:after="20"/>
    </w:pPr>
    <w:rPr>
      <w:b/>
    </w:rPr>
  </w:style>
  <w:style w:type="paragraph" w:customStyle="1" w:styleId="HeaderEven">
    <w:name w:val="Header Even"/>
    <w:basedOn w:val="Normal"/>
    <w:rsid w:val="00EE55EE"/>
    <w:pPr>
      <w:spacing w:after="0"/>
    </w:pPr>
    <w:rPr>
      <w:i/>
      <w:sz w:val="20"/>
    </w:rPr>
  </w:style>
  <w:style w:type="paragraph" w:customStyle="1" w:styleId="HeaderOdd">
    <w:name w:val="Header Odd"/>
    <w:basedOn w:val="Normal"/>
    <w:rsid w:val="00EE55EE"/>
    <w:pPr>
      <w:spacing w:after="0"/>
      <w:jc w:val="right"/>
    </w:pPr>
    <w:rPr>
      <w:i/>
      <w:sz w:val="20"/>
    </w:rPr>
  </w:style>
  <w:style w:type="paragraph" w:styleId="Header">
    <w:name w:val="header"/>
    <w:basedOn w:val="Normal"/>
    <w:link w:val="HeaderChar"/>
    <w:uiPriority w:val="99"/>
    <w:rsid w:val="00EE55EE"/>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EE55EE"/>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EE55EE"/>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EE55EE"/>
    <w:rPr>
      <w:rFonts w:ascii="Arial" w:eastAsia="Times New Roman" w:hAnsi="Arial" w:cs="Times New Roman"/>
      <w:sz w:val="20"/>
      <w:szCs w:val="20"/>
      <w:lang w:val="x-none" w:eastAsia="x-none"/>
    </w:rPr>
  </w:style>
  <w:style w:type="paragraph" w:styleId="TOC1">
    <w:name w:val="toc 1"/>
    <w:basedOn w:val="Normal"/>
    <w:next w:val="Normal"/>
    <w:uiPriority w:val="39"/>
    <w:rsid w:val="00EE55EE"/>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EE55EE"/>
    <w:pPr>
      <w:keepNext/>
      <w:tabs>
        <w:tab w:val="right" w:leader="dot" w:pos="7700"/>
      </w:tabs>
      <w:spacing w:before="80" w:after="0"/>
      <w:ind w:right="851"/>
    </w:pPr>
    <w:rPr>
      <w:rFonts w:ascii="Arial" w:hAnsi="Arial"/>
      <w:sz w:val="20"/>
    </w:rPr>
  </w:style>
  <w:style w:type="character" w:styleId="PageNumber">
    <w:name w:val="page number"/>
    <w:rsid w:val="00EE55EE"/>
    <w:rPr>
      <w:rFonts w:ascii="Arial" w:hAnsi="Arial" w:cs="Arial"/>
    </w:rPr>
  </w:style>
  <w:style w:type="paragraph" w:customStyle="1" w:styleId="Department">
    <w:name w:val="Department"/>
    <w:basedOn w:val="Normal"/>
    <w:rsid w:val="00EE55EE"/>
    <w:pPr>
      <w:spacing w:after="0"/>
      <w:jc w:val="center"/>
    </w:pPr>
    <w:rPr>
      <w:rFonts w:ascii="Arial" w:hAnsi="Arial"/>
      <w:b/>
      <w:sz w:val="52"/>
    </w:rPr>
  </w:style>
  <w:style w:type="paragraph" w:customStyle="1" w:styleId="DepartmentSubtitle">
    <w:name w:val="Department Subtitle"/>
    <w:basedOn w:val="Department"/>
    <w:rsid w:val="00EE55EE"/>
    <w:rPr>
      <w:sz w:val="44"/>
    </w:rPr>
  </w:style>
  <w:style w:type="character" w:styleId="Hyperlink">
    <w:name w:val="Hyperlink"/>
    <w:uiPriority w:val="99"/>
    <w:rsid w:val="00EE55EE"/>
    <w:rPr>
      <w:color w:val="000000"/>
      <w:u w:val="none"/>
    </w:rPr>
  </w:style>
  <w:style w:type="character" w:customStyle="1" w:styleId="TableHeadingChar">
    <w:name w:val="Table Heading Char"/>
    <w:link w:val="TableHeading"/>
    <w:rsid w:val="00EE55EE"/>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EE55EE"/>
    <w:rPr>
      <w:rFonts w:ascii="Arial" w:eastAsia="Times New Roman" w:hAnsi="Arial" w:cs="Times New Roman"/>
      <w:sz w:val="18"/>
      <w:szCs w:val="20"/>
      <w:lang w:eastAsia="en-AU"/>
    </w:rPr>
  </w:style>
  <w:style w:type="character" w:customStyle="1" w:styleId="ChartandTableFootnoteChar">
    <w:name w:val="Chart and Table Footnote Char"/>
    <w:link w:val="ChartandTableFootnote"/>
    <w:rsid w:val="00EE55EE"/>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EE55EE"/>
    <w:rPr>
      <w:i/>
      <w:color w:val="FF0000"/>
    </w:rPr>
  </w:style>
  <w:style w:type="paragraph" w:styleId="BodyText">
    <w:name w:val="Body Text"/>
    <w:basedOn w:val="Normal"/>
    <w:link w:val="BodyTextChar"/>
    <w:qFormat/>
    <w:rsid w:val="00EE55EE"/>
    <w:rPr>
      <w:rFonts w:eastAsia="Cambria"/>
      <w:szCs w:val="22"/>
      <w:lang w:val="x-none" w:eastAsia="en-US"/>
    </w:rPr>
  </w:style>
  <w:style w:type="character" w:customStyle="1" w:styleId="BodyTextChar">
    <w:name w:val="Body Text Char"/>
    <w:basedOn w:val="DefaultParagraphFont"/>
    <w:link w:val="BodyText"/>
    <w:rsid w:val="00EE55EE"/>
    <w:rPr>
      <w:rFonts w:ascii="Book Antiqua" w:eastAsia="Cambria" w:hAnsi="Book Antiqua" w:cs="Times New Roman"/>
      <w:lang w:val="x-none"/>
    </w:rPr>
  </w:style>
  <w:style w:type="paragraph" w:customStyle="1" w:styleId="Bullets">
    <w:name w:val="Bullets"/>
    <w:basedOn w:val="Normal"/>
    <w:link w:val="BulletsChar"/>
    <w:qFormat/>
    <w:rsid w:val="00EE55EE"/>
    <w:pPr>
      <w:numPr>
        <w:numId w:val="5"/>
      </w:numPr>
      <w:spacing w:before="60" w:after="60"/>
    </w:pPr>
    <w:rPr>
      <w:rFonts w:cs="Arial"/>
      <w:color w:val="000000"/>
      <w:szCs w:val="16"/>
      <w:lang w:eastAsia="en-US"/>
    </w:rPr>
  </w:style>
  <w:style w:type="character" w:customStyle="1" w:styleId="BulletsChar">
    <w:name w:val="Bullets Char"/>
    <w:link w:val="Bullets"/>
    <w:locked/>
    <w:rsid w:val="00EE55EE"/>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EE55E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5EE"/>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2</TotalTime>
  <Pages>20</Pages>
  <Words>2423</Words>
  <Characters>13812</Characters>
  <Application>Microsoft Office Word</Application>
  <DocSecurity>0</DocSecurity>
  <Lines>115</Lines>
  <Paragraphs>32</Paragraphs>
  <ScaleCrop>false</ScaleCrop>
  <Company>Australian Government</Company>
  <LinksUpToDate>false</LinksUpToDate>
  <CharactersWithSpaces>16203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1</cp:revision>
  <dcterms:created xsi:type="dcterms:W3CDTF">2016-05-02T04:27:00Z</dcterms:created>
  <dcterms:modified xsi:type="dcterms:W3CDTF">2016-05-02T04:29:00Z</dcterms:modified>
</cp:coreProperties>
</file>