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7217" behindDoc="1" locked="0" layoutInCell="1" allowOverlap="1" wp14:anchorId="5B80CB99" wp14:editId="11224AD3">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9FA0E0E" w:rsidR="000D06F7" w:rsidRDefault="003E1735" w:rsidP="00DD7333">
      <w:pPr>
        <w:pStyle w:val="Title"/>
      </w:pPr>
      <w:r>
        <w:rPr>
          <w:noProof/>
          <w:lang w:eastAsia="en-AU"/>
        </w:rPr>
        <w:drawing>
          <wp:anchor distT="0" distB="0" distL="114300" distR="114300" simplePos="0" relativeHeight="251659266" behindDoc="1" locked="0" layoutInCell="1" allowOverlap="1" wp14:anchorId="09746908" wp14:editId="4CCDF4D3">
            <wp:simplePos x="0" y="0"/>
            <wp:positionH relativeFrom="margin">
              <wp:posOffset>6055360</wp:posOffset>
            </wp:positionH>
            <wp:positionV relativeFrom="paragraph">
              <wp:posOffset>1131570</wp:posOffset>
            </wp:positionV>
            <wp:extent cx="3419475" cy="3871595"/>
            <wp:effectExtent l="0" t="0" r="9525" b="0"/>
            <wp:wrapTight wrapText="bothSides">
              <wp:wrapPolygon edited="0">
                <wp:start x="0" y="0"/>
                <wp:lineTo x="0" y="21469"/>
                <wp:lineTo x="21540" y="21469"/>
                <wp:lineTo x="21540" y="0"/>
                <wp:lineTo x="0" y="0"/>
              </wp:wrapPolygon>
            </wp:wrapTight>
            <wp:docPr id="2" name="Picture 2" descr="Geographical map of the Hobart and Southern Tasmani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Hobart and Southern Tasmania Employment Region"/>
                    <pic:cNvPicPr/>
                  </pic:nvPicPr>
                  <pic:blipFill rotWithShape="1">
                    <a:blip r:embed="rId11"/>
                    <a:srcRect t="9364"/>
                    <a:stretch/>
                  </pic:blipFill>
                  <pic:spPr bwMode="auto">
                    <a:xfrm>
                      <a:off x="0" y="0"/>
                      <a:ext cx="3419475" cy="387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02C792BC" w:rsidR="000D06F7" w:rsidRPr="000D06F7" w:rsidRDefault="00983877" w:rsidP="00186F5B">
      <w:pPr>
        <w:pStyle w:val="Subtitle"/>
        <w:spacing w:after="0"/>
        <w:rPr>
          <w:rStyle w:val="Strong"/>
          <w:b/>
          <w:bCs w:val="0"/>
        </w:rPr>
      </w:pPr>
      <w:r>
        <w:t>Hobart and Southern Tasmania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TAS</w:t>
      </w:r>
      <w:r w:rsidR="000D06F7" w:rsidRPr="000D06F7">
        <w:rPr>
          <w:color w:val="0076BD" w:themeColor="text2"/>
        </w:rPr>
        <w:t xml:space="preserve"> | </w:t>
      </w:r>
      <w:r w:rsidR="00703DE3">
        <w:rPr>
          <w:rStyle w:val="Strong"/>
          <w:b/>
          <w:bCs w:val="0"/>
        </w:rPr>
        <w:t>March 2</w:t>
      </w:r>
      <w:r>
        <w:rPr>
          <w:rStyle w:val="Strong"/>
          <w:b/>
          <w:bCs w:val="0"/>
        </w:rPr>
        <w:t>02</w:t>
      </w:r>
      <w:r w:rsidR="00703DE3">
        <w:rPr>
          <w:rStyle w:val="Strong"/>
          <w:b/>
          <w:bCs w:val="0"/>
        </w:rPr>
        <w:t>5</w:t>
      </w:r>
      <w:r w:rsidR="00E41CC6">
        <w:rPr>
          <w:rStyle w:val="Strong"/>
          <w:b/>
          <w:bCs w:val="0"/>
        </w:rPr>
        <w:t xml:space="preserve"> </w:t>
      </w:r>
    </w:p>
    <w:p w14:paraId="728E0E94" w14:textId="47C53CA2"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7216" behindDoc="1" locked="0" layoutInCell="1" allowOverlap="1" wp14:anchorId="7D7817BF" wp14:editId="03EC0902">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F0910" id="Rectangle 3" o:spid="_x0000_s1026" alt="&quot;&quot;" style="position:absolute;margin-left:-7.75pt;margin-top:302.25pt;width:472.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06988A6E" w:rsidR="000D06F7" w:rsidRDefault="005D6EA7" w:rsidP="000D06F7">
      <w:pPr>
        <w:pStyle w:val="Heading3"/>
      </w:pPr>
      <w:r>
        <w:t>Job Coordinator</w:t>
      </w:r>
    </w:p>
    <w:p w14:paraId="53449B5D" w14:textId="250351AA" w:rsidR="000D06F7" w:rsidRDefault="005D6EA7" w:rsidP="000D06F7">
      <w:pPr>
        <w:spacing w:after="120"/>
      </w:pPr>
      <w:r>
        <w:t>Job Coordinator</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738F1002"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0B60A6FA" w:rsidR="000D06F7" w:rsidRDefault="00F914D3" w:rsidP="000D06F7">
      <w:pPr>
        <w:pStyle w:val="Heading3"/>
      </w:pPr>
      <w:r>
        <w:t>Program Funds</w:t>
      </w:r>
      <w:r w:rsidR="000D06F7">
        <w:t xml:space="preserve"> </w:t>
      </w:r>
    </w:p>
    <w:p w14:paraId="595F4A1A" w14:textId="348F626A"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218" behindDoc="0" locked="0" layoutInCell="1" allowOverlap="1" wp14:anchorId="10DD071C" wp14:editId="6B9D43D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3E9C13E"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2" w:history="1">
                              <w:r w:rsidR="0050569C" w:rsidRPr="003E1735">
                                <w:rPr>
                                  <w:rStyle w:val="Hyperlink"/>
                                </w:rPr>
                                <w:t>Hobart and Southern Tasmania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3E9C13E"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3" w:history="1">
                        <w:r w:rsidR="0050569C" w:rsidRPr="003E1735">
                          <w:rPr>
                            <w:rStyle w:val="Hyperlink"/>
                          </w:rPr>
                          <w:t>Hobart and Southern Tasmania</w:t>
                        </w:r>
                      </w:hyperlink>
                      <w:r w:rsidRPr="00E61F67">
                        <w:rPr>
                          <w:color w:val="051532" w:themeColor="text1"/>
                        </w:rPr>
                        <w:t xml:space="preserve"> Employment Region</w:t>
                      </w:r>
                    </w:p>
                  </w:txbxContent>
                </v:textbox>
                <w10:wrap anchory="page"/>
              </v:roundrect>
            </w:pict>
          </mc:Fallback>
        </mc:AlternateContent>
      </w:r>
      <w:r w:rsidR="00F914D3" w:rsidRPr="00F914D3">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EB6B35">
      <w:pPr>
        <w:pStyle w:val="Heading2"/>
        <w:spacing w:before="480" w:after="12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2B1593FD" w14:textId="13F77F2E" w:rsidR="008248CD" w:rsidRPr="000859FD" w:rsidRDefault="008248CD" w:rsidP="00D92FAE">
      <w:pPr>
        <w:numPr>
          <w:ilvl w:val="0"/>
          <w:numId w:val="14"/>
        </w:numPr>
        <w:spacing w:after="0"/>
        <w:ind w:left="284" w:hanging="284"/>
      </w:pPr>
      <w:r w:rsidRPr="000859FD">
        <w:t xml:space="preserve">High demand </w:t>
      </w:r>
      <w:r w:rsidR="00FF5111" w:rsidRPr="000859FD">
        <w:t xml:space="preserve">for entry level and skilled workers </w:t>
      </w:r>
      <w:r w:rsidRPr="000859FD">
        <w:t xml:space="preserve">in </w:t>
      </w:r>
      <w:r w:rsidR="00063005" w:rsidRPr="000859FD">
        <w:t xml:space="preserve">growth </w:t>
      </w:r>
      <w:r w:rsidRPr="000859FD">
        <w:t>sectors such as healthcare</w:t>
      </w:r>
      <w:r w:rsidR="0006047C" w:rsidRPr="000859FD">
        <w:t xml:space="preserve">, </w:t>
      </w:r>
      <w:r w:rsidRPr="000859FD">
        <w:t>social assistance and construction.  </w:t>
      </w:r>
    </w:p>
    <w:p w14:paraId="75DB2D5E" w14:textId="5C4ECCC4" w:rsidR="008248CD" w:rsidRPr="000859FD" w:rsidRDefault="00D037EF" w:rsidP="000859FD">
      <w:pPr>
        <w:numPr>
          <w:ilvl w:val="0"/>
          <w:numId w:val="14"/>
        </w:numPr>
        <w:spacing w:after="0"/>
        <w:ind w:left="284" w:hanging="284"/>
      </w:pPr>
      <w:r w:rsidRPr="000859FD">
        <w:t>G</w:t>
      </w:r>
      <w:r w:rsidR="008248CD" w:rsidRPr="000859FD">
        <w:t>enerational low educational attainment</w:t>
      </w:r>
      <w:r w:rsidR="000859FD" w:rsidRPr="000859FD">
        <w:t xml:space="preserve"> and low language, literacy, numeracy and digital literacy skill and access in some parts of the region.</w:t>
      </w:r>
    </w:p>
    <w:p w14:paraId="46875AF3" w14:textId="1B592313" w:rsidR="006246EE" w:rsidRPr="006246EE" w:rsidRDefault="006246EE" w:rsidP="006246EE">
      <w:pPr>
        <w:numPr>
          <w:ilvl w:val="0"/>
          <w:numId w:val="14"/>
        </w:numPr>
        <w:spacing w:after="0"/>
        <w:ind w:left="284" w:hanging="284"/>
        <w:rPr>
          <w:rFonts w:eastAsia="Times New Roman"/>
          <w:lang w:val="en-US"/>
        </w:rPr>
      </w:pPr>
      <w:r w:rsidRPr="00D92FAE">
        <w:t xml:space="preserve">High degree of labour market </w:t>
      </w:r>
      <w:r>
        <w:t>challenge</w:t>
      </w:r>
      <w:r w:rsidRPr="00D92FAE">
        <w:t xml:space="preserve"> experienced by key cohorts such as youth</w:t>
      </w:r>
      <w:r w:rsidRPr="00D92FAE">
        <w:rPr>
          <w:rFonts w:eastAsia="Times New Roman"/>
          <w:lang w:val="en-US"/>
        </w:rPr>
        <w:t>,</w:t>
      </w:r>
      <w:r>
        <w:rPr>
          <w:rFonts w:eastAsia="Times New Roman"/>
          <w:lang w:val="en-US"/>
        </w:rPr>
        <w:t xml:space="preserve"> </w:t>
      </w:r>
      <w:r w:rsidRPr="005D6EA7">
        <w:rPr>
          <w:rFonts w:eastAsia="Times New Roman"/>
        </w:rPr>
        <w:t>culturally and linguistically diverse</w:t>
      </w:r>
      <w:r w:rsidRPr="00D92FAE">
        <w:rPr>
          <w:rFonts w:eastAsia="Times New Roman"/>
          <w:lang w:val="en-US"/>
        </w:rPr>
        <w:t xml:space="preserve"> </w:t>
      </w:r>
      <w:r>
        <w:rPr>
          <w:rFonts w:eastAsia="Times New Roman"/>
          <w:lang w:val="en-US"/>
        </w:rPr>
        <w:t>(</w:t>
      </w:r>
      <w:r w:rsidRPr="00D92FAE">
        <w:rPr>
          <w:rFonts w:eastAsia="Times New Roman"/>
          <w:lang w:val="en-US"/>
        </w:rPr>
        <w:t>CALD</w:t>
      </w:r>
      <w:r>
        <w:rPr>
          <w:rFonts w:eastAsia="Times New Roman"/>
          <w:lang w:val="en-US"/>
        </w:rPr>
        <w:t>)</w:t>
      </w:r>
      <w:r w:rsidRPr="00D92FAE">
        <w:rPr>
          <w:rFonts w:eastAsia="Times New Roman"/>
          <w:lang w:val="en-US"/>
        </w:rPr>
        <w:t>, First Nations and mature age people, especially in rural and regional areas.</w:t>
      </w:r>
    </w:p>
    <w:p w14:paraId="05E11C34" w14:textId="31E145E0" w:rsidR="00250763" w:rsidRPr="00D92FAE" w:rsidRDefault="00ED24F6" w:rsidP="00F3071E">
      <w:pPr>
        <w:numPr>
          <w:ilvl w:val="0"/>
          <w:numId w:val="14"/>
        </w:numPr>
        <w:spacing w:after="0"/>
        <w:ind w:left="284" w:hanging="284"/>
      </w:pPr>
      <w:r w:rsidRPr="00D92FAE">
        <w:br w:type="column"/>
      </w:r>
      <w:r w:rsidR="009C5187" w:rsidRPr="00D92FAE">
        <w:t>Limited public transport outside metropolitan areas</w:t>
      </w:r>
      <w:r w:rsidR="00202E0D" w:rsidRPr="00D92FAE">
        <w:t xml:space="preserve"> and </w:t>
      </w:r>
      <w:r w:rsidR="006A6E64" w:rsidRPr="00D92FAE">
        <w:t xml:space="preserve">limited </w:t>
      </w:r>
      <w:r w:rsidR="00BB268B" w:rsidRPr="00D92FAE">
        <w:t xml:space="preserve">access to </w:t>
      </w:r>
      <w:r w:rsidR="009C5187" w:rsidRPr="00D92FAE">
        <w:t>learner driver support</w:t>
      </w:r>
      <w:r w:rsidR="00CD77EA" w:rsidRPr="00D92FAE">
        <w:t>,</w:t>
      </w:r>
      <w:r w:rsidR="009C5187" w:rsidRPr="00D92FAE">
        <w:t xml:space="preserve"> </w:t>
      </w:r>
      <w:r w:rsidR="002C6805" w:rsidRPr="00D92FAE">
        <w:t>impact</w:t>
      </w:r>
      <w:r w:rsidR="00CD77EA" w:rsidRPr="00D92FAE">
        <w:t>ing</w:t>
      </w:r>
      <w:r w:rsidR="002C6805" w:rsidRPr="00D92FAE">
        <w:t xml:space="preserve"> access to</w:t>
      </w:r>
      <w:r w:rsidR="009C5187" w:rsidRPr="00D92FAE">
        <w:t xml:space="preserve"> </w:t>
      </w:r>
      <w:r w:rsidR="00CC3C30" w:rsidRPr="00D92FAE">
        <w:t xml:space="preserve">work and training </w:t>
      </w:r>
      <w:r w:rsidR="009C5187" w:rsidRPr="00D92FAE">
        <w:t>opportunities</w:t>
      </w:r>
      <w:r w:rsidR="00D92FAE">
        <w:t xml:space="preserve">, </w:t>
      </w:r>
      <w:r w:rsidR="009C5187" w:rsidRPr="00D92FAE">
        <w:t xml:space="preserve">particularly </w:t>
      </w:r>
      <w:r w:rsidR="00DB70C7" w:rsidRPr="00D92FAE">
        <w:t>affecting</w:t>
      </w:r>
      <w:r w:rsidR="00F1027B" w:rsidRPr="00D92FAE">
        <w:t xml:space="preserve"> </w:t>
      </w:r>
      <w:r w:rsidR="009C5187" w:rsidRPr="00D92FAE">
        <w:t>young people. </w:t>
      </w:r>
    </w:p>
    <w:p w14:paraId="34B8966E" w14:textId="77777777" w:rsidR="00DD7333" w:rsidRPr="00D92FAE" w:rsidRDefault="00DB70C7" w:rsidP="00D92FAE">
      <w:pPr>
        <w:numPr>
          <w:ilvl w:val="0"/>
          <w:numId w:val="14"/>
        </w:numPr>
        <w:spacing w:after="0"/>
        <w:ind w:left="284" w:hanging="284"/>
      </w:pPr>
      <w:r w:rsidRPr="00D92FAE">
        <w:t>Shortage of housing and high rental costs</w:t>
      </w:r>
      <w:r w:rsidR="00126E57" w:rsidRPr="00D92FAE">
        <w:t xml:space="preserve">, impacting low-income households and </w:t>
      </w:r>
      <w:r w:rsidR="00416029" w:rsidRPr="00D92FAE">
        <w:t>workers required to relocate for employment.</w:t>
      </w:r>
    </w:p>
    <w:p w14:paraId="45C1B8F1" w14:textId="77777777" w:rsidR="006246EE" w:rsidRPr="000859FD" w:rsidRDefault="006246EE" w:rsidP="006246EE">
      <w:pPr>
        <w:numPr>
          <w:ilvl w:val="0"/>
          <w:numId w:val="14"/>
        </w:numPr>
        <w:spacing w:after="0"/>
        <w:ind w:left="284" w:hanging="284"/>
      </w:pPr>
      <w:r w:rsidRPr="000859FD">
        <w:t xml:space="preserve">Low rates of workforce participation and an ageing population where more workers </w:t>
      </w:r>
      <w:r>
        <w:t>are</w:t>
      </w:r>
      <w:r w:rsidRPr="000859FD">
        <w:t xml:space="preserve"> exiting the labour market than entering</w:t>
      </w:r>
      <w:r>
        <w:t>.</w:t>
      </w:r>
    </w:p>
    <w:p w14:paraId="39F56A60" w14:textId="6535A2CC" w:rsidR="00D92FAE" w:rsidRPr="006B58DB" w:rsidRDefault="00D92FAE" w:rsidP="00D92FAE">
      <w:pPr>
        <w:spacing w:after="120"/>
        <w:rPr>
          <w:highlight w:val="yellow"/>
        </w:rPr>
        <w:sectPr w:rsidR="00D92FAE" w:rsidRPr="006B58DB" w:rsidSect="00DD7333">
          <w:type w:val="continuous"/>
          <w:pgSz w:w="16840" w:h="23820"/>
          <w:pgMar w:top="1418" w:right="1418" w:bottom="1418" w:left="1418" w:header="0" w:footer="709" w:gutter="0"/>
          <w:cols w:num="2" w:space="708"/>
          <w:titlePg/>
          <w:docGrid w:linePitch="360"/>
        </w:sectPr>
      </w:pPr>
    </w:p>
    <w:p w14:paraId="19CF160E" w14:textId="77777777" w:rsidR="00A8385D" w:rsidRDefault="00547102" w:rsidP="00EB6B35">
      <w:pPr>
        <w:pStyle w:val="Heading2"/>
        <w:spacing w:before="120" w:after="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82B5F16" w14:textId="4CA98987" w:rsidR="00006687" w:rsidRDefault="00006687" w:rsidP="00A8385D">
      <w:pPr>
        <w:pStyle w:val="Heading4"/>
        <w:spacing w:before="0"/>
        <w:rPr>
          <w:bCs/>
          <w:iCs w:val="0"/>
          <w:color w:val="051532" w:themeColor="text1"/>
          <w:sz w:val="28"/>
          <w:szCs w:val="24"/>
        </w:rPr>
      </w:pPr>
      <w:r w:rsidRPr="00006687">
        <w:rPr>
          <w:bCs/>
          <w:iCs w:val="0"/>
          <w:color w:val="051532" w:themeColor="text1"/>
          <w:sz w:val="28"/>
          <w:szCs w:val="24"/>
        </w:rPr>
        <w:t>Priority 1</w:t>
      </w:r>
      <w:r w:rsidR="004007EC">
        <w:rPr>
          <w:bCs/>
          <w:iCs w:val="0"/>
          <w:color w:val="051532" w:themeColor="text1"/>
          <w:sz w:val="28"/>
          <w:szCs w:val="24"/>
        </w:rPr>
        <w:t xml:space="preserve"> </w:t>
      </w:r>
      <w:r w:rsidR="004007EC" w:rsidRPr="004007EC">
        <w:rPr>
          <w:iCs w:val="0"/>
          <w:color w:val="051532" w:themeColor="text1"/>
          <w:sz w:val="28"/>
          <w:szCs w:val="24"/>
        </w:rPr>
        <w:t xml:space="preserve">– </w:t>
      </w:r>
      <w:r w:rsidR="004007EC">
        <w:rPr>
          <w:iCs w:val="0"/>
          <w:color w:val="051532" w:themeColor="text1"/>
          <w:sz w:val="28"/>
          <w:szCs w:val="24"/>
        </w:rPr>
        <w:t xml:space="preserve">Supporting </w:t>
      </w:r>
      <w:r w:rsidRPr="00006687">
        <w:rPr>
          <w:bCs/>
          <w:iCs w:val="0"/>
          <w:color w:val="051532" w:themeColor="text1"/>
          <w:sz w:val="28"/>
          <w:szCs w:val="24"/>
        </w:rPr>
        <w:t>worker demand in growth sectors</w:t>
      </w:r>
    </w:p>
    <w:p w14:paraId="09F1A8FF" w14:textId="791A11D7" w:rsidR="00A8385D" w:rsidRDefault="00A8385D" w:rsidP="00A8385D">
      <w:pPr>
        <w:pStyle w:val="Heading4"/>
        <w:spacing w:before="0"/>
      </w:pPr>
      <w:r>
        <w:t>What are our challenges</w:t>
      </w:r>
      <w:r w:rsidR="3853AC80">
        <w:t xml:space="preserve"> and opportunities?</w:t>
      </w:r>
    </w:p>
    <w:p w14:paraId="6897F917" w14:textId="2ADE2D55" w:rsidR="00AF596F" w:rsidRDefault="00AF596F" w:rsidP="00A8385D">
      <w:pPr>
        <w:pStyle w:val="Heading4"/>
        <w:spacing w:before="0"/>
        <w:rPr>
          <w:rFonts w:asciiTheme="minorHAnsi" w:eastAsiaTheme="minorHAnsi" w:hAnsiTheme="minorHAnsi" w:cstheme="minorBidi"/>
          <w:b w:val="0"/>
          <w:iCs w:val="0"/>
          <w:color w:val="auto"/>
          <w:sz w:val="21"/>
        </w:rPr>
      </w:pPr>
      <w:r w:rsidRPr="00AF596F">
        <w:rPr>
          <w:rFonts w:asciiTheme="minorHAnsi" w:eastAsiaTheme="minorHAnsi" w:hAnsiTheme="minorHAnsi" w:cstheme="minorBidi"/>
          <w:b w:val="0"/>
          <w:iCs w:val="0"/>
          <w:color w:val="auto"/>
          <w:sz w:val="21"/>
        </w:rPr>
        <w:t xml:space="preserve">There is unmet demand across the region for both entry level and skilled roles in key industry sectors including construction, manufacturing and fabrication, healthcare and social assistance, tourism and hospitality, agriculture (including aquaculture </w:t>
      </w:r>
      <w:r w:rsidR="005D6EA7">
        <w:rPr>
          <w:rFonts w:asciiTheme="minorHAnsi" w:eastAsiaTheme="minorHAnsi" w:hAnsiTheme="minorHAnsi" w:cstheme="minorBidi"/>
          <w:b w:val="0"/>
          <w:iCs w:val="0"/>
          <w:color w:val="auto"/>
          <w:sz w:val="21"/>
        </w:rPr>
        <w:t>and</w:t>
      </w:r>
      <w:r w:rsidR="005D6EA7" w:rsidRPr="00AF596F">
        <w:rPr>
          <w:rFonts w:asciiTheme="minorHAnsi" w:eastAsiaTheme="minorHAnsi" w:hAnsiTheme="minorHAnsi" w:cstheme="minorBidi"/>
          <w:b w:val="0"/>
          <w:iCs w:val="0"/>
          <w:color w:val="auto"/>
          <w:sz w:val="21"/>
        </w:rPr>
        <w:t xml:space="preserve"> </w:t>
      </w:r>
      <w:r w:rsidRPr="00AF596F">
        <w:rPr>
          <w:rFonts w:asciiTheme="minorHAnsi" w:eastAsiaTheme="minorHAnsi" w:hAnsiTheme="minorHAnsi" w:cstheme="minorBidi"/>
          <w:b w:val="0"/>
          <w:iCs w:val="0"/>
          <w:color w:val="auto"/>
          <w:sz w:val="21"/>
        </w:rPr>
        <w:t>viticulture) and retail. Many local employers in these sectors indicate they are unable to grow their business due to the lack of suitable skilled applicants. </w:t>
      </w:r>
    </w:p>
    <w:p w14:paraId="18E92D0A" w14:textId="2039E878" w:rsidR="00A8385D" w:rsidRPr="00250763" w:rsidRDefault="00A8385D" w:rsidP="00A8385D">
      <w:pPr>
        <w:pStyle w:val="Heading4"/>
        <w:spacing w:before="0"/>
        <w:rPr>
          <w:iCs w:val="0"/>
        </w:rPr>
      </w:pPr>
      <w:r w:rsidRPr="00250763">
        <w:rPr>
          <w:iCs w:val="0"/>
        </w:rPr>
        <w:t>How are we responding?</w:t>
      </w:r>
    </w:p>
    <w:p w14:paraId="08DE2866" w14:textId="18B9F425" w:rsidR="000124E2"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00AF596F">
        <w:t xml:space="preserve">ngaging with </w:t>
      </w:r>
      <w:r w:rsidR="007C40DC" w:rsidRPr="007C40DC">
        <w:t>businesses and industry peak bodies to improve skilled and entry level pathways to employment</w:t>
      </w:r>
      <w:r w:rsidR="000124E2">
        <w:t>.</w:t>
      </w:r>
    </w:p>
    <w:p w14:paraId="4471A3A3" w14:textId="30D7EBAF" w:rsidR="00A8385D"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7C40DC" w:rsidRPr="007C40DC">
        <w:t>o</w:t>
      </w:r>
      <w:r w:rsidR="000124E2">
        <w:t>-</w:t>
      </w:r>
      <w:r w:rsidR="007C40DC" w:rsidRPr="007C40DC">
        <w:t>designing pre-employment programs in partnership with Workforce Australia Employment Services Providers</w:t>
      </w:r>
      <w:r w:rsidR="009A50E3">
        <w:t xml:space="preserve"> (providers)</w:t>
      </w:r>
      <w:r w:rsidR="007C40DC" w:rsidRPr="007C40DC">
        <w:t xml:space="preserve"> to promote better linkages between employers and those looking for work.</w:t>
      </w:r>
    </w:p>
    <w:p w14:paraId="7C46C6A1" w14:textId="667973E9"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w:t>
      </w:r>
      <w:r w:rsidR="007C40DC">
        <w:t xml:space="preserve">romoting </w:t>
      </w:r>
      <w:r w:rsidR="007C40DC" w:rsidRPr="007C40DC">
        <w:t xml:space="preserve">all new and existing skills, apprenticeship and employment programs with industry, </w:t>
      </w:r>
      <w:r w:rsidR="009A50E3">
        <w:t>p</w:t>
      </w:r>
      <w:r w:rsidR="007C40DC" w:rsidRPr="007C40DC">
        <w:t>roviders and stakeholders to enhance local employment and training opportunities for both new and existing staff.</w:t>
      </w:r>
    </w:p>
    <w:p w14:paraId="423EF78A" w14:textId="5C609B97"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w:t>
      </w:r>
      <w:r w:rsidR="007C40DC">
        <w:t xml:space="preserve">upporting </w:t>
      </w:r>
      <w:r w:rsidR="00794086" w:rsidRPr="00794086">
        <w:t>the establishment and promotion of regional and industry specific</w:t>
      </w:r>
      <w:r w:rsidR="002D2234">
        <w:t xml:space="preserve"> </w:t>
      </w:r>
      <w:r w:rsidR="00D455D2">
        <w:t>projects</w:t>
      </w:r>
      <w:r w:rsidR="00240D4C">
        <w:t xml:space="preserve"> to support</w:t>
      </w:r>
      <w:r w:rsidR="002D2234">
        <w:t xml:space="preserve"> </w:t>
      </w:r>
      <w:r w:rsidR="002D2234" w:rsidRPr="002D2234">
        <w:t>demand in growth sectors</w:t>
      </w:r>
      <w:r w:rsidR="00794086" w:rsidRPr="00794086">
        <w:t>, including in collaboration with regional jobs hubs. </w:t>
      </w:r>
    </w:p>
    <w:p w14:paraId="4DFD8784" w14:textId="64B463DC" w:rsidR="00A8385D" w:rsidRDefault="00A8385D" w:rsidP="00A8385D">
      <w:pPr>
        <w:pStyle w:val="Heading3"/>
      </w:pPr>
      <w:r>
        <w:t xml:space="preserve">Priority 2 – </w:t>
      </w:r>
      <w:r w:rsidR="00794086">
        <w:t>Collaboration</w:t>
      </w:r>
    </w:p>
    <w:p w14:paraId="4F94B04C" w14:textId="66A1027B" w:rsidR="2299ABF4" w:rsidRDefault="2299ABF4" w:rsidP="05A14803">
      <w:pPr>
        <w:pStyle w:val="Heading4"/>
        <w:spacing w:before="0"/>
      </w:pPr>
      <w:r>
        <w:t>What are our challenges and opportunities?</w:t>
      </w:r>
    </w:p>
    <w:p w14:paraId="239DB3F5" w14:textId="013DE9EB" w:rsidR="00794086" w:rsidRDefault="00794086" w:rsidP="00A8385D">
      <w:pPr>
        <w:pStyle w:val="Heading4"/>
        <w:spacing w:before="0"/>
        <w:rPr>
          <w:rFonts w:asciiTheme="minorHAnsi" w:eastAsiaTheme="minorHAnsi" w:hAnsiTheme="minorHAnsi" w:cstheme="minorBidi"/>
          <w:b w:val="0"/>
          <w:iCs w:val="0"/>
          <w:color w:val="auto"/>
          <w:sz w:val="21"/>
        </w:rPr>
      </w:pPr>
      <w:r w:rsidRPr="00794086">
        <w:rPr>
          <w:rFonts w:asciiTheme="minorHAnsi" w:eastAsiaTheme="minorHAnsi" w:hAnsiTheme="minorHAnsi" w:cstheme="minorBidi"/>
          <w:b w:val="0"/>
          <w:iCs w:val="0"/>
          <w:color w:val="auto"/>
          <w:sz w:val="21"/>
        </w:rPr>
        <w:t>Our region encompasses an entire capital city</w:t>
      </w:r>
      <w:r w:rsidR="000124E2">
        <w:rPr>
          <w:rFonts w:asciiTheme="minorHAnsi" w:eastAsiaTheme="minorHAnsi" w:hAnsiTheme="minorHAnsi" w:cstheme="minorBidi"/>
          <w:b w:val="0"/>
          <w:iCs w:val="0"/>
          <w:color w:val="auto"/>
          <w:sz w:val="21"/>
        </w:rPr>
        <w:t>. A</w:t>
      </w:r>
      <w:r w:rsidRPr="00794086">
        <w:rPr>
          <w:rFonts w:asciiTheme="minorHAnsi" w:eastAsiaTheme="minorHAnsi" w:hAnsiTheme="minorHAnsi" w:cstheme="minorBidi"/>
          <w:b w:val="0"/>
          <w:iCs w:val="0"/>
          <w:color w:val="auto"/>
          <w:sz w:val="21"/>
        </w:rPr>
        <w:t>ligning to and collaborating with state government and industry led workforce development and skills initiatives will maximise outcomes for local Tasmanians.  Tasmania also has a state-funded Regional Jobs Hub Network that assists to connect jobseekers and businesses at a local level. A strong commitment to collaboration between these various systems will maximise outcomes for both employers and individuals looking for work. </w:t>
      </w:r>
    </w:p>
    <w:p w14:paraId="537AAC33" w14:textId="389768D6" w:rsidR="00A8385D" w:rsidRPr="00250763" w:rsidRDefault="00A8385D" w:rsidP="00A8385D">
      <w:pPr>
        <w:pStyle w:val="Heading4"/>
        <w:spacing w:before="0"/>
        <w:rPr>
          <w:iCs w:val="0"/>
        </w:rPr>
      </w:pPr>
      <w:r w:rsidRPr="00250763">
        <w:rPr>
          <w:iCs w:val="0"/>
        </w:rPr>
        <w:t>How are we responding?</w:t>
      </w:r>
    </w:p>
    <w:p w14:paraId="03BBE3FC" w14:textId="3F438BBA"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a</w:t>
      </w:r>
      <w:r w:rsidR="00794086">
        <w:t>ctively seek</w:t>
      </w:r>
      <w:r w:rsidR="00AF1A89">
        <w:t>ing</w:t>
      </w:r>
      <w:r w:rsidR="00794086">
        <w:t xml:space="preserve"> to work with local government, </w:t>
      </w:r>
      <w:r w:rsidR="00A84D04" w:rsidRPr="00A84D04">
        <w:t>regional authorities, industry peak bodies and other services in training, education and employment assistance that operate around Hobart and Southern Tasmania. </w:t>
      </w:r>
    </w:p>
    <w:p w14:paraId="2399525E" w14:textId="1D54309F" w:rsidR="00A84D04" w:rsidRDefault="00B40E1F"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A84D04">
        <w:t xml:space="preserve">ncreasing </w:t>
      </w:r>
      <w:r w:rsidR="00A84D04" w:rsidRPr="00A84D04">
        <w:t>stakeholder understanding of the skills and employment programs available in Tasmania, seeking to align programs that support people into education, training and employment. </w:t>
      </w:r>
    </w:p>
    <w:p w14:paraId="79888C1C" w14:textId="41D9FEBB" w:rsidR="00250763" w:rsidRDefault="00B40E1F"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We are e</w:t>
      </w:r>
      <w:r w:rsidR="00AF1A89">
        <w:t>nsuring</w:t>
      </w:r>
      <w:r>
        <w:t xml:space="preserve"> that</w:t>
      </w:r>
      <w:r w:rsidR="00AF1A89">
        <w:t xml:space="preserve"> o</w:t>
      </w:r>
      <w:r w:rsidR="00A84D04">
        <w:t xml:space="preserve">ur Local Jobs and Skills Taskforce </w:t>
      </w:r>
      <w:r w:rsidR="00986033" w:rsidRPr="00986033">
        <w:t>includes representation from key social, industry, skills, employment services and government organisations, who work to find innovative solutions for both employers and individuals looking for work.</w:t>
      </w:r>
    </w:p>
    <w:p w14:paraId="27BCEA57" w14:textId="630E23E6" w:rsidR="00986033" w:rsidRPr="00AB0F24" w:rsidRDefault="00B40E1F"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000B51">
        <w:t xml:space="preserve">n addition to working with </w:t>
      </w:r>
      <w:r w:rsidR="00000B51" w:rsidRPr="00000B51">
        <w:t>Workforce Australia Employment Services</w:t>
      </w:r>
      <w:r w:rsidR="00000B51">
        <w:t xml:space="preserve"> and</w:t>
      </w:r>
      <w:r w:rsidR="00000B51" w:rsidRPr="00000B51">
        <w:t xml:space="preserve"> Apprentice Connect Australia Services, </w:t>
      </w:r>
      <w:r w:rsidR="00986033">
        <w:t>collaborating with the Tasmanian Government</w:t>
      </w:r>
      <w:r w:rsidR="00AF1A89">
        <w:t xml:space="preserve"> –</w:t>
      </w:r>
      <w:r w:rsidR="00986033">
        <w:t xml:space="preserve"> including </w:t>
      </w:r>
      <w:r w:rsidR="00986033" w:rsidRPr="00986033">
        <w:t>Skills Tasmania, Jobs Tasmania and the Regional Jobs Hubs</w:t>
      </w:r>
      <w:r w:rsidR="00AF1A89">
        <w:t xml:space="preserve"> – with an aim of</w:t>
      </w:r>
      <w:r w:rsidR="00986033" w:rsidRPr="00986033">
        <w:t xml:space="preserve"> ensuring projects</w:t>
      </w:r>
      <w:r w:rsidR="00AF1A89">
        <w:t xml:space="preserve"> and</w:t>
      </w:r>
      <w:r w:rsidR="00986033" w:rsidRPr="00986033">
        <w:t xml:space="preserve"> collaborations</w:t>
      </w:r>
      <w:r w:rsidR="00AF1A89">
        <w:t xml:space="preserve"> </w:t>
      </w:r>
      <w:r w:rsidR="00986033" w:rsidRPr="00986033">
        <w:t>align with both federal and state service delivery. </w:t>
      </w:r>
    </w:p>
    <w:p w14:paraId="7B39B9FB" w14:textId="09B29BD5" w:rsidR="00A8385D" w:rsidRPr="00B35A6C" w:rsidRDefault="00A8385D" w:rsidP="00A8385D">
      <w:pPr>
        <w:pStyle w:val="Heading3"/>
      </w:pPr>
      <w:r>
        <w:t xml:space="preserve">Priority 3 – </w:t>
      </w:r>
      <w:r w:rsidR="00986033">
        <w:t>Assisting Tasmanians to access economic opportunities</w:t>
      </w:r>
    </w:p>
    <w:p w14:paraId="4AD5B11F" w14:textId="0330AC52" w:rsidR="0B7CDB1A" w:rsidRDefault="0B7CDB1A" w:rsidP="05A14803">
      <w:pPr>
        <w:pStyle w:val="Heading4"/>
        <w:spacing w:before="0"/>
      </w:pPr>
      <w:r>
        <w:t>What are our challenges and opportunities?</w:t>
      </w:r>
    </w:p>
    <w:p w14:paraId="2D5C2147" w14:textId="1C397D93" w:rsidR="00250763" w:rsidRPr="00250763" w:rsidRDefault="00CB5EA4" w:rsidP="00250763">
      <w:pPr>
        <w:spacing w:after="0"/>
      </w:pPr>
      <w:r w:rsidRPr="00CB5EA4">
        <w:t xml:space="preserve">We are supporting Tasmanians to access economic opportunities. We </w:t>
      </w:r>
      <w:r w:rsidRPr="00D92FAE">
        <w:t xml:space="preserve">know that Tasmanians looking for work can face significant </w:t>
      </w:r>
      <w:r w:rsidR="007024E6" w:rsidRPr="00D92FAE">
        <w:t>challenge</w:t>
      </w:r>
      <w:r w:rsidRPr="00D92FAE">
        <w:t xml:space="preserve">s during their job search, work preparation and early stages of employment. </w:t>
      </w:r>
      <w:r w:rsidR="000124E2">
        <w:t>Common challenges relate to</w:t>
      </w:r>
      <w:r w:rsidRPr="00D92FAE">
        <w:t xml:space="preserve"> low levels of </w:t>
      </w:r>
      <w:r w:rsidR="000124E2" w:rsidRPr="00AC47FC">
        <w:t xml:space="preserve">language, </w:t>
      </w:r>
      <w:r w:rsidR="000124E2" w:rsidRPr="00581ACE">
        <w:t>literacy, numeracy</w:t>
      </w:r>
      <w:r w:rsidR="000124E2">
        <w:t xml:space="preserve"> </w:t>
      </w:r>
      <w:r w:rsidR="000124E2" w:rsidRPr="00581ACE">
        <w:t>and digital literacy</w:t>
      </w:r>
      <w:r w:rsidR="000124E2">
        <w:t xml:space="preserve"> skill and</w:t>
      </w:r>
      <w:r w:rsidR="000124E2" w:rsidRPr="00581ACE">
        <w:t xml:space="preserve"> capability</w:t>
      </w:r>
      <w:r w:rsidR="000124E2">
        <w:t xml:space="preserve">. </w:t>
      </w:r>
      <w:r w:rsidR="00AC40FB" w:rsidRPr="00D92FAE">
        <w:t>A</w:t>
      </w:r>
      <w:r w:rsidRPr="00D92FAE">
        <w:t xml:space="preserve">ccess to safe, reliable, and consistent transport is also a </w:t>
      </w:r>
      <w:r w:rsidR="00AC40FB" w:rsidRPr="00D92FAE">
        <w:t>challenge</w:t>
      </w:r>
      <w:r w:rsidRPr="00D92FAE">
        <w:t xml:space="preserve"> for many</w:t>
      </w:r>
      <w:r w:rsidRPr="00CB5EA4">
        <w:t>.  </w:t>
      </w:r>
    </w:p>
    <w:p w14:paraId="1FE2CF8B" w14:textId="77777777" w:rsidR="00A8385D" w:rsidRPr="00B35A6C" w:rsidRDefault="00A8385D" w:rsidP="00A8385D">
      <w:pPr>
        <w:pStyle w:val="Heading4"/>
        <w:spacing w:before="0"/>
      </w:pPr>
      <w:r w:rsidRPr="00B35A6C">
        <w:t>How are we responding?</w:t>
      </w:r>
    </w:p>
    <w:p w14:paraId="4DDE8436" w14:textId="64932500"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w:t>
      </w:r>
      <w:r w:rsidR="006305EA">
        <w:t xml:space="preserve">orking with businesses, industry peak bodies and regional jobs hubs to </w:t>
      </w:r>
      <w:r w:rsidR="006305EA" w:rsidRPr="006305EA">
        <w:t>support place-based initiatives, employment and training solutions so employers can source their workforce from the local area. </w:t>
      </w:r>
    </w:p>
    <w:p w14:paraId="388C49DC" w14:textId="7BFF5E78" w:rsidR="00581ACE" w:rsidRDefault="00B40E1F" w:rsidP="00581ACE">
      <w:pPr>
        <w:pStyle w:val="ListBullet"/>
        <w:keepLines/>
        <w:numPr>
          <w:ilvl w:val="0"/>
          <w:numId w:val="15"/>
        </w:numPr>
        <w:tabs>
          <w:tab w:val="left" w:pos="851"/>
        </w:tabs>
        <w:suppressAutoHyphens/>
        <w:autoSpaceDE w:val="0"/>
        <w:autoSpaceDN w:val="0"/>
        <w:adjustRightInd w:val="0"/>
        <w:spacing w:line="276" w:lineRule="auto"/>
        <w:ind w:left="284" w:hanging="284"/>
        <w:mirrorIndents/>
        <w:textAlignment w:val="center"/>
      </w:pPr>
      <w:r>
        <w:t>We are p</w:t>
      </w:r>
      <w:r w:rsidR="00770868">
        <w:t xml:space="preserve">romoting awareness of Workforce Australia’s tailored programs such as: </w:t>
      </w:r>
    </w:p>
    <w:p w14:paraId="42A718EE" w14:textId="1F7C5636" w:rsidR="00581ACE" w:rsidRPr="00581ACE" w:rsidRDefault="00581ACE" w:rsidP="009A50E3">
      <w:pPr>
        <w:pStyle w:val="ListBullet"/>
        <w:keepLines/>
        <w:numPr>
          <w:ilvl w:val="3"/>
          <w:numId w:val="15"/>
        </w:numPr>
        <w:tabs>
          <w:tab w:val="left" w:pos="851"/>
        </w:tabs>
        <w:suppressAutoHyphens/>
        <w:autoSpaceDE w:val="0"/>
        <w:autoSpaceDN w:val="0"/>
        <w:adjustRightInd w:val="0"/>
        <w:spacing w:line="276" w:lineRule="auto"/>
        <w:ind w:left="754" w:hanging="357"/>
        <w:textAlignment w:val="center"/>
      </w:pPr>
      <w:r w:rsidRPr="00581ACE">
        <w:t xml:space="preserve">Skills for Education and Employment program to </w:t>
      </w:r>
      <w:r w:rsidR="00AC47FC">
        <w:t xml:space="preserve">assist people to </w:t>
      </w:r>
      <w:r w:rsidRPr="00581ACE">
        <w:t xml:space="preserve">build </w:t>
      </w:r>
      <w:r w:rsidR="00AC47FC" w:rsidRPr="00AC47FC">
        <w:t xml:space="preserve">language, </w:t>
      </w:r>
      <w:r w:rsidRPr="00581ACE">
        <w:t>literacy, numeracy</w:t>
      </w:r>
      <w:r w:rsidR="00AC47FC">
        <w:t xml:space="preserve"> </w:t>
      </w:r>
      <w:r w:rsidRPr="00581ACE">
        <w:t>and digital literacy</w:t>
      </w:r>
      <w:r w:rsidR="00AC47FC">
        <w:t xml:space="preserve"> skills and</w:t>
      </w:r>
      <w:r w:rsidRPr="00581ACE">
        <w:t xml:space="preserve"> capability.  </w:t>
      </w:r>
    </w:p>
    <w:p w14:paraId="1F743628" w14:textId="70AEC812" w:rsidR="00581ACE" w:rsidRPr="00581ACE" w:rsidRDefault="00581ACE" w:rsidP="009A50E3">
      <w:pPr>
        <w:pStyle w:val="ListBullet"/>
        <w:keepLines/>
        <w:numPr>
          <w:ilvl w:val="3"/>
          <w:numId w:val="15"/>
        </w:numPr>
        <w:tabs>
          <w:tab w:val="left" w:pos="851"/>
        </w:tabs>
        <w:suppressAutoHyphens/>
        <w:autoSpaceDE w:val="0"/>
        <w:autoSpaceDN w:val="0"/>
        <w:adjustRightInd w:val="0"/>
        <w:spacing w:line="276" w:lineRule="auto"/>
        <w:ind w:left="754" w:hanging="357"/>
        <w:textAlignment w:val="center"/>
      </w:pPr>
      <w:r w:rsidRPr="00581ACE">
        <w:t xml:space="preserve">Career Transition Assistance to assist </w:t>
      </w:r>
      <w:r w:rsidR="00AC47FC">
        <w:t>p</w:t>
      </w:r>
      <w:r w:rsidR="00AC47FC" w:rsidRPr="00AC47FC">
        <w:t>eople 45 years and over, to improve their confidence and skills to become more competitive in the local labour market</w:t>
      </w:r>
      <w:r w:rsidR="00AC47FC">
        <w:t>; and</w:t>
      </w:r>
    </w:p>
    <w:p w14:paraId="484E7240" w14:textId="7CF8961D" w:rsidR="00581ACE" w:rsidRPr="00581ACE" w:rsidRDefault="00581ACE" w:rsidP="009A50E3">
      <w:pPr>
        <w:pStyle w:val="ListBullet"/>
        <w:keepLines/>
        <w:numPr>
          <w:ilvl w:val="3"/>
          <w:numId w:val="15"/>
        </w:numPr>
        <w:tabs>
          <w:tab w:val="left" w:pos="851"/>
        </w:tabs>
        <w:suppressAutoHyphens/>
        <w:autoSpaceDE w:val="0"/>
        <w:autoSpaceDN w:val="0"/>
        <w:adjustRightInd w:val="0"/>
        <w:spacing w:line="276" w:lineRule="auto"/>
        <w:ind w:left="754" w:hanging="357"/>
        <w:textAlignment w:val="center"/>
      </w:pPr>
      <w:r w:rsidRPr="00581ACE">
        <w:t>Employability Skills Training to</w:t>
      </w:r>
      <w:r w:rsidR="00AC47FC">
        <w:t xml:space="preserve"> assist people to</w:t>
      </w:r>
      <w:r w:rsidRPr="00581ACE">
        <w:t xml:space="preserve"> develop </w:t>
      </w:r>
      <w:r w:rsidR="00EA392F">
        <w:t xml:space="preserve">the </w:t>
      </w:r>
      <w:r w:rsidRPr="00581ACE">
        <w:t xml:space="preserve">skills employers want, explore career options </w:t>
      </w:r>
      <w:r w:rsidR="00AC47FC">
        <w:t xml:space="preserve">and </w:t>
      </w:r>
      <w:r w:rsidRPr="00581ACE">
        <w:t>build job search, workplace and industry</w:t>
      </w:r>
      <w:r w:rsidR="00EA392F">
        <w:t xml:space="preserve"> </w:t>
      </w:r>
      <w:r w:rsidRPr="00581ACE">
        <w:t>specific skills. </w:t>
      </w:r>
    </w:p>
    <w:p w14:paraId="6C82E83A" w14:textId="31749B89"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581ACE">
        <w:t>ollaborat</w:t>
      </w:r>
      <w:r w:rsidR="00AF1A89">
        <w:t>ing</w:t>
      </w:r>
      <w:r w:rsidR="00581ACE">
        <w:t xml:space="preserve"> </w:t>
      </w:r>
      <w:r w:rsidR="003F0D68" w:rsidRPr="003F0D68">
        <w:t xml:space="preserve">with providers and local community organisations to address </w:t>
      </w:r>
      <w:r w:rsidR="009A50E3">
        <w:t>barriers to driver’s</w:t>
      </w:r>
      <w:r w:rsidR="009A50E3" w:rsidRPr="003F0D68">
        <w:t xml:space="preserve"> </w:t>
      </w:r>
      <w:r w:rsidR="003F0D68" w:rsidRPr="003F0D68">
        <w:t xml:space="preserve">licence attainment </w:t>
      </w:r>
      <w:r w:rsidR="009A50E3">
        <w:t>with</w:t>
      </w:r>
      <w:r w:rsidR="003F0D68" w:rsidRPr="003F0D68">
        <w:t xml:space="preserve">in </w:t>
      </w:r>
      <w:r w:rsidR="009A50E3">
        <w:t>identified areas</w:t>
      </w:r>
      <w:r w:rsidR="0082271E">
        <w:t xml:space="preserve">, as well as </w:t>
      </w:r>
      <w:r w:rsidR="003F0D68" w:rsidRPr="003F0D68">
        <w:t>promot</w:t>
      </w:r>
      <w:r w:rsidR="0082271E">
        <w:t>ing</w:t>
      </w:r>
      <w:r w:rsidR="003F0D68" w:rsidRPr="003F0D68">
        <w:t xml:space="preserve"> the use of transport services such as Area Connect.</w:t>
      </w:r>
    </w:p>
    <w:p w14:paraId="57A2B24A" w14:textId="4B9B0980" w:rsidR="00A8385D" w:rsidRPr="00B35A6C" w:rsidRDefault="00A8385D" w:rsidP="00A8385D">
      <w:pPr>
        <w:pStyle w:val="Heading3"/>
      </w:pPr>
      <w:r w:rsidRPr="00B215CE">
        <w:t>Priority 4 –</w:t>
      </w:r>
      <w:r w:rsidR="00B40E1F" w:rsidRPr="00B215CE">
        <w:t xml:space="preserve"> I</w:t>
      </w:r>
      <w:r w:rsidR="00893FA4" w:rsidRPr="00B215CE">
        <w:t>mprov</w:t>
      </w:r>
      <w:r w:rsidR="00B40E1F" w:rsidRPr="00B215CE">
        <w:t>ing Youth</w:t>
      </w:r>
      <w:r w:rsidR="00893FA4" w:rsidRPr="00B215CE">
        <w:t xml:space="preserve"> transition to employment</w:t>
      </w:r>
    </w:p>
    <w:p w14:paraId="565A5B78" w14:textId="55A20F3F" w:rsidR="34375DA0" w:rsidRPr="00D92FAE" w:rsidRDefault="34375DA0" w:rsidP="05A14803">
      <w:pPr>
        <w:pStyle w:val="Heading4"/>
        <w:spacing w:before="0"/>
      </w:pPr>
      <w:r>
        <w:t xml:space="preserve">What are our </w:t>
      </w:r>
      <w:r w:rsidRPr="00D92FAE">
        <w:t>challenges and opportunities?</w:t>
      </w:r>
    </w:p>
    <w:p w14:paraId="39AE27DF" w14:textId="63EE4FAB" w:rsidR="00A8385D" w:rsidRPr="00AB0F24" w:rsidRDefault="007E0B06" w:rsidP="00A8385D">
      <w:pPr>
        <w:spacing w:after="0"/>
      </w:pPr>
      <w:r w:rsidRPr="00B40E1F">
        <w:t>There are opportunities</w:t>
      </w:r>
      <w:r w:rsidRPr="00D92FAE">
        <w:t xml:space="preserve"> to enhance pathways for young people transitioning from education into employment by building connection to growth industries and sectors experiencing skills and labour shortages.</w:t>
      </w:r>
      <w:r w:rsidR="00FF5B71" w:rsidRPr="00D92FAE">
        <w:t xml:space="preserve"> This </w:t>
      </w:r>
      <w:r w:rsidR="00B40E1F">
        <w:t xml:space="preserve">approach aims to </w:t>
      </w:r>
      <w:r w:rsidR="00FF5B71" w:rsidRPr="00D92FAE">
        <w:t>build career awareness and assist to address disengagement.</w:t>
      </w:r>
      <w:r w:rsidR="00FF5B71" w:rsidRPr="008835F7">
        <w:t>  </w:t>
      </w:r>
    </w:p>
    <w:p w14:paraId="693C746B" w14:textId="77777777" w:rsidR="00A8385D" w:rsidRPr="00B35A6C" w:rsidRDefault="00A8385D" w:rsidP="00A8385D">
      <w:pPr>
        <w:pStyle w:val="Heading4"/>
        <w:spacing w:before="0"/>
      </w:pPr>
      <w:r w:rsidRPr="00B35A6C">
        <w:t>How are we responding?</w:t>
      </w:r>
    </w:p>
    <w:p w14:paraId="6DA53B63" w14:textId="487343E3"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D80B62">
        <w:t xml:space="preserve">ollaborating with relevant stakeholders in the region </w:t>
      </w:r>
      <w:r w:rsidR="00624C2E" w:rsidRPr="00624C2E">
        <w:t>to develop strategies and events that connect local employers with young people to build career awareness and employment opportunities.  </w:t>
      </w:r>
    </w:p>
    <w:p w14:paraId="14D89A9E" w14:textId="09004378" w:rsidR="00AD637F" w:rsidRDefault="00B40E1F" w:rsidP="00AD637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AD637F">
        <w:t>ollaborating with Workforce Australia Employment Services and Transition to Work providers, businesses, Apprentice Connect Australia Services, and Registered and Group Training Organisations to identify apprenticeship, traineeship, and job placement opportunities for young people.</w:t>
      </w:r>
    </w:p>
    <w:p w14:paraId="76E43FFE" w14:textId="6A290A90" w:rsidR="00250763" w:rsidRPr="00AB0F24"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w:t>
      </w:r>
      <w:r w:rsidR="00624C2E">
        <w:t xml:space="preserve">orking with the Tasmanian government </w:t>
      </w:r>
      <w:r w:rsidR="00624C2E" w:rsidRPr="00624C2E">
        <w:t xml:space="preserve">to build greater connections between students and industry and further education and training, especially Vocational Education and Training, and aligning future activities to the </w:t>
      </w:r>
      <w:hyperlink r:id="rId15" w:history="1">
        <w:r w:rsidR="00624C2E" w:rsidRPr="00AD637F">
          <w:rPr>
            <w:rStyle w:val="Hyperlink"/>
          </w:rPr>
          <w:t>Tasmanian Youth Jobs Strategy</w:t>
        </w:r>
      </w:hyperlink>
      <w:r w:rsidR="00624C2E" w:rsidRPr="00624C2E">
        <w:t>. </w:t>
      </w:r>
    </w:p>
    <w:p w14:paraId="4BFE63FA" w14:textId="43872A74" w:rsidR="00C373CB"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b</w:t>
      </w:r>
      <w:r w:rsidR="009C2FA2">
        <w:t>uilding collabora</w:t>
      </w:r>
      <w:r w:rsidR="00FC6F9F">
        <w:t xml:space="preserve">tive employment and training </w:t>
      </w:r>
      <w:r w:rsidR="00947055">
        <w:t>opportunities aligned to health care and social assistance, construction, manufacturing, tourism</w:t>
      </w:r>
      <w:r w:rsidR="00D06387">
        <w:t xml:space="preserve"> and hospitality and retail services.</w:t>
      </w:r>
    </w:p>
    <w:p w14:paraId="4AB929EF" w14:textId="60C6B274" w:rsidR="002D2234" w:rsidRPr="00B35A6C" w:rsidRDefault="002D2234" w:rsidP="002D2234">
      <w:pPr>
        <w:pStyle w:val="Heading3"/>
      </w:pPr>
      <w:r>
        <w:t>Priority 5 – Supporting First Nations people into employment and training opportunities</w:t>
      </w:r>
    </w:p>
    <w:p w14:paraId="3C8A9D73" w14:textId="77777777" w:rsidR="002D2234" w:rsidRDefault="002D2234" w:rsidP="002D2234">
      <w:pPr>
        <w:pStyle w:val="Heading4"/>
        <w:spacing w:before="0"/>
      </w:pPr>
      <w:r>
        <w:t>What are our challenges and opportunities?</w:t>
      </w:r>
    </w:p>
    <w:p w14:paraId="2CC726A3" w14:textId="3AD9C258" w:rsidR="002D2234" w:rsidRPr="00AB0F24" w:rsidRDefault="002D2234" w:rsidP="002D2234">
      <w:pPr>
        <w:spacing w:after="0"/>
      </w:pPr>
      <w:r w:rsidRPr="00A85BF4">
        <w:t xml:space="preserve">There is an opportunity to boost employment and training and support Closing the Gap priorities through collaboration with local First Nations organisations to find solutions that support </w:t>
      </w:r>
      <w:r w:rsidR="00230D9D">
        <w:t>First Nations</w:t>
      </w:r>
      <w:r w:rsidRPr="00A85BF4">
        <w:t xml:space="preserve"> people to achieve their full potential through training, education and employment.</w:t>
      </w:r>
      <w:r w:rsidRPr="00A85BF4">
        <w:rPr>
          <w:b/>
          <w:bCs/>
        </w:rPr>
        <w:t> </w:t>
      </w:r>
    </w:p>
    <w:p w14:paraId="6F21F73B" w14:textId="77777777" w:rsidR="002D2234" w:rsidRPr="00B35A6C" w:rsidRDefault="002D2234" w:rsidP="002D2234">
      <w:pPr>
        <w:pStyle w:val="Heading4"/>
        <w:spacing w:before="0"/>
      </w:pPr>
      <w:r w:rsidRPr="00B35A6C">
        <w:t>How are we responding?</w:t>
      </w:r>
    </w:p>
    <w:p w14:paraId="05167F3C" w14:textId="4F01817C" w:rsidR="002D2234" w:rsidRPr="00AB0F24" w:rsidRDefault="00B40E1F"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2D2234">
        <w:t xml:space="preserve">onnecting </w:t>
      </w:r>
      <w:r w:rsidR="002D2234" w:rsidRPr="006D1F6D">
        <w:t>with First Nations organisations to build relationships and co-develop strategies to improve access and engagement in training and employment.</w:t>
      </w:r>
    </w:p>
    <w:p w14:paraId="4B1BCA62" w14:textId="018DD05D" w:rsidR="002D2234" w:rsidRPr="00AB0F24" w:rsidRDefault="00B40E1F"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w:t>
      </w:r>
      <w:r w:rsidR="002D2234">
        <w:t xml:space="preserve">romoting </w:t>
      </w:r>
      <w:r w:rsidR="002D2234" w:rsidRPr="00E94980">
        <w:t xml:space="preserve">existing programs or new initiatives available to Aboriginal and Torres Strait Islander people, including National Indigenous Australians </w:t>
      </w:r>
      <w:r w:rsidR="00230D9D" w:rsidRPr="00E94980">
        <w:t>Agency’s Indigenous</w:t>
      </w:r>
      <w:r w:rsidR="002D2234" w:rsidRPr="00E94980">
        <w:t xml:space="preserve"> Skills and Employment Program.</w:t>
      </w:r>
    </w:p>
    <w:p w14:paraId="042FE42D" w14:textId="387F1F41" w:rsidR="002D2234" w:rsidRPr="00AB0F24" w:rsidRDefault="00B40E1F"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a</w:t>
      </w:r>
      <w:r w:rsidR="002D2234">
        <w:t xml:space="preserve">ssisting </w:t>
      </w:r>
      <w:r w:rsidR="002D2234" w:rsidRPr="00691729">
        <w:t>industry to develop culturally appropriate recruitment models and workplaces, in collaboration with industry and First Nations organisations. </w:t>
      </w:r>
    </w:p>
    <w:p w14:paraId="794E4DA7" w14:textId="19BDF4AE" w:rsidR="00C373CB" w:rsidRPr="00D92FAE" w:rsidRDefault="00C373CB" w:rsidP="00C373CB">
      <w:pPr>
        <w:pStyle w:val="Heading3"/>
      </w:pPr>
      <w:r w:rsidRPr="00D92FAE">
        <w:t xml:space="preserve">Priority </w:t>
      </w:r>
      <w:r w:rsidR="002D2234">
        <w:t>6</w:t>
      </w:r>
      <w:r w:rsidRPr="00D92FAE">
        <w:t xml:space="preserve"> –</w:t>
      </w:r>
      <w:r w:rsidR="004007EC">
        <w:t>Supporting increased and improved</w:t>
      </w:r>
      <w:r w:rsidR="00D06387" w:rsidRPr="00D92FAE">
        <w:t xml:space="preserve"> employment outcomes</w:t>
      </w:r>
      <w:r w:rsidR="004007EC">
        <w:t xml:space="preserve"> for</w:t>
      </w:r>
      <w:r w:rsidR="004007EC" w:rsidRPr="004007EC">
        <w:t xml:space="preserve"> </w:t>
      </w:r>
      <w:r w:rsidR="004007EC">
        <w:t>CALD</w:t>
      </w:r>
      <w:r w:rsidR="004007EC" w:rsidRPr="00D92FAE">
        <w:t xml:space="preserve"> </w:t>
      </w:r>
      <w:r w:rsidR="006246EE">
        <w:t>individuals and communities</w:t>
      </w:r>
    </w:p>
    <w:p w14:paraId="2F80E349" w14:textId="1BAB6915" w:rsidR="7D7B6CF0" w:rsidRPr="00B215CE" w:rsidRDefault="7D7B6CF0" w:rsidP="05A14803">
      <w:pPr>
        <w:pStyle w:val="Heading4"/>
        <w:spacing w:before="0"/>
      </w:pPr>
      <w:r w:rsidRPr="00B215CE">
        <w:t>What are our challenges and opportunities?</w:t>
      </w:r>
    </w:p>
    <w:p w14:paraId="216D52E7" w14:textId="3EC53F72" w:rsidR="0052518A" w:rsidRPr="00B215CE" w:rsidRDefault="00B215CE" w:rsidP="00C373CB">
      <w:pPr>
        <w:spacing w:after="0"/>
      </w:pPr>
      <w:r w:rsidRPr="00B215CE">
        <w:t>There is an opportunity to increase awareness, promotion and collaboration with migrant community organisations, employers and other key stakeholders to support CALD individuals and communities to achieve their full potential through training, education and employment.</w:t>
      </w:r>
      <w:r w:rsidRPr="00B215CE">
        <w:rPr>
          <w:b/>
          <w:bCs/>
        </w:rPr>
        <w:t> </w:t>
      </w:r>
      <w:r w:rsidRPr="00B215CE">
        <w:t xml:space="preserve">This approach aims to address </w:t>
      </w:r>
      <w:r w:rsidR="0052518A" w:rsidRPr="00B215CE">
        <w:t>below average workforce participation for CALD communities</w:t>
      </w:r>
      <w:r w:rsidRPr="00B215CE">
        <w:t xml:space="preserve">, address </w:t>
      </w:r>
      <w:r w:rsidR="0052518A" w:rsidRPr="00B215CE">
        <w:t xml:space="preserve">language </w:t>
      </w:r>
      <w:r w:rsidR="003E1735" w:rsidRPr="00B215CE">
        <w:t xml:space="preserve">challenges </w:t>
      </w:r>
      <w:r w:rsidR="0052518A" w:rsidRPr="00B215CE">
        <w:t>and</w:t>
      </w:r>
      <w:r w:rsidRPr="00B215CE">
        <w:t xml:space="preserve"> increase</w:t>
      </w:r>
      <w:r w:rsidR="0052518A" w:rsidRPr="00B215CE">
        <w:t xml:space="preserve"> cultural awareness</w:t>
      </w:r>
      <w:r w:rsidRPr="00B215CE">
        <w:t>.</w:t>
      </w:r>
    </w:p>
    <w:p w14:paraId="60DA79DD" w14:textId="77777777" w:rsidR="00C373CB" w:rsidRPr="00B215CE" w:rsidRDefault="00C373CB" w:rsidP="00C373CB">
      <w:pPr>
        <w:pStyle w:val="Heading4"/>
        <w:spacing w:before="0"/>
      </w:pPr>
      <w:r w:rsidRPr="00B215CE">
        <w:t>How are we responding?</w:t>
      </w:r>
    </w:p>
    <w:p w14:paraId="3881EFF9" w14:textId="662152AC" w:rsidR="00C373CB" w:rsidRPr="00B215CE"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215CE">
        <w:t>We are w</w:t>
      </w:r>
      <w:r w:rsidR="0016020E" w:rsidRPr="00B215CE">
        <w:t>orking with migrant community organisations to support existing projects and build more workforce development activities</w:t>
      </w:r>
      <w:r w:rsidR="00E60E8B" w:rsidRPr="00B215CE">
        <w:t xml:space="preserve"> with a focus on CALD individuals and communities. </w:t>
      </w:r>
    </w:p>
    <w:p w14:paraId="6BDFF161" w14:textId="2F9CB566" w:rsidR="00C373CB" w:rsidRPr="00B215CE"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215CE">
        <w:t>We are b</w:t>
      </w:r>
      <w:r w:rsidR="0016020E" w:rsidRPr="00B215CE">
        <w:t xml:space="preserve">uilding employer awareness </w:t>
      </w:r>
      <w:r w:rsidR="00D817B3" w:rsidRPr="00B215CE">
        <w:t>and promoting the benefits of workforce diversity</w:t>
      </w:r>
      <w:r w:rsidR="000859FD" w:rsidRPr="00B215CE">
        <w:t xml:space="preserve">, including </w:t>
      </w:r>
      <w:r w:rsidR="00D817B3" w:rsidRPr="00B215CE">
        <w:t>resources available to support the recruitment and retention of CALD individuals. </w:t>
      </w:r>
    </w:p>
    <w:p w14:paraId="29D0436A" w14:textId="53882EED" w:rsidR="00D817B3" w:rsidRPr="00B215CE"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215CE">
        <w:t>We are w</w:t>
      </w:r>
      <w:r w:rsidR="00D817B3" w:rsidRPr="00B215CE">
        <w:t xml:space="preserve">orking with </w:t>
      </w:r>
      <w:r w:rsidR="009A50E3" w:rsidRPr="00B215CE">
        <w:t>p</w:t>
      </w:r>
      <w:r w:rsidR="00D817B3" w:rsidRPr="00B215CE">
        <w:t>roviders, Regional Jobs Hubs and training organisations to create education, training and employment opportunities, including use of the Skills for Education and Employment program, the Adult Migrant English program and 26Ten. </w:t>
      </w:r>
    </w:p>
    <w:p w14:paraId="4044CF09" w14:textId="4CFFFAD8" w:rsidR="00C373CB" w:rsidRPr="00B215CE" w:rsidRDefault="00B40E1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215CE">
        <w:t>We are c</w:t>
      </w:r>
      <w:r w:rsidR="00A15179" w:rsidRPr="00B215CE">
        <w:t xml:space="preserve">onnecting to Tasmania’s Business Industry Outreach Officer to ensure </w:t>
      </w:r>
      <w:r w:rsidRPr="00B215CE">
        <w:t>an</w:t>
      </w:r>
      <w:r w:rsidR="00A15179" w:rsidRPr="00B215CE">
        <w:t xml:space="preserve"> understanding of visa pathway options</w:t>
      </w:r>
      <w:r w:rsidRPr="00B215CE">
        <w:t>, aiming to assist</w:t>
      </w:r>
      <w:r w:rsidR="00A15179" w:rsidRPr="00B215CE">
        <w:t xml:space="preserve"> employers</w:t>
      </w:r>
      <w:r w:rsidRPr="00B215CE">
        <w:t xml:space="preserve"> to</w:t>
      </w:r>
      <w:r w:rsidR="00A15179" w:rsidRPr="00B215CE">
        <w:t xml:space="preserve"> fill </w:t>
      </w:r>
      <w:r w:rsidR="000859FD" w:rsidRPr="00B215CE">
        <w:t xml:space="preserve">suitable, </w:t>
      </w:r>
      <w:r w:rsidR="00A15179" w:rsidRPr="00B215CE">
        <w:t>vacant positions</w:t>
      </w:r>
      <w:r w:rsidR="000859FD" w:rsidRPr="00B215CE">
        <w:t>.</w:t>
      </w:r>
    </w:p>
    <w:p w14:paraId="0C26C341" w14:textId="130E58A2" w:rsidR="00C373CB" w:rsidRPr="00C373CB" w:rsidRDefault="00C373CB" w:rsidP="00C373CB">
      <w:pP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6A5F9E7C" w14:textId="355BDE0B" w:rsidR="00E60E8B" w:rsidRDefault="00A8385D" w:rsidP="00E60E8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u w:val="single"/>
        </w:rPr>
      </w:pPr>
      <w:r w:rsidRPr="00B35A6C">
        <w:t>Contact</w:t>
      </w:r>
      <w:r w:rsidR="00C10179">
        <w:t>:</w:t>
      </w:r>
      <w:r w:rsidR="003F697B">
        <w:t xml:space="preserve"> </w:t>
      </w:r>
      <w:r w:rsidR="002F314E">
        <w:t xml:space="preserve">Nick Probert, Hobart and Southern Tasmania </w:t>
      </w:r>
      <w:r w:rsidR="005D6EA7">
        <w:t>Job Coordinator</w:t>
      </w:r>
      <w:r w:rsidRPr="00B35A6C">
        <w:t xml:space="preserve">: </w:t>
      </w:r>
      <w:r w:rsidR="006D05BE" w:rsidRPr="006D05BE">
        <w:t>Nick.probert@mylocaljobsprogram.com.au  </w:t>
      </w:r>
      <w:r w:rsidR="00202983" w:rsidRPr="00E60E8B">
        <w:rPr>
          <w:u w:val="single"/>
        </w:rPr>
        <w:t xml:space="preserve"> </w:t>
      </w:r>
      <w:bookmarkStart w:id="1" w:name="_Hlk121144473"/>
    </w:p>
    <w:p w14:paraId="61864CEB" w14:textId="0A3690DA" w:rsidR="00C10179" w:rsidRDefault="005C191A" w:rsidP="00E60E8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1A56" w14:textId="77777777" w:rsidR="0028162C" w:rsidRDefault="0028162C" w:rsidP="0051352E">
      <w:pPr>
        <w:spacing w:after="0" w:line="240" w:lineRule="auto"/>
      </w:pPr>
      <w:r>
        <w:separator/>
      </w:r>
    </w:p>
  </w:endnote>
  <w:endnote w:type="continuationSeparator" w:id="0">
    <w:p w14:paraId="1994699A" w14:textId="77777777" w:rsidR="0028162C" w:rsidRDefault="0028162C" w:rsidP="0051352E">
      <w:pPr>
        <w:spacing w:after="0" w:line="240" w:lineRule="auto"/>
      </w:pPr>
      <w:r>
        <w:continuationSeparator/>
      </w:r>
    </w:p>
  </w:endnote>
  <w:endnote w:type="continuationNotice" w:id="1">
    <w:p w14:paraId="449ABDF1" w14:textId="77777777" w:rsidR="0028162C" w:rsidRDefault="0028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A64DF" w14:textId="77777777" w:rsidR="0028162C" w:rsidRDefault="0028162C" w:rsidP="0051352E">
      <w:pPr>
        <w:spacing w:after="0" w:line="240" w:lineRule="auto"/>
      </w:pPr>
      <w:r>
        <w:separator/>
      </w:r>
    </w:p>
  </w:footnote>
  <w:footnote w:type="continuationSeparator" w:id="0">
    <w:p w14:paraId="2C5AAEA9" w14:textId="77777777" w:rsidR="0028162C" w:rsidRDefault="0028162C" w:rsidP="0051352E">
      <w:pPr>
        <w:spacing w:after="0" w:line="240" w:lineRule="auto"/>
      </w:pPr>
      <w:r>
        <w:continuationSeparator/>
      </w:r>
    </w:p>
  </w:footnote>
  <w:footnote w:type="continuationNotice" w:id="1">
    <w:p w14:paraId="39539197" w14:textId="77777777" w:rsidR="0028162C" w:rsidRDefault="0028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D5234"/>
    <w:multiLevelType w:val="multilevel"/>
    <w:tmpl w:val="B212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645806"/>
    <w:multiLevelType w:val="multilevel"/>
    <w:tmpl w:val="2BD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F00A8F"/>
    <w:multiLevelType w:val="multilevel"/>
    <w:tmpl w:val="71A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6066A2"/>
    <w:multiLevelType w:val="multilevel"/>
    <w:tmpl w:val="57B054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3860921"/>
    <w:multiLevelType w:val="multilevel"/>
    <w:tmpl w:val="B9A6B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4626D9A"/>
    <w:multiLevelType w:val="hybridMultilevel"/>
    <w:tmpl w:val="85383AD6"/>
    <w:lvl w:ilvl="0" w:tplc="FFFFFFFF">
      <w:start w:val="1"/>
      <w:numFmt w:val="bullet"/>
      <w:lvlText w:val=""/>
      <w:lvlJc w:val="left"/>
      <w:pPr>
        <w:ind w:left="720" w:hanging="360"/>
      </w:pPr>
      <w:rPr>
        <w:rFonts w:ascii="Symbol" w:hAnsi="Symbol"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7058F7"/>
    <w:multiLevelType w:val="hybridMultilevel"/>
    <w:tmpl w:val="96641CA8"/>
    <w:lvl w:ilvl="0" w:tplc="FFFFFFFF">
      <w:start w:val="1"/>
      <w:numFmt w:val="bullet"/>
      <w:lvlText w:val=""/>
      <w:lvlJc w:val="left"/>
      <w:pPr>
        <w:ind w:left="720" w:hanging="360"/>
      </w:pPr>
      <w:rPr>
        <w:rFonts w:ascii="Symbol" w:hAnsi="Symbol"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9939156">
    <w:abstractNumId w:val="9"/>
  </w:num>
  <w:num w:numId="2" w16cid:durableId="311301415">
    <w:abstractNumId w:val="7"/>
  </w:num>
  <w:num w:numId="3" w16cid:durableId="282807249">
    <w:abstractNumId w:val="6"/>
  </w:num>
  <w:num w:numId="4" w16cid:durableId="907963673">
    <w:abstractNumId w:val="5"/>
  </w:num>
  <w:num w:numId="5" w16cid:durableId="45760275">
    <w:abstractNumId w:val="4"/>
  </w:num>
  <w:num w:numId="6" w16cid:durableId="902716067">
    <w:abstractNumId w:val="8"/>
  </w:num>
  <w:num w:numId="7" w16cid:durableId="835001362">
    <w:abstractNumId w:val="3"/>
  </w:num>
  <w:num w:numId="8" w16cid:durableId="997418138">
    <w:abstractNumId w:val="2"/>
  </w:num>
  <w:num w:numId="9" w16cid:durableId="1201212278">
    <w:abstractNumId w:val="1"/>
  </w:num>
  <w:num w:numId="10" w16cid:durableId="1386637449">
    <w:abstractNumId w:val="0"/>
  </w:num>
  <w:num w:numId="11" w16cid:durableId="344134559">
    <w:abstractNumId w:val="10"/>
  </w:num>
  <w:num w:numId="12" w16cid:durableId="1314682496">
    <w:abstractNumId w:val="13"/>
  </w:num>
  <w:num w:numId="13" w16cid:durableId="1474175072">
    <w:abstractNumId w:val="14"/>
  </w:num>
  <w:num w:numId="14" w16cid:durableId="965891797">
    <w:abstractNumId w:val="24"/>
  </w:num>
  <w:num w:numId="15" w16cid:durableId="599458750">
    <w:abstractNumId w:val="16"/>
  </w:num>
  <w:num w:numId="16" w16cid:durableId="1377774408">
    <w:abstractNumId w:val="21"/>
  </w:num>
  <w:num w:numId="17" w16cid:durableId="723988217">
    <w:abstractNumId w:val="22"/>
  </w:num>
  <w:num w:numId="18" w16cid:durableId="1873810424">
    <w:abstractNumId w:val="11"/>
  </w:num>
  <w:num w:numId="19" w16cid:durableId="1888949103">
    <w:abstractNumId w:val="13"/>
  </w:num>
  <w:num w:numId="20" w16cid:durableId="568853308">
    <w:abstractNumId w:val="15"/>
  </w:num>
  <w:num w:numId="21" w16cid:durableId="973876968">
    <w:abstractNumId w:val="17"/>
  </w:num>
  <w:num w:numId="22" w16cid:durableId="1965885360">
    <w:abstractNumId w:val="18"/>
  </w:num>
  <w:num w:numId="23" w16cid:durableId="1122532055">
    <w:abstractNumId w:val="12"/>
  </w:num>
  <w:num w:numId="24" w16cid:durableId="250697657">
    <w:abstractNumId w:val="19"/>
  </w:num>
  <w:num w:numId="25" w16cid:durableId="1422289785">
    <w:abstractNumId w:val="23"/>
  </w:num>
  <w:num w:numId="26" w16cid:durableId="1963998293">
    <w:abstractNumId w:val="20"/>
  </w:num>
  <w:num w:numId="27" w16cid:durableId="1316178254">
    <w:abstractNumId w:val="13"/>
  </w:num>
  <w:num w:numId="28" w16cid:durableId="743113477">
    <w:abstractNumId w:val="13"/>
  </w:num>
  <w:num w:numId="29" w16cid:durableId="1568220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B51"/>
    <w:rsid w:val="00000CFD"/>
    <w:rsid w:val="00006687"/>
    <w:rsid w:val="000124E2"/>
    <w:rsid w:val="00014617"/>
    <w:rsid w:val="00051DC2"/>
    <w:rsid w:val="00052BBC"/>
    <w:rsid w:val="0006047C"/>
    <w:rsid w:val="00063005"/>
    <w:rsid w:val="00067075"/>
    <w:rsid w:val="000675E0"/>
    <w:rsid w:val="000859FD"/>
    <w:rsid w:val="000A453D"/>
    <w:rsid w:val="000D06F7"/>
    <w:rsid w:val="000F5EE5"/>
    <w:rsid w:val="001106ED"/>
    <w:rsid w:val="00111085"/>
    <w:rsid w:val="00117732"/>
    <w:rsid w:val="00126E57"/>
    <w:rsid w:val="00146215"/>
    <w:rsid w:val="0014644A"/>
    <w:rsid w:val="00157F35"/>
    <w:rsid w:val="0016020E"/>
    <w:rsid w:val="00186F5B"/>
    <w:rsid w:val="001E3534"/>
    <w:rsid w:val="001F3338"/>
    <w:rsid w:val="00202983"/>
    <w:rsid w:val="00202E0D"/>
    <w:rsid w:val="002176BD"/>
    <w:rsid w:val="00217EAB"/>
    <w:rsid w:val="0022498C"/>
    <w:rsid w:val="0022626C"/>
    <w:rsid w:val="00230D9D"/>
    <w:rsid w:val="00240D4C"/>
    <w:rsid w:val="00250763"/>
    <w:rsid w:val="002537E9"/>
    <w:rsid w:val="002555D1"/>
    <w:rsid w:val="002724D0"/>
    <w:rsid w:val="00276E87"/>
    <w:rsid w:val="0028162C"/>
    <w:rsid w:val="002A7840"/>
    <w:rsid w:val="002B1CE5"/>
    <w:rsid w:val="002B2681"/>
    <w:rsid w:val="002C6805"/>
    <w:rsid w:val="002D2234"/>
    <w:rsid w:val="002E35B6"/>
    <w:rsid w:val="002F314E"/>
    <w:rsid w:val="002F4DB3"/>
    <w:rsid w:val="002F54A4"/>
    <w:rsid w:val="00347D6A"/>
    <w:rsid w:val="00350FFA"/>
    <w:rsid w:val="00352C64"/>
    <w:rsid w:val="00357EC2"/>
    <w:rsid w:val="003610F5"/>
    <w:rsid w:val="0037052B"/>
    <w:rsid w:val="00382F07"/>
    <w:rsid w:val="00392190"/>
    <w:rsid w:val="003932D9"/>
    <w:rsid w:val="003A2EFF"/>
    <w:rsid w:val="003E1735"/>
    <w:rsid w:val="003E7344"/>
    <w:rsid w:val="003F0D68"/>
    <w:rsid w:val="003F697B"/>
    <w:rsid w:val="004007EC"/>
    <w:rsid w:val="00406DE0"/>
    <w:rsid w:val="00414677"/>
    <w:rsid w:val="00416029"/>
    <w:rsid w:val="00420559"/>
    <w:rsid w:val="00424FF7"/>
    <w:rsid w:val="00453C04"/>
    <w:rsid w:val="00462EE0"/>
    <w:rsid w:val="004762D1"/>
    <w:rsid w:val="00497764"/>
    <w:rsid w:val="004B7BA5"/>
    <w:rsid w:val="0050569C"/>
    <w:rsid w:val="005109AE"/>
    <w:rsid w:val="0051352E"/>
    <w:rsid w:val="00517DA7"/>
    <w:rsid w:val="00520A33"/>
    <w:rsid w:val="0052518A"/>
    <w:rsid w:val="00527AE4"/>
    <w:rsid w:val="00547102"/>
    <w:rsid w:val="0055569D"/>
    <w:rsid w:val="00556977"/>
    <w:rsid w:val="005666E8"/>
    <w:rsid w:val="00581ACE"/>
    <w:rsid w:val="0058312F"/>
    <w:rsid w:val="00584749"/>
    <w:rsid w:val="00596A88"/>
    <w:rsid w:val="005A1CAC"/>
    <w:rsid w:val="005C191A"/>
    <w:rsid w:val="005D6EA7"/>
    <w:rsid w:val="005D7CE7"/>
    <w:rsid w:val="005E27AC"/>
    <w:rsid w:val="005F0144"/>
    <w:rsid w:val="005F7D28"/>
    <w:rsid w:val="00610A38"/>
    <w:rsid w:val="006246EE"/>
    <w:rsid w:val="00624C2E"/>
    <w:rsid w:val="006305EA"/>
    <w:rsid w:val="00630DDF"/>
    <w:rsid w:val="00654E49"/>
    <w:rsid w:val="00662941"/>
    <w:rsid w:val="00662A42"/>
    <w:rsid w:val="00664821"/>
    <w:rsid w:val="006731B3"/>
    <w:rsid w:val="006829EF"/>
    <w:rsid w:val="00691729"/>
    <w:rsid w:val="00693DBB"/>
    <w:rsid w:val="006A6E64"/>
    <w:rsid w:val="006B58DB"/>
    <w:rsid w:val="006D05BE"/>
    <w:rsid w:val="006D154E"/>
    <w:rsid w:val="006D1F6D"/>
    <w:rsid w:val="006E0E1C"/>
    <w:rsid w:val="006E15A5"/>
    <w:rsid w:val="006E5D6E"/>
    <w:rsid w:val="006F6FD0"/>
    <w:rsid w:val="007024E6"/>
    <w:rsid w:val="00703DE3"/>
    <w:rsid w:val="00721B03"/>
    <w:rsid w:val="00735ED7"/>
    <w:rsid w:val="007570DC"/>
    <w:rsid w:val="007669D4"/>
    <w:rsid w:val="00770868"/>
    <w:rsid w:val="00770F0A"/>
    <w:rsid w:val="00794086"/>
    <w:rsid w:val="007B002F"/>
    <w:rsid w:val="007B1ABA"/>
    <w:rsid w:val="007B4F0C"/>
    <w:rsid w:val="007B5D9F"/>
    <w:rsid w:val="007B74C5"/>
    <w:rsid w:val="007C3C47"/>
    <w:rsid w:val="007C40DC"/>
    <w:rsid w:val="007C743F"/>
    <w:rsid w:val="007E0B06"/>
    <w:rsid w:val="007F2A00"/>
    <w:rsid w:val="007F2F81"/>
    <w:rsid w:val="007F475F"/>
    <w:rsid w:val="008034E7"/>
    <w:rsid w:val="0082271E"/>
    <w:rsid w:val="008248CD"/>
    <w:rsid w:val="008278C5"/>
    <w:rsid w:val="00831C98"/>
    <w:rsid w:val="008361F8"/>
    <w:rsid w:val="00842C50"/>
    <w:rsid w:val="008507C1"/>
    <w:rsid w:val="00861934"/>
    <w:rsid w:val="00886330"/>
    <w:rsid w:val="00893FA4"/>
    <w:rsid w:val="008B2825"/>
    <w:rsid w:val="008C50DF"/>
    <w:rsid w:val="008E22BA"/>
    <w:rsid w:val="008F0AC9"/>
    <w:rsid w:val="008F5C42"/>
    <w:rsid w:val="008F6A25"/>
    <w:rsid w:val="00900F7F"/>
    <w:rsid w:val="0093473D"/>
    <w:rsid w:val="009433F8"/>
    <w:rsid w:val="00944ECC"/>
    <w:rsid w:val="0094578A"/>
    <w:rsid w:val="00947055"/>
    <w:rsid w:val="0095291A"/>
    <w:rsid w:val="00972F57"/>
    <w:rsid w:val="009753F0"/>
    <w:rsid w:val="00982FE7"/>
    <w:rsid w:val="00983877"/>
    <w:rsid w:val="00986033"/>
    <w:rsid w:val="00990193"/>
    <w:rsid w:val="00995280"/>
    <w:rsid w:val="00995B9E"/>
    <w:rsid w:val="009978AA"/>
    <w:rsid w:val="009A50E3"/>
    <w:rsid w:val="009C2FA2"/>
    <w:rsid w:val="009C45BA"/>
    <w:rsid w:val="009C5187"/>
    <w:rsid w:val="009C63E5"/>
    <w:rsid w:val="009C7620"/>
    <w:rsid w:val="009C765A"/>
    <w:rsid w:val="009C7F5F"/>
    <w:rsid w:val="009D3018"/>
    <w:rsid w:val="009F7B5A"/>
    <w:rsid w:val="00A15179"/>
    <w:rsid w:val="00A24E6E"/>
    <w:rsid w:val="00A30979"/>
    <w:rsid w:val="00A43694"/>
    <w:rsid w:val="00A45114"/>
    <w:rsid w:val="00A51312"/>
    <w:rsid w:val="00A56FC7"/>
    <w:rsid w:val="00A668BF"/>
    <w:rsid w:val="00A72575"/>
    <w:rsid w:val="00A74071"/>
    <w:rsid w:val="00A754E4"/>
    <w:rsid w:val="00A8385D"/>
    <w:rsid w:val="00A84D04"/>
    <w:rsid w:val="00A85BF4"/>
    <w:rsid w:val="00AA124A"/>
    <w:rsid w:val="00AA2A96"/>
    <w:rsid w:val="00AA604E"/>
    <w:rsid w:val="00AB0F24"/>
    <w:rsid w:val="00AB3E7E"/>
    <w:rsid w:val="00AC40FB"/>
    <w:rsid w:val="00AC47FC"/>
    <w:rsid w:val="00AD637F"/>
    <w:rsid w:val="00AF1A89"/>
    <w:rsid w:val="00AF596F"/>
    <w:rsid w:val="00B100CC"/>
    <w:rsid w:val="00B16C50"/>
    <w:rsid w:val="00B215CE"/>
    <w:rsid w:val="00B36CB6"/>
    <w:rsid w:val="00B373C5"/>
    <w:rsid w:val="00B40E1F"/>
    <w:rsid w:val="00B456C5"/>
    <w:rsid w:val="00B47ECB"/>
    <w:rsid w:val="00B6689D"/>
    <w:rsid w:val="00B72368"/>
    <w:rsid w:val="00B77914"/>
    <w:rsid w:val="00BB268B"/>
    <w:rsid w:val="00BB404E"/>
    <w:rsid w:val="00BD48C7"/>
    <w:rsid w:val="00BE58DB"/>
    <w:rsid w:val="00C10179"/>
    <w:rsid w:val="00C32EC9"/>
    <w:rsid w:val="00C373CB"/>
    <w:rsid w:val="00C43C86"/>
    <w:rsid w:val="00C54D58"/>
    <w:rsid w:val="00C573E1"/>
    <w:rsid w:val="00C60222"/>
    <w:rsid w:val="00C625F0"/>
    <w:rsid w:val="00C67024"/>
    <w:rsid w:val="00C736D3"/>
    <w:rsid w:val="00C87CA6"/>
    <w:rsid w:val="00C93CC8"/>
    <w:rsid w:val="00C95DF6"/>
    <w:rsid w:val="00CB5EA4"/>
    <w:rsid w:val="00CC0703"/>
    <w:rsid w:val="00CC3BA4"/>
    <w:rsid w:val="00CC3C30"/>
    <w:rsid w:val="00CD77EA"/>
    <w:rsid w:val="00CE0F20"/>
    <w:rsid w:val="00CE74F8"/>
    <w:rsid w:val="00D0035F"/>
    <w:rsid w:val="00D037EF"/>
    <w:rsid w:val="00D06387"/>
    <w:rsid w:val="00D17E31"/>
    <w:rsid w:val="00D23730"/>
    <w:rsid w:val="00D455D2"/>
    <w:rsid w:val="00D762B5"/>
    <w:rsid w:val="00D80B62"/>
    <w:rsid w:val="00D817B3"/>
    <w:rsid w:val="00D8562D"/>
    <w:rsid w:val="00D92FAE"/>
    <w:rsid w:val="00D97972"/>
    <w:rsid w:val="00DA1B7B"/>
    <w:rsid w:val="00DA3873"/>
    <w:rsid w:val="00DB70C7"/>
    <w:rsid w:val="00DB79DF"/>
    <w:rsid w:val="00DD7333"/>
    <w:rsid w:val="00DE0402"/>
    <w:rsid w:val="00DF3ADF"/>
    <w:rsid w:val="00E02099"/>
    <w:rsid w:val="00E41CC6"/>
    <w:rsid w:val="00E60E8B"/>
    <w:rsid w:val="00E61F67"/>
    <w:rsid w:val="00E67289"/>
    <w:rsid w:val="00E86243"/>
    <w:rsid w:val="00E94980"/>
    <w:rsid w:val="00EA32F7"/>
    <w:rsid w:val="00EA38D5"/>
    <w:rsid w:val="00EA392F"/>
    <w:rsid w:val="00EB3A5A"/>
    <w:rsid w:val="00EB6B35"/>
    <w:rsid w:val="00EC6A53"/>
    <w:rsid w:val="00ED24F6"/>
    <w:rsid w:val="00ED5138"/>
    <w:rsid w:val="00EE5EEB"/>
    <w:rsid w:val="00EE7D54"/>
    <w:rsid w:val="00EF04FF"/>
    <w:rsid w:val="00F1027B"/>
    <w:rsid w:val="00F20090"/>
    <w:rsid w:val="00F230CD"/>
    <w:rsid w:val="00F3071E"/>
    <w:rsid w:val="00F41469"/>
    <w:rsid w:val="00F5014F"/>
    <w:rsid w:val="00F51C18"/>
    <w:rsid w:val="00F61769"/>
    <w:rsid w:val="00F914D3"/>
    <w:rsid w:val="00F9298D"/>
    <w:rsid w:val="00FA31E2"/>
    <w:rsid w:val="00FA6E05"/>
    <w:rsid w:val="00FB6477"/>
    <w:rsid w:val="00FC6F9F"/>
    <w:rsid w:val="00FF181E"/>
    <w:rsid w:val="00FF212F"/>
    <w:rsid w:val="00FF5111"/>
    <w:rsid w:val="00FF5B70"/>
    <w:rsid w:val="00FF5B71"/>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8248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48CD"/>
  </w:style>
  <w:style w:type="character" w:customStyle="1" w:styleId="eop">
    <w:name w:val="eop"/>
    <w:basedOn w:val="DefaultParagraphFont"/>
    <w:rsid w:val="008248CD"/>
  </w:style>
  <w:style w:type="paragraph" w:styleId="Revision">
    <w:name w:val="Revision"/>
    <w:hidden/>
    <w:uiPriority w:val="99"/>
    <w:semiHidden/>
    <w:rsid w:val="003E173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5549">
      <w:bodyDiv w:val="1"/>
      <w:marLeft w:val="0"/>
      <w:marRight w:val="0"/>
      <w:marTop w:val="0"/>
      <w:marBottom w:val="0"/>
      <w:divBdr>
        <w:top w:val="none" w:sz="0" w:space="0" w:color="auto"/>
        <w:left w:val="none" w:sz="0" w:space="0" w:color="auto"/>
        <w:bottom w:val="none" w:sz="0" w:space="0" w:color="auto"/>
        <w:right w:val="none" w:sz="0" w:space="0" w:color="auto"/>
      </w:divBdr>
    </w:div>
    <w:div w:id="404188853">
      <w:bodyDiv w:val="1"/>
      <w:marLeft w:val="0"/>
      <w:marRight w:val="0"/>
      <w:marTop w:val="0"/>
      <w:marBottom w:val="0"/>
      <w:divBdr>
        <w:top w:val="none" w:sz="0" w:space="0" w:color="auto"/>
        <w:left w:val="none" w:sz="0" w:space="0" w:color="auto"/>
        <w:bottom w:val="none" w:sz="0" w:space="0" w:color="auto"/>
        <w:right w:val="none" w:sz="0" w:space="0" w:color="auto"/>
      </w:divBdr>
    </w:div>
    <w:div w:id="74816065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91368616">
      <w:bodyDiv w:val="1"/>
      <w:marLeft w:val="0"/>
      <w:marRight w:val="0"/>
      <w:marTop w:val="0"/>
      <w:marBottom w:val="0"/>
      <w:divBdr>
        <w:top w:val="none" w:sz="0" w:space="0" w:color="auto"/>
        <w:left w:val="none" w:sz="0" w:space="0" w:color="auto"/>
        <w:bottom w:val="none" w:sz="0" w:space="0" w:color="auto"/>
        <w:right w:val="none" w:sz="0" w:space="0" w:color="auto"/>
      </w:divBdr>
    </w:div>
    <w:div w:id="1141312028">
      <w:bodyDiv w:val="1"/>
      <w:marLeft w:val="0"/>
      <w:marRight w:val="0"/>
      <w:marTop w:val="0"/>
      <w:marBottom w:val="0"/>
      <w:divBdr>
        <w:top w:val="none" w:sz="0" w:space="0" w:color="auto"/>
        <w:left w:val="none" w:sz="0" w:space="0" w:color="auto"/>
        <w:bottom w:val="none" w:sz="0" w:space="0" w:color="auto"/>
        <w:right w:val="none" w:sz="0" w:space="0" w:color="auto"/>
      </w:divBdr>
    </w:div>
    <w:div w:id="13797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youthjobsstrategy.tas.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Hobart and Southern Tasmania Local Jobs Plan</dc:title>
  <dc:subject/>
  <dc:creator/>
  <cp:keywords/>
  <dc:description/>
  <cp:lastModifiedBy/>
  <cp:revision>1</cp:revision>
  <dcterms:created xsi:type="dcterms:W3CDTF">2025-05-19T03:01:00Z</dcterms:created>
  <dcterms:modified xsi:type="dcterms:W3CDTF">2025-05-19T03:01:00Z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2025-05-19T03:01:53Z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72733df3-cf4c-4c5a-86b5-d7c8375f68f3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