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D0B5FDE">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1418" w:bottom="1418" w:left="1418" w:header="0" w:footer="709" w:gutter="0"/>
          <w:cols w:space="708"/>
          <w:titlePg/>
          <w:docGrid w:linePitch="360"/>
        </w:sectPr>
      </w:pPr>
    </w:p>
    <w:p w14:paraId="30FC1237" w14:textId="7FE1F099" w:rsidR="006D154E" w:rsidRPr="00BD23D4" w:rsidRDefault="00FD7139" w:rsidP="00A30A9A">
      <w:pPr>
        <w:pStyle w:val="Title"/>
        <w:jc w:val="center"/>
        <w:rPr>
          <w:sz w:val="52"/>
          <w:szCs w:val="52"/>
        </w:rPr>
      </w:pPr>
      <w:r w:rsidRPr="00BD23D4">
        <w:rPr>
          <w:sz w:val="52"/>
          <w:szCs w:val="52"/>
        </w:rPr>
        <w:t>VET Student Loans</w:t>
      </w:r>
      <w:r w:rsidR="00BD23D4" w:rsidRPr="00BD23D4">
        <w:rPr>
          <w:sz w:val="52"/>
          <w:szCs w:val="52"/>
        </w:rPr>
        <w:t xml:space="preserve"> Program Improvement</w:t>
      </w:r>
      <w:r w:rsidR="00F95BD0" w:rsidRPr="00BD23D4">
        <w:rPr>
          <w:sz w:val="52"/>
          <w:szCs w:val="52"/>
        </w:rPr>
        <w:br/>
      </w:r>
      <w:r w:rsidR="006A52BE" w:rsidRPr="00BD23D4">
        <w:rPr>
          <w:sz w:val="52"/>
          <w:szCs w:val="52"/>
        </w:rPr>
        <w:t>Consultation Summary</w:t>
      </w:r>
    </w:p>
    <w:p w14:paraId="1E16FA53" w14:textId="0E05503E" w:rsidR="002B1CE5" w:rsidRPr="00F95BD0" w:rsidRDefault="005C15FC" w:rsidP="00A14DA2">
      <w:pPr>
        <w:pStyle w:val="Subtitle"/>
        <w:spacing w:after="120"/>
        <w:jc w:val="center"/>
        <w:rPr>
          <w:sz w:val="32"/>
          <w:szCs w:val="32"/>
        </w:rPr>
      </w:pPr>
      <w:r w:rsidRPr="00F95BD0">
        <w:rPr>
          <w:sz w:val="32"/>
          <w:szCs w:val="32"/>
        </w:rPr>
        <w:t>(November 2022</w:t>
      </w:r>
      <w:r w:rsidR="00FB536E">
        <w:rPr>
          <w:sz w:val="32"/>
          <w:szCs w:val="32"/>
        </w:rPr>
        <w:t xml:space="preserve"> – January 2023</w:t>
      </w:r>
      <w:r w:rsidRPr="00F95BD0">
        <w:rPr>
          <w:sz w:val="32"/>
          <w:szCs w:val="32"/>
        </w:rPr>
        <w:t>)</w:t>
      </w:r>
    </w:p>
    <w:p w14:paraId="788B17A6" w14:textId="7FFCA0A4" w:rsidR="009906DE" w:rsidRDefault="006E21B1" w:rsidP="00775AE1">
      <w:pPr>
        <w:jc w:val="both"/>
      </w:pPr>
      <w:r>
        <w:br/>
      </w:r>
      <w:r w:rsidR="009C4FA0">
        <w:br/>
      </w:r>
      <w:r w:rsidR="00A14DA2">
        <w:t xml:space="preserve">The Department of Employment and Workplace Relations </w:t>
      </w:r>
      <w:r w:rsidR="006653FD">
        <w:t xml:space="preserve">is </w:t>
      </w:r>
      <w:r w:rsidR="000969F4" w:rsidRPr="000969F4">
        <w:t xml:space="preserve">making </w:t>
      </w:r>
      <w:r w:rsidR="00DB41D6">
        <w:t>changes</w:t>
      </w:r>
      <w:r w:rsidR="000969F4" w:rsidRPr="000969F4">
        <w:t xml:space="preserve"> to the </w:t>
      </w:r>
      <w:r w:rsidR="00BA639F">
        <w:t xml:space="preserve">VSL </w:t>
      </w:r>
      <w:r w:rsidR="000969F4" w:rsidRPr="000969F4">
        <w:t xml:space="preserve">program to </w:t>
      </w:r>
      <w:r w:rsidR="00FC3144">
        <w:t>streamline</w:t>
      </w:r>
      <w:r w:rsidR="000969F4" w:rsidRPr="000969F4">
        <w:t xml:space="preserve"> processes and reduce participation requirements</w:t>
      </w:r>
      <w:r w:rsidR="000969F4">
        <w:t>.</w:t>
      </w:r>
      <w:r w:rsidR="0031280E">
        <w:t xml:space="preserve"> </w:t>
      </w:r>
    </w:p>
    <w:p w14:paraId="18170F6A" w14:textId="77777777" w:rsidR="00D71A2F" w:rsidRDefault="006653FD" w:rsidP="00775AE1">
      <w:pPr>
        <w:jc w:val="both"/>
      </w:pPr>
      <w:r>
        <w:t>In November 2022</w:t>
      </w:r>
      <w:r w:rsidR="00BA639F">
        <w:t>,</w:t>
      </w:r>
      <w:r w:rsidR="001713A8">
        <w:t xml:space="preserve"> </w:t>
      </w:r>
      <w:r w:rsidR="00BA639F">
        <w:t>we released</w:t>
      </w:r>
      <w:r w:rsidR="003E0897">
        <w:t xml:space="preserve"> a paper seeking </w:t>
      </w:r>
      <w:r w:rsidR="00BA639F">
        <w:t>feedback</w:t>
      </w:r>
      <w:r w:rsidR="003E0897">
        <w:t xml:space="preserve"> on</w:t>
      </w:r>
      <w:r w:rsidR="00BA639F">
        <w:t xml:space="preserve"> further </w:t>
      </w:r>
      <w:r w:rsidR="00675DD8">
        <w:t>proposed</w:t>
      </w:r>
      <w:r w:rsidR="003E0897">
        <w:t xml:space="preserve"> </w:t>
      </w:r>
      <w:r w:rsidR="00347DF6">
        <w:t>improvements</w:t>
      </w:r>
      <w:r w:rsidR="006B08E7">
        <w:t xml:space="preserve"> </w:t>
      </w:r>
      <w:r w:rsidR="00675DD8">
        <w:t xml:space="preserve">to the program. The paper covered </w:t>
      </w:r>
      <w:r w:rsidR="000D1F64">
        <w:t>proposed</w:t>
      </w:r>
      <w:r w:rsidR="00675DD8">
        <w:t xml:space="preserve"> changes</w:t>
      </w:r>
      <w:r w:rsidR="000D1F64">
        <w:t xml:space="preserve"> </w:t>
      </w:r>
      <w:r w:rsidR="006B08E7">
        <w:t xml:space="preserve">to </w:t>
      </w:r>
      <w:r w:rsidR="00A152EC">
        <w:t>financial performance requirements</w:t>
      </w:r>
      <w:r w:rsidR="00BC0689">
        <w:t xml:space="preserve">, social media </w:t>
      </w:r>
      <w:r w:rsidR="00347DF6">
        <w:t>marketing</w:t>
      </w:r>
      <w:r w:rsidR="00675DD8">
        <w:t xml:space="preserve"> restrictions and </w:t>
      </w:r>
      <w:r w:rsidR="00F11F97">
        <w:t>provider</w:t>
      </w:r>
      <w:r w:rsidR="00183224">
        <w:t xml:space="preserve"> reporting requirements</w:t>
      </w:r>
      <w:r w:rsidR="00675DD8">
        <w:t xml:space="preserve">. </w:t>
      </w:r>
    </w:p>
    <w:p w14:paraId="3F769095" w14:textId="2407C4BC" w:rsidR="006653FD" w:rsidRPr="00A14DA2" w:rsidRDefault="00675DD8" w:rsidP="00775AE1">
      <w:pPr>
        <w:jc w:val="both"/>
      </w:pPr>
      <w:r>
        <w:t xml:space="preserve">We also sought </w:t>
      </w:r>
      <w:r w:rsidR="00F14BF7">
        <w:t>further advice on provider</w:t>
      </w:r>
      <w:r w:rsidR="00DD25C6">
        <w:t>’</w:t>
      </w:r>
      <w:r w:rsidR="00F14BF7">
        <w:t xml:space="preserve">s experience with the VSL </w:t>
      </w:r>
      <w:r w:rsidR="00494894">
        <w:t xml:space="preserve">academic </w:t>
      </w:r>
      <w:r w:rsidR="00F14BF7">
        <w:t>suitability</w:t>
      </w:r>
      <w:r w:rsidR="00347DF6">
        <w:t xml:space="preserve"> requirements</w:t>
      </w:r>
      <w:r w:rsidR="005B23B4">
        <w:t xml:space="preserve"> and </w:t>
      </w:r>
      <w:r w:rsidR="00D71A2F">
        <w:t>in December we</w:t>
      </w:r>
      <w:r w:rsidR="00824157">
        <w:t xml:space="preserve"> </w:t>
      </w:r>
      <w:r w:rsidR="005B23B4">
        <w:t xml:space="preserve">released </w:t>
      </w:r>
      <w:r w:rsidR="00824157">
        <w:t>an</w:t>
      </w:r>
      <w:r w:rsidR="005B23B4">
        <w:t xml:space="preserve"> academic suitability proposal </w:t>
      </w:r>
      <w:r w:rsidR="00824157">
        <w:t>for feedback</w:t>
      </w:r>
      <w:r w:rsidR="00792170">
        <w:t xml:space="preserve"> from VSL providers</w:t>
      </w:r>
      <w:r w:rsidR="00824157">
        <w:t>.</w:t>
      </w:r>
    </w:p>
    <w:p w14:paraId="3A454408" w14:textId="64D275D9" w:rsidR="002B1CE5" w:rsidRPr="00981246" w:rsidRDefault="003E293F" w:rsidP="00981246">
      <w:pPr>
        <w:pStyle w:val="Heading3"/>
        <w:rPr>
          <w:b/>
          <w:bCs/>
          <w:color w:val="5D7A38"/>
        </w:rPr>
      </w:pPr>
      <w:r w:rsidRPr="00981246">
        <w:rPr>
          <w:b/>
          <w:bCs/>
          <w:color w:val="5D7A38"/>
        </w:rPr>
        <w:t>Key Feedback</w:t>
      </w:r>
      <w:r w:rsidR="00D23C2B" w:rsidRPr="00981246">
        <w:rPr>
          <w:b/>
          <w:bCs/>
          <w:color w:val="5D7A38"/>
        </w:rPr>
        <w:t xml:space="preserve"> – </w:t>
      </w:r>
      <w:r w:rsidR="00202473">
        <w:rPr>
          <w:b/>
          <w:bCs/>
          <w:color w:val="5D7A38"/>
        </w:rPr>
        <w:t>November proposals</w:t>
      </w:r>
    </w:p>
    <w:p w14:paraId="0E4FA9BF" w14:textId="68600200" w:rsidR="002B1CE5" w:rsidRDefault="00D77F5E" w:rsidP="00775AE1">
      <w:pPr>
        <w:jc w:val="both"/>
      </w:pPr>
      <w:r>
        <w:t>There were</w:t>
      </w:r>
      <w:r w:rsidR="004A17E4">
        <w:t xml:space="preserve"> 18</w:t>
      </w:r>
      <w:r>
        <w:t xml:space="preserve"> s</w:t>
      </w:r>
      <w:r w:rsidR="003E293F">
        <w:t xml:space="preserve">ubmissions received from public </w:t>
      </w:r>
      <w:r w:rsidR="002E1151">
        <w:t>and private providers, spanning multiple jurisdictions</w:t>
      </w:r>
      <w:r w:rsidR="002B1CE5">
        <w:t>.</w:t>
      </w:r>
      <w:r w:rsidR="005619B4">
        <w:t xml:space="preserve"> A summary of the feedback </w:t>
      </w:r>
      <w:r w:rsidR="00AF3787">
        <w:t>is outlined below</w:t>
      </w:r>
      <w:r w:rsidR="00517F59">
        <w:t>.</w:t>
      </w:r>
    </w:p>
    <w:p w14:paraId="1610A863" w14:textId="0E536C3A" w:rsidR="00861E56" w:rsidRDefault="00A772DD" w:rsidP="000E73C3">
      <w:pPr>
        <w:pStyle w:val="ListBullet"/>
        <w:spacing w:line="240" w:lineRule="auto"/>
        <w:contextualSpacing w:val="0"/>
        <w:jc w:val="both"/>
      </w:pPr>
      <w:r>
        <w:t>R</w:t>
      </w:r>
      <w:r w:rsidR="00564FFB">
        <w:t>espondents</w:t>
      </w:r>
      <w:r>
        <w:t xml:space="preserve"> were comfortable with</w:t>
      </w:r>
      <w:r w:rsidR="00F355ED">
        <w:t xml:space="preserve"> </w:t>
      </w:r>
      <w:r w:rsidR="00DF5D2B">
        <w:t xml:space="preserve">the </w:t>
      </w:r>
      <w:r w:rsidR="00F55261" w:rsidRPr="00F55261">
        <w:rPr>
          <w:b/>
          <w:bCs/>
        </w:rPr>
        <w:t>d</w:t>
      </w:r>
      <w:r w:rsidR="00DF5D2B" w:rsidRPr="00F55261">
        <w:rPr>
          <w:b/>
          <w:bCs/>
        </w:rPr>
        <w:t>ividend</w:t>
      </w:r>
      <w:r w:rsidR="00DF5D2B">
        <w:t xml:space="preserve"> </w:t>
      </w:r>
      <w:r w:rsidR="003D11D4">
        <w:t>and</w:t>
      </w:r>
      <w:r w:rsidR="009041A1">
        <w:t xml:space="preserve"> </w:t>
      </w:r>
      <w:r w:rsidR="009041A1" w:rsidRPr="00F55261">
        <w:rPr>
          <w:b/>
          <w:bCs/>
        </w:rPr>
        <w:t>related party transactions</w:t>
      </w:r>
      <w:r w:rsidR="009041A1">
        <w:t xml:space="preserve"> </w:t>
      </w:r>
      <w:r w:rsidR="003D11D4">
        <w:t>proposals</w:t>
      </w:r>
      <w:r w:rsidR="00D76D25">
        <w:t xml:space="preserve">. </w:t>
      </w:r>
      <w:r w:rsidR="00825FAC">
        <w:t xml:space="preserve">Some respondents </w:t>
      </w:r>
      <w:r w:rsidR="001E381A">
        <w:t>indicated</w:t>
      </w:r>
      <w:r w:rsidR="00825FAC">
        <w:t xml:space="preserve"> </w:t>
      </w:r>
      <w:r w:rsidR="00D76D25">
        <w:t xml:space="preserve">these </w:t>
      </w:r>
      <w:r w:rsidR="0057743B">
        <w:t>improvements</w:t>
      </w:r>
      <w:r w:rsidR="00AB366D">
        <w:t xml:space="preserve"> </w:t>
      </w:r>
      <w:r w:rsidR="00FA57C9">
        <w:t xml:space="preserve">would </w:t>
      </w:r>
      <w:r w:rsidR="00033876">
        <w:t>recognise</w:t>
      </w:r>
      <w:r w:rsidR="000C05FC">
        <w:t xml:space="preserve"> </w:t>
      </w:r>
      <w:r w:rsidR="000A1190">
        <w:t xml:space="preserve">the </w:t>
      </w:r>
      <w:r w:rsidR="005C6B77">
        <w:t xml:space="preserve">diversity of VSL providers </w:t>
      </w:r>
      <w:r w:rsidR="001F052C">
        <w:t>and the range of ways</w:t>
      </w:r>
      <w:r w:rsidR="00B250CB">
        <w:t xml:space="preserve"> </w:t>
      </w:r>
      <w:r w:rsidR="0057743B">
        <w:t>that</w:t>
      </w:r>
      <w:r w:rsidR="00CF6CA1">
        <w:t xml:space="preserve"> dividends </w:t>
      </w:r>
      <w:r w:rsidR="00D76D25">
        <w:t xml:space="preserve">and related party transactions </w:t>
      </w:r>
      <w:r w:rsidR="00880114">
        <w:t>may operate within organisations</w:t>
      </w:r>
      <w:r w:rsidR="00FD16FA">
        <w:t>.</w:t>
      </w:r>
    </w:p>
    <w:p w14:paraId="17DC83C3" w14:textId="7DA6E137" w:rsidR="00AC550B" w:rsidRDefault="00AC550B" w:rsidP="000E73C3">
      <w:pPr>
        <w:pStyle w:val="ListBullet"/>
        <w:spacing w:line="240" w:lineRule="auto"/>
        <w:contextualSpacing w:val="0"/>
        <w:jc w:val="both"/>
      </w:pPr>
      <w:r>
        <w:t xml:space="preserve">Most </w:t>
      </w:r>
      <w:r w:rsidR="00330A91">
        <w:t>respondents</w:t>
      </w:r>
      <w:r w:rsidR="009E19B8">
        <w:t xml:space="preserve"> </w:t>
      </w:r>
      <w:r w:rsidR="009766F2">
        <w:t xml:space="preserve">indicated </w:t>
      </w:r>
      <w:r w:rsidR="003E4E04">
        <w:t>that extending the</w:t>
      </w:r>
      <w:r w:rsidR="009766F2">
        <w:t xml:space="preserve"> </w:t>
      </w:r>
      <w:r w:rsidR="009766F2" w:rsidRPr="00F55261">
        <w:rPr>
          <w:b/>
          <w:bCs/>
        </w:rPr>
        <w:t>Annual Financial Statement</w:t>
      </w:r>
      <w:r w:rsidR="003D6A28">
        <w:t xml:space="preserve"> submission </w:t>
      </w:r>
      <w:r w:rsidR="00325583">
        <w:t>period</w:t>
      </w:r>
      <w:r w:rsidR="003E4E04">
        <w:t xml:space="preserve"> </w:t>
      </w:r>
      <w:r w:rsidR="00457A54">
        <w:t xml:space="preserve">to </w:t>
      </w:r>
      <w:r w:rsidR="000A1190">
        <w:t>four (</w:t>
      </w:r>
      <w:r w:rsidR="0097315F">
        <w:t>4</w:t>
      </w:r>
      <w:r w:rsidR="000A1190">
        <w:t>)</w:t>
      </w:r>
      <w:r w:rsidR="0097315F">
        <w:t xml:space="preserve"> months would be</w:t>
      </w:r>
      <w:r w:rsidR="00257EB2">
        <w:t xml:space="preserve"> </w:t>
      </w:r>
      <w:r w:rsidR="0097315F">
        <w:t>beneficial</w:t>
      </w:r>
      <w:r w:rsidR="00257EB2">
        <w:t xml:space="preserve"> as </w:t>
      </w:r>
      <w:r w:rsidR="00F40B93">
        <w:t>it would</w:t>
      </w:r>
      <w:r w:rsidR="0067742A">
        <w:t xml:space="preserve"> enable more time</w:t>
      </w:r>
      <w:r w:rsidR="00B8067A">
        <w:t xml:space="preserve"> </w:t>
      </w:r>
      <w:r w:rsidR="00BE555F">
        <w:t xml:space="preserve">for auditors </w:t>
      </w:r>
      <w:r w:rsidR="00D95223">
        <w:t>to</w:t>
      </w:r>
      <w:r w:rsidR="0067742A">
        <w:t xml:space="preserve"> </w:t>
      </w:r>
      <w:r w:rsidR="003171DE">
        <w:t>prepare</w:t>
      </w:r>
      <w:r w:rsidR="00EB64FC">
        <w:t xml:space="preserve">, reconcile and audit </w:t>
      </w:r>
      <w:r w:rsidR="003171DE">
        <w:t>accounts</w:t>
      </w:r>
      <w:r w:rsidR="00D95223">
        <w:t xml:space="preserve"> </w:t>
      </w:r>
      <w:r w:rsidR="009448BE">
        <w:t xml:space="preserve">and </w:t>
      </w:r>
      <w:r w:rsidR="00B5508E">
        <w:t>ensure quality financial reporting</w:t>
      </w:r>
      <w:r w:rsidR="00722C44">
        <w:t xml:space="preserve">. </w:t>
      </w:r>
    </w:p>
    <w:p w14:paraId="0278097D" w14:textId="51D39596" w:rsidR="00AC550B" w:rsidRDefault="00217247" w:rsidP="000E73C3">
      <w:pPr>
        <w:pStyle w:val="ListBullet"/>
        <w:spacing w:line="240" w:lineRule="auto"/>
        <w:contextualSpacing w:val="0"/>
        <w:jc w:val="both"/>
      </w:pPr>
      <w:r>
        <w:t xml:space="preserve">There </w:t>
      </w:r>
      <w:r w:rsidR="00E336A8">
        <w:t>is</w:t>
      </w:r>
      <w:r>
        <w:t xml:space="preserve"> strong support </w:t>
      </w:r>
      <w:r w:rsidR="00893233">
        <w:t>for relax</w:t>
      </w:r>
      <w:r w:rsidR="00880114">
        <w:t xml:space="preserve">ing the </w:t>
      </w:r>
      <w:r w:rsidR="00893233" w:rsidRPr="00AB2E70">
        <w:rPr>
          <w:b/>
          <w:bCs/>
        </w:rPr>
        <w:t xml:space="preserve">social media </w:t>
      </w:r>
      <w:r w:rsidR="008465C1" w:rsidRPr="00AB2E70">
        <w:rPr>
          <w:b/>
          <w:bCs/>
        </w:rPr>
        <w:t>marketing restrictions</w:t>
      </w:r>
      <w:r w:rsidR="006868A4">
        <w:t xml:space="preserve"> </w:t>
      </w:r>
      <w:r w:rsidR="003803AD">
        <w:t xml:space="preserve">for VSL </w:t>
      </w:r>
      <w:r w:rsidR="002E7274">
        <w:t xml:space="preserve">with most </w:t>
      </w:r>
      <w:r w:rsidR="00E12379">
        <w:t>respondents</w:t>
      </w:r>
      <w:r w:rsidR="002E7274">
        <w:t xml:space="preserve"> </w:t>
      </w:r>
      <w:r w:rsidR="0057595D">
        <w:t>indicating they would explore greater use of social media</w:t>
      </w:r>
      <w:r w:rsidR="00801E17">
        <w:t xml:space="preserve">. </w:t>
      </w:r>
    </w:p>
    <w:p w14:paraId="7CCB878E" w14:textId="66A21EB3" w:rsidR="00D61B4A" w:rsidRPr="00124D21" w:rsidRDefault="00875D36" w:rsidP="000E73C3">
      <w:pPr>
        <w:pStyle w:val="ListBullet"/>
        <w:spacing w:line="240" w:lineRule="auto"/>
        <w:contextualSpacing w:val="0"/>
        <w:jc w:val="both"/>
      </w:pPr>
      <w:r>
        <w:t>Most</w:t>
      </w:r>
      <w:r w:rsidR="001A7F9A" w:rsidRPr="00124D21">
        <w:t xml:space="preserve"> respondents support reduced </w:t>
      </w:r>
      <w:r w:rsidR="001A7F9A" w:rsidRPr="000E73C3">
        <w:t>reporting</w:t>
      </w:r>
      <w:r w:rsidR="001A7F9A" w:rsidRPr="00124D21">
        <w:t xml:space="preserve"> </w:t>
      </w:r>
      <w:r w:rsidR="00753F81" w:rsidRPr="00124D21">
        <w:t>for lower-risk providers</w:t>
      </w:r>
      <w:r w:rsidR="00361206">
        <w:t xml:space="preserve"> and the proposed repurposing of the </w:t>
      </w:r>
      <w:r w:rsidR="00361206" w:rsidRPr="00AB2E70">
        <w:rPr>
          <w:b/>
          <w:bCs/>
        </w:rPr>
        <w:t>Annual Forecast</w:t>
      </w:r>
      <w:r w:rsidR="00361206">
        <w:t xml:space="preserve"> to collect information for program monitoring</w:t>
      </w:r>
      <w:r w:rsidR="008F6D6E" w:rsidRPr="00124D21">
        <w:t xml:space="preserve">. </w:t>
      </w:r>
      <w:r w:rsidR="00D61B4A" w:rsidRPr="00124D21">
        <w:t xml:space="preserve">A few respondents </w:t>
      </w:r>
      <w:r w:rsidR="00D61B4A">
        <w:t xml:space="preserve">asked whether providers would still </w:t>
      </w:r>
      <w:r w:rsidR="0072476A">
        <w:t>be involved</w:t>
      </w:r>
      <w:r w:rsidR="00D61B4A">
        <w:t xml:space="preserve"> in setting fee limits. </w:t>
      </w:r>
      <w:r w:rsidR="0064607C">
        <w:t>Fee limits will continue to apply and would generally proceed a</w:t>
      </w:r>
      <w:r w:rsidR="0072476A">
        <w:t>s current</w:t>
      </w:r>
      <w:r w:rsidR="006A77A3">
        <w:t>ly</w:t>
      </w:r>
      <w:r w:rsidR="0072476A">
        <w:t xml:space="preserve"> set until an </w:t>
      </w:r>
      <w:r w:rsidR="00D66F88">
        <w:t>adjustment</w:t>
      </w:r>
      <w:r w:rsidR="0072476A">
        <w:t xml:space="preserve"> is needed</w:t>
      </w:r>
      <w:r w:rsidR="0064607C">
        <w:t xml:space="preserve">.  </w:t>
      </w:r>
      <w:r w:rsidR="00D61B4A">
        <w:t>Providers can continue to seek changes to their fee limit or add courses through a condition</w:t>
      </w:r>
      <w:r w:rsidR="00D61B4A" w:rsidRPr="00124D21">
        <w:t xml:space="preserve"> </w:t>
      </w:r>
      <w:r w:rsidR="00D61B4A">
        <w:t>variation request</w:t>
      </w:r>
      <w:r w:rsidR="0072476A">
        <w:t>, at any time of the year</w:t>
      </w:r>
      <w:r w:rsidR="00D61B4A">
        <w:t xml:space="preserve">.  </w:t>
      </w:r>
    </w:p>
    <w:p w14:paraId="5E0FB463" w14:textId="523EC94B" w:rsidR="00DF7A71" w:rsidRDefault="00EC1A33" w:rsidP="000E73C3">
      <w:pPr>
        <w:pStyle w:val="ListBullet"/>
        <w:spacing w:line="240" w:lineRule="auto"/>
        <w:contextualSpacing w:val="0"/>
        <w:jc w:val="both"/>
      </w:pPr>
      <w:r w:rsidRPr="000B1311">
        <w:t xml:space="preserve">Regarding </w:t>
      </w:r>
      <w:r w:rsidRPr="000C48A4">
        <w:rPr>
          <w:b/>
          <w:bCs/>
        </w:rPr>
        <w:t xml:space="preserve">academic </w:t>
      </w:r>
      <w:r w:rsidR="000C48A4" w:rsidRPr="000C48A4">
        <w:rPr>
          <w:b/>
          <w:bCs/>
        </w:rPr>
        <w:t>suitability entry</w:t>
      </w:r>
      <w:r w:rsidRPr="000C48A4">
        <w:rPr>
          <w:b/>
          <w:bCs/>
        </w:rPr>
        <w:t xml:space="preserve"> requirements</w:t>
      </w:r>
      <w:r w:rsidRPr="000B1311">
        <w:t xml:space="preserve">, most respondents </w:t>
      </w:r>
      <w:r w:rsidR="00153B75">
        <w:t>indicated</w:t>
      </w:r>
      <w:r w:rsidR="00814B43">
        <w:t xml:space="preserve"> </w:t>
      </w:r>
      <w:r w:rsidR="00153B75">
        <w:t xml:space="preserve">that some </w:t>
      </w:r>
      <w:r w:rsidR="002E0383" w:rsidRPr="000B1311">
        <w:t xml:space="preserve">students </w:t>
      </w:r>
      <w:r w:rsidR="00684FE1" w:rsidRPr="000B1311">
        <w:t xml:space="preserve">have </w:t>
      </w:r>
      <w:r w:rsidR="002E0383" w:rsidRPr="000B1311">
        <w:t>difficulty with LLN tests</w:t>
      </w:r>
      <w:r w:rsidR="00153B75">
        <w:t>,</w:t>
      </w:r>
      <w:r w:rsidR="001C5849" w:rsidRPr="000B1311">
        <w:t xml:space="preserve"> </w:t>
      </w:r>
      <w:r w:rsidR="005B3305">
        <w:t>which</w:t>
      </w:r>
      <w:r w:rsidR="001C5849" w:rsidRPr="000B1311">
        <w:t xml:space="preserve"> </w:t>
      </w:r>
      <w:r w:rsidR="00153B75">
        <w:t>can present an</w:t>
      </w:r>
      <w:r w:rsidR="004B048A" w:rsidRPr="000B1311">
        <w:t xml:space="preserve"> </w:t>
      </w:r>
      <w:r w:rsidR="00AF47D9">
        <w:t>enrolment</w:t>
      </w:r>
      <w:r w:rsidR="001C5849" w:rsidRPr="000B1311">
        <w:t xml:space="preserve"> barrier</w:t>
      </w:r>
      <w:r w:rsidR="00C7537C">
        <w:t xml:space="preserve"> to people who would otherwise be suitable to undertake a course</w:t>
      </w:r>
      <w:r w:rsidR="00AB4B1C" w:rsidRPr="000B1311">
        <w:t xml:space="preserve">. </w:t>
      </w:r>
      <w:r w:rsidR="00E6591F">
        <w:t>M</w:t>
      </w:r>
      <w:r w:rsidR="0046223F">
        <w:t>ost</w:t>
      </w:r>
      <w:r w:rsidR="00127A9F" w:rsidRPr="000B1311">
        <w:t xml:space="preserve"> respondents </w:t>
      </w:r>
      <w:r w:rsidR="00AB4B1C" w:rsidRPr="000B1311">
        <w:t xml:space="preserve">indicated they </w:t>
      </w:r>
      <w:r w:rsidR="00606024">
        <w:t xml:space="preserve">also </w:t>
      </w:r>
      <w:r w:rsidR="00AB4B1C" w:rsidRPr="000B1311">
        <w:t>use</w:t>
      </w:r>
      <w:r w:rsidR="00476235" w:rsidRPr="000B1311">
        <w:t xml:space="preserve"> other </w:t>
      </w:r>
      <w:r w:rsidR="003E1552" w:rsidRPr="000B1311">
        <w:t>activities</w:t>
      </w:r>
      <w:r w:rsidR="00E6591F">
        <w:t>,</w:t>
      </w:r>
      <w:r w:rsidR="003E1552" w:rsidRPr="000B1311">
        <w:t xml:space="preserve"> </w:t>
      </w:r>
      <w:r w:rsidR="00FF3F73">
        <w:t>such as</w:t>
      </w:r>
      <w:r w:rsidR="003E1552" w:rsidRPr="000B1311">
        <w:t xml:space="preserve"> </w:t>
      </w:r>
      <w:r w:rsidR="004354E4" w:rsidRPr="000B1311">
        <w:t xml:space="preserve">pre-enrolment </w:t>
      </w:r>
      <w:r w:rsidR="003E1552" w:rsidRPr="000B1311">
        <w:t>interviews</w:t>
      </w:r>
      <w:r w:rsidR="00E6591F">
        <w:t>,</w:t>
      </w:r>
      <w:r w:rsidR="00D349B2" w:rsidRPr="000B1311">
        <w:t xml:space="preserve"> to assess student suitability</w:t>
      </w:r>
      <w:r w:rsidR="00E17AC3" w:rsidRPr="000B1311">
        <w:t xml:space="preserve">. </w:t>
      </w:r>
    </w:p>
    <w:p w14:paraId="34765D3F" w14:textId="7D66780A" w:rsidR="00615055" w:rsidRPr="00981246" w:rsidRDefault="00D23C2B" w:rsidP="00981246">
      <w:pPr>
        <w:pStyle w:val="Heading3"/>
        <w:rPr>
          <w:b/>
          <w:bCs/>
        </w:rPr>
      </w:pPr>
      <w:r w:rsidRPr="00981246">
        <w:rPr>
          <w:b/>
          <w:bCs/>
          <w:color w:val="5D7A38"/>
        </w:rPr>
        <w:lastRenderedPageBreak/>
        <w:t xml:space="preserve">Key Feedback – </w:t>
      </w:r>
      <w:r w:rsidR="00FF3F73">
        <w:rPr>
          <w:b/>
          <w:bCs/>
          <w:color w:val="5D7A38"/>
        </w:rPr>
        <w:t>December p</w:t>
      </w:r>
      <w:r w:rsidRPr="00981246">
        <w:rPr>
          <w:b/>
          <w:bCs/>
          <w:color w:val="5D7A38"/>
        </w:rPr>
        <w:t>ropos</w:t>
      </w:r>
      <w:r w:rsidR="00FF3F73">
        <w:rPr>
          <w:b/>
          <w:bCs/>
          <w:color w:val="5D7A38"/>
        </w:rPr>
        <w:t>al</w:t>
      </w:r>
      <w:r w:rsidR="00532F24">
        <w:rPr>
          <w:b/>
          <w:bCs/>
          <w:color w:val="5D7A38"/>
        </w:rPr>
        <w:t xml:space="preserve"> on</w:t>
      </w:r>
      <w:r w:rsidRPr="00981246">
        <w:rPr>
          <w:b/>
          <w:bCs/>
          <w:color w:val="5D7A38"/>
        </w:rPr>
        <w:t xml:space="preserve"> </w:t>
      </w:r>
      <w:r w:rsidR="007D58D6" w:rsidRPr="00981246">
        <w:rPr>
          <w:b/>
          <w:bCs/>
          <w:color w:val="5D7A38"/>
        </w:rPr>
        <w:t>future approach to academic suitability</w:t>
      </w:r>
    </w:p>
    <w:p w14:paraId="6471230B" w14:textId="178C649D" w:rsidR="007D58D6" w:rsidRDefault="00312C2B" w:rsidP="007D58D6">
      <w:r>
        <w:t xml:space="preserve">In December we </w:t>
      </w:r>
      <w:r w:rsidR="004072FE">
        <w:t xml:space="preserve">released a proposal </w:t>
      </w:r>
      <w:r w:rsidR="006E21B1">
        <w:t>on</w:t>
      </w:r>
      <w:r w:rsidR="004072FE">
        <w:t xml:space="preserve"> </w:t>
      </w:r>
      <w:r w:rsidR="00A10B12">
        <w:t>VSL academic suitability</w:t>
      </w:r>
      <w:r w:rsidR="007573FF">
        <w:t xml:space="preserve"> </w:t>
      </w:r>
      <w:r w:rsidR="006E21B1">
        <w:t>involving the following</w:t>
      </w:r>
      <w:r w:rsidR="007573FF">
        <w:t>.</w:t>
      </w:r>
    </w:p>
    <w:p w14:paraId="4CAF8D08" w14:textId="362303A1" w:rsidR="001E757C" w:rsidRDefault="001E757C" w:rsidP="000C48A4">
      <w:pPr>
        <w:pStyle w:val="ListBullet"/>
        <w:spacing w:line="240" w:lineRule="auto"/>
        <w:contextualSpacing w:val="0"/>
        <w:jc w:val="both"/>
      </w:pPr>
      <w:r>
        <w:t xml:space="preserve">The </w:t>
      </w:r>
      <w:r w:rsidR="00D340B8">
        <w:t xml:space="preserve">VSL </w:t>
      </w:r>
      <w:r>
        <w:t>Rules would contain a general requirement that the provider’s student entry procedure must specify requirements for determining a student is academically suitable to undertake a particular course, which includes assessment of the student’s skills and competencies, including their language, literacy, numeracy and digital proficiency.  However, the Rules would not prescribe specific evidence requirements (</w:t>
      </w:r>
      <w:r w:rsidR="00875D36">
        <w:t>e.g.,</w:t>
      </w:r>
      <w:r>
        <w:t xml:space="preserve"> Year 12) or the use of approved LLN tests. </w:t>
      </w:r>
    </w:p>
    <w:p w14:paraId="0B30C896" w14:textId="0200A05E" w:rsidR="001E757C" w:rsidRDefault="001E757C" w:rsidP="000C48A4">
      <w:pPr>
        <w:pStyle w:val="ListBullet"/>
        <w:spacing w:line="240" w:lineRule="auto"/>
        <w:contextualSpacing w:val="0"/>
        <w:jc w:val="both"/>
      </w:pPr>
      <w:r>
        <w:t xml:space="preserve">The Rules would require providers to document, and make available on request, the results of the assessment of the student and reasons why the student was or was not considered suitable for the course. </w:t>
      </w:r>
    </w:p>
    <w:p w14:paraId="21EE501A" w14:textId="32804B11" w:rsidR="001E757C" w:rsidRDefault="001E757C" w:rsidP="000C48A4">
      <w:pPr>
        <w:pStyle w:val="ListBullet"/>
        <w:spacing w:line="240" w:lineRule="auto"/>
        <w:contextualSpacing w:val="0"/>
        <w:jc w:val="both"/>
      </w:pPr>
      <w:r>
        <w:t>The Department w</w:t>
      </w:r>
      <w:r w:rsidR="00B420D1">
        <w:t>ould</w:t>
      </w:r>
      <w:r>
        <w:t xml:space="preserve"> monitor a range of indicators relating to student engagement and performance and will undertake investigation activities where there is evidence of a potential problem relating to student engagement or performance. This could prompt a broader audit of the provider’s adherence to program requirements and the possible taking of compliance actions, including the imposition of additional conditions of approval.  </w:t>
      </w:r>
    </w:p>
    <w:p w14:paraId="4B91A19C" w14:textId="0938986B" w:rsidR="008D77DB" w:rsidRDefault="00736516" w:rsidP="008D77DB">
      <w:pPr>
        <w:pStyle w:val="ListBullet"/>
        <w:numPr>
          <w:ilvl w:val="0"/>
          <w:numId w:val="0"/>
        </w:numPr>
        <w:spacing w:line="276" w:lineRule="auto"/>
        <w:jc w:val="both"/>
      </w:pPr>
      <w:r>
        <w:t xml:space="preserve">We received </w:t>
      </w:r>
      <w:r w:rsidR="1171EE4B">
        <w:t>20</w:t>
      </w:r>
      <w:r>
        <w:t xml:space="preserve"> submissions</w:t>
      </w:r>
      <w:r w:rsidR="008A747C">
        <w:t xml:space="preserve"> o</w:t>
      </w:r>
      <w:r w:rsidR="00307392">
        <w:t>n</w:t>
      </w:r>
      <w:r w:rsidR="008A747C">
        <w:t xml:space="preserve"> the proposed future approach to academic suitability.  </w:t>
      </w:r>
      <w:r w:rsidR="0075252C">
        <w:t>While the vast majority of feedback was supportive, some issues</w:t>
      </w:r>
      <w:r w:rsidR="00BD4B5F">
        <w:t xml:space="preserve"> were raised which</w:t>
      </w:r>
      <w:r w:rsidR="00702685">
        <w:t xml:space="preserve"> </w:t>
      </w:r>
      <w:r w:rsidR="008A747C">
        <w:t xml:space="preserve">are </w:t>
      </w:r>
      <w:r w:rsidR="00BD4B5F">
        <w:t>discussed</w:t>
      </w:r>
      <w:r w:rsidR="00131BCC">
        <w:t xml:space="preserve"> </w:t>
      </w:r>
      <w:r w:rsidR="008A747C">
        <w:t>below</w:t>
      </w:r>
      <w:r w:rsidR="008D77DB">
        <w:t xml:space="preserve">. </w:t>
      </w:r>
    </w:p>
    <w:p w14:paraId="0780E1A5" w14:textId="77777777" w:rsidR="00FB0C6A" w:rsidRDefault="00CC4BFB" w:rsidP="00981246">
      <w:pPr>
        <w:pStyle w:val="Heading5"/>
      </w:pPr>
      <w:r w:rsidRPr="00981246">
        <w:rPr>
          <w:color w:val="5D7A38"/>
        </w:rPr>
        <w:t xml:space="preserve">Relationship of VSL Rules to </w:t>
      </w:r>
      <w:r w:rsidR="008D77DB" w:rsidRPr="00981246">
        <w:rPr>
          <w:color w:val="5D7A38"/>
        </w:rPr>
        <w:t>RTO Standards</w:t>
      </w:r>
      <w:r w:rsidR="008D77DB" w:rsidRPr="002D4657">
        <w:t xml:space="preserve"> </w:t>
      </w:r>
    </w:p>
    <w:p w14:paraId="3C05DA77" w14:textId="77777777" w:rsidR="002F0672" w:rsidRDefault="00FB0C6A" w:rsidP="002F0672">
      <w:pPr>
        <w:jc w:val="both"/>
      </w:pPr>
      <w:r>
        <w:t>S</w:t>
      </w:r>
      <w:r w:rsidR="002321A9">
        <w:t xml:space="preserve">ome submissions </w:t>
      </w:r>
      <w:r w:rsidR="00947B9F">
        <w:t xml:space="preserve">suggested a need to clarify the relationship between the </w:t>
      </w:r>
      <w:r w:rsidR="00CF46D2">
        <w:t xml:space="preserve">VSL </w:t>
      </w:r>
      <w:r w:rsidR="00947B9F">
        <w:t>Rules and the RTO Standards</w:t>
      </w:r>
      <w:r w:rsidR="003B72CB">
        <w:t>.</w:t>
      </w:r>
    </w:p>
    <w:p w14:paraId="70DB75DB" w14:textId="42010411" w:rsidR="00573F15" w:rsidRDefault="003B72CB" w:rsidP="002F0672">
      <w:pPr>
        <w:jc w:val="both"/>
      </w:pPr>
      <w:r>
        <w:t xml:space="preserve">The Rules and </w:t>
      </w:r>
      <w:r w:rsidR="00F92702">
        <w:t xml:space="preserve">the </w:t>
      </w:r>
      <w:r>
        <w:t xml:space="preserve">Standards </w:t>
      </w:r>
      <w:r w:rsidR="00C261F3">
        <w:t>a</w:t>
      </w:r>
      <w:r w:rsidR="00F92702">
        <w:t>re</w:t>
      </w:r>
      <w:r w:rsidR="00C261F3">
        <w:t xml:space="preserve"> separate legislative instruments designed for different purposes</w:t>
      </w:r>
      <w:r w:rsidR="00BE3376">
        <w:t>.</w:t>
      </w:r>
      <w:r w:rsidR="00927828">
        <w:t xml:space="preserve">  </w:t>
      </w:r>
      <w:r w:rsidR="00DB2F88">
        <w:t xml:space="preserve">VSL approved providers need to comply with the VSL Rules and the RTO standards.  </w:t>
      </w:r>
      <w:r w:rsidR="00927828">
        <w:t xml:space="preserve">Where there </w:t>
      </w:r>
      <w:r w:rsidR="00955655">
        <w:t>is an overlap in coverage, such as the pre-</w:t>
      </w:r>
      <w:r w:rsidR="004D2344">
        <w:t>enrolment</w:t>
      </w:r>
      <w:r w:rsidR="00955655">
        <w:t xml:space="preserve"> assessment of students </w:t>
      </w:r>
      <w:r w:rsidR="00DA7ACC">
        <w:t xml:space="preserve">to determine course suitability, it may be possible for </w:t>
      </w:r>
      <w:r w:rsidR="00DB2F88">
        <w:t xml:space="preserve">the Rules </w:t>
      </w:r>
      <w:r w:rsidR="009A32B8">
        <w:t xml:space="preserve">to </w:t>
      </w:r>
      <w:r w:rsidR="00DB2F88">
        <w:t xml:space="preserve">adopt a similar approach to the </w:t>
      </w:r>
      <w:r w:rsidR="00F570C1">
        <w:t>S</w:t>
      </w:r>
      <w:r w:rsidR="00DB2F88">
        <w:t xml:space="preserve">tandards, </w:t>
      </w:r>
      <w:r w:rsidR="00A0379F">
        <w:t xml:space="preserve">allowing </w:t>
      </w:r>
      <w:r w:rsidR="00DB2F88">
        <w:t>providers to</w:t>
      </w:r>
      <w:r w:rsidR="00F92702">
        <w:t xml:space="preserve"> more easily</w:t>
      </w:r>
      <w:r w:rsidR="00DB2F88">
        <w:t xml:space="preserve"> put in place procedures that satisfy both</w:t>
      </w:r>
      <w:r w:rsidR="00CF46D2">
        <w:t>.</w:t>
      </w:r>
      <w:r w:rsidR="00A0379F">
        <w:t xml:space="preserve">  </w:t>
      </w:r>
    </w:p>
    <w:p w14:paraId="524BE5D9" w14:textId="4E8574B7" w:rsidR="008D77DB" w:rsidRPr="002D4657" w:rsidRDefault="00A0379F" w:rsidP="002F0672">
      <w:pPr>
        <w:jc w:val="both"/>
      </w:pPr>
      <w:r>
        <w:t xml:space="preserve">However, the VSL Rules may also have different or </w:t>
      </w:r>
      <w:r w:rsidR="000E3C5E">
        <w:t>additional</w:t>
      </w:r>
      <w:r w:rsidR="0076578E">
        <w:t xml:space="preserve"> requirements</w:t>
      </w:r>
      <w:r w:rsidR="000E3C5E">
        <w:t xml:space="preserve"> to the Standards</w:t>
      </w:r>
      <w:r w:rsidR="0076578E">
        <w:t xml:space="preserve"> where i</w:t>
      </w:r>
      <w:r w:rsidR="00C2555A">
        <w:t>t is</w:t>
      </w:r>
      <w:r w:rsidR="0076578E">
        <w:t xml:space="preserve"> considered necessary to support the delivery and integrity of the VSL program</w:t>
      </w:r>
      <w:r w:rsidR="00C2555A">
        <w:t xml:space="preserve"> and </w:t>
      </w:r>
      <w:r w:rsidR="00DC5F2A">
        <w:t>loan funding</w:t>
      </w:r>
      <w:r w:rsidR="001C71F3">
        <w:t xml:space="preserve"> arrangements.</w:t>
      </w:r>
    </w:p>
    <w:p w14:paraId="2B3EA878" w14:textId="52FA1A56" w:rsidR="00573F15" w:rsidRDefault="000B55C5" w:rsidP="002F0672">
      <w:pPr>
        <w:pStyle w:val="Heading5"/>
      </w:pPr>
      <w:r w:rsidRPr="002F0672">
        <w:rPr>
          <w:color w:val="5D7A38"/>
        </w:rPr>
        <w:t xml:space="preserve">Need for providers to establish </w:t>
      </w:r>
      <w:r w:rsidR="00F7377B" w:rsidRPr="002F0672">
        <w:rPr>
          <w:color w:val="5D7A38"/>
        </w:rPr>
        <w:t>pre-training/enrolment assessment</w:t>
      </w:r>
      <w:r w:rsidR="00BE17A2">
        <w:rPr>
          <w:color w:val="5D7A38"/>
        </w:rPr>
        <w:t xml:space="preserve"> entry</w:t>
      </w:r>
      <w:r w:rsidRPr="002F0672">
        <w:rPr>
          <w:color w:val="5D7A38"/>
        </w:rPr>
        <w:t xml:space="preserve"> </w:t>
      </w:r>
      <w:r w:rsidR="00FC4CBA" w:rsidRPr="002F0672">
        <w:rPr>
          <w:color w:val="5D7A38"/>
        </w:rPr>
        <w:t>procedures</w:t>
      </w:r>
      <w:r w:rsidRPr="002D4657">
        <w:t xml:space="preserve"> </w:t>
      </w:r>
    </w:p>
    <w:p w14:paraId="16BB81EA" w14:textId="6136C0F4" w:rsidR="00573F15" w:rsidRDefault="000B55C5" w:rsidP="000A2035">
      <w:pPr>
        <w:jc w:val="both"/>
      </w:pPr>
      <w:r w:rsidRPr="002D4657">
        <w:t xml:space="preserve">One submission </w:t>
      </w:r>
      <w:r w:rsidR="00F173DE" w:rsidRPr="002D4657">
        <w:t xml:space="preserve">raised concerns that </w:t>
      </w:r>
      <w:r w:rsidR="000A2BF0">
        <w:t xml:space="preserve">the change would result in </w:t>
      </w:r>
      <w:r w:rsidR="00F173DE" w:rsidRPr="002D4657">
        <w:t xml:space="preserve">extra effort and burden with providers having to establish their own </w:t>
      </w:r>
      <w:r w:rsidR="00404709" w:rsidRPr="00404709">
        <w:t>pre</w:t>
      </w:r>
      <w:r w:rsidR="00792170">
        <w:t>-</w:t>
      </w:r>
      <w:r w:rsidR="00404709" w:rsidRPr="00404709">
        <w:t>enrolment assessment</w:t>
      </w:r>
      <w:r w:rsidR="00700EFC">
        <w:t xml:space="preserve"> entry</w:t>
      </w:r>
      <w:r w:rsidR="00404709" w:rsidRPr="00404709">
        <w:t xml:space="preserve"> </w:t>
      </w:r>
      <w:r w:rsidR="00FC4CBA">
        <w:t>procedures</w:t>
      </w:r>
      <w:r w:rsidR="00F173DE" w:rsidRPr="002D4657">
        <w:t>.</w:t>
      </w:r>
      <w:r w:rsidR="0022709A" w:rsidRPr="002D4657">
        <w:t xml:space="preserve">  </w:t>
      </w:r>
    </w:p>
    <w:p w14:paraId="79F1E18E" w14:textId="6EAC5B0D" w:rsidR="00702685" w:rsidRPr="002D4657" w:rsidRDefault="00885B20" w:rsidP="000A2035">
      <w:pPr>
        <w:jc w:val="both"/>
      </w:pPr>
      <w:r>
        <w:t xml:space="preserve">The RTO Standards and the VSL Rules already require providers to establish their own </w:t>
      </w:r>
      <w:r w:rsidR="00700EFC">
        <w:t xml:space="preserve">entry </w:t>
      </w:r>
      <w:r w:rsidR="00FC4CBA">
        <w:t>procedures</w:t>
      </w:r>
      <w:r>
        <w:t xml:space="preserve">, and currently those </w:t>
      </w:r>
      <w:r w:rsidR="006A1AB0">
        <w:t>procedures</w:t>
      </w:r>
      <w:r>
        <w:t xml:space="preserve"> must </w:t>
      </w:r>
      <w:r w:rsidR="000A0B93">
        <w:t xml:space="preserve">include the prescribed VSL academic suitability requirements.  </w:t>
      </w:r>
      <w:r w:rsidR="00BA66AF">
        <w:t xml:space="preserve">Under the proposed new approach, providers would still need to </w:t>
      </w:r>
      <w:r w:rsidR="00404709">
        <w:t>have</w:t>
      </w:r>
      <w:r w:rsidR="00787CB1">
        <w:t xml:space="preserve"> their</w:t>
      </w:r>
      <w:r w:rsidR="00BA66AF">
        <w:t xml:space="preserve"> own </w:t>
      </w:r>
      <w:r w:rsidR="006A1AB0">
        <w:t>procedures</w:t>
      </w:r>
      <w:r w:rsidR="00BA66AF">
        <w:t xml:space="preserve">, but would have flexibility with respect to the specific testing or evidence </w:t>
      </w:r>
      <w:r w:rsidR="006A1AB0">
        <w:t xml:space="preserve">used </w:t>
      </w:r>
      <w:r w:rsidR="009D593D">
        <w:t>to establish a student is suitable for a course.</w:t>
      </w:r>
      <w:r w:rsidR="00BA66AF">
        <w:t xml:space="preserve"> </w:t>
      </w:r>
      <w:r w:rsidR="00C333D0">
        <w:t xml:space="preserve">Some providers may decide not to make any changes to the procedures they have in place if </w:t>
      </w:r>
      <w:r w:rsidR="00AB3F5C">
        <w:t xml:space="preserve">they are </w:t>
      </w:r>
      <w:r w:rsidR="002F25A7">
        <w:t>appropriate</w:t>
      </w:r>
      <w:r w:rsidR="00C333D0">
        <w:t xml:space="preserve"> for their students, courses and business operations</w:t>
      </w:r>
      <w:r w:rsidR="00693082">
        <w:t xml:space="preserve">, or they are </w:t>
      </w:r>
      <w:r w:rsidR="007611C9">
        <w:t>needed</w:t>
      </w:r>
      <w:r w:rsidR="00693082">
        <w:t xml:space="preserve"> for meeting other regulatory requirements, such as </w:t>
      </w:r>
      <w:r w:rsidR="007611C9">
        <w:t>nursing registration.</w:t>
      </w:r>
      <w:r w:rsidR="00C333D0">
        <w:t xml:space="preserve"> </w:t>
      </w:r>
    </w:p>
    <w:p w14:paraId="75C96CB6" w14:textId="77777777" w:rsidR="004E7E65" w:rsidRDefault="00442137" w:rsidP="004E7E65">
      <w:pPr>
        <w:pStyle w:val="Heading5"/>
      </w:pPr>
      <w:r w:rsidRPr="004E7E65">
        <w:rPr>
          <w:color w:val="5D7A38"/>
        </w:rPr>
        <w:t xml:space="preserve">Risk </w:t>
      </w:r>
      <w:r w:rsidR="00B76D41" w:rsidRPr="004E7E65">
        <w:rPr>
          <w:color w:val="5D7A38"/>
        </w:rPr>
        <w:t xml:space="preserve">that some providers </w:t>
      </w:r>
      <w:r w:rsidR="000459D1" w:rsidRPr="004E7E65">
        <w:rPr>
          <w:color w:val="5D7A38"/>
        </w:rPr>
        <w:t xml:space="preserve">might </w:t>
      </w:r>
      <w:r w:rsidR="008945F9" w:rsidRPr="004E7E65">
        <w:rPr>
          <w:color w:val="5D7A38"/>
        </w:rPr>
        <w:t>not maintain appropriate entry standards</w:t>
      </w:r>
      <w:r w:rsidR="008945F9" w:rsidRPr="002D4657">
        <w:t xml:space="preserve"> </w:t>
      </w:r>
    </w:p>
    <w:p w14:paraId="6E7D86F4" w14:textId="2C398C25" w:rsidR="000D3F19" w:rsidRDefault="00D900D5" w:rsidP="004E7E65">
      <w:pPr>
        <w:pStyle w:val="ListBullet"/>
        <w:numPr>
          <w:ilvl w:val="0"/>
          <w:numId w:val="0"/>
        </w:numPr>
        <w:spacing w:line="276" w:lineRule="auto"/>
        <w:jc w:val="both"/>
      </w:pPr>
      <w:r>
        <w:t>Two</w:t>
      </w:r>
      <w:r w:rsidR="009D5394" w:rsidRPr="002D4657">
        <w:t xml:space="preserve"> submissions </w:t>
      </w:r>
      <w:r w:rsidR="007C03CD" w:rsidRPr="002D4657">
        <w:t xml:space="preserve">suggested </w:t>
      </w:r>
      <w:r w:rsidR="009D5394" w:rsidRPr="002D4657">
        <w:t xml:space="preserve">the change might </w:t>
      </w:r>
      <w:r w:rsidR="009C6D27" w:rsidRPr="002D4657">
        <w:t>lead</w:t>
      </w:r>
      <w:r w:rsidR="00827ECA" w:rsidRPr="002D4657">
        <w:t xml:space="preserve"> </w:t>
      </w:r>
      <w:r w:rsidR="007C03CD" w:rsidRPr="002D4657">
        <w:t xml:space="preserve">some providers to not </w:t>
      </w:r>
      <w:r w:rsidR="00827ECA" w:rsidRPr="002D4657">
        <w:t>maintain appropriate entry</w:t>
      </w:r>
      <w:r w:rsidR="004E7E65">
        <w:t xml:space="preserve"> </w:t>
      </w:r>
      <w:r w:rsidR="00827ECA" w:rsidRPr="002D4657">
        <w:t>standards</w:t>
      </w:r>
      <w:r w:rsidR="007C03CD" w:rsidRPr="002D4657">
        <w:t>,</w:t>
      </w:r>
      <w:r w:rsidR="005C581C" w:rsidRPr="002D4657">
        <w:t xml:space="preserve"> </w:t>
      </w:r>
      <w:r w:rsidR="00846AD1">
        <w:t xml:space="preserve">resulting inequitable </w:t>
      </w:r>
      <w:r w:rsidR="00263097" w:rsidRPr="002D4657">
        <w:t xml:space="preserve">access, </w:t>
      </w:r>
      <w:r w:rsidR="00B302B6" w:rsidRPr="002D4657">
        <w:t xml:space="preserve">‘forum shopping’ and </w:t>
      </w:r>
      <w:r w:rsidR="00263097" w:rsidRPr="002D4657">
        <w:t>potential financial harm for students</w:t>
      </w:r>
      <w:r w:rsidR="00B302B6" w:rsidRPr="002D4657">
        <w:t xml:space="preserve">. </w:t>
      </w:r>
    </w:p>
    <w:p w14:paraId="3B2237A3" w14:textId="77777777" w:rsidR="000D3F19" w:rsidRDefault="000D3F19" w:rsidP="004E7E65">
      <w:pPr>
        <w:pStyle w:val="ListBullet"/>
        <w:numPr>
          <w:ilvl w:val="0"/>
          <w:numId w:val="0"/>
        </w:numPr>
        <w:spacing w:line="276" w:lineRule="auto"/>
        <w:jc w:val="both"/>
      </w:pPr>
    </w:p>
    <w:p w14:paraId="1EC38EDD" w14:textId="33C62D0B" w:rsidR="00442137" w:rsidRDefault="00314EF0" w:rsidP="004E7E65">
      <w:pPr>
        <w:pStyle w:val="ListBullet"/>
        <w:numPr>
          <w:ilvl w:val="0"/>
          <w:numId w:val="0"/>
        </w:numPr>
        <w:spacing w:line="276" w:lineRule="auto"/>
        <w:jc w:val="both"/>
      </w:pPr>
      <w:r>
        <w:t xml:space="preserve">The concern about equity was premised on the current </w:t>
      </w:r>
      <w:r w:rsidR="00012887">
        <w:t>approach</w:t>
      </w:r>
      <w:r>
        <w:t xml:space="preserve"> </w:t>
      </w:r>
      <w:r w:rsidR="002B0E78">
        <w:t>achieving</w:t>
      </w:r>
      <w:r>
        <w:t xml:space="preserve"> </w:t>
      </w:r>
      <w:r w:rsidR="008D7C69">
        <w:t>equitable outcomes</w:t>
      </w:r>
      <w:r w:rsidR="00012887">
        <w:t>.  However, t</w:t>
      </w:r>
      <w:r w:rsidR="00C7401E">
        <w:t>he</w:t>
      </w:r>
      <w:r w:rsidR="006A1690">
        <w:t xml:space="preserve"> prescriptive approach </w:t>
      </w:r>
      <w:r w:rsidR="00236B17">
        <w:t xml:space="preserve">under s80 of the </w:t>
      </w:r>
      <w:r w:rsidR="00050619">
        <w:t xml:space="preserve">VSL Rules </w:t>
      </w:r>
      <w:r w:rsidR="00C46A86">
        <w:t xml:space="preserve">does not achieve equity </w:t>
      </w:r>
      <w:r w:rsidR="00DA7E66">
        <w:t xml:space="preserve">across the </w:t>
      </w:r>
      <w:r w:rsidR="00F01C5D">
        <w:t xml:space="preserve">VSL </w:t>
      </w:r>
      <w:r w:rsidR="00DA7E66">
        <w:t xml:space="preserve">student cohort </w:t>
      </w:r>
      <w:r w:rsidR="00DC6708">
        <w:t xml:space="preserve">in terms of </w:t>
      </w:r>
      <w:r w:rsidR="00F26529">
        <w:t xml:space="preserve">imposed </w:t>
      </w:r>
      <w:r w:rsidR="00DC6708">
        <w:t xml:space="preserve">academic </w:t>
      </w:r>
      <w:r w:rsidR="00FB54AE">
        <w:t>suitabilit</w:t>
      </w:r>
      <w:r w:rsidR="00F95CD1">
        <w:t>y</w:t>
      </w:r>
      <w:r w:rsidR="007E4805">
        <w:t xml:space="preserve"> entry requirements</w:t>
      </w:r>
      <w:r w:rsidR="00FB54AE">
        <w:t>.  For example</w:t>
      </w:r>
      <w:r w:rsidR="00E31455">
        <w:t>,</w:t>
      </w:r>
      <w:r w:rsidR="00FB54AE">
        <w:t xml:space="preserve"> Year 12 </w:t>
      </w:r>
      <w:r w:rsidR="00012887">
        <w:t>requirements are different across jurisdictions</w:t>
      </w:r>
      <w:r w:rsidR="00A352C3">
        <w:t>,</w:t>
      </w:r>
      <w:r w:rsidR="00012887">
        <w:t xml:space="preserve"> and </w:t>
      </w:r>
      <w:r w:rsidR="00A352C3">
        <w:t xml:space="preserve">some Year 12 or Certificate IV qualifications do not require or test </w:t>
      </w:r>
      <w:r w:rsidR="00925C57">
        <w:t>capability to the A</w:t>
      </w:r>
      <w:r w:rsidR="001377B7">
        <w:t xml:space="preserve">ustralian </w:t>
      </w:r>
      <w:r w:rsidR="00925C57">
        <w:t>C</w:t>
      </w:r>
      <w:r w:rsidR="001377B7">
        <w:t xml:space="preserve">ore </w:t>
      </w:r>
      <w:r w:rsidR="00925C57">
        <w:t>S</w:t>
      </w:r>
      <w:r w:rsidR="001377B7">
        <w:t xml:space="preserve">kills </w:t>
      </w:r>
      <w:r w:rsidR="00925C57">
        <w:t>F</w:t>
      </w:r>
      <w:r w:rsidR="001377B7">
        <w:t>ramework</w:t>
      </w:r>
      <w:r w:rsidR="00925C57">
        <w:t xml:space="preserve"> Ex</w:t>
      </w:r>
      <w:r w:rsidR="00DB2995">
        <w:t>i</w:t>
      </w:r>
      <w:r w:rsidR="00925C57">
        <w:t xml:space="preserve">t Level </w:t>
      </w:r>
      <w:r w:rsidR="00DB2995">
        <w:t>3</w:t>
      </w:r>
      <w:r w:rsidR="00925C57">
        <w:t xml:space="preserve"> required by the LLN tests. </w:t>
      </w:r>
      <w:r w:rsidR="000C1776">
        <w:t xml:space="preserve">An approach that allows for flexibility, while </w:t>
      </w:r>
      <w:r w:rsidR="00DB2995">
        <w:t xml:space="preserve">perhaps </w:t>
      </w:r>
      <w:r w:rsidR="00A024D2">
        <w:t xml:space="preserve">leading to greater variety in approach </w:t>
      </w:r>
      <w:r w:rsidR="005A25C6">
        <w:t>can also</w:t>
      </w:r>
      <w:r w:rsidR="00A024D2">
        <w:t xml:space="preserve"> promote greater equity in terms of </w:t>
      </w:r>
      <w:r w:rsidR="00A47E38">
        <w:t>tailoring and reasonable adjustment.</w:t>
      </w:r>
    </w:p>
    <w:p w14:paraId="3B8F36FF" w14:textId="77777777" w:rsidR="004E7E65" w:rsidRDefault="004E7E65" w:rsidP="004E7E65">
      <w:pPr>
        <w:pStyle w:val="ListBullet"/>
        <w:numPr>
          <w:ilvl w:val="0"/>
          <w:numId w:val="0"/>
        </w:numPr>
        <w:spacing w:line="276" w:lineRule="auto"/>
        <w:jc w:val="both"/>
      </w:pPr>
    </w:p>
    <w:p w14:paraId="74B60308" w14:textId="0AF0A959" w:rsidR="003D77D2" w:rsidRDefault="000E011A" w:rsidP="004E7E65">
      <w:pPr>
        <w:pStyle w:val="ListBullet"/>
        <w:numPr>
          <w:ilvl w:val="0"/>
          <w:numId w:val="0"/>
        </w:numPr>
        <w:spacing w:line="276" w:lineRule="auto"/>
        <w:jc w:val="both"/>
      </w:pPr>
      <w:r>
        <w:t>The potential for f</w:t>
      </w:r>
      <w:r w:rsidR="003D77D2">
        <w:t xml:space="preserve">orum shopping was cited as another concern in a couple of submissions.  This is the </w:t>
      </w:r>
      <w:r>
        <w:t>idea</w:t>
      </w:r>
      <w:r w:rsidR="003D77D2">
        <w:t xml:space="preserve"> that students </w:t>
      </w:r>
      <w:r w:rsidR="00877B99">
        <w:t>may opt to study with a provider that has easier</w:t>
      </w:r>
      <w:r w:rsidR="00AA1DEB">
        <w:t xml:space="preserve"> entry requirements.  </w:t>
      </w:r>
      <w:r w:rsidR="00AA1DEB" w:rsidRPr="00891090">
        <w:t xml:space="preserve">There are a range of factors that </w:t>
      </w:r>
      <w:r w:rsidR="00AA1DEB" w:rsidRPr="00891090">
        <w:lastRenderedPageBreak/>
        <w:t>influence where a student may choose to study including, location</w:t>
      </w:r>
      <w:r w:rsidR="008F3585" w:rsidRPr="00891090">
        <w:t xml:space="preserve">, </w:t>
      </w:r>
      <w:r w:rsidR="00E81E91" w:rsidRPr="00891090">
        <w:t xml:space="preserve">the training provider’s </w:t>
      </w:r>
      <w:r w:rsidR="008F3585" w:rsidRPr="00891090">
        <w:t>reputation</w:t>
      </w:r>
      <w:r w:rsidR="00F171E9" w:rsidRPr="00891090">
        <w:t xml:space="preserve"> and quality of training</w:t>
      </w:r>
      <w:r w:rsidR="008F3585" w:rsidRPr="00891090">
        <w:t xml:space="preserve"> and job prospects.</w:t>
      </w:r>
      <w:r w:rsidR="008F3585">
        <w:t xml:space="preserve">  </w:t>
      </w:r>
      <w:r w:rsidR="00AA06A0">
        <w:t xml:space="preserve">There is </w:t>
      </w:r>
      <w:r w:rsidR="000D5A92">
        <w:t>also</w:t>
      </w:r>
      <w:r w:rsidR="00AA06A0">
        <w:t xml:space="preserve"> guidance material available to students about how to choose a tra</w:t>
      </w:r>
      <w:r w:rsidR="00172794">
        <w:t>i</w:t>
      </w:r>
      <w:r w:rsidR="00AA06A0">
        <w:t>ni</w:t>
      </w:r>
      <w:r w:rsidR="00172794">
        <w:t>n</w:t>
      </w:r>
      <w:r w:rsidR="00AA06A0">
        <w:t xml:space="preserve">g provider, including on the </w:t>
      </w:r>
      <w:r w:rsidR="00635311">
        <w:t xml:space="preserve">ASQA </w:t>
      </w:r>
      <w:r w:rsidR="00AA06A0">
        <w:t xml:space="preserve">and </w:t>
      </w:r>
      <w:r w:rsidR="00172794">
        <w:t>M</w:t>
      </w:r>
      <w:r w:rsidR="00AA06A0">
        <w:t>y</w:t>
      </w:r>
      <w:r w:rsidR="009E0953">
        <w:t>S</w:t>
      </w:r>
      <w:r w:rsidR="00AA06A0">
        <w:t xml:space="preserve">kills websites. </w:t>
      </w:r>
      <w:r w:rsidR="00693FEB">
        <w:t xml:space="preserve">Relatively few </w:t>
      </w:r>
      <w:r w:rsidR="008F3585">
        <w:t xml:space="preserve">students </w:t>
      </w:r>
      <w:r w:rsidR="00693FEB">
        <w:t xml:space="preserve">are </w:t>
      </w:r>
      <w:r w:rsidR="008F3585">
        <w:t xml:space="preserve">likely to make a decision about where they study </w:t>
      </w:r>
      <w:r w:rsidR="00693FEB">
        <w:t xml:space="preserve">simply </w:t>
      </w:r>
      <w:r w:rsidR="008F3585">
        <w:t>based on the</w:t>
      </w:r>
      <w:r w:rsidR="00960333">
        <w:t xml:space="preserve"> perceived ease or not of the entry requirements</w:t>
      </w:r>
      <w:r w:rsidR="00693FEB">
        <w:t>.</w:t>
      </w:r>
    </w:p>
    <w:p w14:paraId="5D4CC332" w14:textId="77777777" w:rsidR="00A137F0" w:rsidRDefault="00A137F0" w:rsidP="004E7E65">
      <w:pPr>
        <w:pStyle w:val="ListBullet"/>
        <w:numPr>
          <w:ilvl w:val="0"/>
          <w:numId w:val="0"/>
        </w:numPr>
        <w:spacing w:line="276" w:lineRule="auto"/>
        <w:jc w:val="both"/>
      </w:pPr>
    </w:p>
    <w:p w14:paraId="18967392" w14:textId="18180C2E" w:rsidR="00335B02" w:rsidRDefault="00335B02" w:rsidP="004E7E65">
      <w:pPr>
        <w:pStyle w:val="ListBullet"/>
        <w:numPr>
          <w:ilvl w:val="0"/>
          <w:numId w:val="0"/>
        </w:numPr>
        <w:spacing w:line="276" w:lineRule="auto"/>
        <w:jc w:val="both"/>
      </w:pPr>
      <w:r>
        <w:t xml:space="preserve">While there is always </w:t>
      </w:r>
      <w:r w:rsidR="00891090">
        <w:t>a</w:t>
      </w:r>
      <w:r>
        <w:t xml:space="preserve"> risk that </w:t>
      </w:r>
      <w:r w:rsidR="00B64D87">
        <w:t>some providers might choose to not do the right thing</w:t>
      </w:r>
      <w:r w:rsidR="00914828">
        <w:t>,</w:t>
      </w:r>
      <w:r w:rsidR="00167A5F">
        <w:t xml:space="preserve"> there are a range of other controls in the program </w:t>
      </w:r>
      <w:r w:rsidR="00702E34">
        <w:t xml:space="preserve">that work to reduce this risk such as strong program entry and </w:t>
      </w:r>
      <w:r w:rsidR="0010412E">
        <w:t xml:space="preserve">ongoing course provider </w:t>
      </w:r>
      <w:r w:rsidR="00702E34">
        <w:t>requirements</w:t>
      </w:r>
      <w:r w:rsidR="00FE34CF">
        <w:t>,</w:t>
      </w:r>
      <w:r w:rsidR="004306B9">
        <w:t xml:space="preserve"> </w:t>
      </w:r>
      <w:r w:rsidR="00FE34CF">
        <w:t>as well as</w:t>
      </w:r>
      <w:r w:rsidR="004306B9">
        <w:t xml:space="preserve"> the monitoring of student satisfaction and completion data. </w:t>
      </w:r>
      <w:r w:rsidR="00932126">
        <w:t xml:space="preserve"> </w:t>
      </w:r>
      <w:r w:rsidR="00391A29">
        <w:t>Further</w:t>
      </w:r>
      <w:r w:rsidR="00FE34CF">
        <w:t>,</w:t>
      </w:r>
      <w:r w:rsidR="00391A29">
        <w:t xml:space="preserve"> </w:t>
      </w:r>
      <w:r w:rsidR="00932126">
        <w:t>consideration needs to be given to the overal</w:t>
      </w:r>
      <w:r w:rsidR="00914828">
        <w:t xml:space="preserve">l cost of </w:t>
      </w:r>
      <w:r w:rsidR="00FE34CF">
        <w:t xml:space="preserve">broadly </w:t>
      </w:r>
      <w:r w:rsidR="00CF59D6">
        <w:t xml:space="preserve">applying </w:t>
      </w:r>
      <w:r w:rsidR="006102D3">
        <w:t>prescri</w:t>
      </w:r>
      <w:r w:rsidR="00CF59D6">
        <w:t>ptive rules</w:t>
      </w:r>
      <w:r w:rsidR="00415CC6">
        <w:t>, including</w:t>
      </w:r>
      <w:r w:rsidR="00D47185">
        <w:t xml:space="preserve"> inequalities and unnecessary barriers</w:t>
      </w:r>
      <w:r w:rsidR="008C5B35">
        <w:t>,</w:t>
      </w:r>
      <w:r w:rsidR="00D47185">
        <w:t xml:space="preserve"> against the benefit of potentially discouraging </w:t>
      </w:r>
      <w:r w:rsidR="001C6353">
        <w:t>deliberately poor practice.</w:t>
      </w:r>
    </w:p>
    <w:p w14:paraId="4DF9DBC1" w14:textId="77777777" w:rsidR="00233141" w:rsidRDefault="00233141" w:rsidP="004E7E65">
      <w:pPr>
        <w:pStyle w:val="ListBullet"/>
        <w:numPr>
          <w:ilvl w:val="0"/>
          <w:numId w:val="0"/>
        </w:numPr>
        <w:spacing w:line="276" w:lineRule="auto"/>
        <w:jc w:val="both"/>
      </w:pPr>
    </w:p>
    <w:p w14:paraId="40AEAF5E" w14:textId="2E5F9F65" w:rsidR="00233141" w:rsidRDefault="00233141" w:rsidP="004E7E65">
      <w:pPr>
        <w:pStyle w:val="ListBullet"/>
        <w:numPr>
          <w:ilvl w:val="0"/>
          <w:numId w:val="0"/>
        </w:numPr>
        <w:spacing w:line="276" w:lineRule="auto"/>
        <w:jc w:val="both"/>
      </w:pPr>
      <w:r>
        <w:rPr>
          <w:rStyle w:val="normaltextrun"/>
          <w:rFonts w:cs="Calibri"/>
          <w:color w:val="000000"/>
          <w:shd w:val="clear" w:color="auto" w:fill="FFFFFF"/>
        </w:rPr>
        <w:t>Other controls in the program act as protections for students that limit the extent of</w:t>
      </w:r>
      <w:r w:rsidR="00B13BB9">
        <w:rPr>
          <w:rStyle w:val="normaltextrun"/>
          <w:rFonts w:cs="Calibri"/>
          <w:color w:val="000000"/>
          <w:shd w:val="clear" w:color="auto" w:fill="FFFFFF"/>
        </w:rPr>
        <w:t xml:space="preserve"> any</w:t>
      </w:r>
      <w:r>
        <w:rPr>
          <w:rStyle w:val="normaltextrun"/>
          <w:rFonts w:cs="Calibri"/>
          <w:color w:val="000000"/>
          <w:shd w:val="clear" w:color="auto" w:fill="FFFFFF"/>
        </w:rPr>
        <w:t xml:space="preserve"> harm</w:t>
      </w:r>
      <w:r w:rsidR="00B13BB9">
        <w:rPr>
          <w:rStyle w:val="normaltextrun"/>
          <w:rFonts w:cs="Calibri"/>
          <w:color w:val="000000"/>
          <w:shd w:val="clear" w:color="auto" w:fill="FFFFFF"/>
        </w:rPr>
        <w:t xml:space="preserve"> that might result in a student signing up for </w:t>
      </w:r>
      <w:r w:rsidR="002506B3">
        <w:rPr>
          <w:rStyle w:val="normaltextrun"/>
          <w:rFonts w:cs="Calibri"/>
          <w:color w:val="000000"/>
          <w:shd w:val="clear" w:color="auto" w:fill="FFFFFF"/>
        </w:rPr>
        <w:t>study</w:t>
      </w:r>
      <w:r w:rsidR="00B13BB9">
        <w:rPr>
          <w:rStyle w:val="normaltextrun"/>
          <w:rFonts w:cs="Calibri"/>
          <w:color w:val="000000"/>
          <w:shd w:val="clear" w:color="auto" w:fill="FFFFFF"/>
        </w:rPr>
        <w:t xml:space="preserve"> </w:t>
      </w:r>
      <w:r w:rsidR="004E1A58">
        <w:rPr>
          <w:rStyle w:val="normaltextrun"/>
          <w:rFonts w:cs="Calibri"/>
          <w:color w:val="000000"/>
          <w:shd w:val="clear" w:color="auto" w:fill="FFFFFF"/>
        </w:rPr>
        <w:t xml:space="preserve">for which </w:t>
      </w:r>
      <w:r w:rsidR="00B13BB9">
        <w:rPr>
          <w:rStyle w:val="normaltextrun"/>
          <w:rFonts w:cs="Calibri"/>
          <w:color w:val="000000"/>
          <w:shd w:val="clear" w:color="auto" w:fill="FFFFFF"/>
        </w:rPr>
        <w:t>they are not capable of undertaking.  These include</w:t>
      </w:r>
      <w:r>
        <w:rPr>
          <w:rStyle w:val="normaltextrun"/>
          <w:rFonts w:cs="Calibri"/>
          <w:color w:val="000000"/>
          <w:shd w:val="clear" w:color="auto" w:fill="FFFFFF"/>
        </w:rPr>
        <w:t xml:space="preserve"> census days</w:t>
      </w:r>
      <w:r w:rsidR="00162882">
        <w:rPr>
          <w:rStyle w:val="normaltextrun"/>
          <w:rFonts w:cs="Calibri"/>
          <w:color w:val="000000"/>
          <w:shd w:val="clear" w:color="auto" w:fill="FFFFFF"/>
        </w:rPr>
        <w:t>,</w:t>
      </w:r>
      <w:r>
        <w:rPr>
          <w:rStyle w:val="normaltextrun"/>
          <w:rFonts w:cs="Calibri"/>
          <w:color w:val="000000"/>
          <w:shd w:val="clear" w:color="auto" w:fill="FFFFFF"/>
        </w:rPr>
        <w:t xml:space="preserve"> and fee periods that apportion the acquisition of debt and provide opportunities for students to withdraw from unsuitable courses or where they are not performing adequately. </w:t>
      </w:r>
      <w:r w:rsidR="00C865DA">
        <w:rPr>
          <w:rStyle w:val="normaltextrun"/>
          <w:rFonts w:cs="Calibri"/>
          <w:color w:val="000000"/>
          <w:shd w:val="clear" w:color="auto" w:fill="FFFFFF"/>
        </w:rPr>
        <w:t xml:space="preserve">We are also looking at strengthening the recrediting provisions to better cover situations where a provider has not reasonably discharged their responsibility to </w:t>
      </w:r>
      <w:r w:rsidR="009C2B68">
        <w:rPr>
          <w:rStyle w:val="normaltextrun"/>
          <w:rFonts w:cs="Calibri"/>
          <w:color w:val="000000"/>
          <w:shd w:val="clear" w:color="auto" w:fill="FFFFFF"/>
        </w:rPr>
        <w:t>assess whether a student is academically suitable for a course.</w:t>
      </w:r>
    </w:p>
    <w:p w14:paraId="6B3F9CA2" w14:textId="1316EDCB" w:rsidR="00264BB3" w:rsidRDefault="00264BB3" w:rsidP="004E7E65">
      <w:pPr>
        <w:pStyle w:val="Heading5"/>
      </w:pPr>
      <w:r w:rsidRPr="004E7E65">
        <w:rPr>
          <w:color w:val="5D7A38"/>
        </w:rPr>
        <w:t>Monitoring of indicators</w:t>
      </w:r>
    </w:p>
    <w:p w14:paraId="21A2D0CF" w14:textId="73923FE9" w:rsidR="004E7E65" w:rsidRDefault="001011BC" w:rsidP="004E7E65">
      <w:pPr>
        <w:pStyle w:val="ListBullet"/>
        <w:numPr>
          <w:ilvl w:val="0"/>
          <w:numId w:val="0"/>
        </w:numPr>
        <w:spacing w:line="276" w:lineRule="auto"/>
        <w:jc w:val="both"/>
      </w:pPr>
      <w:r>
        <w:t xml:space="preserve">A couple of submissions queried </w:t>
      </w:r>
      <w:r w:rsidR="001F6219">
        <w:t xml:space="preserve">what </w:t>
      </w:r>
      <w:r w:rsidR="008152F4">
        <w:t>would be involved in the department monitoring a range of indicators relating to student engagement and performance.</w:t>
      </w:r>
    </w:p>
    <w:p w14:paraId="745DE530" w14:textId="77777777" w:rsidR="00B34D61" w:rsidRDefault="00B34D61" w:rsidP="004E7E65">
      <w:pPr>
        <w:pStyle w:val="ListBullet"/>
        <w:numPr>
          <w:ilvl w:val="0"/>
          <w:numId w:val="0"/>
        </w:numPr>
        <w:spacing w:line="276" w:lineRule="auto"/>
        <w:jc w:val="both"/>
      </w:pPr>
    </w:p>
    <w:p w14:paraId="249BD9E5" w14:textId="576AEED9" w:rsidR="00B34D61" w:rsidRPr="002D4657" w:rsidRDefault="00B34D61" w:rsidP="004E7E65">
      <w:pPr>
        <w:pStyle w:val="ListBullet"/>
        <w:numPr>
          <w:ilvl w:val="0"/>
          <w:numId w:val="0"/>
        </w:numPr>
        <w:spacing w:line="276" w:lineRule="auto"/>
        <w:jc w:val="both"/>
      </w:pPr>
      <w:r>
        <w:t xml:space="preserve">This will involve us considering a range of information that is collected in the course of </w:t>
      </w:r>
      <w:r w:rsidR="008A245A">
        <w:t xml:space="preserve">normal </w:t>
      </w:r>
      <w:r>
        <w:t xml:space="preserve">program administration, </w:t>
      </w:r>
      <w:r w:rsidR="00794386">
        <w:t>including</w:t>
      </w:r>
      <w:r w:rsidR="00C70914">
        <w:t xml:space="preserve"> TCSI data, progressions form and survey data</w:t>
      </w:r>
      <w:r w:rsidR="005B6372">
        <w:t xml:space="preserve">, </w:t>
      </w:r>
      <w:r w:rsidR="007E1DF0">
        <w:t xml:space="preserve">and </w:t>
      </w:r>
      <w:r w:rsidR="005B6372">
        <w:t>annually reported information</w:t>
      </w:r>
      <w:r w:rsidR="008B72AF">
        <w:t xml:space="preserve">.  </w:t>
      </w:r>
      <w:r w:rsidR="008A245A">
        <w:t>Information that may be of</w:t>
      </w:r>
      <w:r w:rsidR="008B72AF">
        <w:t xml:space="preserve"> interest for student engagement and performance </w:t>
      </w:r>
      <w:r w:rsidR="008A245A">
        <w:t>would</w:t>
      </w:r>
      <w:r w:rsidR="008B72AF">
        <w:t xml:space="preserve"> include</w:t>
      </w:r>
      <w:r w:rsidR="00794386">
        <w:t xml:space="preserve"> </w:t>
      </w:r>
      <w:r w:rsidR="0039302F">
        <w:t>unit of study completion rates</w:t>
      </w:r>
      <w:r w:rsidR="00ED6C0E">
        <w:t>, student engagement information</w:t>
      </w:r>
      <w:r w:rsidR="008B72AF">
        <w:t xml:space="preserve"> collected through the </w:t>
      </w:r>
      <w:r w:rsidR="00ED6C0E">
        <w:t>progression form</w:t>
      </w:r>
      <w:r w:rsidR="00AF4E21">
        <w:t>,</w:t>
      </w:r>
      <w:r w:rsidR="00ED6C0E">
        <w:t xml:space="preserve"> student</w:t>
      </w:r>
      <w:r w:rsidR="008B72AF">
        <w:t xml:space="preserve"> satisfaction information collected through</w:t>
      </w:r>
      <w:r w:rsidR="00ED6C0E">
        <w:t xml:space="preserve"> survey</w:t>
      </w:r>
      <w:r w:rsidR="008B72AF">
        <w:t>ing and any trends apparent in student e</w:t>
      </w:r>
      <w:r w:rsidR="00877DF5">
        <w:t>n</w:t>
      </w:r>
      <w:r w:rsidR="008B72AF">
        <w:t xml:space="preserve">quiries and complaints. This </w:t>
      </w:r>
      <w:r w:rsidR="00877DF5">
        <w:t xml:space="preserve">would occur </w:t>
      </w:r>
      <w:r w:rsidR="00D72F2D">
        <w:t xml:space="preserve">as part of </w:t>
      </w:r>
      <w:r w:rsidR="002369FB">
        <w:t>normal</w:t>
      </w:r>
      <w:r w:rsidR="00D72F2D">
        <w:t xml:space="preserve"> monitoring of </w:t>
      </w:r>
      <w:r w:rsidR="00794386">
        <w:t>a provider’s participation in the program</w:t>
      </w:r>
      <w:r w:rsidR="005B55FA">
        <w:t>.</w:t>
      </w:r>
    </w:p>
    <w:p w14:paraId="3C8F28A0" w14:textId="60A2FF1F" w:rsidR="0015684D" w:rsidRDefault="002778B1" w:rsidP="00DE3318">
      <w:pPr>
        <w:pStyle w:val="Heading5"/>
        <w:rPr>
          <w:color w:val="5D7A38"/>
        </w:rPr>
      </w:pPr>
      <w:r w:rsidRPr="00DE3318">
        <w:rPr>
          <w:color w:val="5D7A38"/>
        </w:rPr>
        <w:t>Record keeping</w:t>
      </w:r>
    </w:p>
    <w:p w14:paraId="6BD4907B" w14:textId="246376C3" w:rsidR="00DE3318" w:rsidRDefault="00DE73B0" w:rsidP="00DE3318">
      <w:r>
        <w:t>A couple of submissions queried what specific requirements the</w:t>
      </w:r>
      <w:r w:rsidR="00BC4F69">
        <w:t xml:space="preserve">re would be </w:t>
      </w:r>
      <w:r w:rsidR="009F47C0">
        <w:t>for</w:t>
      </w:r>
      <w:r w:rsidR="00BC4F69">
        <w:t xml:space="preserve"> the proposal to require providers </w:t>
      </w:r>
      <w:r w:rsidR="00F42C38">
        <w:t>to document, and make available on request, the results of the assessment of the student and reasons why the student was or was not considered suitable for the course.</w:t>
      </w:r>
      <w:r w:rsidR="00736730">
        <w:t xml:space="preserve">  </w:t>
      </w:r>
    </w:p>
    <w:p w14:paraId="091361E1" w14:textId="65E78C53" w:rsidR="00F42C38" w:rsidRPr="00DE3318" w:rsidRDefault="00F31646" w:rsidP="00DE3318">
      <w:r>
        <w:t xml:space="preserve">We </w:t>
      </w:r>
      <w:r w:rsidR="00C1078C">
        <w:t>expect</w:t>
      </w:r>
      <w:r>
        <w:t xml:space="preserve"> to update s</w:t>
      </w:r>
      <w:r w:rsidR="00370274">
        <w:t>105</w:t>
      </w:r>
      <w:r w:rsidR="0095793F">
        <w:t xml:space="preserve"> (b)</w:t>
      </w:r>
      <w:r w:rsidR="00370274">
        <w:t xml:space="preserve"> of the VSL Rules to </w:t>
      </w:r>
      <w:r w:rsidR="007A0B34">
        <w:t>provide</w:t>
      </w:r>
      <w:r w:rsidR="00370274">
        <w:t xml:space="preserve"> that reasons </w:t>
      </w:r>
      <w:r w:rsidR="00176C1C">
        <w:t>as to why</w:t>
      </w:r>
      <w:r w:rsidR="00370274">
        <w:t xml:space="preserve"> a student was considered academically suitable or was </w:t>
      </w:r>
      <w:r w:rsidR="00881021">
        <w:t>not considered academically suitable, be retained for 5 years</w:t>
      </w:r>
      <w:r w:rsidR="00176C1C">
        <w:t xml:space="preserve"> alongside </w:t>
      </w:r>
      <w:r w:rsidR="003E11D9">
        <w:t>documents obtained or assessments undertaken for the purposes of determining a student’s academic suitability</w:t>
      </w:r>
      <w:r w:rsidR="00881021">
        <w:t>.</w:t>
      </w:r>
      <w:r w:rsidR="00485F74">
        <w:t xml:space="preserve">  Existing powers relating to information provision would be relied upon to request that information from a provider should circumstances require.</w:t>
      </w:r>
      <w:r w:rsidR="00997C7A">
        <w:t xml:space="preserve"> We are not inclined to prescribe the form in which reasons must be recorded as flexibility will allow providers to adopt an approach that </w:t>
      </w:r>
      <w:r w:rsidR="00D5093D">
        <w:t>best fits</w:t>
      </w:r>
      <w:r w:rsidR="00997C7A">
        <w:t xml:space="preserve"> with their existing business operations and how they manage other record keeping requirements.</w:t>
      </w:r>
    </w:p>
    <w:p w14:paraId="4621985E" w14:textId="3A67E0F2" w:rsidR="00FE2F88" w:rsidRPr="004E7E65" w:rsidRDefault="00F11771" w:rsidP="004E7E65">
      <w:pPr>
        <w:pStyle w:val="Heading3"/>
        <w:rPr>
          <w:b/>
          <w:bCs/>
        </w:rPr>
      </w:pPr>
      <w:r w:rsidRPr="004E7E65">
        <w:rPr>
          <w:b/>
          <w:bCs/>
          <w:color w:val="5D7A38"/>
        </w:rPr>
        <w:t>Next Steps</w:t>
      </w:r>
    </w:p>
    <w:p w14:paraId="3DEC0625" w14:textId="52B6C3B6" w:rsidR="0080791F" w:rsidRDefault="00110F30" w:rsidP="00775AE1">
      <w:pPr>
        <w:jc w:val="both"/>
      </w:pPr>
      <w:r>
        <w:t>We</w:t>
      </w:r>
      <w:r w:rsidR="00F11771">
        <w:t xml:space="preserve"> appreciate </w:t>
      </w:r>
      <w:r w:rsidR="00D67477">
        <w:t>the time and effort th</w:t>
      </w:r>
      <w:r w:rsidR="00EF230D">
        <w:t xml:space="preserve">at respondents put into their submissions. </w:t>
      </w:r>
      <w:r w:rsidR="006219FE">
        <w:t xml:space="preserve">This </w:t>
      </w:r>
      <w:r w:rsidR="004C35A4">
        <w:t xml:space="preserve">feedback </w:t>
      </w:r>
      <w:r w:rsidR="007D40DA">
        <w:t>is</w:t>
      </w:r>
      <w:r w:rsidR="004C35A4">
        <w:t xml:space="preserve"> be</w:t>
      </w:r>
      <w:r w:rsidR="007D40DA">
        <w:t>ing</w:t>
      </w:r>
      <w:r w:rsidR="004C35A4">
        <w:t xml:space="preserve"> used to </w:t>
      </w:r>
      <w:r w:rsidR="003E2816">
        <w:t xml:space="preserve">inform </w:t>
      </w:r>
      <w:r w:rsidR="005B2D0F">
        <w:t>the current set of proposals</w:t>
      </w:r>
      <w:r w:rsidR="00DA2918">
        <w:t>.</w:t>
      </w:r>
      <w:r w:rsidR="00104772">
        <w:t xml:space="preserve"> We </w:t>
      </w:r>
      <w:r w:rsidR="005B2D0F">
        <w:t xml:space="preserve">also </w:t>
      </w:r>
      <w:r w:rsidR="00104772">
        <w:t>a</w:t>
      </w:r>
      <w:r w:rsidR="003E2816">
        <w:t>cknowledge the range of comments on other topics provided in general feedback.  We will consider those issues as program</w:t>
      </w:r>
      <w:r w:rsidR="005B2D0F">
        <w:t xml:space="preserve"> improvement work continues in 2023.</w:t>
      </w:r>
      <w:r w:rsidR="003E2816">
        <w:t xml:space="preserve"> </w:t>
      </w:r>
    </w:p>
    <w:p w14:paraId="60C1D89D" w14:textId="23FB6705" w:rsidR="00A56FC7" w:rsidRPr="00A56FC7" w:rsidRDefault="00660E7B" w:rsidP="00775AE1">
      <w:pPr>
        <w:jc w:val="both"/>
      </w:pPr>
      <w:r>
        <w:t>The content above</w:t>
      </w:r>
      <w:r w:rsidR="005B2D0F">
        <w:t xml:space="preserve"> </w:t>
      </w:r>
      <w:r w:rsidR="00672A20">
        <w:t>respond</w:t>
      </w:r>
      <w:r w:rsidR="001566F9">
        <w:t>s</w:t>
      </w:r>
      <w:r w:rsidR="00672A20">
        <w:t xml:space="preserve"> </w:t>
      </w:r>
      <w:r w:rsidR="00CD213A">
        <w:t xml:space="preserve">to </w:t>
      </w:r>
      <w:r w:rsidR="0022056B">
        <w:t>issues</w:t>
      </w:r>
      <w:r w:rsidR="00CD213A">
        <w:t xml:space="preserve"> raised in submissions </w:t>
      </w:r>
      <w:r w:rsidR="00BE76A8">
        <w:t>about</w:t>
      </w:r>
      <w:r w:rsidR="00CD213A">
        <w:t xml:space="preserve"> the academic suitability proposal.</w:t>
      </w:r>
      <w:r w:rsidR="00F32390">
        <w:t xml:space="preserve"> </w:t>
      </w:r>
      <w:r w:rsidR="00A76F0B">
        <w:t xml:space="preserve">If you </w:t>
      </w:r>
      <w:r w:rsidR="000C3366">
        <w:t>have more to</w:t>
      </w:r>
      <w:r w:rsidR="00A76F0B">
        <w:t xml:space="preserve"> say on any of those topics</w:t>
      </w:r>
      <w:r w:rsidR="00950AAE">
        <w:t>,</w:t>
      </w:r>
      <w:r w:rsidR="00A76F0B">
        <w:t xml:space="preserve"> please </w:t>
      </w:r>
      <w:r w:rsidR="00ED1438">
        <w:t>email your views</w:t>
      </w:r>
      <w:r w:rsidR="005B2D0F">
        <w:t xml:space="preserve"> promptly</w:t>
      </w:r>
      <w:r w:rsidR="00ED1438">
        <w:t xml:space="preserve"> to </w:t>
      </w:r>
      <w:hyperlink r:id="rId20" w:history="1">
        <w:r w:rsidR="00F35A5A" w:rsidRPr="00C14141">
          <w:rPr>
            <w:rStyle w:val="Hyperlink"/>
          </w:rPr>
          <w:t>VSLredesign@dewr.gov.au</w:t>
        </w:r>
      </w:hyperlink>
      <w:r w:rsidR="00F35A5A">
        <w:t xml:space="preserve"> </w:t>
      </w:r>
      <w:r w:rsidR="00ED1438">
        <w:t xml:space="preserve">by </w:t>
      </w:r>
      <w:r w:rsidR="00C245FD">
        <w:rPr>
          <w:b/>
          <w:bCs/>
          <w:u w:val="single"/>
        </w:rPr>
        <w:t>close of business</w:t>
      </w:r>
      <w:r w:rsidR="00A43950" w:rsidRPr="00C245FD">
        <w:rPr>
          <w:b/>
          <w:bCs/>
          <w:u w:val="single"/>
        </w:rPr>
        <w:t xml:space="preserve"> Wednesday 25 January 2023</w:t>
      </w:r>
      <w:r w:rsidR="00A43950">
        <w:t xml:space="preserve">. </w:t>
      </w:r>
      <w:r w:rsidR="00A976B1">
        <w:t xml:space="preserve">After that time </w:t>
      </w:r>
      <w:r w:rsidR="00F27050">
        <w:t xml:space="preserve">changes will </w:t>
      </w:r>
      <w:r w:rsidR="002C78F3">
        <w:t xml:space="preserve">be finalised for </w:t>
      </w:r>
      <w:r w:rsidR="002B2ADE" w:rsidRPr="002B2ADE">
        <w:t>approval, including from the Minister for Skills and Training who is the decision maker for the purposes of amending the VET Student Loans Rules 2016. </w:t>
      </w:r>
    </w:p>
    <w:sectPr w:rsidR="00A56FC7" w:rsidRPr="00A56FC7" w:rsidSect="0073283C">
      <w:type w:val="continuous"/>
      <w:pgSz w:w="11906" w:h="16838"/>
      <w:pgMar w:top="568" w:right="707" w:bottom="426" w:left="851" w:header="0" w:footer="1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53D6" w14:textId="77777777" w:rsidR="0061260B" w:rsidRDefault="0061260B" w:rsidP="0051352E">
      <w:pPr>
        <w:spacing w:after="0" w:line="240" w:lineRule="auto"/>
      </w:pPr>
      <w:r>
        <w:separator/>
      </w:r>
    </w:p>
  </w:endnote>
  <w:endnote w:type="continuationSeparator" w:id="0">
    <w:p w14:paraId="1792FFB2" w14:textId="77777777" w:rsidR="0061260B" w:rsidRDefault="0061260B" w:rsidP="0051352E">
      <w:pPr>
        <w:spacing w:after="0" w:line="240" w:lineRule="auto"/>
      </w:pPr>
      <w:r>
        <w:continuationSeparator/>
      </w:r>
    </w:p>
  </w:endnote>
  <w:endnote w:type="continuationNotice" w:id="1">
    <w:p w14:paraId="1A758BF1" w14:textId="77777777" w:rsidR="0061260B" w:rsidRDefault="00612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E8DC" w14:textId="77777777" w:rsidR="009A7F11" w:rsidRDefault="009A7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749D6"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3E37B"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2E74" w14:textId="77777777" w:rsidR="0061260B" w:rsidRDefault="0061260B" w:rsidP="0051352E">
      <w:pPr>
        <w:spacing w:after="0" w:line="240" w:lineRule="auto"/>
      </w:pPr>
      <w:r>
        <w:separator/>
      </w:r>
    </w:p>
  </w:footnote>
  <w:footnote w:type="continuationSeparator" w:id="0">
    <w:p w14:paraId="282F2A87" w14:textId="77777777" w:rsidR="0061260B" w:rsidRDefault="0061260B" w:rsidP="0051352E">
      <w:pPr>
        <w:spacing w:after="0" w:line="240" w:lineRule="auto"/>
      </w:pPr>
      <w:r>
        <w:continuationSeparator/>
      </w:r>
    </w:p>
  </w:footnote>
  <w:footnote w:type="continuationNotice" w:id="1">
    <w:p w14:paraId="11DF08AD" w14:textId="77777777" w:rsidR="0061260B" w:rsidRDefault="00612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504D" w14:textId="46122931" w:rsidR="009A7F11" w:rsidRDefault="009A7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BF1D" w14:textId="41C31F08" w:rsidR="009A7F11" w:rsidRDefault="009A7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EEB7" w14:textId="08E4A171" w:rsidR="009A7F11" w:rsidRDefault="009A7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323B"/>
    <w:multiLevelType w:val="hybridMultilevel"/>
    <w:tmpl w:val="876A5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A36FAF"/>
    <w:multiLevelType w:val="hybridMultilevel"/>
    <w:tmpl w:val="9D600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461085"/>
    <w:multiLevelType w:val="hybridMultilevel"/>
    <w:tmpl w:val="F1F4D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4"/>
  </w:num>
  <w:num w:numId="15">
    <w:abstractNumId w:val="10"/>
  </w:num>
  <w:num w:numId="16">
    <w:abstractNumId w:val="14"/>
  </w:num>
  <w:num w:numId="17">
    <w:abstractNumId w:val="12"/>
  </w:num>
  <w:num w:numId="18">
    <w:abstractNumId w:val="14"/>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017"/>
    <w:rsid w:val="00007667"/>
    <w:rsid w:val="00012887"/>
    <w:rsid w:val="0001488C"/>
    <w:rsid w:val="00014DAA"/>
    <w:rsid w:val="000157F8"/>
    <w:rsid w:val="00017577"/>
    <w:rsid w:val="00033876"/>
    <w:rsid w:val="00041653"/>
    <w:rsid w:val="00043207"/>
    <w:rsid w:val="000459D1"/>
    <w:rsid w:val="000470D4"/>
    <w:rsid w:val="00050619"/>
    <w:rsid w:val="0005090F"/>
    <w:rsid w:val="00052BBC"/>
    <w:rsid w:val="0005785F"/>
    <w:rsid w:val="00067075"/>
    <w:rsid w:val="0008268B"/>
    <w:rsid w:val="000848E7"/>
    <w:rsid w:val="000969F4"/>
    <w:rsid w:val="000A0B93"/>
    <w:rsid w:val="000A1190"/>
    <w:rsid w:val="000A2035"/>
    <w:rsid w:val="000A2BF0"/>
    <w:rsid w:val="000A453D"/>
    <w:rsid w:val="000B1311"/>
    <w:rsid w:val="000B55C5"/>
    <w:rsid w:val="000C03CF"/>
    <w:rsid w:val="000C05FC"/>
    <w:rsid w:val="000C1776"/>
    <w:rsid w:val="000C1AF1"/>
    <w:rsid w:val="000C2E8B"/>
    <w:rsid w:val="000C3366"/>
    <w:rsid w:val="000C365B"/>
    <w:rsid w:val="000C48A4"/>
    <w:rsid w:val="000D1F64"/>
    <w:rsid w:val="000D3F19"/>
    <w:rsid w:val="000D5A92"/>
    <w:rsid w:val="000D736C"/>
    <w:rsid w:val="000E011A"/>
    <w:rsid w:val="000E136B"/>
    <w:rsid w:val="000E3C5E"/>
    <w:rsid w:val="000E4790"/>
    <w:rsid w:val="000E73C3"/>
    <w:rsid w:val="000F5420"/>
    <w:rsid w:val="000F7F12"/>
    <w:rsid w:val="001011BC"/>
    <w:rsid w:val="00103BAC"/>
    <w:rsid w:val="0010412E"/>
    <w:rsid w:val="00104772"/>
    <w:rsid w:val="00110F30"/>
    <w:rsid w:val="00111085"/>
    <w:rsid w:val="001117B6"/>
    <w:rsid w:val="001131C7"/>
    <w:rsid w:val="00124D21"/>
    <w:rsid w:val="00124FF6"/>
    <w:rsid w:val="00127A9F"/>
    <w:rsid w:val="00131BCC"/>
    <w:rsid w:val="001377B7"/>
    <w:rsid w:val="00140164"/>
    <w:rsid w:val="00153B75"/>
    <w:rsid w:val="001566F9"/>
    <w:rsid w:val="0015684D"/>
    <w:rsid w:val="00157F35"/>
    <w:rsid w:val="0016086F"/>
    <w:rsid w:val="00162882"/>
    <w:rsid w:val="00167A5F"/>
    <w:rsid w:val="001713A8"/>
    <w:rsid w:val="00172794"/>
    <w:rsid w:val="001765CC"/>
    <w:rsid w:val="00176C1C"/>
    <w:rsid w:val="00183224"/>
    <w:rsid w:val="00193D30"/>
    <w:rsid w:val="00196B47"/>
    <w:rsid w:val="001A4770"/>
    <w:rsid w:val="001A7F9A"/>
    <w:rsid w:val="001B24CE"/>
    <w:rsid w:val="001C5849"/>
    <w:rsid w:val="001C6353"/>
    <w:rsid w:val="001C71F3"/>
    <w:rsid w:val="001D2331"/>
    <w:rsid w:val="001D3856"/>
    <w:rsid w:val="001D59F2"/>
    <w:rsid w:val="001E381A"/>
    <w:rsid w:val="001E757C"/>
    <w:rsid w:val="001F052C"/>
    <w:rsid w:val="001F0D72"/>
    <w:rsid w:val="001F6219"/>
    <w:rsid w:val="00200C4E"/>
    <w:rsid w:val="00201460"/>
    <w:rsid w:val="00201C1B"/>
    <w:rsid w:val="00202473"/>
    <w:rsid w:val="00203CDD"/>
    <w:rsid w:val="00206B96"/>
    <w:rsid w:val="00210EC0"/>
    <w:rsid w:val="00216B11"/>
    <w:rsid w:val="00217247"/>
    <w:rsid w:val="00217AF1"/>
    <w:rsid w:val="00217EAB"/>
    <w:rsid w:val="0022056B"/>
    <w:rsid w:val="0022498C"/>
    <w:rsid w:val="0022626C"/>
    <w:rsid w:val="0022709A"/>
    <w:rsid w:val="002321A9"/>
    <w:rsid w:val="00233141"/>
    <w:rsid w:val="002369FB"/>
    <w:rsid w:val="00236B17"/>
    <w:rsid w:val="0024071A"/>
    <w:rsid w:val="0024150F"/>
    <w:rsid w:val="002506B3"/>
    <w:rsid w:val="00257EB2"/>
    <w:rsid w:val="00260BD3"/>
    <w:rsid w:val="00263097"/>
    <w:rsid w:val="00264BB3"/>
    <w:rsid w:val="00265506"/>
    <w:rsid w:val="00270049"/>
    <w:rsid w:val="002717BE"/>
    <w:rsid w:val="002724D0"/>
    <w:rsid w:val="002778B1"/>
    <w:rsid w:val="00287302"/>
    <w:rsid w:val="002A1D94"/>
    <w:rsid w:val="002A5CB9"/>
    <w:rsid w:val="002A7840"/>
    <w:rsid w:val="002B0E78"/>
    <w:rsid w:val="002B1CE5"/>
    <w:rsid w:val="002B2ADE"/>
    <w:rsid w:val="002C2F74"/>
    <w:rsid w:val="002C55DC"/>
    <w:rsid w:val="002C78F3"/>
    <w:rsid w:val="002D431F"/>
    <w:rsid w:val="002D4657"/>
    <w:rsid w:val="002E0383"/>
    <w:rsid w:val="002E1151"/>
    <w:rsid w:val="002E7274"/>
    <w:rsid w:val="002E79D8"/>
    <w:rsid w:val="002F0672"/>
    <w:rsid w:val="002F0A0C"/>
    <w:rsid w:val="002F25A7"/>
    <w:rsid w:val="002F4DB3"/>
    <w:rsid w:val="0030587E"/>
    <w:rsid w:val="00307392"/>
    <w:rsid w:val="0031280E"/>
    <w:rsid w:val="00312C2B"/>
    <w:rsid w:val="00314EF0"/>
    <w:rsid w:val="00316A0C"/>
    <w:rsid w:val="003171DE"/>
    <w:rsid w:val="00325583"/>
    <w:rsid w:val="00330A91"/>
    <w:rsid w:val="00335B02"/>
    <w:rsid w:val="00340AC4"/>
    <w:rsid w:val="00347DF6"/>
    <w:rsid w:val="00350FFA"/>
    <w:rsid w:val="00354FB9"/>
    <w:rsid w:val="00355100"/>
    <w:rsid w:val="003603B1"/>
    <w:rsid w:val="00361206"/>
    <w:rsid w:val="003641B2"/>
    <w:rsid w:val="00364EE4"/>
    <w:rsid w:val="00370274"/>
    <w:rsid w:val="003803AD"/>
    <w:rsid w:val="00380B51"/>
    <w:rsid w:val="00382F07"/>
    <w:rsid w:val="0038433F"/>
    <w:rsid w:val="00391A29"/>
    <w:rsid w:val="0039302F"/>
    <w:rsid w:val="0039432D"/>
    <w:rsid w:val="003A0E6D"/>
    <w:rsid w:val="003A2EFF"/>
    <w:rsid w:val="003A2FDA"/>
    <w:rsid w:val="003B6652"/>
    <w:rsid w:val="003B6B22"/>
    <w:rsid w:val="003B72CB"/>
    <w:rsid w:val="003C1597"/>
    <w:rsid w:val="003C215C"/>
    <w:rsid w:val="003C4A83"/>
    <w:rsid w:val="003C7E27"/>
    <w:rsid w:val="003D11D4"/>
    <w:rsid w:val="003D46CA"/>
    <w:rsid w:val="003D6A28"/>
    <w:rsid w:val="003D77D2"/>
    <w:rsid w:val="003E0897"/>
    <w:rsid w:val="003E11D9"/>
    <w:rsid w:val="003E1552"/>
    <w:rsid w:val="003E2816"/>
    <w:rsid w:val="003E293F"/>
    <w:rsid w:val="003E4E04"/>
    <w:rsid w:val="003F127B"/>
    <w:rsid w:val="00402A3D"/>
    <w:rsid w:val="00404709"/>
    <w:rsid w:val="004072FE"/>
    <w:rsid w:val="00412A3E"/>
    <w:rsid w:val="00414677"/>
    <w:rsid w:val="00415CC6"/>
    <w:rsid w:val="00422424"/>
    <w:rsid w:val="00427E2D"/>
    <w:rsid w:val="004306B9"/>
    <w:rsid w:val="004354E4"/>
    <w:rsid w:val="00442137"/>
    <w:rsid w:val="00445E0E"/>
    <w:rsid w:val="00450ECD"/>
    <w:rsid w:val="00453C04"/>
    <w:rsid w:val="004546A7"/>
    <w:rsid w:val="00457A54"/>
    <w:rsid w:val="0046223F"/>
    <w:rsid w:val="00465CC3"/>
    <w:rsid w:val="00476235"/>
    <w:rsid w:val="00485F74"/>
    <w:rsid w:val="00487698"/>
    <w:rsid w:val="00494894"/>
    <w:rsid w:val="00497764"/>
    <w:rsid w:val="004A17E4"/>
    <w:rsid w:val="004B048A"/>
    <w:rsid w:val="004B2D21"/>
    <w:rsid w:val="004C0ECD"/>
    <w:rsid w:val="004C35A4"/>
    <w:rsid w:val="004C5A20"/>
    <w:rsid w:val="004D2344"/>
    <w:rsid w:val="004D2ED8"/>
    <w:rsid w:val="004D721B"/>
    <w:rsid w:val="004E1A58"/>
    <w:rsid w:val="004E7E65"/>
    <w:rsid w:val="004F57E1"/>
    <w:rsid w:val="00504E25"/>
    <w:rsid w:val="00512607"/>
    <w:rsid w:val="0051352E"/>
    <w:rsid w:val="005142BD"/>
    <w:rsid w:val="00517DA7"/>
    <w:rsid w:val="00517F59"/>
    <w:rsid w:val="00520A33"/>
    <w:rsid w:val="0052399D"/>
    <w:rsid w:val="00527AE4"/>
    <w:rsid w:val="00532F24"/>
    <w:rsid w:val="00540C3E"/>
    <w:rsid w:val="00543652"/>
    <w:rsid w:val="00551293"/>
    <w:rsid w:val="00552D33"/>
    <w:rsid w:val="0055540D"/>
    <w:rsid w:val="0055569D"/>
    <w:rsid w:val="0056150C"/>
    <w:rsid w:val="005619B4"/>
    <w:rsid w:val="00561C34"/>
    <w:rsid w:val="00564FFB"/>
    <w:rsid w:val="00565189"/>
    <w:rsid w:val="0056682A"/>
    <w:rsid w:val="00573F15"/>
    <w:rsid w:val="0057595D"/>
    <w:rsid w:val="0057743B"/>
    <w:rsid w:val="00594275"/>
    <w:rsid w:val="005949DD"/>
    <w:rsid w:val="00596A88"/>
    <w:rsid w:val="005A25C6"/>
    <w:rsid w:val="005B23B4"/>
    <w:rsid w:val="005B2D0F"/>
    <w:rsid w:val="005B3305"/>
    <w:rsid w:val="005B3844"/>
    <w:rsid w:val="005B4F91"/>
    <w:rsid w:val="005B4FCC"/>
    <w:rsid w:val="005B55FA"/>
    <w:rsid w:val="005B5809"/>
    <w:rsid w:val="005B6372"/>
    <w:rsid w:val="005C15FC"/>
    <w:rsid w:val="005C1DA8"/>
    <w:rsid w:val="005C2E38"/>
    <w:rsid w:val="005C581C"/>
    <w:rsid w:val="005C6B77"/>
    <w:rsid w:val="005C7716"/>
    <w:rsid w:val="005C7E8A"/>
    <w:rsid w:val="005D1921"/>
    <w:rsid w:val="005D21A9"/>
    <w:rsid w:val="005D7CE7"/>
    <w:rsid w:val="00606024"/>
    <w:rsid w:val="006102D3"/>
    <w:rsid w:val="00610A38"/>
    <w:rsid w:val="0061260B"/>
    <w:rsid w:val="00615055"/>
    <w:rsid w:val="006219FE"/>
    <w:rsid w:val="00622033"/>
    <w:rsid w:val="00630DDF"/>
    <w:rsid w:val="006343F2"/>
    <w:rsid w:val="00634DA4"/>
    <w:rsid w:val="00635311"/>
    <w:rsid w:val="006358D1"/>
    <w:rsid w:val="00636F1E"/>
    <w:rsid w:val="0064020E"/>
    <w:rsid w:val="00640279"/>
    <w:rsid w:val="006457D3"/>
    <w:rsid w:val="0064607C"/>
    <w:rsid w:val="006541BB"/>
    <w:rsid w:val="00660E7B"/>
    <w:rsid w:val="0066254D"/>
    <w:rsid w:val="00662A42"/>
    <w:rsid w:val="006653FD"/>
    <w:rsid w:val="006668BF"/>
    <w:rsid w:val="00671A59"/>
    <w:rsid w:val="00672A20"/>
    <w:rsid w:val="00675DD8"/>
    <w:rsid w:val="0067630B"/>
    <w:rsid w:val="00676798"/>
    <w:rsid w:val="0067742A"/>
    <w:rsid w:val="00677A09"/>
    <w:rsid w:val="0068296E"/>
    <w:rsid w:val="00684FE1"/>
    <w:rsid w:val="006868A4"/>
    <w:rsid w:val="00693082"/>
    <w:rsid w:val="00693FEB"/>
    <w:rsid w:val="006A1690"/>
    <w:rsid w:val="006A1AB0"/>
    <w:rsid w:val="006A52BE"/>
    <w:rsid w:val="006A5A15"/>
    <w:rsid w:val="006A77A3"/>
    <w:rsid w:val="006B08E7"/>
    <w:rsid w:val="006B0B39"/>
    <w:rsid w:val="006B27ED"/>
    <w:rsid w:val="006B3F89"/>
    <w:rsid w:val="006B56AF"/>
    <w:rsid w:val="006B5D10"/>
    <w:rsid w:val="006D154E"/>
    <w:rsid w:val="006D28AC"/>
    <w:rsid w:val="006E1F72"/>
    <w:rsid w:val="006E21B1"/>
    <w:rsid w:val="006E5D6E"/>
    <w:rsid w:val="00700EFC"/>
    <w:rsid w:val="00701E57"/>
    <w:rsid w:val="00702685"/>
    <w:rsid w:val="00702E34"/>
    <w:rsid w:val="00714576"/>
    <w:rsid w:val="00716080"/>
    <w:rsid w:val="00720E93"/>
    <w:rsid w:val="00721B03"/>
    <w:rsid w:val="00722C44"/>
    <w:rsid w:val="007245C8"/>
    <w:rsid w:val="0072476A"/>
    <w:rsid w:val="00726926"/>
    <w:rsid w:val="0073283C"/>
    <w:rsid w:val="00734D58"/>
    <w:rsid w:val="00736516"/>
    <w:rsid w:val="00736730"/>
    <w:rsid w:val="00745074"/>
    <w:rsid w:val="0074539A"/>
    <w:rsid w:val="0075167D"/>
    <w:rsid w:val="0075252C"/>
    <w:rsid w:val="00753F81"/>
    <w:rsid w:val="007570DC"/>
    <w:rsid w:val="007573FF"/>
    <w:rsid w:val="007611C9"/>
    <w:rsid w:val="0076578E"/>
    <w:rsid w:val="00775946"/>
    <w:rsid w:val="00775AE1"/>
    <w:rsid w:val="00787CB1"/>
    <w:rsid w:val="0079180A"/>
    <w:rsid w:val="00792170"/>
    <w:rsid w:val="00794386"/>
    <w:rsid w:val="007A0B34"/>
    <w:rsid w:val="007A1960"/>
    <w:rsid w:val="007A33B5"/>
    <w:rsid w:val="007A4C1E"/>
    <w:rsid w:val="007A6771"/>
    <w:rsid w:val="007B1ABA"/>
    <w:rsid w:val="007B74C5"/>
    <w:rsid w:val="007B7E5B"/>
    <w:rsid w:val="007C0174"/>
    <w:rsid w:val="007C03CD"/>
    <w:rsid w:val="007C17A2"/>
    <w:rsid w:val="007C5E4A"/>
    <w:rsid w:val="007C7A14"/>
    <w:rsid w:val="007D204A"/>
    <w:rsid w:val="007D40DA"/>
    <w:rsid w:val="007D58D6"/>
    <w:rsid w:val="007E1DF0"/>
    <w:rsid w:val="007E2D6B"/>
    <w:rsid w:val="007E4805"/>
    <w:rsid w:val="007F3231"/>
    <w:rsid w:val="007F4C6A"/>
    <w:rsid w:val="00801E17"/>
    <w:rsid w:val="0080742D"/>
    <w:rsid w:val="0080791F"/>
    <w:rsid w:val="0081149F"/>
    <w:rsid w:val="008128C9"/>
    <w:rsid w:val="00814B43"/>
    <w:rsid w:val="008152F4"/>
    <w:rsid w:val="00824157"/>
    <w:rsid w:val="0082574C"/>
    <w:rsid w:val="00825FAC"/>
    <w:rsid w:val="00827ECA"/>
    <w:rsid w:val="00840A73"/>
    <w:rsid w:val="00842C50"/>
    <w:rsid w:val="008465C1"/>
    <w:rsid w:val="00846AD1"/>
    <w:rsid w:val="008507C1"/>
    <w:rsid w:val="00856841"/>
    <w:rsid w:val="00861934"/>
    <w:rsid w:val="00861E56"/>
    <w:rsid w:val="00863696"/>
    <w:rsid w:val="008640C2"/>
    <w:rsid w:val="008649AD"/>
    <w:rsid w:val="00875D36"/>
    <w:rsid w:val="00877B99"/>
    <w:rsid w:val="00877DF5"/>
    <w:rsid w:val="00880114"/>
    <w:rsid w:val="00881021"/>
    <w:rsid w:val="00884A6B"/>
    <w:rsid w:val="00885B20"/>
    <w:rsid w:val="00891090"/>
    <w:rsid w:val="00893233"/>
    <w:rsid w:val="008945F9"/>
    <w:rsid w:val="0089491A"/>
    <w:rsid w:val="008A245A"/>
    <w:rsid w:val="008A4BF2"/>
    <w:rsid w:val="008A62CF"/>
    <w:rsid w:val="008A747C"/>
    <w:rsid w:val="008B2241"/>
    <w:rsid w:val="008B2F80"/>
    <w:rsid w:val="008B72AF"/>
    <w:rsid w:val="008C4E9C"/>
    <w:rsid w:val="008C5B35"/>
    <w:rsid w:val="008C6AD3"/>
    <w:rsid w:val="008C7D9A"/>
    <w:rsid w:val="008D03FC"/>
    <w:rsid w:val="008D77DB"/>
    <w:rsid w:val="008D7C69"/>
    <w:rsid w:val="008D7D40"/>
    <w:rsid w:val="008E0A13"/>
    <w:rsid w:val="008E22BA"/>
    <w:rsid w:val="008E3AFF"/>
    <w:rsid w:val="008F0AC9"/>
    <w:rsid w:val="008F3585"/>
    <w:rsid w:val="008F6D6E"/>
    <w:rsid w:val="00900F7F"/>
    <w:rsid w:val="009031FE"/>
    <w:rsid w:val="009041A1"/>
    <w:rsid w:val="0091407B"/>
    <w:rsid w:val="00914828"/>
    <w:rsid w:val="009175BA"/>
    <w:rsid w:val="00917EFE"/>
    <w:rsid w:val="00925C57"/>
    <w:rsid w:val="00927828"/>
    <w:rsid w:val="00932126"/>
    <w:rsid w:val="0093473D"/>
    <w:rsid w:val="00936C9B"/>
    <w:rsid w:val="009448BE"/>
    <w:rsid w:val="00944ADC"/>
    <w:rsid w:val="00944ECC"/>
    <w:rsid w:val="00947B9F"/>
    <w:rsid w:val="00950AAE"/>
    <w:rsid w:val="0095179B"/>
    <w:rsid w:val="00955655"/>
    <w:rsid w:val="0095793F"/>
    <w:rsid w:val="00957AD2"/>
    <w:rsid w:val="00960333"/>
    <w:rsid w:val="00971BE2"/>
    <w:rsid w:val="00972F57"/>
    <w:rsid w:val="0097315F"/>
    <w:rsid w:val="009766F2"/>
    <w:rsid w:val="00981246"/>
    <w:rsid w:val="009906DE"/>
    <w:rsid w:val="00992068"/>
    <w:rsid w:val="00995280"/>
    <w:rsid w:val="00997C7A"/>
    <w:rsid w:val="009A0576"/>
    <w:rsid w:val="009A32B8"/>
    <w:rsid w:val="009A6A71"/>
    <w:rsid w:val="009A7F11"/>
    <w:rsid w:val="009C2B68"/>
    <w:rsid w:val="009C4FA0"/>
    <w:rsid w:val="009C6D27"/>
    <w:rsid w:val="009D2A85"/>
    <w:rsid w:val="009D4FE7"/>
    <w:rsid w:val="009D5394"/>
    <w:rsid w:val="009D593D"/>
    <w:rsid w:val="009E0953"/>
    <w:rsid w:val="009E19B8"/>
    <w:rsid w:val="009E1FA7"/>
    <w:rsid w:val="009E498F"/>
    <w:rsid w:val="009F47C0"/>
    <w:rsid w:val="00A018E3"/>
    <w:rsid w:val="00A024D2"/>
    <w:rsid w:val="00A0379F"/>
    <w:rsid w:val="00A04728"/>
    <w:rsid w:val="00A10B12"/>
    <w:rsid w:val="00A10C2A"/>
    <w:rsid w:val="00A137F0"/>
    <w:rsid w:val="00A14DA2"/>
    <w:rsid w:val="00A152EC"/>
    <w:rsid w:val="00A24E6E"/>
    <w:rsid w:val="00A30A9A"/>
    <w:rsid w:val="00A352C3"/>
    <w:rsid w:val="00A3586B"/>
    <w:rsid w:val="00A370EE"/>
    <w:rsid w:val="00A43694"/>
    <w:rsid w:val="00A43950"/>
    <w:rsid w:val="00A45C63"/>
    <w:rsid w:val="00A47676"/>
    <w:rsid w:val="00A47E38"/>
    <w:rsid w:val="00A56FC7"/>
    <w:rsid w:val="00A668BF"/>
    <w:rsid w:val="00A72575"/>
    <w:rsid w:val="00A74071"/>
    <w:rsid w:val="00A754E4"/>
    <w:rsid w:val="00A76BA5"/>
    <w:rsid w:val="00A76F0B"/>
    <w:rsid w:val="00A7721A"/>
    <w:rsid w:val="00A772DD"/>
    <w:rsid w:val="00A856EC"/>
    <w:rsid w:val="00A939FD"/>
    <w:rsid w:val="00A976B1"/>
    <w:rsid w:val="00AA06A0"/>
    <w:rsid w:val="00AA124A"/>
    <w:rsid w:val="00AA16DB"/>
    <w:rsid w:val="00AA1DEB"/>
    <w:rsid w:val="00AA2A96"/>
    <w:rsid w:val="00AA5A33"/>
    <w:rsid w:val="00AB2430"/>
    <w:rsid w:val="00AB2E70"/>
    <w:rsid w:val="00AB366D"/>
    <w:rsid w:val="00AB3F5C"/>
    <w:rsid w:val="00AB4B1C"/>
    <w:rsid w:val="00AC550B"/>
    <w:rsid w:val="00AF3787"/>
    <w:rsid w:val="00AF47D9"/>
    <w:rsid w:val="00AF4E21"/>
    <w:rsid w:val="00B04F44"/>
    <w:rsid w:val="00B100CC"/>
    <w:rsid w:val="00B11A6A"/>
    <w:rsid w:val="00B12830"/>
    <w:rsid w:val="00B13BB9"/>
    <w:rsid w:val="00B1766D"/>
    <w:rsid w:val="00B250CB"/>
    <w:rsid w:val="00B302B6"/>
    <w:rsid w:val="00B34D61"/>
    <w:rsid w:val="00B420D1"/>
    <w:rsid w:val="00B456C5"/>
    <w:rsid w:val="00B5508E"/>
    <w:rsid w:val="00B64D87"/>
    <w:rsid w:val="00B6689D"/>
    <w:rsid w:val="00B71B26"/>
    <w:rsid w:val="00B72368"/>
    <w:rsid w:val="00B76D41"/>
    <w:rsid w:val="00B8025D"/>
    <w:rsid w:val="00B8067A"/>
    <w:rsid w:val="00B83F80"/>
    <w:rsid w:val="00B97A79"/>
    <w:rsid w:val="00BA117A"/>
    <w:rsid w:val="00BA3825"/>
    <w:rsid w:val="00BA639F"/>
    <w:rsid w:val="00BA66AF"/>
    <w:rsid w:val="00BC0689"/>
    <w:rsid w:val="00BC4F69"/>
    <w:rsid w:val="00BC5E94"/>
    <w:rsid w:val="00BC6C94"/>
    <w:rsid w:val="00BC6EEE"/>
    <w:rsid w:val="00BC7025"/>
    <w:rsid w:val="00BD23D4"/>
    <w:rsid w:val="00BD4B5F"/>
    <w:rsid w:val="00BE0C15"/>
    <w:rsid w:val="00BE17A2"/>
    <w:rsid w:val="00BE3376"/>
    <w:rsid w:val="00BE419F"/>
    <w:rsid w:val="00BE51E5"/>
    <w:rsid w:val="00BE555F"/>
    <w:rsid w:val="00BE76A8"/>
    <w:rsid w:val="00BF4638"/>
    <w:rsid w:val="00BF6FF9"/>
    <w:rsid w:val="00C1078C"/>
    <w:rsid w:val="00C14D16"/>
    <w:rsid w:val="00C245FD"/>
    <w:rsid w:val="00C2555A"/>
    <w:rsid w:val="00C25D7D"/>
    <w:rsid w:val="00C261F3"/>
    <w:rsid w:val="00C2773F"/>
    <w:rsid w:val="00C333D0"/>
    <w:rsid w:val="00C35512"/>
    <w:rsid w:val="00C46A86"/>
    <w:rsid w:val="00C54D58"/>
    <w:rsid w:val="00C573E1"/>
    <w:rsid w:val="00C60222"/>
    <w:rsid w:val="00C70914"/>
    <w:rsid w:val="00C715F2"/>
    <w:rsid w:val="00C736D3"/>
    <w:rsid w:val="00C7401E"/>
    <w:rsid w:val="00C7537C"/>
    <w:rsid w:val="00C865DA"/>
    <w:rsid w:val="00C93CC8"/>
    <w:rsid w:val="00C95DF6"/>
    <w:rsid w:val="00CA2C52"/>
    <w:rsid w:val="00CA3951"/>
    <w:rsid w:val="00CA5F1D"/>
    <w:rsid w:val="00CB232E"/>
    <w:rsid w:val="00CB577F"/>
    <w:rsid w:val="00CB6C26"/>
    <w:rsid w:val="00CC3BA4"/>
    <w:rsid w:val="00CC4BFB"/>
    <w:rsid w:val="00CD0A52"/>
    <w:rsid w:val="00CD213A"/>
    <w:rsid w:val="00CE17AD"/>
    <w:rsid w:val="00CE2CF8"/>
    <w:rsid w:val="00CF46D2"/>
    <w:rsid w:val="00CF4B69"/>
    <w:rsid w:val="00CF59D6"/>
    <w:rsid w:val="00CF6CA1"/>
    <w:rsid w:val="00D054A3"/>
    <w:rsid w:val="00D0785A"/>
    <w:rsid w:val="00D174A7"/>
    <w:rsid w:val="00D22363"/>
    <w:rsid w:val="00D23C2B"/>
    <w:rsid w:val="00D25D11"/>
    <w:rsid w:val="00D340B8"/>
    <w:rsid w:val="00D349B2"/>
    <w:rsid w:val="00D37CD5"/>
    <w:rsid w:val="00D47185"/>
    <w:rsid w:val="00D5093D"/>
    <w:rsid w:val="00D61B4A"/>
    <w:rsid w:val="00D66F88"/>
    <w:rsid w:val="00D67477"/>
    <w:rsid w:val="00D71A2F"/>
    <w:rsid w:val="00D72F2D"/>
    <w:rsid w:val="00D757DD"/>
    <w:rsid w:val="00D76D25"/>
    <w:rsid w:val="00D7702C"/>
    <w:rsid w:val="00D77F5E"/>
    <w:rsid w:val="00D86727"/>
    <w:rsid w:val="00D900D5"/>
    <w:rsid w:val="00D90CAD"/>
    <w:rsid w:val="00D9202E"/>
    <w:rsid w:val="00D94BFC"/>
    <w:rsid w:val="00D95223"/>
    <w:rsid w:val="00D96E6B"/>
    <w:rsid w:val="00DA1B7B"/>
    <w:rsid w:val="00DA2918"/>
    <w:rsid w:val="00DA7ACC"/>
    <w:rsid w:val="00DA7E66"/>
    <w:rsid w:val="00DB1451"/>
    <w:rsid w:val="00DB15D9"/>
    <w:rsid w:val="00DB2200"/>
    <w:rsid w:val="00DB2995"/>
    <w:rsid w:val="00DB2F88"/>
    <w:rsid w:val="00DB41D6"/>
    <w:rsid w:val="00DB79DF"/>
    <w:rsid w:val="00DC17BF"/>
    <w:rsid w:val="00DC5F2A"/>
    <w:rsid w:val="00DC6708"/>
    <w:rsid w:val="00DD25C6"/>
    <w:rsid w:val="00DD48B5"/>
    <w:rsid w:val="00DE0402"/>
    <w:rsid w:val="00DE3318"/>
    <w:rsid w:val="00DE33D6"/>
    <w:rsid w:val="00DE73B0"/>
    <w:rsid w:val="00DF116C"/>
    <w:rsid w:val="00DF3163"/>
    <w:rsid w:val="00DF5D2B"/>
    <w:rsid w:val="00DF7A71"/>
    <w:rsid w:val="00E02099"/>
    <w:rsid w:val="00E04422"/>
    <w:rsid w:val="00E12379"/>
    <w:rsid w:val="00E17AC3"/>
    <w:rsid w:val="00E21BD4"/>
    <w:rsid w:val="00E2395A"/>
    <w:rsid w:val="00E2422D"/>
    <w:rsid w:val="00E25D98"/>
    <w:rsid w:val="00E31455"/>
    <w:rsid w:val="00E335AF"/>
    <w:rsid w:val="00E336A8"/>
    <w:rsid w:val="00E36EF8"/>
    <w:rsid w:val="00E406C6"/>
    <w:rsid w:val="00E42F50"/>
    <w:rsid w:val="00E45554"/>
    <w:rsid w:val="00E46E85"/>
    <w:rsid w:val="00E61116"/>
    <w:rsid w:val="00E6591F"/>
    <w:rsid w:val="00E67289"/>
    <w:rsid w:val="00E80CA1"/>
    <w:rsid w:val="00E81E91"/>
    <w:rsid w:val="00E9120A"/>
    <w:rsid w:val="00E96986"/>
    <w:rsid w:val="00EA26D5"/>
    <w:rsid w:val="00EA32F7"/>
    <w:rsid w:val="00EA7182"/>
    <w:rsid w:val="00EB1DA0"/>
    <w:rsid w:val="00EB64FC"/>
    <w:rsid w:val="00EB6930"/>
    <w:rsid w:val="00EC0F7F"/>
    <w:rsid w:val="00EC1A33"/>
    <w:rsid w:val="00EC2344"/>
    <w:rsid w:val="00EC4B74"/>
    <w:rsid w:val="00EC6A53"/>
    <w:rsid w:val="00ED1438"/>
    <w:rsid w:val="00ED6C0E"/>
    <w:rsid w:val="00EE0FB9"/>
    <w:rsid w:val="00EE5EEB"/>
    <w:rsid w:val="00EF230D"/>
    <w:rsid w:val="00EF7AD6"/>
    <w:rsid w:val="00F019F8"/>
    <w:rsid w:val="00F01C5D"/>
    <w:rsid w:val="00F10670"/>
    <w:rsid w:val="00F11771"/>
    <w:rsid w:val="00F11F97"/>
    <w:rsid w:val="00F14BF7"/>
    <w:rsid w:val="00F15F5A"/>
    <w:rsid w:val="00F171E9"/>
    <w:rsid w:val="00F173DE"/>
    <w:rsid w:val="00F17550"/>
    <w:rsid w:val="00F230CD"/>
    <w:rsid w:val="00F26529"/>
    <w:rsid w:val="00F27050"/>
    <w:rsid w:val="00F31646"/>
    <w:rsid w:val="00F32390"/>
    <w:rsid w:val="00F355ED"/>
    <w:rsid w:val="00F35A5A"/>
    <w:rsid w:val="00F40B93"/>
    <w:rsid w:val="00F42C38"/>
    <w:rsid w:val="00F432AB"/>
    <w:rsid w:val="00F458BC"/>
    <w:rsid w:val="00F517F0"/>
    <w:rsid w:val="00F51C18"/>
    <w:rsid w:val="00F53FEB"/>
    <w:rsid w:val="00F5520A"/>
    <w:rsid w:val="00F55261"/>
    <w:rsid w:val="00F570C1"/>
    <w:rsid w:val="00F7377B"/>
    <w:rsid w:val="00F7399C"/>
    <w:rsid w:val="00F7472B"/>
    <w:rsid w:val="00F76EA7"/>
    <w:rsid w:val="00F80CA3"/>
    <w:rsid w:val="00F92702"/>
    <w:rsid w:val="00F940B7"/>
    <w:rsid w:val="00F95BD0"/>
    <w:rsid w:val="00F95CD1"/>
    <w:rsid w:val="00FA0024"/>
    <w:rsid w:val="00FA03F6"/>
    <w:rsid w:val="00FA31E2"/>
    <w:rsid w:val="00FA57C9"/>
    <w:rsid w:val="00FB0C6A"/>
    <w:rsid w:val="00FB40B3"/>
    <w:rsid w:val="00FB536E"/>
    <w:rsid w:val="00FB54AE"/>
    <w:rsid w:val="00FB6477"/>
    <w:rsid w:val="00FC3144"/>
    <w:rsid w:val="00FC4CBA"/>
    <w:rsid w:val="00FD16FA"/>
    <w:rsid w:val="00FD2000"/>
    <w:rsid w:val="00FD7139"/>
    <w:rsid w:val="00FD7702"/>
    <w:rsid w:val="00FE2F88"/>
    <w:rsid w:val="00FE34CF"/>
    <w:rsid w:val="00FE4AE7"/>
    <w:rsid w:val="00FE68A3"/>
    <w:rsid w:val="00FE7CD9"/>
    <w:rsid w:val="00FF16A7"/>
    <w:rsid w:val="00FF3F73"/>
    <w:rsid w:val="00FF5B70"/>
    <w:rsid w:val="00FF5BB9"/>
    <w:rsid w:val="0C993FA5"/>
    <w:rsid w:val="0D0B5FDE"/>
    <w:rsid w:val="1171EE4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017577"/>
    <w:rPr>
      <w:color w:val="605E5C"/>
      <w:shd w:val="clear" w:color="auto" w:fill="E1DFDD"/>
    </w:rPr>
  </w:style>
  <w:style w:type="character" w:customStyle="1" w:styleId="normaltextrun">
    <w:name w:val="normaltextrun"/>
    <w:basedOn w:val="DefaultParagraphFont"/>
    <w:rsid w:val="00233141"/>
  </w:style>
  <w:style w:type="character" w:styleId="CommentReference">
    <w:name w:val="annotation reference"/>
    <w:basedOn w:val="DefaultParagraphFont"/>
    <w:uiPriority w:val="99"/>
    <w:semiHidden/>
    <w:unhideWhenUsed/>
    <w:rsid w:val="00F7399C"/>
    <w:rPr>
      <w:sz w:val="16"/>
      <w:szCs w:val="16"/>
    </w:rPr>
  </w:style>
  <w:style w:type="paragraph" w:styleId="CommentText">
    <w:name w:val="annotation text"/>
    <w:basedOn w:val="Normal"/>
    <w:link w:val="CommentTextChar"/>
    <w:uiPriority w:val="99"/>
    <w:semiHidden/>
    <w:unhideWhenUsed/>
    <w:rsid w:val="00F7399C"/>
    <w:pPr>
      <w:spacing w:line="240" w:lineRule="auto"/>
    </w:pPr>
    <w:rPr>
      <w:sz w:val="20"/>
      <w:szCs w:val="20"/>
    </w:rPr>
  </w:style>
  <w:style w:type="character" w:customStyle="1" w:styleId="CommentTextChar">
    <w:name w:val="Comment Text Char"/>
    <w:basedOn w:val="DefaultParagraphFont"/>
    <w:link w:val="CommentText"/>
    <w:uiPriority w:val="99"/>
    <w:semiHidden/>
    <w:rsid w:val="00F7399C"/>
    <w:rPr>
      <w:sz w:val="20"/>
      <w:szCs w:val="20"/>
    </w:rPr>
  </w:style>
  <w:style w:type="paragraph" w:styleId="CommentSubject">
    <w:name w:val="annotation subject"/>
    <w:basedOn w:val="CommentText"/>
    <w:next w:val="CommentText"/>
    <w:link w:val="CommentSubjectChar"/>
    <w:uiPriority w:val="99"/>
    <w:semiHidden/>
    <w:unhideWhenUsed/>
    <w:rsid w:val="00F7399C"/>
    <w:rPr>
      <w:b/>
      <w:bCs/>
    </w:rPr>
  </w:style>
  <w:style w:type="character" w:customStyle="1" w:styleId="CommentSubjectChar">
    <w:name w:val="Comment Subject Char"/>
    <w:basedOn w:val="CommentTextChar"/>
    <w:link w:val="CommentSubject"/>
    <w:uiPriority w:val="99"/>
    <w:semiHidden/>
    <w:rsid w:val="00F73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2426">
      <w:bodyDiv w:val="1"/>
      <w:marLeft w:val="0"/>
      <w:marRight w:val="0"/>
      <w:marTop w:val="0"/>
      <w:marBottom w:val="0"/>
      <w:divBdr>
        <w:top w:val="none" w:sz="0" w:space="0" w:color="auto"/>
        <w:left w:val="none" w:sz="0" w:space="0" w:color="auto"/>
        <w:bottom w:val="none" w:sz="0" w:space="0" w:color="auto"/>
        <w:right w:val="none" w:sz="0" w:space="0" w:color="auto"/>
      </w:divBdr>
      <w:divsChild>
        <w:div w:id="1716586036">
          <w:marLeft w:val="0"/>
          <w:marRight w:val="0"/>
          <w:marTop w:val="0"/>
          <w:marBottom w:val="0"/>
          <w:divBdr>
            <w:top w:val="none" w:sz="0" w:space="0" w:color="auto"/>
            <w:left w:val="none" w:sz="0" w:space="0" w:color="auto"/>
            <w:bottom w:val="none" w:sz="0" w:space="0" w:color="auto"/>
            <w:right w:val="none" w:sz="0" w:space="0" w:color="auto"/>
          </w:divBdr>
        </w:div>
        <w:div w:id="1960795728">
          <w:marLeft w:val="0"/>
          <w:marRight w:val="0"/>
          <w:marTop w:val="0"/>
          <w:marBottom w:val="0"/>
          <w:divBdr>
            <w:top w:val="none" w:sz="0" w:space="0" w:color="auto"/>
            <w:left w:val="none" w:sz="0" w:space="0" w:color="auto"/>
            <w:bottom w:val="none" w:sz="0" w:space="0" w:color="auto"/>
            <w:right w:val="none" w:sz="0" w:space="0" w:color="auto"/>
          </w:divBdr>
        </w:div>
      </w:divsChild>
    </w:div>
    <w:div w:id="54926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VSLredesign@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2" ma:contentTypeDescription="Create a new document." ma:contentTypeScope="" ma:versionID="9a1ced575d6298a70fc283336dfdb431">
  <xsd:schema xmlns:xsd="http://www.w3.org/2001/XMLSchema" xmlns:xs="http://www.w3.org/2001/XMLSchema" xmlns:p="http://schemas.microsoft.com/office/2006/metadata/properties" xmlns:ns2="74b214de-b2cb-4b64-9cf9-f17c021c4d29" targetNamespace="http://schemas.microsoft.com/office/2006/metadata/properties" ma:root="true" ma:fieldsID="94c82e13287f1d467d5e44105e2f0822" ns2:_="">
    <xsd:import namespace="74b214de-b2cb-4b64-9cf9-f17c021c4d2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ccb5185e-0cad-4552-84bd-444f81438d30"/>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257D7CF1-37C0-4656-97AF-63664336C94A}"/>
</file>

<file path=docProps/app.xml><?xml version="1.0" encoding="utf-8"?>
<Properties xmlns="http://schemas.openxmlformats.org/officeDocument/2006/extended-properties" xmlns:vt="http://schemas.openxmlformats.org/officeDocument/2006/docPropsVTypes">
  <Template>Normal.dotm</Template>
  <TotalTime>0</TotalTime>
  <Pages>3</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Factsheet Template - Portrait</dc:title>
  <dc:subject/>
  <dc:creator/>
  <cp:keywords>DEWR A4 Factsheet Template - Portrait</cp:keywords>
  <dc:description/>
  <cp:lastModifiedBy/>
  <cp:revision>1</cp:revision>
  <dcterms:created xsi:type="dcterms:W3CDTF">2023-01-17T03:38:00Z</dcterms:created>
  <dcterms:modified xsi:type="dcterms:W3CDTF">2023-01-17T03:39:00Z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0x0101007E54DDAF54D54044A037F2194A22F7FE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