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2B476" w14:textId="77777777" w:rsidR="008C0B3E" w:rsidRPr="008C0B3E" w:rsidRDefault="008C0B3E" w:rsidP="008C0B3E">
      <w:pPr>
        <w:pStyle w:val="Heading1"/>
        <w:spacing w:before="0"/>
        <w:rPr>
          <w:sz w:val="28"/>
          <w:szCs w:val="28"/>
        </w:rPr>
      </w:pPr>
      <w:bookmarkStart w:id="0" w:name="_GoBack"/>
      <w:bookmarkEnd w:id="0"/>
      <w:r w:rsidRPr="008C0B3E">
        <w:rPr>
          <w:sz w:val="28"/>
          <w:szCs w:val="28"/>
        </w:rPr>
        <w:t>Equity Report Template</w:t>
      </w:r>
    </w:p>
    <w:p w14:paraId="10920270" w14:textId="2D11C784" w:rsidR="000D3EA9" w:rsidRDefault="00496491" w:rsidP="00324F89">
      <w:pPr>
        <w:pStyle w:val="Heading1"/>
      </w:pPr>
      <w:r w:rsidRPr="00324F89">
        <w:t xml:space="preserve">Section 1 – </w:t>
      </w:r>
      <w:r w:rsidR="00822BF9">
        <w:t>Cover page</w:t>
      </w:r>
    </w:p>
    <w:p w14:paraId="6EEC2ED0" w14:textId="77777777" w:rsidR="00907236" w:rsidRPr="00907236" w:rsidRDefault="00907236" w:rsidP="00907236">
      <w:pPr>
        <w:spacing w:before="0" w:after="0" w:line="240" w:lineRule="auto"/>
      </w:pPr>
    </w:p>
    <w:tbl>
      <w:tblPr>
        <w:tblStyle w:val="TableGrid"/>
        <w:tblW w:w="5000" w:type="pct"/>
        <w:tblBorders>
          <w:top w:val="single" w:sz="4" w:space="0" w:color="1B75BC" w:themeColor="text2"/>
          <w:left w:val="single" w:sz="4" w:space="0" w:color="1B75BC" w:themeColor="text2"/>
          <w:bottom w:val="single" w:sz="4" w:space="0" w:color="1B75BC" w:themeColor="text2"/>
          <w:right w:val="single" w:sz="4" w:space="0" w:color="1B75BC" w:themeColor="text2"/>
          <w:insideH w:val="single" w:sz="4" w:space="0" w:color="1B75BC" w:themeColor="text2"/>
          <w:insideV w:val="single" w:sz="4" w:space="0" w:color="1B75BC" w:themeColor="text2"/>
        </w:tblBorders>
        <w:tblLook w:val="0600" w:firstRow="0" w:lastRow="0" w:firstColumn="0" w:lastColumn="0" w:noHBand="1" w:noVBand="1"/>
      </w:tblPr>
      <w:tblGrid>
        <w:gridCol w:w="3538"/>
        <w:gridCol w:w="5479"/>
      </w:tblGrid>
      <w:tr w:rsidR="000D3EA9" w:rsidRPr="005620C8" w14:paraId="7B961DEF" w14:textId="77777777" w:rsidTr="00907236">
        <w:trPr>
          <w:tblHeader/>
        </w:trPr>
        <w:tc>
          <w:tcPr>
            <w:tcW w:w="1962" w:type="pct"/>
            <w:shd w:val="clear" w:color="auto" w:fill="1B75BC" w:themeFill="text2"/>
          </w:tcPr>
          <w:p w14:paraId="4C7447EC" w14:textId="77777777" w:rsidR="000D3EA9" w:rsidRPr="00390FD8" w:rsidRDefault="00496491" w:rsidP="00390FD8">
            <w:pPr>
              <w:rPr>
                <w:b/>
                <w:bCs/>
                <w:color w:val="FFFFFF" w:themeColor="background1"/>
              </w:rPr>
            </w:pPr>
            <w:r w:rsidRPr="00390FD8">
              <w:rPr>
                <w:color w:val="FFFFFF" w:themeColor="background1"/>
              </w:rPr>
              <w:t>Information required</w:t>
            </w:r>
          </w:p>
        </w:tc>
        <w:tc>
          <w:tcPr>
            <w:tcW w:w="3038" w:type="pct"/>
            <w:shd w:val="clear" w:color="auto" w:fill="1B75BC" w:themeFill="text2"/>
          </w:tcPr>
          <w:p w14:paraId="23F7FC48" w14:textId="77777777" w:rsidR="000D3EA9" w:rsidRPr="00390FD8" w:rsidRDefault="00496491" w:rsidP="00390FD8">
            <w:pPr>
              <w:rPr>
                <w:color w:val="FFFFFF" w:themeColor="background1"/>
              </w:rPr>
            </w:pPr>
            <w:r w:rsidRPr="00390FD8">
              <w:rPr>
                <w:color w:val="FFFFFF" w:themeColor="background1"/>
              </w:rPr>
              <w:t>Detail</w:t>
            </w:r>
          </w:p>
        </w:tc>
      </w:tr>
      <w:tr w:rsidR="000D3EA9" w:rsidRPr="005620C8" w14:paraId="7DF3C295" w14:textId="77777777" w:rsidTr="00907236">
        <w:tc>
          <w:tcPr>
            <w:tcW w:w="1962" w:type="pct"/>
          </w:tcPr>
          <w:p w14:paraId="49075A7A" w14:textId="77777777" w:rsidR="000D3EA9" w:rsidRPr="00655713" w:rsidRDefault="000D3EA9" w:rsidP="00FC0B77">
            <w:pPr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</w:rPr>
            </w:pPr>
            <w:r w:rsidRPr="00655713">
              <w:rPr>
                <w:rFonts w:asciiTheme="majorHAnsi" w:hAnsiTheme="majorHAnsi"/>
                <w:sz w:val="20"/>
                <w:szCs w:val="20"/>
              </w:rPr>
              <w:t>Training Package title and code</w:t>
            </w:r>
          </w:p>
        </w:tc>
        <w:tc>
          <w:tcPr>
            <w:tcW w:w="3038" w:type="pct"/>
          </w:tcPr>
          <w:p w14:paraId="3A26CF84" w14:textId="77777777" w:rsidR="000D3EA9" w:rsidRPr="00655713" w:rsidRDefault="000D3EA9" w:rsidP="00FC0B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1552D" w:rsidRPr="005620C8" w14:paraId="1012BA2B" w14:textId="77777777" w:rsidTr="00907236">
        <w:tc>
          <w:tcPr>
            <w:tcW w:w="1962" w:type="pct"/>
          </w:tcPr>
          <w:p w14:paraId="0B7CC0D9" w14:textId="07B7DED2" w:rsidR="00C1552D" w:rsidRPr="00655713" w:rsidRDefault="00453296" w:rsidP="007E281F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C1552D" w:rsidRPr="00DB5B92">
              <w:rPr>
                <w:rFonts w:asciiTheme="majorHAnsi" w:hAnsiTheme="majorHAnsi"/>
                <w:sz w:val="20"/>
                <w:szCs w:val="20"/>
              </w:rPr>
              <w:t>of new qualifications</w:t>
            </w:r>
            <w:r w:rsidR="007E281F">
              <w:rPr>
                <w:rFonts w:asciiTheme="majorHAnsi" w:hAnsiTheme="majorHAnsi"/>
                <w:sz w:val="20"/>
                <w:szCs w:val="20"/>
              </w:rPr>
              <w:t xml:space="preserve"> and their titles</w:t>
            </w:r>
            <w:r w:rsidR="007E281F" w:rsidRPr="00DB5B9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52AF8">
              <w:rPr>
                <w:rStyle w:val="FootnoteReference"/>
                <w:rFonts w:asciiTheme="majorHAnsi" w:hAnsiTheme="majorHAnsi"/>
                <w:sz w:val="20"/>
                <w:szCs w:val="20"/>
              </w:rPr>
              <w:footnoteReference w:id="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038" w:type="pct"/>
          </w:tcPr>
          <w:p w14:paraId="4BFEFBE7" w14:textId="77777777" w:rsidR="00C1552D" w:rsidRPr="00655713" w:rsidRDefault="00C1552D" w:rsidP="00C1552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1552D" w:rsidRPr="005620C8" w14:paraId="14AC62F9" w14:textId="77777777" w:rsidTr="00907236">
        <w:tc>
          <w:tcPr>
            <w:tcW w:w="1962" w:type="pct"/>
          </w:tcPr>
          <w:p w14:paraId="45990C76" w14:textId="74735107" w:rsidR="00C1552D" w:rsidRDefault="00453296" w:rsidP="007E2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C1552D">
              <w:rPr>
                <w:rFonts w:asciiTheme="majorHAnsi" w:hAnsiTheme="majorHAnsi"/>
                <w:sz w:val="20"/>
                <w:szCs w:val="20"/>
              </w:rPr>
              <w:t>of revised qualifications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E281F">
              <w:rPr>
                <w:rFonts w:asciiTheme="majorHAnsi" w:hAnsiTheme="majorHAnsi"/>
                <w:sz w:val="20"/>
                <w:szCs w:val="20"/>
              </w:rPr>
              <w:t>and their titles</w:t>
            </w:r>
          </w:p>
        </w:tc>
        <w:tc>
          <w:tcPr>
            <w:tcW w:w="3038" w:type="pct"/>
          </w:tcPr>
          <w:p w14:paraId="1B7FE622" w14:textId="77777777" w:rsidR="00C1552D" w:rsidRPr="00655713" w:rsidRDefault="00C1552D" w:rsidP="00C1552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1552D" w:rsidRPr="005620C8" w14:paraId="281B3A6F" w14:textId="77777777" w:rsidTr="00907236">
        <w:tc>
          <w:tcPr>
            <w:tcW w:w="1962" w:type="pct"/>
          </w:tcPr>
          <w:p w14:paraId="4D8ACA4E" w14:textId="5298F6BC" w:rsidR="00C1552D" w:rsidRDefault="00453296" w:rsidP="007E2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C1552D" w:rsidRPr="00DB5B92">
              <w:rPr>
                <w:rFonts w:asciiTheme="majorHAnsi" w:hAnsiTheme="majorHAnsi"/>
                <w:sz w:val="20"/>
                <w:szCs w:val="20"/>
              </w:rPr>
              <w:t>of new units of competency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E281F">
              <w:rPr>
                <w:rFonts w:asciiTheme="majorHAnsi" w:hAnsiTheme="majorHAnsi"/>
                <w:sz w:val="20"/>
                <w:szCs w:val="20"/>
              </w:rPr>
              <w:t>and their titles</w:t>
            </w:r>
          </w:p>
        </w:tc>
        <w:tc>
          <w:tcPr>
            <w:tcW w:w="3038" w:type="pct"/>
          </w:tcPr>
          <w:p w14:paraId="607FF65D" w14:textId="77777777" w:rsidR="00C1552D" w:rsidRPr="00655713" w:rsidRDefault="00C1552D" w:rsidP="00C1552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1552D" w:rsidRPr="005620C8" w14:paraId="18ED31E9" w14:textId="77777777" w:rsidTr="00907236">
        <w:tc>
          <w:tcPr>
            <w:tcW w:w="1962" w:type="pct"/>
          </w:tcPr>
          <w:p w14:paraId="397CB0A7" w14:textId="5778B8E7" w:rsidR="00C1552D" w:rsidRPr="00655713" w:rsidRDefault="00453296" w:rsidP="007E281F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C1552D">
              <w:rPr>
                <w:rFonts w:asciiTheme="majorHAnsi" w:hAnsiTheme="majorHAnsi"/>
                <w:sz w:val="20"/>
                <w:szCs w:val="20"/>
              </w:rPr>
              <w:t>of revised units of competency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E281F">
              <w:rPr>
                <w:rFonts w:asciiTheme="majorHAnsi" w:hAnsiTheme="majorHAnsi"/>
                <w:sz w:val="20"/>
                <w:szCs w:val="20"/>
              </w:rPr>
              <w:t>and their titles</w:t>
            </w:r>
          </w:p>
        </w:tc>
        <w:tc>
          <w:tcPr>
            <w:tcW w:w="3038" w:type="pct"/>
          </w:tcPr>
          <w:p w14:paraId="7F91D6DF" w14:textId="77777777" w:rsidR="00C1552D" w:rsidRPr="00655713" w:rsidRDefault="00C1552D" w:rsidP="00C1552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D3EA9" w:rsidRPr="005620C8" w14:paraId="1431C317" w14:textId="77777777" w:rsidTr="00907236">
        <w:trPr>
          <w:trHeight w:val="1084"/>
        </w:trPr>
        <w:tc>
          <w:tcPr>
            <w:tcW w:w="1962" w:type="pct"/>
          </w:tcPr>
          <w:p w14:paraId="5EA065B9" w14:textId="68451B65" w:rsidR="000D3EA9" w:rsidRPr="00655713" w:rsidRDefault="000D3EA9" w:rsidP="007242AA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5713">
              <w:rPr>
                <w:rFonts w:asciiTheme="majorHAnsi" w:hAnsiTheme="majorHAnsi"/>
                <w:sz w:val="20"/>
                <w:szCs w:val="20"/>
              </w:rPr>
              <w:t xml:space="preserve">Confirmation that the draft </w:t>
            </w:r>
            <w:r w:rsidR="00A22EEE">
              <w:rPr>
                <w:rFonts w:asciiTheme="majorHAnsi" w:hAnsiTheme="majorHAnsi"/>
                <w:sz w:val="20"/>
                <w:szCs w:val="20"/>
              </w:rPr>
              <w:t xml:space="preserve">training package </w:t>
            </w:r>
            <w:r w:rsidRPr="00655713">
              <w:rPr>
                <w:rFonts w:asciiTheme="majorHAnsi" w:hAnsiTheme="majorHAnsi"/>
                <w:sz w:val="20"/>
                <w:szCs w:val="20"/>
              </w:rPr>
              <w:t>components meet the requirements in Section 2</w:t>
            </w:r>
            <w:r w:rsidR="00B95F9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95F92" w:rsidRPr="00B95F92">
              <w:rPr>
                <w:rFonts w:asciiTheme="majorHAnsi" w:hAnsiTheme="majorHAnsi"/>
                <w:i/>
                <w:sz w:val="20"/>
                <w:szCs w:val="20"/>
              </w:rPr>
              <w:t>Equity checklist of draft training package components</w:t>
            </w:r>
          </w:p>
        </w:tc>
        <w:tc>
          <w:tcPr>
            <w:tcW w:w="3038" w:type="pct"/>
          </w:tcPr>
          <w:p w14:paraId="4A6B5F3F" w14:textId="77777777" w:rsidR="000D3EA9" w:rsidRPr="00655713" w:rsidRDefault="000D3EA9" w:rsidP="00FC0B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B4AA5" w:rsidRPr="005620C8" w14:paraId="166F1973" w14:textId="77777777" w:rsidTr="00907236">
        <w:tc>
          <w:tcPr>
            <w:tcW w:w="1962" w:type="pct"/>
          </w:tcPr>
          <w:p w14:paraId="02B09253" w14:textId="0484496D" w:rsidR="008B4AA5" w:rsidRDefault="008B4AA5" w:rsidP="002F75D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 the Equity Report prepared by a member of the Quality Assurance Panel? If ‘yes’ please provide the name.</w:t>
            </w:r>
          </w:p>
        </w:tc>
        <w:tc>
          <w:tcPr>
            <w:tcW w:w="3038" w:type="pct"/>
          </w:tcPr>
          <w:p w14:paraId="4AEA37E5" w14:textId="0B733C32" w:rsidR="008B4AA5" w:rsidRPr="00655713" w:rsidRDefault="008B4AA5" w:rsidP="00FC0B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B4AA5">
              <w:rPr>
                <w:rFonts w:asciiTheme="majorHAnsi" w:hAnsiTheme="majorHAnsi"/>
                <w:sz w:val="20"/>
                <w:szCs w:val="20"/>
              </w:rPr>
              <w:t>Yes or No</w:t>
            </w:r>
            <w:r>
              <w:rPr>
                <w:rStyle w:val="FootnoteReference"/>
                <w:rFonts w:asciiTheme="majorHAnsi" w:hAnsiTheme="majorHAnsi"/>
                <w:b/>
                <w:sz w:val="20"/>
                <w:szCs w:val="20"/>
              </w:rPr>
              <w:footnoteReference w:id="2"/>
            </w:r>
          </w:p>
        </w:tc>
      </w:tr>
      <w:tr w:rsidR="000D3EA9" w:rsidRPr="005620C8" w14:paraId="6FF6A979" w14:textId="77777777" w:rsidTr="00907236">
        <w:tc>
          <w:tcPr>
            <w:tcW w:w="1962" w:type="pct"/>
          </w:tcPr>
          <w:p w14:paraId="7DCBA326" w14:textId="28390C7B" w:rsidR="000D3EA9" w:rsidRPr="00655713" w:rsidRDefault="000D3EA9" w:rsidP="00FC0B7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5713">
              <w:rPr>
                <w:rFonts w:asciiTheme="majorHAnsi" w:hAnsiTheme="majorHAnsi"/>
                <w:sz w:val="20"/>
                <w:szCs w:val="20"/>
              </w:rPr>
              <w:t xml:space="preserve">Date </w:t>
            </w:r>
            <w:r w:rsidR="002B7AC6">
              <w:rPr>
                <w:rFonts w:asciiTheme="majorHAnsi" w:hAnsiTheme="majorHAnsi"/>
                <w:sz w:val="20"/>
                <w:szCs w:val="20"/>
              </w:rPr>
              <w:t>of completion of the report</w:t>
            </w:r>
          </w:p>
        </w:tc>
        <w:tc>
          <w:tcPr>
            <w:tcW w:w="3038" w:type="pct"/>
          </w:tcPr>
          <w:p w14:paraId="083EE57D" w14:textId="77777777" w:rsidR="000D3EA9" w:rsidRPr="00655713" w:rsidRDefault="000D3EA9" w:rsidP="00FC0B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4D08895" w14:textId="77777777" w:rsidR="000D3EA9" w:rsidRDefault="000D3EA9" w:rsidP="000D3EA9">
      <w:pPr>
        <w:ind w:right="-613"/>
        <w:rPr>
          <w:b/>
          <w:bCs/>
          <w:i/>
          <w:iCs/>
          <w:color w:val="948A54"/>
          <w:sz w:val="28"/>
          <w:lang w:val="en-US"/>
        </w:rPr>
        <w:sectPr w:rsidR="000D3EA9" w:rsidSect="00907236">
          <w:headerReference w:type="default" r:id="rId11"/>
          <w:footerReference w:type="default" r:id="rId12"/>
          <w:footnotePr>
            <w:numRestart w:val="eachPage"/>
          </w:footnotePr>
          <w:endnotePr>
            <w:numFmt w:val="decimal"/>
          </w:endnotePr>
          <w:pgSz w:w="11907" w:h="16840" w:code="9"/>
          <w:pgMar w:top="1418" w:right="1440" w:bottom="1418" w:left="1440" w:header="709" w:footer="709" w:gutter="0"/>
          <w:cols w:space="708"/>
          <w:docGrid w:linePitch="360"/>
        </w:sectPr>
      </w:pPr>
    </w:p>
    <w:p w14:paraId="2F149F43" w14:textId="00E70B5C" w:rsidR="000D3EA9" w:rsidRDefault="00496491" w:rsidP="00907236">
      <w:pPr>
        <w:pStyle w:val="Heading1"/>
        <w:ind w:left="426"/>
      </w:pPr>
      <w:r w:rsidRPr="00496491">
        <w:lastRenderedPageBreak/>
        <w:t>Section 2 – Equity checklist of draft training package components</w:t>
      </w:r>
    </w:p>
    <w:p w14:paraId="3AAB7B73" w14:textId="77777777" w:rsidR="00907236" w:rsidRPr="00907236" w:rsidRDefault="00907236" w:rsidP="00907236">
      <w:pPr>
        <w:spacing w:before="0" w:after="0" w:line="240" w:lineRule="auto"/>
      </w:pPr>
    </w:p>
    <w:tbl>
      <w:tblPr>
        <w:tblStyle w:val="TableGrid"/>
        <w:tblW w:w="4638" w:type="pct"/>
        <w:tblInd w:w="421" w:type="dxa"/>
        <w:tblBorders>
          <w:top w:val="single" w:sz="4" w:space="0" w:color="1B75BC" w:themeColor="text2"/>
          <w:left w:val="single" w:sz="4" w:space="0" w:color="1B75BC" w:themeColor="text2"/>
          <w:bottom w:val="single" w:sz="4" w:space="0" w:color="1B75BC" w:themeColor="text2"/>
          <w:right w:val="single" w:sz="4" w:space="0" w:color="1B75BC" w:themeColor="text2"/>
          <w:insideH w:val="single" w:sz="4" w:space="0" w:color="1B75BC" w:themeColor="text2"/>
          <w:insideV w:val="single" w:sz="4" w:space="0" w:color="1B75BC" w:themeColor="text2"/>
        </w:tblBorders>
        <w:tblLook w:val="0600" w:firstRow="0" w:lastRow="0" w:firstColumn="0" w:lastColumn="0" w:noHBand="1" w:noVBand="1"/>
      </w:tblPr>
      <w:tblGrid>
        <w:gridCol w:w="3543"/>
        <w:gridCol w:w="5527"/>
      </w:tblGrid>
      <w:tr w:rsidR="00971CBA" w:rsidRPr="00390FD8" w14:paraId="09A55400" w14:textId="77777777" w:rsidTr="00907236">
        <w:trPr>
          <w:trHeight w:val="147"/>
          <w:tblHeader/>
        </w:trPr>
        <w:tc>
          <w:tcPr>
            <w:tcW w:w="1953" w:type="pct"/>
            <w:shd w:val="clear" w:color="auto" w:fill="1B75BC" w:themeFill="text2"/>
          </w:tcPr>
          <w:p w14:paraId="452E8CBB" w14:textId="77777777" w:rsidR="00971CBA" w:rsidRPr="00390FD8" w:rsidRDefault="00971CBA" w:rsidP="00390FD8">
            <w:pPr>
              <w:rPr>
                <w:color w:val="FFFFFF" w:themeColor="background1"/>
              </w:rPr>
            </w:pPr>
            <w:r w:rsidRPr="00390FD8">
              <w:rPr>
                <w:color w:val="FFFFFF" w:themeColor="background1"/>
              </w:rPr>
              <w:t>Equity requirements</w:t>
            </w:r>
          </w:p>
        </w:tc>
        <w:tc>
          <w:tcPr>
            <w:tcW w:w="3047" w:type="pct"/>
            <w:shd w:val="clear" w:color="auto" w:fill="1B75BC" w:themeFill="text2"/>
          </w:tcPr>
          <w:p w14:paraId="25D9AF09" w14:textId="77777777" w:rsidR="00971CBA" w:rsidRPr="00390FD8" w:rsidRDefault="00971CBA" w:rsidP="00FC0B77">
            <w:pPr>
              <w:spacing w:after="0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Equity reviewer comments</w:t>
            </w:r>
          </w:p>
          <w:p w14:paraId="2B1CC297" w14:textId="77777777" w:rsidR="00971CBA" w:rsidRPr="00390FD8" w:rsidRDefault="00971CBA" w:rsidP="00FC0B77">
            <w:pPr>
              <w:spacing w:after="0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Provide brief commentary on whether the draft endorsed components meet each of the equity requirements</w:t>
            </w:r>
          </w:p>
        </w:tc>
      </w:tr>
      <w:tr w:rsidR="00971CBA" w:rsidRPr="00E172AC" w14:paraId="1CF8CB8A" w14:textId="77777777" w:rsidTr="00907236">
        <w:trPr>
          <w:trHeight w:val="147"/>
        </w:trPr>
        <w:tc>
          <w:tcPr>
            <w:tcW w:w="1953" w:type="pct"/>
          </w:tcPr>
          <w:p w14:paraId="207FC537" w14:textId="77777777" w:rsidR="00971CBA" w:rsidRDefault="00971CBA" w:rsidP="00067DE0">
            <w:pPr>
              <w:widowControl w:val="0"/>
              <w:spacing w:before="0"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0A66603" w14:textId="171E407A" w:rsidR="00971CBA" w:rsidRDefault="00971CBA" w:rsidP="00067DE0">
            <w:pPr>
              <w:widowControl w:val="0"/>
              <w:spacing w:before="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training package component(s) comply with Standard 2 of the </w:t>
            </w:r>
            <w:r w:rsidRPr="006E3808">
              <w:rPr>
                <w:rFonts w:asciiTheme="majorHAnsi" w:hAnsiTheme="majorHAnsi"/>
                <w:i/>
                <w:sz w:val="20"/>
                <w:szCs w:val="20"/>
              </w:rPr>
              <w:t>Standards for Training Packages 2012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The standard requires compliance with the </w:t>
            </w:r>
            <w:r w:rsidRPr="006E3808">
              <w:rPr>
                <w:rFonts w:asciiTheme="majorHAnsi" w:hAnsiTheme="majorHAnsi"/>
                <w:i/>
                <w:sz w:val="20"/>
                <w:szCs w:val="20"/>
              </w:rPr>
              <w:t>Training Package Products Policy</w:t>
            </w:r>
            <w:r>
              <w:rPr>
                <w:rFonts w:asciiTheme="majorHAnsi" w:hAnsiTheme="majorHAnsi"/>
                <w:sz w:val="20"/>
                <w:szCs w:val="20"/>
              </w:rPr>
              <w:t>, specifically with the access and equity requirements:</w:t>
            </w:r>
          </w:p>
          <w:p w14:paraId="07A4004B" w14:textId="77777777" w:rsidR="00971CBA" w:rsidRDefault="00971CBA" w:rsidP="00F04AB2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 w:line="240" w:lineRule="auto"/>
              <w:ind w:left="164" w:hanging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Training Package developers must meet their obligations under Commonwealth anti-discrimination legislation and associated standards and regulations.</w:t>
            </w:r>
          </w:p>
          <w:p w14:paraId="60BDA452" w14:textId="15E827BE" w:rsidR="00971CBA" w:rsidRPr="00DB4E5E" w:rsidRDefault="00971CBA" w:rsidP="00F04AB2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 w:line="240" w:lineRule="auto"/>
              <w:ind w:left="164" w:hanging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Training Package developers must ensure that Training Packages are flexible and that they provide guidance and recommendations to enable reasonable adjustments in implementation.</w:t>
            </w:r>
          </w:p>
        </w:tc>
        <w:tc>
          <w:tcPr>
            <w:tcW w:w="3047" w:type="pct"/>
          </w:tcPr>
          <w:p w14:paraId="6655D9B8" w14:textId="77777777" w:rsidR="00971CBA" w:rsidRPr="00E172AC" w:rsidRDefault="00971CBA" w:rsidP="00FC0B77">
            <w:pPr>
              <w:keepLines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1D2ED6B" w14:textId="77777777" w:rsidR="005E67E6" w:rsidRDefault="005E67E6" w:rsidP="00324F89">
      <w:pPr>
        <w:pStyle w:val="Heading2"/>
      </w:pPr>
    </w:p>
    <w:p w14:paraId="0FA52602" w14:textId="12C837D5" w:rsidR="00496491" w:rsidRPr="00324F89" w:rsidRDefault="005E67E6" w:rsidP="00907236">
      <w:pPr>
        <w:pStyle w:val="Heading2"/>
        <w:ind w:left="426"/>
      </w:pPr>
      <w:r>
        <w:t xml:space="preserve">Section 3 - </w:t>
      </w:r>
      <w:r w:rsidR="00496491" w:rsidRPr="00324F89">
        <w:t>Training Package Quality Principles</w:t>
      </w:r>
    </w:p>
    <w:p w14:paraId="739934BD" w14:textId="77777777" w:rsidR="004078F7" w:rsidRDefault="004078F7" w:rsidP="00907236">
      <w:pPr>
        <w:pStyle w:val="Heading3"/>
        <w:spacing w:before="0"/>
        <w:ind w:left="426"/>
        <w:rPr>
          <w:sz w:val="20"/>
          <w:szCs w:val="20"/>
        </w:rPr>
      </w:pPr>
    </w:p>
    <w:p w14:paraId="4DAFC908" w14:textId="57585A9E" w:rsidR="00496491" w:rsidRPr="005E67E6" w:rsidRDefault="00496491" w:rsidP="00907236">
      <w:pPr>
        <w:pStyle w:val="Heading3"/>
        <w:spacing w:before="0"/>
        <w:ind w:left="426"/>
        <w:rPr>
          <w:sz w:val="20"/>
          <w:szCs w:val="20"/>
        </w:rPr>
      </w:pPr>
      <w:r w:rsidRPr="005E67E6">
        <w:rPr>
          <w:sz w:val="20"/>
          <w:szCs w:val="20"/>
        </w:rPr>
        <w:t xml:space="preserve">Quality Principle 4 </w:t>
      </w:r>
    </w:p>
    <w:p w14:paraId="6BC01B7C" w14:textId="77777777" w:rsidR="00496491" w:rsidRPr="000D3EA9" w:rsidRDefault="00496491" w:rsidP="00907236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  <w:r w:rsidRPr="000D3EA9">
        <w:rPr>
          <w:rFonts w:asciiTheme="majorHAnsi" w:hAnsiTheme="majorHAnsi"/>
          <w:sz w:val="20"/>
          <w:szCs w:val="20"/>
        </w:rPr>
        <w:t xml:space="preserve">Be </w:t>
      </w:r>
      <w:r w:rsidRPr="001D5AF6">
        <w:rPr>
          <w:rFonts w:asciiTheme="majorHAnsi" w:hAnsiTheme="majorHAnsi"/>
          <w:b/>
          <w:bCs/>
          <w:sz w:val="20"/>
          <w:szCs w:val="20"/>
        </w:rPr>
        <w:t>flexible</w:t>
      </w:r>
      <w:r w:rsidRPr="001D5AF6">
        <w:rPr>
          <w:rFonts w:asciiTheme="majorHAnsi" w:hAnsiTheme="majorHAnsi"/>
          <w:b/>
          <w:sz w:val="20"/>
          <w:szCs w:val="20"/>
        </w:rPr>
        <w:t xml:space="preserve"> </w:t>
      </w:r>
      <w:r w:rsidRPr="000D3EA9">
        <w:rPr>
          <w:rFonts w:asciiTheme="majorHAnsi" w:hAnsiTheme="majorHAnsi"/>
          <w:sz w:val="20"/>
          <w:szCs w:val="20"/>
        </w:rPr>
        <w:t>to meet the diversity of individual and employer needs, including the capacity to adapt to changing job roles and workplaces.</w:t>
      </w:r>
    </w:p>
    <w:p w14:paraId="3F1A2487" w14:textId="77777777" w:rsidR="004078F7" w:rsidRDefault="004078F7" w:rsidP="00907236">
      <w:pPr>
        <w:pStyle w:val="Heading4"/>
        <w:spacing w:before="0"/>
        <w:ind w:left="426"/>
        <w:rPr>
          <w:sz w:val="20"/>
          <w:szCs w:val="20"/>
        </w:rPr>
      </w:pPr>
    </w:p>
    <w:p w14:paraId="43EB4D3F" w14:textId="3054C519" w:rsidR="00496491" w:rsidRPr="004078F7" w:rsidRDefault="00496491" w:rsidP="00907236">
      <w:pPr>
        <w:pStyle w:val="Heading4"/>
        <w:spacing w:before="0"/>
        <w:ind w:left="426"/>
        <w:rPr>
          <w:sz w:val="20"/>
          <w:szCs w:val="20"/>
        </w:rPr>
      </w:pPr>
      <w:r w:rsidRPr="004078F7">
        <w:rPr>
          <w:sz w:val="20"/>
          <w:szCs w:val="20"/>
        </w:rPr>
        <w:t>Key features</w:t>
      </w:r>
    </w:p>
    <w:p w14:paraId="34FF44A0" w14:textId="77777777" w:rsidR="00496491" w:rsidRDefault="00496491" w:rsidP="00907236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 the units of competency m</w:t>
      </w:r>
      <w:r w:rsidRPr="000D3EA9">
        <w:rPr>
          <w:rFonts w:asciiTheme="majorHAnsi" w:hAnsiTheme="majorHAnsi"/>
          <w:sz w:val="20"/>
          <w:szCs w:val="20"/>
        </w:rPr>
        <w:t>eet the diversity of individual and employer needs and support equitable access and progression of learners</w:t>
      </w:r>
      <w:r w:rsidR="00EB106B">
        <w:rPr>
          <w:rFonts w:asciiTheme="majorHAnsi" w:hAnsiTheme="majorHAnsi"/>
          <w:sz w:val="20"/>
          <w:szCs w:val="20"/>
        </w:rPr>
        <w:t>?</w:t>
      </w:r>
    </w:p>
    <w:p w14:paraId="3FF886B1" w14:textId="77777777" w:rsidR="00496491" w:rsidRDefault="00496491" w:rsidP="00907236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  <w:r w:rsidRPr="000D3EA9">
        <w:rPr>
          <w:rFonts w:asciiTheme="majorHAnsi" w:hAnsiTheme="majorHAnsi"/>
          <w:sz w:val="20"/>
          <w:szCs w:val="20"/>
        </w:rPr>
        <w:t>What evidence demonstra</w:t>
      </w:r>
      <w:r>
        <w:rPr>
          <w:rFonts w:asciiTheme="majorHAnsi" w:hAnsiTheme="majorHAnsi"/>
          <w:sz w:val="20"/>
          <w:szCs w:val="20"/>
        </w:rPr>
        <w:t>tes that the units of competency</w:t>
      </w:r>
      <w:r w:rsidRPr="000D3EA9">
        <w:rPr>
          <w:rFonts w:asciiTheme="majorHAnsi" w:hAnsiTheme="majorHAnsi"/>
          <w:sz w:val="20"/>
          <w:szCs w:val="20"/>
        </w:rPr>
        <w:t xml:space="preserve"> and their associated assessment requirements are clearly written and have consistent breadth and depth so that they support implementation across a range of settings?</w:t>
      </w:r>
    </w:p>
    <w:p w14:paraId="3C54029A" w14:textId="77777777" w:rsidR="00496491" w:rsidRPr="000D3EA9" w:rsidRDefault="00496491" w:rsidP="00907236">
      <w:pPr>
        <w:keepLines/>
        <w:spacing w:before="0" w:after="240" w:line="240" w:lineRule="auto"/>
        <w:ind w:left="426"/>
        <w:rPr>
          <w:rFonts w:asciiTheme="majorHAnsi" w:hAnsiTheme="majorHAnsi"/>
          <w:sz w:val="20"/>
          <w:szCs w:val="20"/>
        </w:rPr>
      </w:pPr>
      <w:r w:rsidRPr="000D3EA9">
        <w:rPr>
          <w:rFonts w:asciiTheme="majorHAnsi" w:hAnsiTheme="majorHAnsi"/>
          <w:sz w:val="20"/>
          <w:szCs w:val="20"/>
        </w:rPr>
        <w:t>Are t</w:t>
      </w:r>
      <w:r>
        <w:rPr>
          <w:rFonts w:asciiTheme="majorHAnsi" w:hAnsiTheme="majorHAnsi"/>
          <w:sz w:val="20"/>
          <w:szCs w:val="20"/>
        </w:rPr>
        <w:t xml:space="preserve">here other examples </w:t>
      </w:r>
      <w:r w:rsidRPr="000D3EA9">
        <w:rPr>
          <w:rFonts w:asciiTheme="majorHAnsi" w:hAnsiTheme="majorHAnsi"/>
          <w:sz w:val="20"/>
          <w:szCs w:val="20"/>
        </w:rPr>
        <w:t>that demonstrate how the key features of flexibility are being achieved?</w:t>
      </w:r>
    </w:p>
    <w:tbl>
      <w:tblPr>
        <w:tblStyle w:val="TableGrid"/>
        <w:tblW w:w="4638" w:type="pct"/>
        <w:tblInd w:w="421" w:type="dxa"/>
        <w:tblBorders>
          <w:top w:val="single" w:sz="4" w:space="0" w:color="1B75BC" w:themeColor="text2"/>
          <w:left w:val="single" w:sz="4" w:space="0" w:color="1B75BC" w:themeColor="text2"/>
          <w:bottom w:val="single" w:sz="4" w:space="0" w:color="1B75BC" w:themeColor="text2"/>
          <w:right w:val="single" w:sz="4" w:space="0" w:color="1B75BC" w:themeColor="text2"/>
          <w:insideH w:val="single" w:sz="4" w:space="0" w:color="1B75BC" w:themeColor="text2"/>
          <w:insideV w:val="single" w:sz="4" w:space="0" w:color="1B75BC" w:themeColor="text2"/>
        </w:tblBorders>
        <w:tblLook w:val="0600" w:firstRow="0" w:lastRow="0" w:firstColumn="0" w:lastColumn="0" w:noHBand="1" w:noVBand="1"/>
      </w:tblPr>
      <w:tblGrid>
        <w:gridCol w:w="3543"/>
        <w:gridCol w:w="5527"/>
      </w:tblGrid>
      <w:tr w:rsidR="00971CBA" w:rsidRPr="00390FD8" w14:paraId="12C9A6A2" w14:textId="77777777" w:rsidTr="00907236">
        <w:trPr>
          <w:trHeight w:val="324"/>
          <w:tblHeader/>
        </w:trPr>
        <w:tc>
          <w:tcPr>
            <w:tcW w:w="1953" w:type="pct"/>
            <w:shd w:val="clear" w:color="auto" w:fill="1B75BC" w:themeFill="text2"/>
          </w:tcPr>
          <w:p w14:paraId="7DF4A0AA" w14:textId="77777777" w:rsidR="00971CBA" w:rsidRPr="00390FD8" w:rsidRDefault="00971CBA" w:rsidP="00D57D51">
            <w:pPr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Equity requirements</w:t>
            </w:r>
          </w:p>
        </w:tc>
        <w:tc>
          <w:tcPr>
            <w:tcW w:w="3047" w:type="pct"/>
            <w:shd w:val="clear" w:color="auto" w:fill="1B75BC" w:themeFill="text2"/>
          </w:tcPr>
          <w:p w14:paraId="0AA16328" w14:textId="3E3ECA49" w:rsidR="00971CBA" w:rsidRPr="00390FD8" w:rsidRDefault="00971CBA" w:rsidP="00D57D51">
            <w:pPr>
              <w:spacing w:after="0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Equity reviewer comments</w:t>
            </w:r>
          </w:p>
        </w:tc>
      </w:tr>
      <w:tr w:rsidR="00971CBA" w:rsidRPr="00E172AC" w14:paraId="3242AB79" w14:textId="77777777" w:rsidTr="00907236">
        <w:trPr>
          <w:trHeight w:val="147"/>
        </w:trPr>
        <w:tc>
          <w:tcPr>
            <w:tcW w:w="1953" w:type="pct"/>
          </w:tcPr>
          <w:p w14:paraId="5D0A6240" w14:textId="121E306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E172AC">
              <w:rPr>
                <w:rFonts w:asciiTheme="majorHAnsi" w:hAnsiTheme="majorHAnsi"/>
                <w:sz w:val="20"/>
                <w:szCs w:val="20"/>
              </w:rPr>
              <w:t>1. What evidence demonstrates that the draft components provide flexible qualifications</w:t>
            </w:r>
            <w:r>
              <w:rPr>
                <w:rFonts w:asciiTheme="majorHAnsi" w:hAnsiTheme="majorHAnsi"/>
                <w:sz w:val="20"/>
                <w:szCs w:val="20"/>
              </w:rPr>
              <w:t>/units of competency</w:t>
            </w:r>
            <w:r w:rsidRPr="00E172AC">
              <w:rPr>
                <w:rFonts w:asciiTheme="majorHAnsi" w:hAnsiTheme="majorHAnsi"/>
                <w:sz w:val="20"/>
                <w:szCs w:val="20"/>
              </w:rPr>
              <w:t xml:space="preserve"> that </w:t>
            </w:r>
            <w:r w:rsidRPr="00802DB5">
              <w:rPr>
                <w:rFonts w:asciiTheme="majorHAnsi" w:hAnsiTheme="majorHAnsi"/>
                <w:sz w:val="20"/>
                <w:szCs w:val="20"/>
              </w:rPr>
              <w:t>enable application in different contexts?</w:t>
            </w:r>
            <w:r>
              <w:rPr>
                <w:rFonts w:asciiTheme="majorHAnsi" w:hAnsiTheme="majorHAnsi"/>
                <w:sz w:val="20"/>
                <w:szCs w:val="20"/>
              </w:rPr>
              <w:t>’</w:t>
            </w:r>
          </w:p>
        </w:tc>
        <w:tc>
          <w:tcPr>
            <w:tcW w:w="3047" w:type="pct"/>
          </w:tcPr>
          <w:p w14:paraId="72682370" w14:textId="7777777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1CBA" w:rsidRPr="00E172AC" w14:paraId="3FEA970F" w14:textId="77777777" w:rsidTr="00907236">
        <w:trPr>
          <w:trHeight w:val="147"/>
        </w:trPr>
        <w:tc>
          <w:tcPr>
            <w:tcW w:w="1953" w:type="pct"/>
          </w:tcPr>
          <w:p w14:paraId="42B91CD2" w14:textId="7777777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  <w:r w:rsidRPr="00E172AC">
              <w:rPr>
                <w:rFonts w:asciiTheme="majorHAnsi" w:hAnsiTheme="majorHAnsi" w:cs="Arial"/>
                <w:sz w:val="20"/>
                <w:szCs w:val="20"/>
              </w:rPr>
              <w:t xml:space="preserve">2. Is there evidence </w:t>
            </w:r>
            <w:r w:rsidRPr="005226C9">
              <w:rPr>
                <w:rFonts w:asciiTheme="majorHAnsi" w:hAnsiTheme="majorHAnsi" w:cs="Arial"/>
                <w:sz w:val="20"/>
                <w:szCs w:val="20"/>
              </w:rPr>
              <w:t xml:space="preserve">of multiple entry and exit </w:t>
            </w:r>
            <w:proofErr w:type="gramStart"/>
            <w:r w:rsidRPr="005226C9">
              <w:rPr>
                <w:rFonts w:asciiTheme="majorHAnsi" w:hAnsiTheme="majorHAnsi" w:cs="Arial"/>
                <w:sz w:val="20"/>
                <w:szCs w:val="20"/>
              </w:rPr>
              <w:t>points?</w:t>
            </w:r>
            <w:proofErr w:type="gramEnd"/>
          </w:p>
        </w:tc>
        <w:tc>
          <w:tcPr>
            <w:tcW w:w="3047" w:type="pct"/>
          </w:tcPr>
          <w:p w14:paraId="5293724A" w14:textId="7777777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1CBA" w:rsidRPr="00E172AC" w14:paraId="7257E144" w14:textId="77777777" w:rsidTr="00907236">
        <w:trPr>
          <w:trHeight w:val="147"/>
        </w:trPr>
        <w:tc>
          <w:tcPr>
            <w:tcW w:w="1953" w:type="pct"/>
          </w:tcPr>
          <w:p w14:paraId="25B1FA49" w14:textId="4BAC7A01" w:rsidR="00971CBA" w:rsidRPr="00E172AC" w:rsidRDefault="00971CBA" w:rsidP="004618FB">
            <w:pPr>
              <w:keepLines/>
              <w:spacing w:after="60" w:line="240" w:lineRule="auto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E172AC">
              <w:rPr>
                <w:rFonts w:asciiTheme="majorHAnsi" w:hAnsiTheme="majorHAnsi"/>
                <w:sz w:val="20"/>
                <w:szCs w:val="20"/>
              </w:rPr>
              <w:t>3</w:t>
            </w:r>
            <w:r w:rsidRPr="005226C9">
              <w:rPr>
                <w:rFonts w:asciiTheme="majorHAnsi" w:hAnsiTheme="majorHAnsi"/>
                <w:sz w:val="20"/>
                <w:szCs w:val="20"/>
              </w:rPr>
              <w:t>. Have prerequisite units of competency been minimised</w:t>
            </w:r>
            <w:r w:rsidR="00F4126B">
              <w:rPr>
                <w:rFonts w:asciiTheme="majorHAnsi" w:hAnsiTheme="majorHAnsi"/>
                <w:sz w:val="20"/>
                <w:szCs w:val="20"/>
              </w:rPr>
              <w:t xml:space="preserve"> where possible</w:t>
            </w:r>
            <w:r w:rsidRPr="005226C9">
              <w:rPr>
                <w:rFonts w:asciiTheme="majorHAnsi" w:hAnsiTheme="majorHAnsi"/>
                <w:sz w:val="20"/>
                <w:szCs w:val="20"/>
              </w:rPr>
              <w:t xml:space="preserve">? </w:t>
            </w:r>
          </w:p>
        </w:tc>
        <w:tc>
          <w:tcPr>
            <w:tcW w:w="3047" w:type="pct"/>
          </w:tcPr>
          <w:p w14:paraId="37DB8236" w14:textId="7777777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971CBA" w:rsidRPr="00E172AC" w14:paraId="48E70868" w14:textId="77777777" w:rsidTr="00907236">
        <w:trPr>
          <w:trHeight w:val="147"/>
        </w:trPr>
        <w:tc>
          <w:tcPr>
            <w:tcW w:w="1953" w:type="pct"/>
          </w:tcPr>
          <w:p w14:paraId="2BB46E06" w14:textId="78878DE6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4. </w:t>
            </w:r>
            <w:r w:rsidRPr="005226C9">
              <w:rPr>
                <w:rFonts w:asciiTheme="majorHAnsi" w:hAnsiTheme="majorHAnsi"/>
                <w:sz w:val="20"/>
                <w:szCs w:val="20"/>
              </w:rPr>
              <w:t xml:space="preserve">Are there other examples of evidence that demonstrate how the key features of the flexibility principle </w:t>
            </w:r>
            <w:proofErr w:type="gramStart"/>
            <w:r w:rsidRPr="005226C9">
              <w:rPr>
                <w:rFonts w:asciiTheme="majorHAnsi" w:hAnsiTheme="majorHAnsi"/>
                <w:sz w:val="20"/>
                <w:szCs w:val="20"/>
              </w:rPr>
              <w:t>are being achieved</w:t>
            </w:r>
            <w:proofErr w:type="gramEnd"/>
            <w:r w:rsidRPr="005226C9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3047" w:type="pct"/>
          </w:tcPr>
          <w:p w14:paraId="43EDAEC0" w14:textId="7777777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6733BC50" w14:textId="77777777" w:rsidR="005E67E6" w:rsidRDefault="005E67E6" w:rsidP="00CC758E">
      <w:pPr>
        <w:pStyle w:val="Heading3"/>
        <w:spacing w:before="0"/>
      </w:pPr>
    </w:p>
    <w:p w14:paraId="3069D2A2" w14:textId="517A985B" w:rsidR="00E172AC" w:rsidRPr="005E67E6" w:rsidRDefault="00E172AC" w:rsidP="00CC758E">
      <w:pPr>
        <w:pStyle w:val="Heading3"/>
        <w:ind w:left="426"/>
        <w:rPr>
          <w:sz w:val="20"/>
          <w:szCs w:val="20"/>
        </w:rPr>
      </w:pPr>
      <w:r w:rsidRPr="005E67E6">
        <w:rPr>
          <w:sz w:val="20"/>
          <w:szCs w:val="20"/>
        </w:rPr>
        <w:t xml:space="preserve">Quality Principle 5 </w:t>
      </w:r>
    </w:p>
    <w:p w14:paraId="58E3F35E" w14:textId="77777777" w:rsidR="004D4823" w:rsidRDefault="004D4823" w:rsidP="00CC758E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</w:p>
    <w:p w14:paraId="66C25E1A" w14:textId="42EB5335" w:rsidR="00E172AC" w:rsidRPr="000D3EA9" w:rsidRDefault="00E172AC" w:rsidP="00CC758E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  <w:r w:rsidRPr="000D3EA9">
        <w:rPr>
          <w:rFonts w:asciiTheme="majorHAnsi" w:hAnsiTheme="majorHAnsi"/>
          <w:sz w:val="20"/>
          <w:szCs w:val="20"/>
        </w:rPr>
        <w:t xml:space="preserve">Facilitate </w:t>
      </w:r>
      <w:r w:rsidRPr="000D3EA9">
        <w:rPr>
          <w:rFonts w:asciiTheme="majorHAnsi" w:hAnsiTheme="majorHAnsi"/>
          <w:b/>
          <w:sz w:val="20"/>
          <w:szCs w:val="20"/>
        </w:rPr>
        <w:t>recognition</w:t>
      </w:r>
      <w:r w:rsidRPr="000D3EA9">
        <w:rPr>
          <w:rFonts w:asciiTheme="majorHAnsi" w:hAnsiTheme="majorHAnsi"/>
          <w:sz w:val="20"/>
          <w:szCs w:val="20"/>
        </w:rPr>
        <w:t xml:space="preserve"> of an individual’s skills and knowledge and support movement between the school, vocational education and higher education sectors.</w:t>
      </w:r>
    </w:p>
    <w:p w14:paraId="6702BCBF" w14:textId="77777777" w:rsidR="004D4823" w:rsidRDefault="004D4823" w:rsidP="00CC758E">
      <w:pPr>
        <w:pStyle w:val="Heading4"/>
        <w:spacing w:before="0"/>
        <w:ind w:left="426"/>
        <w:rPr>
          <w:sz w:val="20"/>
          <w:szCs w:val="20"/>
        </w:rPr>
      </w:pPr>
    </w:p>
    <w:p w14:paraId="49A0EFB3" w14:textId="6B7AF480" w:rsidR="00E172AC" w:rsidRPr="004D4823" w:rsidRDefault="00E172AC" w:rsidP="00CC758E">
      <w:pPr>
        <w:pStyle w:val="Heading4"/>
        <w:spacing w:before="0"/>
        <w:ind w:left="426"/>
        <w:rPr>
          <w:sz w:val="20"/>
          <w:szCs w:val="20"/>
        </w:rPr>
      </w:pPr>
      <w:r w:rsidRPr="004D4823">
        <w:rPr>
          <w:sz w:val="20"/>
          <w:szCs w:val="20"/>
        </w:rPr>
        <w:t>Key features</w:t>
      </w:r>
    </w:p>
    <w:p w14:paraId="5835D24A" w14:textId="35162BC8" w:rsidR="003C0D5E" w:rsidRDefault="00E172AC" w:rsidP="00CC758E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  <w:r w:rsidRPr="000D3EA9">
        <w:rPr>
          <w:rFonts w:asciiTheme="majorHAnsi" w:hAnsiTheme="majorHAnsi"/>
          <w:sz w:val="20"/>
          <w:szCs w:val="20"/>
        </w:rPr>
        <w:t>Support learner transition between education sectors</w:t>
      </w:r>
      <w:r w:rsidR="003C0D5E">
        <w:rPr>
          <w:rFonts w:asciiTheme="majorHAnsi" w:hAnsiTheme="majorHAnsi"/>
          <w:sz w:val="20"/>
          <w:szCs w:val="20"/>
        </w:rPr>
        <w:t>.</w:t>
      </w:r>
    </w:p>
    <w:p w14:paraId="2395C189" w14:textId="3C8BAA2F" w:rsidR="003C0D5E" w:rsidRPr="000D3EA9" w:rsidRDefault="003C0D5E" w:rsidP="008D60A7">
      <w:pPr>
        <w:keepLines/>
        <w:spacing w:before="0"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4638" w:type="pct"/>
        <w:tblInd w:w="421" w:type="dxa"/>
        <w:tblBorders>
          <w:top w:val="single" w:sz="4" w:space="0" w:color="1B75BC" w:themeColor="text2"/>
          <w:left w:val="single" w:sz="4" w:space="0" w:color="1B75BC" w:themeColor="text2"/>
          <w:bottom w:val="single" w:sz="4" w:space="0" w:color="1B75BC" w:themeColor="text2"/>
          <w:right w:val="single" w:sz="4" w:space="0" w:color="1B75BC" w:themeColor="text2"/>
          <w:insideH w:val="single" w:sz="4" w:space="0" w:color="1B75BC" w:themeColor="text2"/>
          <w:insideV w:val="single" w:sz="4" w:space="0" w:color="1B75BC" w:themeColor="text2"/>
        </w:tblBorders>
        <w:tblLook w:val="0600" w:firstRow="0" w:lastRow="0" w:firstColumn="0" w:lastColumn="0" w:noHBand="1" w:noVBand="1"/>
      </w:tblPr>
      <w:tblGrid>
        <w:gridCol w:w="3684"/>
        <w:gridCol w:w="5386"/>
      </w:tblGrid>
      <w:tr w:rsidR="00971CBA" w:rsidRPr="00390FD8" w14:paraId="360611D8" w14:textId="77777777" w:rsidTr="00CC758E">
        <w:trPr>
          <w:trHeight w:val="147"/>
          <w:tblHeader/>
        </w:trPr>
        <w:tc>
          <w:tcPr>
            <w:tcW w:w="2031" w:type="pct"/>
            <w:shd w:val="clear" w:color="auto" w:fill="1B75BC" w:themeFill="text2"/>
          </w:tcPr>
          <w:p w14:paraId="4D21F6FE" w14:textId="77777777" w:rsidR="00971CBA" w:rsidRPr="00390FD8" w:rsidRDefault="00971CBA" w:rsidP="0070306D">
            <w:pPr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Equity requirements</w:t>
            </w:r>
          </w:p>
        </w:tc>
        <w:tc>
          <w:tcPr>
            <w:tcW w:w="2969" w:type="pct"/>
            <w:shd w:val="clear" w:color="auto" w:fill="1B75BC" w:themeFill="text2"/>
          </w:tcPr>
          <w:p w14:paraId="37E4CE96" w14:textId="3FF7E21C" w:rsidR="00971CBA" w:rsidRPr="00390FD8" w:rsidRDefault="00971CBA" w:rsidP="0070306D">
            <w:pPr>
              <w:spacing w:after="0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Equity reviewer comments</w:t>
            </w:r>
          </w:p>
        </w:tc>
      </w:tr>
      <w:tr w:rsidR="00971CBA" w:rsidRPr="00E172AC" w14:paraId="647EF4A1" w14:textId="77777777" w:rsidTr="00CC758E">
        <w:trPr>
          <w:trHeight w:val="147"/>
        </w:trPr>
        <w:tc>
          <w:tcPr>
            <w:tcW w:w="2031" w:type="pct"/>
          </w:tcPr>
          <w:p w14:paraId="2284725E" w14:textId="31BC6B37" w:rsidR="00971CBA" w:rsidRPr="003975EC" w:rsidRDefault="00971CBA" w:rsidP="003975EC">
            <w:pPr>
              <w:keepLines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3975EC">
              <w:rPr>
                <w:rFonts w:asciiTheme="majorHAnsi" w:hAnsiTheme="majorHAnsi"/>
                <w:sz w:val="20"/>
                <w:szCs w:val="20"/>
              </w:rPr>
              <w:t>1.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975EC">
              <w:rPr>
                <w:rFonts w:asciiTheme="majorHAnsi" w:hAnsiTheme="majorHAnsi"/>
                <w:sz w:val="20"/>
                <w:szCs w:val="20"/>
              </w:rPr>
              <w:t>What evidence demonstrates pathways from entry and preparatory level as appropriate to facilitate movement between schools and VET, from entry level into work, and between VET and higher education qualifications?</w:t>
            </w:r>
          </w:p>
          <w:p w14:paraId="21E767B5" w14:textId="56E1764E" w:rsidR="00971CBA" w:rsidRPr="003975EC" w:rsidRDefault="00971CBA" w:rsidP="003975EC">
            <w:pPr>
              <w:rPr>
                <w:highlight w:val="lightGray"/>
              </w:rPr>
            </w:pPr>
          </w:p>
        </w:tc>
        <w:tc>
          <w:tcPr>
            <w:tcW w:w="2969" w:type="pct"/>
          </w:tcPr>
          <w:p w14:paraId="4582553C" w14:textId="77777777" w:rsidR="00971CBA" w:rsidRPr="003715D2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i/>
                <w:sz w:val="20"/>
                <w:szCs w:val="20"/>
                <w:highlight w:val="lightGray"/>
              </w:rPr>
            </w:pPr>
          </w:p>
        </w:tc>
      </w:tr>
    </w:tbl>
    <w:p w14:paraId="38B25141" w14:textId="77777777" w:rsidR="00CC758E" w:rsidRDefault="00CC758E" w:rsidP="00CC758E">
      <w:pPr>
        <w:pStyle w:val="Heading3"/>
        <w:spacing w:before="0"/>
        <w:rPr>
          <w:sz w:val="20"/>
          <w:szCs w:val="20"/>
        </w:rPr>
      </w:pPr>
    </w:p>
    <w:p w14:paraId="757BB900" w14:textId="5C68B9F2" w:rsidR="00E172AC" w:rsidRPr="005E67E6" w:rsidRDefault="00E172AC" w:rsidP="00CC758E">
      <w:pPr>
        <w:pStyle w:val="Heading3"/>
        <w:ind w:left="426"/>
        <w:rPr>
          <w:sz w:val="20"/>
          <w:szCs w:val="20"/>
        </w:rPr>
      </w:pPr>
      <w:r w:rsidRPr="005E67E6">
        <w:rPr>
          <w:sz w:val="20"/>
          <w:szCs w:val="20"/>
        </w:rPr>
        <w:t xml:space="preserve">Quality Principle 6 </w:t>
      </w:r>
    </w:p>
    <w:p w14:paraId="41B6DF16" w14:textId="77777777" w:rsidR="008B7646" w:rsidRDefault="008B7646" w:rsidP="00CC758E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</w:p>
    <w:p w14:paraId="26752026" w14:textId="6F87A44C" w:rsidR="00E172AC" w:rsidRPr="000D3EA9" w:rsidRDefault="00E172AC" w:rsidP="00CC758E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  <w:r w:rsidRPr="000D3EA9">
        <w:rPr>
          <w:rFonts w:asciiTheme="majorHAnsi" w:hAnsiTheme="majorHAnsi"/>
          <w:sz w:val="20"/>
          <w:szCs w:val="20"/>
        </w:rPr>
        <w:t xml:space="preserve">Support interpretation by training providers and others through the use of simple, </w:t>
      </w:r>
      <w:r w:rsidR="00292107">
        <w:rPr>
          <w:rFonts w:asciiTheme="majorHAnsi" w:hAnsiTheme="majorHAnsi"/>
          <w:sz w:val="20"/>
          <w:szCs w:val="20"/>
        </w:rPr>
        <w:t>concise language</w:t>
      </w:r>
      <w:r w:rsidRPr="000D3EA9">
        <w:rPr>
          <w:rFonts w:asciiTheme="majorHAnsi" w:hAnsiTheme="majorHAnsi"/>
          <w:sz w:val="20"/>
          <w:szCs w:val="20"/>
        </w:rPr>
        <w:t xml:space="preserve"> and clear articulation of assessment requirements.</w:t>
      </w:r>
    </w:p>
    <w:p w14:paraId="765F220D" w14:textId="77777777" w:rsidR="00E172AC" w:rsidRPr="008B7646" w:rsidRDefault="00E172AC" w:rsidP="00CC758E">
      <w:pPr>
        <w:pStyle w:val="Heading4"/>
        <w:ind w:left="426"/>
        <w:rPr>
          <w:sz w:val="20"/>
          <w:szCs w:val="20"/>
        </w:rPr>
      </w:pPr>
      <w:r w:rsidRPr="008B7646">
        <w:rPr>
          <w:sz w:val="20"/>
          <w:szCs w:val="20"/>
        </w:rPr>
        <w:t>Key features</w:t>
      </w:r>
    </w:p>
    <w:p w14:paraId="3AAA3B2B" w14:textId="77777777" w:rsidR="00E172AC" w:rsidRDefault="00E172AC" w:rsidP="00CC758E">
      <w:pPr>
        <w:keepLines/>
        <w:spacing w:before="0" w:after="0" w:line="240" w:lineRule="auto"/>
        <w:ind w:left="426"/>
        <w:rPr>
          <w:rFonts w:asciiTheme="majorHAnsi" w:hAnsiTheme="majorHAnsi"/>
          <w:sz w:val="20"/>
          <w:szCs w:val="20"/>
        </w:rPr>
      </w:pPr>
      <w:r w:rsidRPr="000D3EA9">
        <w:rPr>
          <w:rFonts w:asciiTheme="majorHAnsi" w:hAnsiTheme="majorHAnsi"/>
          <w:sz w:val="20"/>
          <w:szCs w:val="20"/>
        </w:rPr>
        <w:t>Support implementation across a range of settings and support sound assessment practice</w:t>
      </w:r>
      <w:r w:rsidRPr="00300056">
        <w:rPr>
          <w:rFonts w:asciiTheme="majorHAnsi" w:hAnsiTheme="majorHAnsi"/>
          <w:strike/>
          <w:sz w:val="20"/>
          <w:szCs w:val="20"/>
        </w:rPr>
        <w:t>s</w:t>
      </w:r>
      <w:r w:rsidRPr="000D3EA9">
        <w:rPr>
          <w:rFonts w:asciiTheme="majorHAnsi" w:hAnsiTheme="majorHAnsi"/>
          <w:sz w:val="20"/>
          <w:szCs w:val="20"/>
        </w:rPr>
        <w:t>.</w:t>
      </w:r>
    </w:p>
    <w:p w14:paraId="1B33A87C" w14:textId="77777777" w:rsidR="00D25572" w:rsidRPr="000D3EA9" w:rsidRDefault="00D25572" w:rsidP="00D9628B">
      <w:pPr>
        <w:keepLines/>
        <w:spacing w:before="0"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4638" w:type="pct"/>
        <w:tblInd w:w="421" w:type="dxa"/>
        <w:tblBorders>
          <w:top w:val="single" w:sz="4" w:space="0" w:color="1B75BC" w:themeColor="text2"/>
          <w:left w:val="single" w:sz="4" w:space="0" w:color="1B75BC" w:themeColor="text2"/>
          <w:bottom w:val="single" w:sz="4" w:space="0" w:color="1B75BC" w:themeColor="text2"/>
          <w:right w:val="single" w:sz="4" w:space="0" w:color="1B75BC" w:themeColor="text2"/>
          <w:insideH w:val="single" w:sz="4" w:space="0" w:color="1B75BC" w:themeColor="text2"/>
          <w:insideV w:val="single" w:sz="4" w:space="0" w:color="1B75BC" w:themeColor="text2"/>
        </w:tblBorders>
        <w:tblLook w:val="0600" w:firstRow="0" w:lastRow="0" w:firstColumn="0" w:lastColumn="0" w:noHBand="1" w:noVBand="1"/>
      </w:tblPr>
      <w:tblGrid>
        <w:gridCol w:w="3684"/>
        <w:gridCol w:w="5386"/>
      </w:tblGrid>
      <w:tr w:rsidR="00971CBA" w:rsidRPr="00390FD8" w14:paraId="1BCC0962" w14:textId="77777777" w:rsidTr="00CC758E">
        <w:trPr>
          <w:trHeight w:val="147"/>
          <w:tblHeader/>
        </w:trPr>
        <w:tc>
          <w:tcPr>
            <w:tcW w:w="2031" w:type="pct"/>
            <w:shd w:val="clear" w:color="auto" w:fill="1B75BC" w:themeFill="text2"/>
          </w:tcPr>
          <w:p w14:paraId="59D777F4" w14:textId="77777777" w:rsidR="00971CBA" w:rsidRPr="00390FD8" w:rsidRDefault="00971CBA" w:rsidP="0091065A">
            <w:pPr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Equity requirements</w:t>
            </w:r>
          </w:p>
        </w:tc>
        <w:tc>
          <w:tcPr>
            <w:tcW w:w="2969" w:type="pct"/>
            <w:shd w:val="clear" w:color="auto" w:fill="1B75BC" w:themeFill="text2"/>
          </w:tcPr>
          <w:p w14:paraId="3A2EF654" w14:textId="08489219" w:rsidR="00971CBA" w:rsidRPr="00390FD8" w:rsidRDefault="00971CBA" w:rsidP="0091065A">
            <w:pPr>
              <w:spacing w:after="0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90FD8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Equity reviewer comments</w:t>
            </w:r>
          </w:p>
        </w:tc>
      </w:tr>
      <w:tr w:rsidR="00971CBA" w:rsidRPr="00E172AC" w14:paraId="7618156A" w14:textId="77777777" w:rsidTr="00CC758E">
        <w:trPr>
          <w:trHeight w:val="1534"/>
        </w:trPr>
        <w:tc>
          <w:tcPr>
            <w:tcW w:w="2031" w:type="pct"/>
          </w:tcPr>
          <w:p w14:paraId="7D90B93C" w14:textId="77777777" w:rsidR="00971CBA" w:rsidRPr="00E172AC" w:rsidRDefault="00971CBA" w:rsidP="00011477">
            <w:pPr>
              <w:keepLines/>
              <w:spacing w:before="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Pr="00E172AC">
              <w:rPr>
                <w:rFonts w:asciiTheme="majorHAnsi" w:hAnsiTheme="majorHAnsi"/>
                <w:sz w:val="20"/>
                <w:szCs w:val="20"/>
              </w:rPr>
              <w:t>Does the Companion Volume Implementation Guide include advice about:</w:t>
            </w:r>
          </w:p>
          <w:p w14:paraId="341F1B53" w14:textId="77777777" w:rsidR="00971CBA" w:rsidRPr="009F6AF0" w:rsidRDefault="00971CBA" w:rsidP="00011477">
            <w:pPr>
              <w:pStyle w:val="ListParagraph"/>
              <w:keepLines/>
              <w:numPr>
                <w:ilvl w:val="0"/>
                <w:numId w:val="2"/>
              </w:numPr>
              <w:spacing w:before="0" w:after="0" w:line="240" w:lineRule="auto"/>
              <w:ind w:left="426"/>
              <w:rPr>
                <w:rFonts w:asciiTheme="majorHAnsi" w:hAnsiTheme="majorHAnsi"/>
                <w:sz w:val="20"/>
                <w:szCs w:val="20"/>
              </w:rPr>
            </w:pPr>
            <w:r w:rsidRPr="009F6AF0">
              <w:rPr>
                <w:rFonts w:asciiTheme="majorHAnsi" w:hAnsiTheme="majorHAnsi"/>
                <w:sz w:val="20"/>
                <w:szCs w:val="20"/>
              </w:rPr>
              <w:t>Pathways</w:t>
            </w:r>
          </w:p>
          <w:p w14:paraId="2868019E" w14:textId="77777777" w:rsidR="00971CBA" w:rsidRPr="009F6AF0" w:rsidRDefault="00971CBA" w:rsidP="00011477">
            <w:pPr>
              <w:pStyle w:val="ListParagraph"/>
              <w:keepLines/>
              <w:numPr>
                <w:ilvl w:val="0"/>
                <w:numId w:val="2"/>
              </w:numPr>
              <w:spacing w:before="0" w:after="0" w:line="240" w:lineRule="auto"/>
              <w:ind w:left="426"/>
              <w:rPr>
                <w:rFonts w:asciiTheme="majorHAnsi" w:hAnsiTheme="majorHAnsi"/>
                <w:sz w:val="20"/>
                <w:szCs w:val="20"/>
              </w:rPr>
            </w:pPr>
            <w:r w:rsidRPr="009F6AF0">
              <w:rPr>
                <w:rFonts w:asciiTheme="majorHAnsi" w:hAnsiTheme="majorHAnsi"/>
                <w:sz w:val="20"/>
                <w:szCs w:val="20"/>
              </w:rPr>
              <w:t>Access and equity</w:t>
            </w:r>
          </w:p>
          <w:p w14:paraId="3912C24C" w14:textId="77777777" w:rsidR="00971CBA" w:rsidRPr="009F6AF0" w:rsidRDefault="00971CBA" w:rsidP="00011477">
            <w:pPr>
              <w:pStyle w:val="ListParagraph"/>
              <w:keepLines/>
              <w:numPr>
                <w:ilvl w:val="0"/>
                <w:numId w:val="2"/>
              </w:numPr>
              <w:spacing w:before="0" w:after="0" w:line="240" w:lineRule="auto"/>
              <w:ind w:left="426"/>
              <w:rPr>
                <w:rFonts w:asciiTheme="majorHAnsi" w:hAnsiTheme="majorHAnsi"/>
                <w:sz w:val="20"/>
                <w:szCs w:val="20"/>
              </w:rPr>
            </w:pPr>
            <w:r w:rsidRPr="009F6AF0">
              <w:rPr>
                <w:rFonts w:asciiTheme="majorHAnsi" w:hAnsiTheme="majorHAnsi"/>
                <w:sz w:val="20"/>
                <w:szCs w:val="20"/>
              </w:rPr>
              <w:t xml:space="preserve">Foundation skills? </w:t>
            </w:r>
          </w:p>
          <w:p w14:paraId="1FB4A46B" w14:textId="77777777" w:rsidR="00971CBA" w:rsidRPr="00E172AC" w:rsidRDefault="00971CBA" w:rsidP="00011477">
            <w:pPr>
              <w:spacing w:before="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172AC">
              <w:rPr>
                <w:rFonts w:asciiTheme="majorHAnsi" w:hAnsiTheme="majorHAnsi"/>
                <w:sz w:val="20"/>
                <w:szCs w:val="20"/>
              </w:rPr>
              <w:t>(see Training Package Standard 11)</w:t>
            </w:r>
          </w:p>
        </w:tc>
        <w:tc>
          <w:tcPr>
            <w:tcW w:w="2969" w:type="pct"/>
          </w:tcPr>
          <w:p w14:paraId="7014694C" w14:textId="7777777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971CBA" w:rsidRPr="00E172AC" w14:paraId="2217A68D" w14:textId="77777777" w:rsidTr="00CC758E">
        <w:trPr>
          <w:trHeight w:val="799"/>
        </w:trPr>
        <w:tc>
          <w:tcPr>
            <w:tcW w:w="2031" w:type="pct"/>
          </w:tcPr>
          <w:p w14:paraId="35319A92" w14:textId="3929C0B5" w:rsidR="00971CBA" w:rsidRDefault="00971CBA" w:rsidP="00011477">
            <w:pPr>
              <w:keepLines/>
              <w:spacing w:before="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Are the foundation skills explicit and recognisable within the training package and do they reflect and not exceed the foundation skills required in the workplace?</w:t>
            </w:r>
          </w:p>
        </w:tc>
        <w:tc>
          <w:tcPr>
            <w:tcW w:w="2969" w:type="pct"/>
          </w:tcPr>
          <w:p w14:paraId="4B03A8C2" w14:textId="77777777" w:rsidR="00971CBA" w:rsidRPr="00E172AC" w:rsidRDefault="00971CBA" w:rsidP="00FC0B77">
            <w:pPr>
              <w:keepLines/>
              <w:spacing w:after="60" w:line="240" w:lineRule="auto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14FA88BC" w14:textId="77777777" w:rsidR="00FD16BC" w:rsidRDefault="00FD16BC" w:rsidP="00390FD8"/>
    <w:p w14:paraId="67D963E6" w14:textId="77777777" w:rsidR="00D276D9" w:rsidRPr="00390FD8" w:rsidRDefault="00D276D9" w:rsidP="00390FD8"/>
    <w:sectPr w:rsidR="00D276D9" w:rsidRPr="00390FD8" w:rsidSect="0090723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984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FE379B" w16cid:durableId="1E0B3E1A"/>
  <w16cid:commentId w16cid:paraId="4400A2B5" w16cid:durableId="1E0B3E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9FEC9" w14:textId="77777777" w:rsidR="00A40848" w:rsidRDefault="00A40848" w:rsidP="000D3EA9">
      <w:pPr>
        <w:spacing w:before="0" w:after="0" w:line="240" w:lineRule="auto"/>
      </w:pPr>
      <w:r>
        <w:separator/>
      </w:r>
    </w:p>
  </w:endnote>
  <w:endnote w:type="continuationSeparator" w:id="0">
    <w:p w14:paraId="32428133" w14:textId="77777777" w:rsidR="00A40848" w:rsidRDefault="00A40848" w:rsidP="000D3E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217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D8BAF" w14:textId="4ECE86F2" w:rsidR="009313C4" w:rsidRDefault="009313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7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6302A9" w14:textId="77777777" w:rsidR="009313C4" w:rsidRDefault="0093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E501" w14:textId="2A8F8011" w:rsidR="000D3EA9" w:rsidRPr="003C48E1" w:rsidRDefault="000D3EA9" w:rsidP="00E172AC">
    <w:pPr>
      <w:tabs>
        <w:tab w:val="left" w:pos="2076"/>
        <w:tab w:val="right" w:pos="9072"/>
      </w:tabs>
      <w:jc w:val="right"/>
      <w:rPr>
        <w:sz w:val="20"/>
      </w:rPr>
    </w:pPr>
    <w:r w:rsidRPr="003C48E1">
      <w:rPr>
        <w:sz w:val="20"/>
      </w:rPr>
      <w:fldChar w:fldCharType="begin"/>
    </w:r>
    <w:r w:rsidRPr="003C48E1">
      <w:rPr>
        <w:sz w:val="20"/>
      </w:rPr>
      <w:instrText xml:space="preserve"> PAGE   \* MERGEFORMAT </w:instrText>
    </w:r>
    <w:r w:rsidRPr="003C48E1">
      <w:rPr>
        <w:sz w:val="20"/>
      </w:rPr>
      <w:fldChar w:fldCharType="separate"/>
    </w:r>
    <w:r w:rsidR="003F073B">
      <w:rPr>
        <w:noProof/>
        <w:sz w:val="20"/>
      </w:rPr>
      <w:t>2</w:t>
    </w:r>
    <w:r w:rsidRPr="003C48E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55DCD" w14:textId="77777777" w:rsidR="000D3EA9" w:rsidRDefault="000D3EA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D58D" w14:textId="77777777" w:rsidR="00A40848" w:rsidRDefault="00A40848" w:rsidP="000D3EA9">
      <w:pPr>
        <w:spacing w:before="0" w:after="0" w:line="240" w:lineRule="auto"/>
      </w:pPr>
      <w:r>
        <w:separator/>
      </w:r>
    </w:p>
  </w:footnote>
  <w:footnote w:type="continuationSeparator" w:id="0">
    <w:p w14:paraId="36349B49" w14:textId="77777777" w:rsidR="00A40848" w:rsidRDefault="00A40848" w:rsidP="000D3EA9">
      <w:pPr>
        <w:spacing w:before="0" w:after="0" w:line="240" w:lineRule="auto"/>
      </w:pPr>
      <w:r>
        <w:continuationSeparator/>
      </w:r>
    </w:p>
  </w:footnote>
  <w:footnote w:id="1">
    <w:p w14:paraId="7125AE8D" w14:textId="35032F12" w:rsidR="00652AF8" w:rsidRPr="000009C9" w:rsidRDefault="00652AF8">
      <w:pPr>
        <w:pStyle w:val="FootnoteText"/>
        <w:rPr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AB3CE2" w:rsidRPr="000009C9">
        <w:rPr>
          <w:i/>
          <w:sz w:val="18"/>
          <w:szCs w:val="18"/>
        </w:rPr>
        <w:t xml:space="preserve">When the number of training products is </w:t>
      </w:r>
      <w:proofErr w:type="gramStart"/>
      <w:r w:rsidR="00AB3CE2" w:rsidRPr="000009C9">
        <w:rPr>
          <w:i/>
          <w:sz w:val="18"/>
          <w:szCs w:val="18"/>
        </w:rPr>
        <w:t>high</w:t>
      </w:r>
      <w:proofErr w:type="gramEnd"/>
      <w:r w:rsidR="00AB3CE2" w:rsidRPr="000009C9">
        <w:rPr>
          <w:sz w:val="18"/>
          <w:szCs w:val="18"/>
        </w:rPr>
        <w:t xml:space="preserve"> t</w:t>
      </w:r>
      <w:r w:rsidRPr="000009C9">
        <w:rPr>
          <w:rFonts w:asciiTheme="majorHAnsi" w:hAnsiTheme="majorHAnsi"/>
          <w:i/>
          <w:sz w:val="18"/>
          <w:szCs w:val="18"/>
        </w:rPr>
        <w:t>he titles c</w:t>
      </w:r>
      <w:r w:rsidR="007242AA" w:rsidRPr="000009C9">
        <w:rPr>
          <w:rFonts w:asciiTheme="majorHAnsi" w:hAnsiTheme="majorHAnsi"/>
          <w:i/>
          <w:sz w:val="18"/>
          <w:szCs w:val="18"/>
        </w:rPr>
        <w:t>an be presented as an attached list</w:t>
      </w:r>
      <w:r w:rsidR="00C76F06" w:rsidRPr="000009C9">
        <w:rPr>
          <w:rFonts w:asciiTheme="majorHAnsi" w:hAnsiTheme="majorHAnsi"/>
          <w:i/>
          <w:sz w:val="18"/>
          <w:szCs w:val="18"/>
        </w:rPr>
        <w:t>.</w:t>
      </w:r>
    </w:p>
  </w:footnote>
  <w:footnote w:id="2">
    <w:p w14:paraId="5ED8FDCA" w14:textId="5FEE2055" w:rsidR="008B4AA5" w:rsidRPr="000009C9" w:rsidRDefault="008B4AA5">
      <w:pPr>
        <w:pStyle w:val="FootnoteText"/>
        <w:rPr>
          <w:sz w:val="18"/>
          <w:szCs w:val="18"/>
        </w:rPr>
      </w:pPr>
      <w:r w:rsidRPr="000009C9">
        <w:rPr>
          <w:rStyle w:val="FootnoteReference"/>
          <w:sz w:val="18"/>
          <w:szCs w:val="18"/>
        </w:rPr>
        <w:footnoteRef/>
      </w:r>
      <w:r w:rsidRPr="000009C9">
        <w:rPr>
          <w:sz w:val="18"/>
          <w:szCs w:val="18"/>
        </w:rPr>
        <w:t xml:space="preserve"> </w:t>
      </w:r>
      <w:r w:rsidRPr="000009C9">
        <w:rPr>
          <w:i/>
          <w:sz w:val="18"/>
          <w:szCs w:val="18"/>
          <w:lang w:val="en-US"/>
        </w:rPr>
        <w:t>Person</w:t>
      </w:r>
      <w:r w:rsidR="007242AA" w:rsidRPr="000009C9">
        <w:rPr>
          <w:i/>
          <w:sz w:val="18"/>
          <w:szCs w:val="18"/>
          <w:lang w:val="en-US"/>
        </w:rPr>
        <w:t xml:space="preserve"> that is</w:t>
      </w:r>
      <w:r w:rsidRPr="000009C9">
        <w:rPr>
          <w:i/>
          <w:sz w:val="18"/>
          <w:szCs w:val="18"/>
          <w:lang w:val="en-US"/>
        </w:rPr>
        <w:t xml:space="preserve"> not a member of the Training Package Quality Assurance Panel </w:t>
      </w:r>
      <w:r w:rsidR="007242AA" w:rsidRPr="000009C9">
        <w:rPr>
          <w:i/>
          <w:sz w:val="18"/>
          <w:szCs w:val="18"/>
          <w:lang w:val="en-US"/>
        </w:rPr>
        <w:t>is</w:t>
      </w:r>
      <w:r w:rsidRPr="000009C9">
        <w:rPr>
          <w:i/>
          <w:sz w:val="18"/>
          <w:szCs w:val="18"/>
          <w:lang w:val="en-US"/>
        </w:rPr>
        <w:t xml:space="preserve"> required to provide to the SSO information demonstrating experience in analysis of equity issues in the training or educational context; demonstrated understanding of vocational education and training; and details of relevant qualifications and/or professional memberships.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548C1" w14:textId="743CEF08" w:rsidR="001D6B56" w:rsidRPr="001D6B56" w:rsidRDefault="001D6B56" w:rsidP="001D6B56">
    <w:pPr>
      <w:pStyle w:val="Header"/>
      <w:jc w:val="center"/>
      <w:rPr>
        <w:b/>
        <w:sz w:val="28"/>
        <w:szCs w:val="28"/>
      </w:rPr>
    </w:pPr>
    <w:r w:rsidRPr="001D6B56">
      <w:rPr>
        <w:b/>
        <w:sz w:val="28"/>
        <w:szCs w:val="28"/>
      </w:rPr>
      <w:t>Training Package Quality Assurance</w:t>
    </w:r>
  </w:p>
  <w:p w14:paraId="6CC5A929" w14:textId="77777777" w:rsidR="00854195" w:rsidRDefault="00854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A8C4F" w14:textId="77777777" w:rsidR="000D3EA9" w:rsidRDefault="000D3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CE65" w14:textId="75646B2A" w:rsidR="00573E98" w:rsidRPr="00573E98" w:rsidRDefault="00573E98" w:rsidP="00573E98">
    <w:pPr>
      <w:pStyle w:val="Header"/>
      <w:jc w:val="center"/>
      <w:rPr>
        <w:b/>
        <w:sz w:val="28"/>
        <w:szCs w:val="28"/>
      </w:rPr>
    </w:pPr>
    <w:r w:rsidRPr="00573E98">
      <w:rPr>
        <w:b/>
        <w:sz w:val="28"/>
        <w:szCs w:val="28"/>
      </w:rPr>
      <w:t>Training Package Quality Assurance</w:t>
    </w:r>
  </w:p>
  <w:p w14:paraId="36EF8962" w14:textId="77777777" w:rsidR="000D3EA9" w:rsidRPr="00E172AC" w:rsidRDefault="000D3EA9" w:rsidP="00E172A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F797" w14:textId="77777777" w:rsidR="000D3EA9" w:rsidRDefault="000D3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FC2"/>
    <w:multiLevelType w:val="hybridMultilevel"/>
    <w:tmpl w:val="6F349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24BE4"/>
    <w:multiLevelType w:val="multilevel"/>
    <w:tmpl w:val="7D4A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C1404"/>
    <w:multiLevelType w:val="hybridMultilevel"/>
    <w:tmpl w:val="63563BF0"/>
    <w:lvl w:ilvl="0" w:tplc="DED67CA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2070"/>
    <w:multiLevelType w:val="multilevel"/>
    <w:tmpl w:val="3BE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95466"/>
    <w:multiLevelType w:val="hybridMultilevel"/>
    <w:tmpl w:val="89C4A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2F4A"/>
    <w:multiLevelType w:val="hybridMultilevel"/>
    <w:tmpl w:val="CD360A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A9"/>
    <w:rsid w:val="000009C9"/>
    <w:rsid w:val="00011477"/>
    <w:rsid w:val="00021AD1"/>
    <w:rsid w:val="00032C40"/>
    <w:rsid w:val="00047481"/>
    <w:rsid w:val="00067DE0"/>
    <w:rsid w:val="000D3EA9"/>
    <w:rsid w:val="000E328A"/>
    <w:rsid w:val="000F22E5"/>
    <w:rsid w:val="00136C45"/>
    <w:rsid w:val="00191CEF"/>
    <w:rsid w:val="00194835"/>
    <w:rsid w:val="001D5AF6"/>
    <w:rsid w:val="001D6B56"/>
    <w:rsid w:val="00201A7C"/>
    <w:rsid w:val="00292107"/>
    <w:rsid w:val="002B7AC6"/>
    <w:rsid w:val="002D2B41"/>
    <w:rsid w:val="002E17F0"/>
    <w:rsid w:val="002F75D9"/>
    <w:rsid w:val="00300056"/>
    <w:rsid w:val="003047A1"/>
    <w:rsid w:val="003159B0"/>
    <w:rsid w:val="00324F89"/>
    <w:rsid w:val="003534BC"/>
    <w:rsid w:val="00361E6C"/>
    <w:rsid w:val="003715D2"/>
    <w:rsid w:val="00375AB6"/>
    <w:rsid w:val="00375D36"/>
    <w:rsid w:val="00390FD8"/>
    <w:rsid w:val="003975EC"/>
    <w:rsid w:val="003A3D86"/>
    <w:rsid w:val="003C0D5E"/>
    <w:rsid w:val="003F073B"/>
    <w:rsid w:val="003F0E4E"/>
    <w:rsid w:val="004078F7"/>
    <w:rsid w:val="00417C60"/>
    <w:rsid w:val="00453296"/>
    <w:rsid w:val="004618FB"/>
    <w:rsid w:val="00496491"/>
    <w:rsid w:val="004B61E0"/>
    <w:rsid w:val="004D4823"/>
    <w:rsid w:val="004E473F"/>
    <w:rsid w:val="005017C3"/>
    <w:rsid w:val="005226C9"/>
    <w:rsid w:val="00542F35"/>
    <w:rsid w:val="00560FBB"/>
    <w:rsid w:val="0056574C"/>
    <w:rsid w:val="00573E98"/>
    <w:rsid w:val="00575DE2"/>
    <w:rsid w:val="005D236C"/>
    <w:rsid w:val="005E3B4E"/>
    <w:rsid w:val="005E67E6"/>
    <w:rsid w:val="00602D18"/>
    <w:rsid w:val="0062705A"/>
    <w:rsid w:val="00652AF8"/>
    <w:rsid w:val="006608C3"/>
    <w:rsid w:val="006D5B14"/>
    <w:rsid w:val="006E3808"/>
    <w:rsid w:val="0070306D"/>
    <w:rsid w:val="007242AA"/>
    <w:rsid w:val="00737AB0"/>
    <w:rsid w:val="00746608"/>
    <w:rsid w:val="00765BE6"/>
    <w:rsid w:val="00765CAF"/>
    <w:rsid w:val="007E281F"/>
    <w:rsid w:val="00802DB5"/>
    <w:rsid w:val="00822BF9"/>
    <w:rsid w:val="00854195"/>
    <w:rsid w:val="008A7B66"/>
    <w:rsid w:val="008B4AA5"/>
    <w:rsid w:val="008B7646"/>
    <w:rsid w:val="008C0B3E"/>
    <w:rsid w:val="008D60A7"/>
    <w:rsid w:val="008F03CB"/>
    <w:rsid w:val="00907236"/>
    <w:rsid w:val="0091065A"/>
    <w:rsid w:val="0092223B"/>
    <w:rsid w:val="009313C4"/>
    <w:rsid w:val="009670E8"/>
    <w:rsid w:val="00971CBA"/>
    <w:rsid w:val="009756FD"/>
    <w:rsid w:val="009A2824"/>
    <w:rsid w:val="009F6AF0"/>
    <w:rsid w:val="00A22EEE"/>
    <w:rsid w:val="00A35BAC"/>
    <w:rsid w:val="00A40848"/>
    <w:rsid w:val="00A54B0D"/>
    <w:rsid w:val="00AB3CE2"/>
    <w:rsid w:val="00B12FD6"/>
    <w:rsid w:val="00B330C3"/>
    <w:rsid w:val="00B4410E"/>
    <w:rsid w:val="00B95F92"/>
    <w:rsid w:val="00BF194E"/>
    <w:rsid w:val="00C1552D"/>
    <w:rsid w:val="00C208A9"/>
    <w:rsid w:val="00C448B0"/>
    <w:rsid w:val="00C76F06"/>
    <w:rsid w:val="00CC1F10"/>
    <w:rsid w:val="00CC758E"/>
    <w:rsid w:val="00D25572"/>
    <w:rsid w:val="00D276D9"/>
    <w:rsid w:val="00D36368"/>
    <w:rsid w:val="00D57D51"/>
    <w:rsid w:val="00D82F23"/>
    <w:rsid w:val="00D9628B"/>
    <w:rsid w:val="00DB4E5E"/>
    <w:rsid w:val="00DC4B3D"/>
    <w:rsid w:val="00E03CA9"/>
    <w:rsid w:val="00E172AC"/>
    <w:rsid w:val="00E54E79"/>
    <w:rsid w:val="00E65DE5"/>
    <w:rsid w:val="00E74CAA"/>
    <w:rsid w:val="00EB106B"/>
    <w:rsid w:val="00F04AB2"/>
    <w:rsid w:val="00F161AB"/>
    <w:rsid w:val="00F4126B"/>
    <w:rsid w:val="00F4295F"/>
    <w:rsid w:val="00FA5E18"/>
    <w:rsid w:val="00FB1254"/>
    <w:rsid w:val="00FC58A5"/>
    <w:rsid w:val="00FD16BC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406DA"/>
  <w15:docId w15:val="{94812955-9B9B-48F3-A2ED-36DEDFEF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EA9"/>
    <w:p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Heading2"/>
    <w:next w:val="Normal"/>
    <w:qFormat/>
    <w:rsid w:val="00324F89"/>
    <w:pPr>
      <w:outlineLvl w:val="0"/>
    </w:pPr>
    <w:rPr>
      <w:rFonts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4F89"/>
    <w:pPr>
      <w:keepLines/>
      <w:spacing w:after="0" w:line="240" w:lineRule="auto"/>
      <w:outlineLvl w:val="1"/>
    </w:pPr>
    <w:rPr>
      <w:rFonts w:asciiTheme="majorHAnsi" w:hAnsiTheme="majorHAnsi"/>
      <w:b/>
      <w:color w:val="1B75BC" w:themeColor="text2"/>
    </w:rPr>
  </w:style>
  <w:style w:type="paragraph" w:styleId="Heading3">
    <w:name w:val="heading 3"/>
    <w:basedOn w:val="Normal"/>
    <w:next w:val="Normal"/>
    <w:qFormat/>
    <w:rsid w:val="00496491"/>
    <w:pPr>
      <w:keepLines/>
      <w:spacing w:after="0" w:line="240" w:lineRule="auto"/>
      <w:outlineLvl w:val="2"/>
    </w:pPr>
    <w:rPr>
      <w:rFonts w:asciiTheme="majorHAnsi" w:hAnsiTheme="majorHAnsi"/>
      <w:b/>
      <w:color w:val="1B75BC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4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24F89"/>
    <w:rPr>
      <w:rFonts w:asciiTheme="majorHAnsi" w:hAnsiTheme="majorHAnsi"/>
      <w:b/>
      <w:color w:val="1B75BC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0D3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A9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D3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A9"/>
    <w:rPr>
      <w:rFonts w:ascii="Calibri" w:hAnsi="Calibr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0D3EA9"/>
    <w:rPr>
      <w:rFonts w:cs="Times New Roman"/>
      <w:vertAlign w:val="superscript"/>
    </w:rPr>
  </w:style>
  <w:style w:type="table" w:styleId="LightList-Accent1">
    <w:name w:val="Light List Accent 1"/>
    <w:basedOn w:val="TableNormal"/>
    <w:uiPriority w:val="61"/>
    <w:rsid w:val="000D3EA9"/>
    <w:rPr>
      <w:rFonts w:ascii="Calibri" w:hAnsi="Calibri" w:cs="Calibri"/>
    </w:rPr>
    <w:tblPr>
      <w:tblStyleRowBandSize w:val="1"/>
      <w:tblStyleColBandSize w:val="1"/>
      <w:tblBorders>
        <w:top w:val="single" w:sz="8" w:space="0" w:color="F58229" w:themeColor="accent1"/>
        <w:left w:val="single" w:sz="8" w:space="0" w:color="F58229" w:themeColor="accent1"/>
        <w:bottom w:val="single" w:sz="8" w:space="0" w:color="F58229" w:themeColor="accent1"/>
        <w:right w:val="single" w:sz="8" w:space="0" w:color="F58229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58229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2B4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41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96491"/>
    <w:pPr>
      <w:pBdr>
        <w:bottom w:val="single" w:sz="8" w:space="4" w:color="F58229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4578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6491"/>
    <w:rPr>
      <w:rFonts w:asciiTheme="majorHAnsi" w:eastAsiaTheme="majorEastAsia" w:hAnsiTheme="majorHAnsi" w:cstheme="majorBidi"/>
      <w:color w:val="14578C" w:themeColor="text2" w:themeShade="BF"/>
      <w:spacing w:val="5"/>
      <w:kern w:val="28"/>
      <w:sz w:val="52"/>
      <w:szCs w:val="5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4F89"/>
    <w:rPr>
      <w:rFonts w:asciiTheme="majorHAnsi" w:eastAsiaTheme="majorEastAsia" w:hAnsiTheme="majorHAnsi" w:cstheme="majorBidi"/>
      <w:i/>
      <w:iCs/>
      <w:color w:val="000000" w:themeColor="text1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172AC"/>
    <w:pPr>
      <w:ind w:left="720"/>
      <w:contextualSpacing/>
    </w:pPr>
  </w:style>
  <w:style w:type="table" w:styleId="TableGrid">
    <w:name w:val="Table Grid"/>
    <w:basedOn w:val="TableNormal"/>
    <w:uiPriority w:val="59"/>
    <w:rsid w:val="0039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">
    <w:name w:val="table h"/>
    <w:basedOn w:val="Normal"/>
    <w:link w:val="tablehChar"/>
    <w:qFormat/>
    <w:rsid w:val="00390FD8"/>
    <w:pPr>
      <w:shd w:val="clear" w:color="auto" w:fill="1B75BC" w:themeFill="text2"/>
    </w:pPr>
    <w:rPr>
      <w:color w:val="FFFFFF" w:themeColor="background1"/>
    </w:rPr>
  </w:style>
  <w:style w:type="character" w:customStyle="1" w:styleId="tablehChar">
    <w:name w:val="table h Char"/>
    <w:basedOn w:val="DefaultParagraphFont"/>
    <w:link w:val="tableh"/>
    <w:rsid w:val="00390FD8"/>
    <w:rPr>
      <w:rFonts w:ascii="Calibri" w:hAnsi="Calibri"/>
      <w:color w:val="FFFFFF" w:themeColor="background1"/>
      <w:sz w:val="22"/>
      <w:szCs w:val="22"/>
      <w:shd w:val="clear" w:color="auto" w:fill="1B75BC" w:themeFill="text2"/>
      <w:lang w:eastAsia="en-US"/>
    </w:rPr>
  </w:style>
  <w:style w:type="character" w:styleId="Hyperlink">
    <w:name w:val="Hyperlink"/>
    <w:basedOn w:val="DefaultParagraphFont"/>
    <w:uiPriority w:val="99"/>
    <w:unhideWhenUsed/>
    <w:rsid w:val="00D276D9"/>
    <w:rPr>
      <w:color w:val="1F497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AD1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AD1"/>
    <w:rPr>
      <w:rFonts w:ascii="Calibri" w:hAnsi="Calibri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7C6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C60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AISC">
      <a:dk1>
        <a:sysClr val="windowText" lastClr="000000"/>
      </a:dk1>
      <a:lt1>
        <a:sysClr val="window" lastClr="FFFFFF"/>
      </a:lt1>
      <a:dk2>
        <a:srgbClr val="1B75BC"/>
      </a:dk2>
      <a:lt2>
        <a:srgbClr val="FFFFFF"/>
      </a:lt2>
      <a:accent1>
        <a:srgbClr val="F58229"/>
      </a:accent1>
      <a:accent2>
        <a:srgbClr val="1B75BC"/>
      </a:accent2>
      <a:accent3>
        <a:srgbClr val="FBB040"/>
      </a:accent3>
      <a:accent4>
        <a:srgbClr val="27AAE1"/>
      </a:accent4>
      <a:accent5>
        <a:srgbClr val="D7DF23"/>
      </a:accent5>
      <a:accent6>
        <a:srgbClr val="E94E1B"/>
      </a:accent6>
      <a:hlink>
        <a:srgbClr val="1F497D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D062-1084-487A-BB57-E1144C22299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8050BE-DAE8-4D8F-A0A5-6776E7C98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1841E4-EA73-47C1-8E2E-F82A94C71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2BA13-4536-4755-87D3-81E00CE7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3B9FB2FA.dotm</Template>
  <TotalTime>1</TotalTime>
  <Pages>3</Pages>
  <Words>517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O'Hare</dc:creator>
  <cp:lastModifiedBy>COOPER,Suzanne</cp:lastModifiedBy>
  <cp:revision>2</cp:revision>
  <dcterms:created xsi:type="dcterms:W3CDTF">2019-08-14T01:14:00Z</dcterms:created>
  <dcterms:modified xsi:type="dcterms:W3CDTF">2019-08-14T01:14:00Z</dcterms:modified>
</cp:coreProperties>
</file>